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E5BC">
      <w:pPr>
        <w:pStyle w:val="8"/>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78441"/>
      <w:bookmarkStart w:id="2" w:name="_Toc15377193"/>
      <w:bookmarkStart w:id="3" w:name="_Toc15377425"/>
      <w:bookmarkStart w:id="4" w:name="_Toc15396597"/>
      <w:bookmarkStart w:id="5" w:name="_Toc15396475"/>
    </w:p>
    <w:p w14:paraId="5D646F86">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3C7A78A4">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7D022639">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0982D21C">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7C93F101">
      <w:pPr>
        <w:pStyle w:val="8"/>
        <w:jc w:val="both"/>
        <w:rPr>
          <w:rFonts w:hint="eastAsia" w:ascii="Times New Roman" w:hAnsi="Times New Roman" w:eastAsia="方正小标宋简体" w:cs="Times New Roman"/>
          <w:color w:val="auto"/>
          <w:kern w:val="2"/>
          <w:sz w:val="44"/>
          <w:szCs w:val="44"/>
          <w:highlight w:val="none"/>
          <w:lang w:val="en-US" w:eastAsia="zh-CN" w:bidi="ar-SA"/>
        </w:rPr>
      </w:pPr>
    </w:p>
    <w:p w14:paraId="42FA5D06">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r>
        <w:rPr>
          <w:rFonts w:hint="eastAsia" w:ascii="Times New Roman" w:eastAsia="方正小标宋简体" w:cs="Times New Roman"/>
          <w:color w:val="auto"/>
          <w:kern w:val="2"/>
          <w:sz w:val="44"/>
          <w:szCs w:val="44"/>
          <w:highlight w:val="none"/>
          <w:lang w:val="en-US" w:eastAsia="zh-CN" w:bidi="ar-SA"/>
        </w:rPr>
        <w:t>阿坝州茂县统计局</w:t>
      </w:r>
    </w:p>
    <w:p w14:paraId="27921353">
      <w:pPr>
        <w:pStyle w:val="8"/>
        <w:jc w:val="center"/>
        <w:rPr>
          <w:rFonts w:hint="default" w:ascii="Times New Roman" w:hAnsi="Times New Roman" w:eastAsia="黑体"/>
          <w:color w:val="auto"/>
          <w:sz w:val="48"/>
          <w:szCs w:val="48"/>
          <w:highlight w:val="none"/>
          <w:lang w:val="en-US"/>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0"/>
      <w:bookmarkEnd w:id="1"/>
      <w:bookmarkEnd w:id="2"/>
      <w:bookmarkEnd w:id="3"/>
      <w:bookmarkEnd w:id="4"/>
      <w:bookmarkEnd w:id="5"/>
      <w:r>
        <w:rPr>
          <w:rFonts w:hint="eastAsia" w:ascii="Times New Roman" w:eastAsia="方正小标宋简体" w:cs="Times New Roman"/>
          <w:color w:val="auto"/>
          <w:kern w:val="2"/>
          <w:sz w:val="44"/>
          <w:szCs w:val="44"/>
          <w:highlight w:val="none"/>
          <w:lang w:val="en-US" w:eastAsia="zh-CN" w:bidi="ar-SA"/>
        </w:rPr>
        <w:t>公开编制说明</w:t>
      </w:r>
    </w:p>
    <w:p w14:paraId="0810A3B0">
      <w:pPr>
        <w:widowControl/>
        <w:jc w:val="center"/>
        <w:rPr>
          <w:rFonts w:ascii="Times New Roman" w:hAnsi="Times New Roman" w:eastAsia="黑体"/>
          <w:color w:val="auto"/>
          <w:sz w:val="48"/>
          <w:szCs w:val="48"/>
          <w:highlight w:val="none"/>
        </w:rPr>
      </w:pPr>
      <w:bookmarkStart w:id="6" w:name="_Toc15377196"/>
      <w:bookmarkStart w:id="7" w:name="_Toc15396599"/>
      <w:r>
        <w:rPr>
          <w:rFonts w:hint="eastAsia" w:ascii="Times New Roman" w:hAnsi="Times New Roman" w:eastAsia="黑体"/>
          <w:color w:val="auto"/>
          <w:sz w:val="48"/>
          <w:szCs w:val="48"/>
          <w:highlight w:val="none"/>
        </w:rPr>
        <w:t>目录</w:t>
      </w:r>
    </w:p>
    <w:p w14:paraId="2860E114">
      <w:pPr>
        <w:widowControl/>
        <w:jc w:val="center"/>
        <w:rPr>
          <w:rFonts w:ascii="Times New Roman" w:hAnsi="Times New Roman" w:eastAsia="黑体" w:cstheme="minorBidi"/>
          <w:color w:val="auto"/>
          <w:sz w:val="28"/>
          <w:szCs w:val="28"/>
          <w:highlight w:val="none"/>
        </w:rPr>
      </w:pPr>
    </w:p>
    <w:p w14:paraId="111B7805">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14:paraId="0D05B528">
      <w:pPr>
        <w:rPr>
          <w:rFonts w:ascii="Times New Roman" w:hAnsi="Times New Roman"/>
          <w:color w:val="auto"/>
          <w:highlight w:val="none"/>
        </w:rPr>
      </w:pPr>
    </w:p>
    <w:p w14:paraId="516C673C">
      <w:pPr>
        <w:numPr>
          <w:ilvl w:val="0"/>
          <w:numId w:val="0"/>
        </w:numPr>
        <w:rPr>
          <w:rFonts w:hint="eastAsia"/>
          <w:sz w:val="28"/>
          <w:szCs w:val="28"/>
        </w:rPr>
      </w:pPr>
      <w:r>
        <w:rPr>
          <w:rFonts w:hint="eastAsia"/>
          <w:b/>
          <w:bCs/>
          <w:sz w:val="28"/>
          <w:szCs w:val="28"/>
          <w:lang w:val="en-US" w:eastAsia="zh-CN"/>
        </w:rPr>
        <w:t xml:space="preserve">第一部分 </w:t>
      </w:r>
      <w:r>
        <w:rPr>
          <w:rFonts w:hint="eastAsia"/>
          <w:b/>
          <w:bCs/>
          <w:sz w:val="28"/>
          <w:szCs w:val="28"/>
        </w:rPr>
        <w:t>部门概况</w:t>
      </w:r>
      <w:r>
        <w:rPr>
          <w:rFonts w:hint="eastAsia"/>
          <w:sz w:val="28"/>
          <w:szCs w:val="28"/>
        </w:rPr>
        <w:tab/>
      </w:r>
      <w:r>
        <w:rPr>
          <w:rFonts w:hint="eastAsia"/>
          <w:sz w:val="28"/>
          <w:szCs w:val="28"/>
          <w:lang w:val="en-US" w:eastAsia="zh-CN"/>
        </w:rPr>
        <w:t>.............................................................................4</w:t>
      </w:r>
    </w:p>
    <w:p w14:paraId="263487A0">
      <w:pPr>
        <w:numPr>
          <w:ilvl w:val="0"/>
          <w:numId w:val="0"/>
        </w:numPr>
        <w:rPr>
          <w:rFonts w:hint="eastAsia" w:eastAsia="宋体"/>
          <w:sz w:val="28"/>
          <w:szCs w:val="28"/>
          <w:lang w:val="en-US" w:eastAsia="zh-CN"/>
        </w:rPr>
      </w:pPr>
      <w:r>
        <w:rPr>
          <w:rFonts w:hint="eastAsia" w:ascii="宋体" w:hAnsi="宋体" w:eastAsia="宋体" w:cs="宋体"/>
          <w:sz w:val="24"/>
          <w:szCs w:val="24"/>
        </w:rPr>
        <w:t>一、 部门职责</w:t>
      </w:r>
      <w:r>
        <w:rPr>
          <w:rFonts w:hint="eastAsia"/>
          <w:sz w:val="28"/>
          <w:szCs w:val="28"/>
          <w:lang w:val="en-US" w:eastAsia="zh-CN"/>
        </w:rPr>
        <w:t>...........................................................................................4</w:t>
      </w:r>
    </w:p>
    <w:p w14:paraId="443DE240">
      <w:pPr>
        <w:rPr>
          <w:rFonts w:hint="eastAsia" w:eastAsia="宋体"/>
          <w:sz w:val="28"/>
          <w:szCs w:val="28"/>
          <w:lang w:eastAsia="zh-CN"/>
        </w:rPr>
      </w:pPr>
      <w:r>
        <w:rPr>
          <w:rFonts w:hint="eastAsia" w:ascii="宋体" w:hAnsi="宋体" w:eastAsia="宋体" w:cs="宋体"/>
          <w:sz w:val="24"/>
          <w:szCs w:val="24"/>
        </w:rPr>
        <w:t>二、机构设置</w:t>
      </w:r>
      <w:r>
        <w:rPr>
          <w:rFonts w:hint="eastAsia" w:ascii="宋体" w:hAnsi="宋体" w:eastAsia="宋体" w:cs="宋体"/>
          <w:sz w:val="28"/>
          <w:szCs w:val="28"/>
          <w:lang w:val="en-US" w:eastAsia="zh-CN"/>
        </w:rPr>
        <w:t>.</w:t>
      </w:r>
      <w:r>
        <w:rPr>
          <w:rFonts w:hint="eastAsia"/>
          <w:sz w:val="28"/>
          <w:szCs w:val="28"/>
          <w:lang w:val="en-US" w:eastAsia="zh-CN"/>
        </w:rPr>
        <w:t>...........................................................................................5</w:t>
      </w:r>
    </w:p>
    <w:p w14:paraId="2523EA49">
      <w:pPr>
        <w:rPr>
          <w:rFonts w:hint="eastAsia" w:eastAsia="宋体"/>
          <w:sz w:val="28"/>
          <w:szCs w:val="28"/>
          <w:lang w:eastAsia="zh-CN"/>
        </w:rPr>
      </w:pPr>
      <w:r>
        <w:rPr>
          <w:rFonts w:hint="eastAsia" w:ascii="宋体" w:hAnsi="宋体" w:eastAsia="宋体" w:cs="宋体"/>
          <w:b/>
          <w:bCs/>
          <w:sz w:val="28"/>
          <w:szCs w:val="28"/>
        </w:rPr>
        <w:t>第二部分 202</w:t>
      </w:r>
      <w:r>
        <w:rPr>
          <w:rFonts w:hint="eastAsia"/>
          <w:b/>
          <w:bCs/>
          <w:sz w:val="28"/>
          <w:szCs w:val="28"/>
          <w:lang w:val="en-US" w:eastAsia="zh-CN"/>
        </w:rPr>
        <w:t>4</w:t>
      </w:r>
      <w:r>
        <w:rPr>
          <w:rFonts w:hint="eastAsia"/>
          <w:b/>
          <w:bCs/>
          <w:sz w:val="28"/>
          <w:szCs w:val="28"/>
        </w:rPr>
        <w:t>年度部门决算情况说明</w:t>
      </w:r>
      <w:r>
        <w:rPr>
          <w:rFonts w:hint="eastAsia"/>
          <w:sz w:val="28"/>
          <w:szCs w:val="28"/>
          <w:lang w:val="en-US" w:eastAsia="zh-CN"/>
        </w:rPr>
        <w:t>..............................................6</w:t>
      </w:r>
    </w:p>
    <w:p w14:paraId="4C068458">
      <w:pPr>
        <w:rPr>
          <w:rFonts w:hint="eastAsia" w:eastAsia="宋体"/>
          <w:sz w:val="28"/>
          <w:szCs w:val="28"/>
          <w:lang w:eastAsia="zh-CN"/>
        </w:rPr>
      </w:pPr>
      <w:r>
        <w:rPr>
          <w:rFonts w:hint="eastAsia"/>
          <w:sz w:val="24"/>
          <w:szCs w:val="24"/>
        </w:rPr>
        <w:t>一、 收入支出决算总体情况说明</w:t>
      </w:r>
      <w:r>
        <w:rPr>
          <w:rFonts w:hint="eastAsia"/>
          <w:sz w:val="24"/>
          <w:szCs w:val="24"/>
        </w:rPr>
        <w:tab/>
      </w:r>
      <w:r>
        <w:rPr>
          <w:rFonts w:hint="eastAsia"/>
          <w:sz w:val="24"/>
          <w:szCs w:val="24"/>
          <w:lang w:val="en-US" w:eastAsia="zh-CN"/>
        </w:rPr>
        <w:t>.</w:t>
      </w:r>
      <w:r>
        <w:rPr>
          <w:rFonts w:hint="eastAsia"/>
          <w:sz w:val="28"/>
          <w:szCs w:val="28"/>
          <w:lang w:val="en-US" w:eastAsia="zh-CN"/>
        </w:rPr>
        <w:t>...........................................................6</w:t>
      </w:r>
    </w:p>
    <w:p w14:paraId="055A669C">
      <w:pPr>
        <w:rPr>
          <w:rFonts w:hint="eastAsia"/>
          <w:sz w:val="28"/>
          <w:szCs w:val="28"/>
          <w:lang w:val="en-US" w:eastAsia="zh-CN"/>
        </w:rPr>
      </w:pPr>
      <w:r>
        <w:rPr>
          <w:rFonts w:hint="eastAsia"/>
          <w:sz w:val="24"/>
          <w:szCs w:val="24"/>
        </w:rPr>
        <w:t>二、 收入决算情况说明</w:t>
      </w:r>
      <w:r>
        <w:rPr>
          <w:rFonts w:hint="eastAsia"/>
          <w:sz w:val="28"/>
          <w:szCs w:val="28"/>
          <w:lang w:val="en-US" w:eastAsia="zh-CN"/>
        </w:rPr>
        <w:t>..............................................................................6</w:t>
      </w:r>
    </w:p>
    <w:p w14:paraId="0796CE35">
      <w:pPr>
        <w:rPr>
          <w:rFonts w:hint="default"/>
          <w:sz w:val="28"/>
          <w:szCs w:val="28"/>
          <w:lang w:val="en-US" w:eastAsia="zh-CN"/>
        </w:rPr>
      </w:pPr>
      <w:r>
        <w:rPr>
          <w:rFonts w:hint="eastAsia"/>
          <w:sz w:val="24"/>
          <w:szCs w:val="24"/>
        </w:rPr>
        <w:t>三、 支出决算情况说明</w:t>
      </w:r>
      <w:r>
        <w:rPr>
          <w:rFonts w:hint="eastAsia"/>
          <w:sz w:val="28"/>
          <w:szCs w:val="28"/>
          <w:lang w:val="en-US" w:eastAsia="zh-CN"/>
        </w:rPr>
        <w:t>..............................................................................7</w:t>
      </w:r>
    </w:p>
    <w:p w14:paraId="299253D1">
      <w:pPr>
        <w:rPr>
          <w:rFonts w:hint="eastAsia"/>
          <w:sz w:val="28"/>
          <w:szCs w:val="28"/>
          <w:lang w:val="en-US" w:eastAsia="zh-CN"/>
        </w:rPr>
      </w:pPr>
      <w:r>
        <w:rPr>
          <w:rFonts w:hint="eastAsia"/>
          <w:sz w:val="24"/>
          <w:szCs w:val="24"/>
        </w:rPr>
        <w:t>四、财政拨款收入支出决算总体情况说明</w:t>
      </w:r>
      <w:r>
        <w:rPr>
          <w:rFonts w:hint="eastAsia"/>
          <w:sz w:val="28"/>
          <w:szCs w:val="28"/>
          <w:lang w:val="en-US" w:eastAsia="zh-CN"/>
        </w:rPr>
        <w:t>....................................................8</w:t>
      </w:r>
    </w:p>
    <w:p w14:paraId="59246823">
      <w:pPr>
        <w:rPr>
          <w:rFonts w:hint="default" w:eastAsia="宋体"/>
          <w:sz w:val="24"/>
          <w:szCs w:val="24"/>
          <w:lang w:val="en-US" w:eastAsia="zh-CN"/>
        </w:rPr>
      </w:pPr>
      <w:r>
        <w:rPr>
          <w:rFonts w:hint="eastAsia"/>
          <w:sz w:val="24"/>
          <w:szCs w:val="24"/>
        </w:rPr>
        <w:t>五、一般公共预算财政拨款支出决算情况说明</w:t>
      </w:r>
      <w:r>
        <w:rPr>
          <w:rFonts w:hint="eastAsia"/>
          <w:sz w:val="28"/>
          <w:szCs w:val="28"/>
          <w:lang w:val="en-US" w:eastAsia="zh-CN"/>
        </w:rPr>
        <w:t>.............................................8</w:t>
      </w:r>
    </w:p>
    <w:p w14:paraId="12CE7E51">
      <w:pPr>
        <w:numPr>
          <w:ilvl w:val="0"/>
          <w:numId w:val="0"/>
        </w:numPr>
        <w:rPr>
          <w:rFonts w:hint="default"/>
          <w:sz w:val="28"/>
          <w:szCs w:val="28"/>
          <w:lang w:val="en-US" w:eastAsia="zh-CN"/>
        </w:rPr>
      </w:pPr>
      <w:r>
        <w:rPr>
          <w:rFonts w:hint="eastAsia"/>
          <w:sz w:val="24"/>
          <w:szCs w:val="24"/>
          <w:lang w:val="en-US" w:eastAsia="zh-CN"/>
        </w:rPr>
        <w:t>六、</w:t>
      </w:r>
      <w:r>
        <w:rPr>
          <w:rFonts w:hint="eastAsia"/>
          <w:sz w:val="24"/>
          <w:szCs w:val="24"/>
        </w:rPr>
        <w:t>一般公共预算财政拨款基本支出决算情况说明</w:t>
      </w:r>
      <w:r>
        <w:rPr>
          <w:rFonts w:hint="eastAsia"/>
          <w:sz w:val="24"/>
          <w:szCs w:val="24"/>
          <w:lang w:val="en-US" w:eastAsia="zh-CN"/>
        </w:rPr>
        <w:t>.</w:t>
      </w:r>
      <w:r>
        <w:rPr>
          <w:rFonts w:hint="eastAsia"/>
          <w:sz w:val="28"/>
          <w:szCs w:val="28"/>
          <w:lang w:val="en-US" w:eastAsia="zh-CN"/>
        </w:rPr>
        <w:t>.....................................10</w:t>
      </w:r>
    </w:p>
    <w:p w14:paraId="5C40EAF1">
      <w:pPr>
        <w:numPr>
          <w:ilvl w:val="0"/>
          <w:numId w:val="0"/>
        </w:numPr>
        <w:rPr>
          <w:rFonts w:hint="default" w:eastAsia="宋体"/>
          <w:sz w:val="28"/>
          <w:szCs w:val="28"/>
          <w:lang w:val="en-US" w:eastAsia="zh-CN"/>
        </w:rPr>
      </w:pPr>
      <w:r>
        <w:rPr>
          <w:rFonts w:hint="eastAsia"/>
          <w:sz w:val="24"/>
          <w:szCs w:val="24"/>
        </w:rPr>
        <w:t>七、财政拨款“三公”经费支出决算情况说明</w:t>
      </w:r>
      <w:r>
        <w:rPr>
          <w:rFonts w:hint="eastAsia"/>
          <w:sz w:val="28"/>
          <w:szCs w:val="28"/>
          <w:lang w:val="en-US" w:eastAsia="zh-CN"/>
        </w:rPr>
        <w:t>.............................................11</w:t>
      </w:r>
    </w:p>
    <w:p w14:paraId="00CDB0C0">
      <w:pPr>
        <w:rPr>
          <w:rFonts w:hint="default"/>
          <w:sz w:val="28"/>
          <w:szCs w:val="28"/>
          <w:lang w:val="en-US" w:eastAsia="zh-CN"/>
        </w:rPr>
      </w:pPr>
      <w:r>
        <w:rPr>
          <w:rFonts w:hint="eastAsia"/>
          <w:sz w:val="24"/>
          <w:szCs w:val="24"/>
        </w:rPr>
        <w:t>八、政府性基金预算支出决算情况说明</w:t>
      </w:r>
      <w:r>
        <w:rPr>
          <w:rFonts w:hint="eastAsia"/>
          <w:sz w:val="28"/>
          <w:szCs w:val="28"/>
          <w:lang w:val="en-US" w:eastAsia="zh-CN"/>
        </w:rPr>
        <w:t>.......................................................12</w:t>
      </w:r>
    </w:p>
    <w:p w14:paraId="1FF3219D">
      <w:pPr>
        <w:rPr>
          <w:rFonts w:hint="default" w:eastAsia="宋体"/>
          <w:sz w:val="28"/>
          <w:szCs w:val="28"/>
          <w:lang w:val="en-US" w:eastAsia="zh-CN"/>
        </w:rPr>
      </w:pPr>
      <w:r>
        <w:rPr>
          <w:rFonts w:hint="eastAsia"/>
          <w:sz w:val="24"/>
          <w:szCs w:val="24"/>
        </w:rPr>
        <w:t>九、 国有资本经营预算支出决算情况说明</w:t>
      </w:r>
      <w:r>
        <w:rPr>
          <w:rFonts w:hint="eastAsia"/>
          <w:sz w:val="28"/>
          <w:szCs w:val="28"/>
          <w:lang w:val="en-US" w:eastAsia="zh-CN"/>
        </w:rPr>
        <w:t>..................................................13</w:t>
      </w:r>
    </w:p>
    <w:p w14:paraId="27650869">
      <w:pPr>
        <w:rPr>
          <w:rFonts w:hint="default"/>
          <w:sz w:val="28"/>
          <w:szCs w:val="28"/>
          <w:lang w:val="en-US" w:eastAsia="zh-CN"/>
        </w:rPr>
      </w:pPr>
      <w:r>
        <w:rPr>
          <w:rFonts w:hint="eastAsia"/>
          <w:sz w:val="24"/>
          <w:szCs w:val="24"/>
        </w:rPr>
        <w:t>十、 其他重要事项的情况说明</w:t>
      </w:r>
      <w:r>
        <w:rPr>
          <w:rFonts w:hint="eastAsia"/>
          <w:sz w:val="28"/>
          <w:szCs w:val="28"/>
          <w:lang w:val="en-US" w:eastAsia="zh-CN"/>
        </w:rPr>
        <w:t>...................................................................13</w:t>
      </w:r>
    </w:p>
    <w:p w14:paraId="741DF09C">
      <w:pPr>
        <w:rPr>
          <w:rFonts w:hint="eastAsia"/>
          <w:sz w:val="28"/>
          <w:szCs w:val="28"/>
          <w:lang w:val="en-US" w:eastAsia="zh-CN"/>
        </w:rPr>
      </w:pPr>
      <w:r>
        <w:rPr>
          <w:rFonts w:hint="eastAsia"/>
          <w:b/>
          <w:bCs/>
          <w:sz w:val="28"/>
          <w:szCs w:val="28"/>
        </w:rPr>
        <w:t>第三部分 名词解释</w:t>
      </w:r>
      <w:r>
        <w:rPr>
          <w:rFonts w:hint="eastAsia"/>
          <w:sz w:val="28"/>
          <w:szCs w:val="28"/>
          <w:lang w:val="en-US" w:eastAsia="zh-CN"/>
        </w:rPr>
        <w:t>...............................................................................15</w:t>
      </w:r>
    </w:p>
    <w:p w14:paraId="0D7F5A5E">
      <w:pPr>
        <w:rPr>
          <w:rFonts w:hint="default"/>
          <w:sz w:val="28"/>
          <w:szCs w:val="28"/>
          <w:lang w:val="en-US" w:eastAsia="zh-CN"/>
        </w:rPr>
      </w:pPr>
      <w:r>
        <w:rPr>
          <w:rFonts w:hint="eastAsia"/>
          <w:b/>
          <w:bCs/>
          <w:sz w:val="28"/>
          <w:szCs w:val="28"/>
        </w:rPr>
        <w:t>第四部分 附件</w:t>
      </w:r>
      <w:r>
        <w:rPr>
          <w:rFonts w:hint="eastAsia"/>
          <w:sz w:val="28"/>
          <w:szCs w:val="28"/>
          <w:lang w:val="en-US" w:eastAsia="zh-CN"/>
        </w:rPr>
        <w:t>.......................................................................................18</w:t>
      </w:r>
    </w:p>
    <w:p w14:paraId="25378D15">
      <w:pPr>
        <w:rPr>
          <w:rFonts w:hint="default"/>
          <w:sz w:val="28"/>
          <w:szCs w:val="28"/>
          <w:lang w:val="en-US" w:eastAsia="zh-CN"/>
        </w:rPr>
      </w:pPr>
      <w:r>
        <w:rPr>
          <w:rFonts w:hint="eastAsia"/>
          <w:b/>
          <w:bCs/>
          <w:sz w:val="28"/>
          <w:szCs w:val="28"/>
        </w:rPr>
        <w:t>第五部分 附表</w:t>
      </w:r>
      <w:r>
        <w:rPr>
          <w:rFonts w:hint="eastAsia"/>
          <w:sz w:val="28"/>
          <w:szCs w:val="28"/>
          <w:lang w:val="en-US" w:eastAsia="zh-CN"/>
        </w:rPr>
        <w:t>.......................................................................................23</w:t>
      </w:r>
    </w:p>
    <w:p w14:paraId="14C05499">
      <w:pPr>
        <w:rPr>
          <w:rFonts w:hint="default" w:eastAsia="宋体"/>
          <w:sz w:val="28"/>
          <w:szCs w:val="28"/>
          <w:lang w:val="en-US" w:eastAsia="zh-CN"/>
        </w:rPr>
      </w:pPr>
      <w:r>
        <w:rPr>
          <w:rFonts w:hint="eastAsia"/>
          <w:sz w:val="24"/>
          <w:szCs w:val="24"/>
        </w:rPr>
        <w:t>一、收入支出决算总表</w:t>
      </w:r>
      <w:r>
        <w:rPr>
          <w:rFonts w:hint="eastAsia"/>
          <w:sz w:val="28"/>
          <w:szCs w:val="28"/>
          <w:lang w:val="en-US" w:eastAsia="zh-CN"/>
        </w:rPr>
        <w:t>...............................................................................23</w:t>
      </w:r>
    </w:p>
    <w:p w14:paraId="45DBA72E">
      <w:pPr>
        <w:rPr>
          <w:rFonts w:hint="default" w:eastAsia="宋体"/>
          <w:sz w:val="28"/>
          <w:szCs w:val="28"/>
          <w:lang w:val="en-US" w:eastAsia="zh-CN"/>
        </w:rPr>
      </w:pPr>
      <w:r>
        <w:rPr>
          <w:rFonts w:hint="eastAsia"/>
          <w:sz w:val="24"/>
          <w:szCs w:val="24"/>
        </w:rPr>
        <w:t>二、收入决算表</w:t>
      </w:r>
      <w:r>
        <w:rPr>
          <w:rFonts w:hint="eastAsia"/>
          <w:sz w:val="28"/>
          <w:szCs w:val="28"/>
          <w:lang w:val="en-US" w:eastAsia="zh-CN"/>
        </w:rPr>
        <w:t>.........................................................................................23</w:t>
      </w:r>
    </w:p>
    <w:p w14:paraId="4645FE91">
      <w:pPr>
        <w:rPr>
          <w:rFonts w:hint="default" w:eastAsia="宋体"/>
          <w:sz w:val="28"/>
          <w:szCs w:val="28"/>
          <w:lang w:val="en-US" w:eastAsia="zh-CN"/>
        </w:rPr>
      </w:pPr>
      <w:r>
        <w:rPr>
          <w:rFonts w:hint="eastAsia"/>
          <w:sz w:val="24"/>
          <w:szCs w:val="24"/>
        </w:rPr>
        <w:t>三、支出决算表</w:t>
      </w:r>
      <w:r>
        <w:rPr>
          <w:rFonts w:hint="eastAsia"/>
          <w:sz w:val="28"/>
          <w:szCs w:val="28"/>
          <w:lang w:val="en-US" w:eastAsia="zh-CN"/>
        </w:rPr>
        <w:t>.........................................................................................23</w:t>
      </w:r>
    </w:p>
    <w:p w14:paraId="6362AD9B">
      <w:pPr>
        <w:rPr>
          <w:rFonts w:hint="default" w:eastAsia="宋体"/>
          <w:sz w:val="28"/>
          <w:szCs w:val="28"/>
          <w:lang w:val="en-US" w:eastAsia="zh-CN"/>
        </w:rPr>
      </w:pPr>
      <w:r>
        <w:rPr>
          <w:rFonts w:hint="eastAsia"/>
          <w:sz w:val="24"/>
          <w:szCs w:val="24"/>
        </w:rPr>
        <w:t>四、财政拨款收入支出决算总表</w:t>
      </w:r>
      <w:r>
        <w:rPr>
          <w:rFonts w:hint="eastAsia"/>
          <w:sz w:val="28"/>
          <w:szCs w:val="28"/>
          <w:lang w:val="en-US" w:eastAsia="zh-CN"/>
        </w:rPr>
        <w:t>.................................................................23</w:t>
      </w:r>
    </w:p>
    <w:p w14:paraId="01428C1B">
      <w:pPr>
        <w:rPr>
          <w:rFonts w:hint="default" w:eastAsia="宋体"/>
          <w:sz w:val="28"/>
          <w:szCs w:val="28"/>
          <w:lang w:val="en-US" w:eastAsia="zh-CN"/>
        </w:rPr>
      </w:pPr>
      <w:r>
        <w:rPr>
          <w:rFonts w:hint="eastAsia"/>
          <w:sz w:val="24"/>
          <w:szCs w:val="24"/>
        </w:rPr>
        <w:t>五、财政拨款支出决算明细表</w:t>
      </w:r>
      <w:r>
        <w:rPr>
          <w:rFonts w:hint="eastAsia"/>
          <w:sz w:val="28"/>
          <w:szCs w:val="28"/>
          <w:lang w:val="en-US" w:eastAsia="zh-CN"/>
        </w:rPr>
        <w:t>.....................................................................23</w:t>
      </w:r>
    </w:p>
    <w:p w14:paraId="3B73B1C7">
      <w:pPr>
        <w:rPr>
          <w:rFonts w:hint="default" w:eastAsia="宋体"/>
          <w:sz w:val="28"/>
          <w:szCs w:val="28"/>
          <w:lang w:val="en-US" w:eastAsia="zh-CN"/>
        </w:rPr>
      </w:pPr>
      <w:r>
        <w:rPr>
          <w:rFonts w:hint="eastAsia"/>
          <w:sz w:val="24"/>
          <w:szCs w:val="24"/>
        </w:rPr>
        <w:t>六、一般公共预算财政拨款支出决算表</w:t>
      </w:r>
      <w:r>
        <w:rPr>
          <w:rFonts w:hint="eastAsia"/>
          <w:sz w:val="24"/>
          <w:szCs w:val="24"/>
          <w:lang w:val="en-US" w:eastAsia="zh-CN"/>
        </w:rPr>
        <w:t>.</w:t>
      </w:r>
      <w:r>
        <w:rPr>
          <w:rFonts w:hint="eastAsia"/>
          <w:sz w:val="28"/>
          <w:szCs w:val="28"/>
          <w:lang w:val="en-US" w:eastAsia="zh-CN"/>
        </w:rPr>
        <w:t>......................................................23</w:t>
      </w:r>
    </w:p>
    <w:p w14:paraId="58C5A26A">
      <w:pPr>
        <w:rPr>
          <w:rFonts w:hint="default" w:eastAsia="宋体"/>
          <w:sz w:val="28"/>
          <w:szCs w:val="28"/>
          <w:lang w:val="en-US" w:eastAsia="zh-CN"/>
        </w:rPr>
      </w:pPr>
      <w:r>
        <w:rPr>
          <w:rFonts w:hint="eastAsia"/>
          <w:sz w:val="24"/>
          <w:szCs w:val="24"/>
        </w:rPr>
        <w:t>七、一般公共预算财政拨款支出决算明细表</w:t>
      </w:r>
      <w:r>
        <w:rPr>
          <w:rFonts w:hint="eastAsia"/>
          <w:sz w:val="28"/>
          <w:szCs w:val="28"/>
          <w:lang w:val="en-US" w:eastAsia="zh-CN"/>
        </w:rPr>
        <w:t>................................................23</w:t>
      </w:r>
    </w:p>
    <w:p w14:paraId="767CAA6F">
      <w:pPr>
        <w:rPr>
          <w:rFonts w:hint="default" w:eastAsia="宋体"/>
          <w:sz w:val="28"/>
          <w:szCs w:val="28"/>
          <w:lang w:val="en-US" w:eastAsia="zh-CN"/>
        </w:rPr>
      </w:pPr>
      <w:r>
        <w:rPr>
          <w:rFonts w:hint="eastAsia"/>
          <w:sz w:val="24"/>
          <w:szCs w:val="24"/>
        </w:rPr>
        <w:t>八、一般公共预算财政拨款基本支出决算表</w:t>
      </w:r>
      <w:r>
        <w:rPr>
          <w:rFonts w:hint="eastAsia"/>
          <w:sz w:val="28"/>
          <w:szCs w:val="28"/>
        </w:rPr>
        <w:tab/>
      </w:r>
      <w:r>
        <w:rPr>
          <w:rFonts w:hint="eastAsia"/>
          <w:sz w:val="28"/>
          <w:szCs w:val="28"/>
          <w:lang w:val="en-US" w:eastAsia="zh-CN"/>
        </w:rPr>
        <w:t>...............................................23</w:t>
      </w:r>
    </w:p>
    <w:p w14:paraId="209284C7">
      <w:pPr>
        <w:rPr>
          <w:rFonts w:hint="default"/>
          <w:sz w:val="28"/>
          <w:szCs w:val="28"/>
          <w:lang w:val="en-US" w:eastAsia="zh-CN"/>
        </w:rPr>
      </w:pPr>
      <w:r>
        <w:rPr>
          <w:rFonts w:hint="eastAsia"/>
          <w:sz w:val="24"/>
          <w:szCs w:val="24"/>
        </w:rPr>
        <w:t>九、一般公共预算财政拨款项目支出决算表</w:t>
      </w:r>
      <w:r>
        <w:rPr>
          <w:rFonts w:hint="eastAsia"/>
          <w:sz w:val="28"/>
          <w:szCs w:val="28"/>
          <w:lang w:val="en-US" w:eastAsia="zh-CN"/>
        </w:rPr>
        <w:t>................................................23</w:t>
      </w:r>
    </w:p>
    <w:p w14:paraId="61341F78">
      <w:pPr>
        <w:rPr>
          <w:rFonts w:hint="default"/>
          <w:sz w:val="28"/>
          <w:szCs w:val="28"/>
          <w:lang w:val="en-US" w:eastAsia="zh-CN"/>
        </w:rPr>
      </w:pPr>
      <w:r>
        <w:rPr>
          <w:rFonts w:hint="eastAsia"/>
          <w:sz w:val="24"/>
          <w:szCs w:val="24"/>
        </w:rPr>
        <w:t>十、政府性基金预算财政拨款收入支出决算表</w:t>
      </w:r>
      <w:r>
        <w:rPr>
          <w:rFonts w:hint="eastAsia"/>
          <w:sz w:val="28"/>
          <w:szCs w:val="28"/>
          <w:lang w:val="en-US" w:eastAsia="zh-CN"/>
        </w:rPr>
        <w:t>.............................................23</w:t>
      </w:r>
    </w:p>
    <w:p w14:paraId="588FD486">
      <w:pPr>
        <w:rPr>
          <w:rFonts w:hint="default"/>
          <w:sz w:val="28"/>
          <w:szCs w:val="28"/>
          <w:lang w:val="en-US" w:eastAsia="zh-CN"/>
        </w:rPr>
      </w:pPr>
      <w:r>
        <w:rPr>
          <w:rFonts w:hint="eastAsia"/>
          <w:sz w:val="24"/>
          <w:szCs w:val="24"/>
        </w:rPr>
        <w:t>十一、国有资本经营预算财政拨款收入支出决算表</w:t>
      </w:r>
      <w:r>
        <w:rPr>
          <w:rFonts w:hint="eastAsia"/>
          <w:sz w:val="28"/>
          <w:szCs w:val="28"/>
          <w:lang w:val="en-US" w:eastAsia="zh-CN"/>
        </w:rPr>
        <w:t>......................................23</w:t>
      </w:r>
    </w:p>
    <w:p w14:paraId="292B1E88">
      <w:pPr>
        <w:rPr>
          <w:rFonts w:hint="default"/>
          <w:sz w:val="28"/>
          <w:szCs w:val="28"/>
          <w:lang w:val="en-US" w:eastAsia="zh-CN"/>
        </w:rPr>
      </w:pPr>
      <w:r>
        <w:rPr>
          <w:rFonts w:hint="eastAsia"/>
          <w:sz w:val="24"/>
          <w:szCs w:val="24"/>
        </w:rPr>
        <w:t>十二、国有资本经营预算财政拨款支出决算表</w:t>
      </w:r>
      <w:r>
        <w:rPr>
          <w:rFonts w:hint="eastAsia"/>
          <w:sz w:val="28"/>
          <w:szCs w:val="28"/>
          <w:lang w:val="en-US" w:eastAsia="zh-CN"/>
        </w:rPr>
        <w:t>.............................................23</w:t>
      </w:r>
    </w:p>
    <w:p w14:paraId="6CDF657D">
      <w:pPr>
        <w:rPr>
          <w:rFonts w:hint="default" w:eastAsia="宋体"/>
          <w:b/>
          <w:sz w:val="28"/>
          <w:szCs w:val="28"/>
          <w:lang w:val="en-US" w:eastAsia="zh-CN"/>
        </w:rPr>
        <w:sectPr>
          <w:footerReference r:id="rId6" w:type="default"/>
          <w:pgSz w:w="11906" w:h="16838"/>
          <w:pgMar w:top="1440" w:right="1800" w:bottom="1440" w:left="1800" w:header="720" w:footer="720" w:gutter="0"/>
          <w:cols w:space="720" w:num="1"/>
          <w:docGrid w:type="lines" w:linePitch="312" w:charSpace="0"/>
        </w:sectPr>
      </w:pPr>
      <w:r>
        <w:rPr>
          <w:rFonts w:hint="eastAsia"/>
          <w:sz w:val="24"/>
          <w:szCs w:val="24"/>
        </w:rPr>
        <w:t>十三、财政拨款“三公”经费支出决算表</w:t>
      </w:r>
      <w:r>
        <w:rPr>
          <w:rFonts w:hint="eastAsia"/>
          <w:sz w:val="28"/>
          <w:szCs w:val="28"/>
          <w:lang w:val="en-US" w:eastAsia="zh-CN"/>
        </w:rPr>
        <w:t>....................................................23</w:t>
      </w:r>
    </w:p>
    <w:p w14:paraId="1D46C02B">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18BF9D32">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6AD84CB1">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依照国家法律、法规、规章、组织领导和综合协调全县各乡镇、各部门的统计和国民经济核算工作，准确、及时、全面地反映县情县力，反映社会经济发展的基本情况，为茂县制定政策、计划、指导经济和社会发展提供依据；监督检查统计法律、法规的实施，查处统计违法案件。</w:t>
      </w:r>
    </w:p>
    <w:p w14:paraId="7A53BF11">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根据全县宏观管理和科学决策的要求，建立健全全县国民经济核算体系和统计指标体系，制定和管理全县统一的基本报表制度；制定</w:t>
      </w:r>
      <w:r>
        <w:rPr>
          <w:rFonts w:hint="eastAsia" w:ascii="Times New Roman" w:cs="Times New Roman"/>
          <w:kern w:val="2"/>
          <w:sz w:val="32"/>
          <w:szCs w:val="32"/>
          <w:lang w:eastAsia="zh-CN" w:bidi="ar-SA"/>
        </w:rPr>
        <w:t>较</w:t>
      </w:r>
      <w:r>
        <w:rPr>
          <w:rFonts w:hint="default" w:ascii="Times New Roman" w:hAnsi="Times New Roman" w:eastAsia="仿宋_GB2312" w:cs="Times New Roman"/>
          <w:kern w:val="2"/>
          <w:sz w:val="32"/>
          <w:szCs w:val="32"/>
          <w:lang w:bidi="ar-SA"/>
        </w:rPr>
        <w:t>有关部门共同制定全县统计标准，审定部门统计标准；管理全县统计调查项目，审批全县各镇、各部门的统计调查计划、调查方案和统计报表。</w:t>
      </w:r>
    </w:p>
    <w:p w14:paraId="1DA58C43">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负责组织实施全县重大的国情国力普查和专项统计调查；汇总、整理全县的基本统计资料；对国民经济运行、科技进步和社会发展情况进行统计分析、预测、监督；向县委、</w:t>
      </w:r>
      <w:r>
        <w:rPr>
          <w:rFonts w:hint="default" w:ascii="Times New Roman" w:hAnsi="Times New Roman" w:eastAsia="仿宋_GB2312" w:cs="Times New Roman"/>
          <w:kern w:val="2"/>
          <w:sz w:val="32"/>
          <w:szCs w:val="32"/>
          <w:lang w:eastAsia="zh-CN" w:bidi="ar-SA"/>
        </w:rPr>
        <w:t>县</w:t>
      </w:r>
      <w:r>
        <w:rPr>
          <w:rFonts w:hint="default" w:ascii="Times New Roman" w:hAnsi="Times New Roman" w:eastAsia="仿宋_GB2312" w:cs="Times New Roman"/>
          <w:kern w:val="2"/>
          <w:sz w:val="32"/>
          <w:szCs w:val="32"/>
          <w:lang w:bidi="ar-SA"/>
        </w:rPr>
        <w:t>政府及有关部门提供统计信息和咨询建议。</w:t>
      </w:r>
    </w:p>
    <w:p w14:paraId="7D46569C">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统一核定、管理、公布、出版全县的基本统计资料，定期发布全县国民经济和社会发展情况的统计信息，积极培育和发展县内信息咨询服务市场。</w:t>
      </w:r>
    </w:p>
    <w:p w14:paraId="2EE1C3E8">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负责收集、整理、提供全县性的基本统计资料和全县居民的年度主要统计资料，并对国民经济社会发展和科技进步情况进行分析、预测，向县政府提供统计建议。</w:t>
      </w:r>
    </w:p>
    <w:p w14:paraId="63848C48">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调查、编算、提供消费及零售物价指数资料，进行市场物价分析、预测、监控工作。</w:t>
      </w:r>
    </w:p>
    <w:p w14:paraId="514578F0">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调查、编算、提供城乡居民家庭收支抽样调查资料，适时反映居民生活消费情况。</w:t>
      </w:r>
    </w:p>
    <w:p w14:paraId="00C64BD8">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建立健全和管理全县统计信息自动化系统和统计数据库体系；制定全县各镇、各部门统计数据库网络的基本标准和运行规则。</w:t>
      </w:r>
    </w:p>
    <w:p w14:paraId="5EF72409">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根据州统计局的安排负责组织全县统计系统专业技术资格考试和职务评审，统计人员的统计专业技术岗位培训和继续教育工作。</w:t>
      </w:r>
    </w:p>
    <w:p w14:paraId="390A6AE7">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eastAsia"/>
          <w:lang w:eastAsia="zh-CN"/>
        </w:rPr>
      </w:pPr>
      <w:r>
        <w:rPr>
          <w:rFonts w:hint="default" w:ascii="Times New Roman" w:hAnsi="Times New Roman" w:eastAsia="仿宋_GB2312" w:cs="Times New Roman"/>
          <w:kern w:val="2"/>
          <w:sz w:val="32"/>
          <w:szCs w:val="32"/>
          <w:lang w:bidi="ar-SA"/>
        </w:rPr>
        <w:t>承担县政府公布的有关行政审批事项。</w:t>
      </w:r>
    </w:p>
    <w:p w14:paraId="69726D16">
      <w:pPr>
        <w:pStyle w:val="8"/>
        <w:pageBreakBefore w:val="0"/>
        <w:widowControl w:val="0"/>
        <w:numPr>
          <w:ilvl w:val="0"/>
          <w:numId w:val="2"/>
        </w:numPr>
        <w:kinsoku/>
        <w:wordWrap/>
        <w:overflowPunct/>
        <w:topLinePunct w:val="0"/>
        <w:bidi w:val="0"/>
        <w:adjustRightInd w:val="0"/>
        <w:snapToGrid w:val="0"/>
        <w:spacing w:before="0" w:line="576" w:lineRule="exact"/>
        <w:ind w:left="0" w:right="0" w:firstLine="640" w:firstLineChars="200"/>
        <w:jc w:val="both"/>
        <w:textAlignment w:val="auto"/>
        <w:rPr>
          <w:rFonts w:hint="eastAsia"/>
          <w:lang w:eastAsia="zh-CN"/>
        </w:rPr>
      </w:pPr>
      <w:r>
        <w:rPr>
          <w:rFonts w:hint="default" w:ascii="Times New Roman" w:hAnsi="Times New Roman" w:eastAsia="仿宋_GB2312" w:cs="Times New Roman"/>
          <w:kern w:val="2"/>
          <w:sz w:val="32"/>
          <w:szCs w:val="32"/>
          <w:lang w:bidi="ar-SA"/>
        </w:rPr>
        <w:t>承办县政府交办的其他事项。</w:t>
      </w:r>
    </w:p>
    <w:p w14:paraId="46B9895D">
      <w:pPr>
        <w:pStyle w:val="6"/>
        <w:pageBreakBefore w:val="0"/>
        <w:widowControl w:val="0"/>
        <w:kinsoku/>
        <w:wordWrap/>
        <w:overflowPunct/>
        <w:topLinePunct w:val="0"/>
        <w:autoSpaceDE/>
        <w:autoSpaceDN/>
        <w:bidi w:val="0"/>
        <w:adjustRightInd/>
        <w:snapToGrid/>
        <w:spacing w:line="560" w:lineRule="atLeast"/>
        <w:textAlignment w:val="auto"/>
        <w:rPr>
          <w:rStyle w:val="30"/>
          <w:rFonts w:hint="eastAsia" w:ascii="Times New Roman" w:hAnsi="Times New Roman" w:eastAsia="黑体"/>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14:paraId="7E583AC1">
      <w:pPr>
        <w:pStyle w:val="14"/>
        <w:pageBreakBefore w:val="0"/>
        <w:widowControl w:val="0"/>
        <w:kinsoku/>
        <w:wordWrap/>
        <w:overflowPunct/>
        <w:topLinePunct w:val="0"/>
        <w:autoSpaceDE/>
        <w:autoSpaceDN/>
        <w:bidi w:val="0"/>
        <w:adjustRightInd/>
        <w:snapToGrid/>
        <w:spacing w:line="560" w:lineRule="atLeast"/>
        <w:ind w:left="0" w:leftChars="0" w:firstLine="640" w:firstLineChars="200"/>
        <w:textAlignment w:val="auto"/>
        <w:rPr>
          <w:rFonts w:hint="eastAsia"/>
        </w:rPr>
      </w:pPr>
      <w:r>
        <w:rPr>
          <w:rFonts w:hint="eastAsia" w:ascii="仿宋_GB2312" w:hAnsi="仿宋_GB2312" w:eastAsia="仿宋_GB2312" w:cs="仿宋_GB2312"/>
          <w:b w:val="0"/>
          <w:bCs w:val="0"/>
          <w:color w:val="auto"/>
          <w:sz w:val="32"/>
          <w:szCs w:val="32"/>
          <w:highlight w:val="none"/>
        </w:rPr>
        <w:t>四川省阿坝州茂县统计局</w:t>
      </w:r>
      <w:r>
        <w:rPr>
          <w:rFonts w:hint="eastAsia" w:ascii="仿宋_GB2312" w:hAnsi="仿宋_GB2312" w:eastAsia="仿宋_GB2312" w:cs="仿宋_GB2312"/>
          <w:b w:val="0"/>
          <w:bCs w:val="0"/>
          <w:color w:val="auto"/>
          <w:kern w:val="2"/>
          <w:sz w:val="32"/>
          <w:szCs w:val="32"/>
          <w:lang w:val="en-US" w:eastAsia="zh-CN" w:bidi="ar-SA"/>
        </w:rPr>
        <w:t>下属</w:t>
      </w:r>
      <w:r>
        <w:rPr>
          <w:rFonts w:hint="eastAsia" w:ascii="仿宋_GB2312" w:hAnsi="仿宋_GB2312" w:eastAsia="仿宋_GB2312" w:cs="仿宋_GB2312"/>
          <w:b w:val="0"/>
          <w:bCs w:val="0"/>
          <w:color w:val="auto"/>
          <w:kern w:val="2"/>
          <w:sz w:val="32"/>
          <w:szCs w:val="32"/>
          <w:lang w:eastAsia="zh-CN" w:bidi="ar-SA"/>
        </w:rPr>
        <w:t>二级预算单位</w:t>
      </w:r>
      <w:r>
        <w:rPr>
          <w:rFonts w:hint="eastAsia" w:ascii="仿宋_GB2312" w:hAnsi="仿宋_GB2312" w:eastAsia="仿宋_GB2312" w:cs="仿宋_GB2312"/>
          <w:b w:val="0"/>
          <w:bCs w:val="0"/>
          <w:color w:val="auto"/>
          <w:kern w:val="2"/>
          <w:sz w:val="32"/>
          <w:szCs w:val="32"/>
          <w:lang w:val="en-US" w:eastAsia="zh-CN" w:bidi="ar-SA"/>
        </w:rPr>
        <w:t>0</w:t>
      </w:r>
      <w:r>
        <w:rPr>
          <w:rFonts w:hint="eastAsia" w:ascii="仿宋_GB2312" w:hAnsi="仿宋_GB2312" w:eastAsia="仿宋_GB2312" w:cs="仿宋_GB2312"/>
          <w:b w:val="0"/>
          <w:bCs w:val="0"/>
          <w:color w:val="auto"/>
          <w:kern w:val="2"/>
          <w:sz w:val="32"/>
          <w:szCs w:val="32"/>
          <w:lang w:eastAsia="zh-CN" w:bidi="ar-SA"/>
        </w:rPr>
        <w:t>个，其中行政单位</w:t>
      </w:r>
      <w:r>
        <w:rPr>
          <w:rFonts w:hint="eastAsia" w:ascii="仿宋_GB2312" w:hAnsi="仿宋_GB2312" w:eastAsia="仿宋_GB2312" w:cs="仿宋_GB2312"/>
          <w:b w:val="0"/>
          <w:bCs w:val="0"/>
          <w:color w:val="auto"/>
          <w:kern w:val="2"/>
          <w:sz w:val="32"/>
          <w:szCs w:val="32"/>
          <w:lang w:val="en-US" w:eastAsia="zh-CN" w:bidi="ar-SA"/>
        </w:rPr>
        <w:t>0</w:t>
      </w:r>
      <w:r>
        <w:rPr>
          <w:rFonts w:hint="eastAsia" w:ascii="仿宋_GB2312" w:hAnsi="仿宋_GB2312" w:eastAsia="仿宋_GB2312" w:cs="仿宋_GB2312"/>
          <w:b w:val="0"/>
          <w:bCs w:val="0"/>
          <w:color w:val="auto"/>
          <w:kern w:val="2"/>
          <w:sz w:val="32"/>
          <w:szCs w:val="32"/>
          <w:lang w:eastAsia="zh-CN" w:bidi="ar-SA"/>
        </w:rPr>
        <w:t>个，参照公务员法管理的事业单位</w:t>
      </w:r>
      <w:r>
        <w:rPr>
          <w:rFonts w:hint="eastAsia" w:ascii="仿宋_GB2312" w:hAnsi="仿宋_GB2312" w:eastAsia="仿宋_GB2312" w:cs="仿宋_GB2312"/>
          <w:b w:val="0"/>
          <w:bCs w:val="0"/>
          <w:color w:val="auto"/>
          <w:kern w:val="2"/>
          <w:sz w:val="32"/>
          <w:szCs w:val="32"/>
          <w:lang w:val="en-US" w:eastAsia="zh-CN" w:bidi="ar-SA"/>
        </w:rPr>
        <w:t>0</w:t>
      </w:r>
      <w:r>
        <w:rPr>
          <w:rFonts w:hint="eastAsia" w:ascii="仿宋_GB2312" w:hAnsi="仿宋_GB2312" w:eastAsia="仿宋_GB2312" w:cs="仿宋_GB2312"/>
          <w:b w:val="0"/>
          <w:bCs w:val="0"/>
          <w:color w:val="auto"/>
          <w:kern w:val="2"/>
          <w:sz w:val="32"/>
          <w:szCs w:val="32"/>
          <w:lang w:eastAsia="zh-CN" w:bidi="ar-SA"/>
        </w:rPr>
        <w:t>个，其他事业单位</w:t>
      </w:r>
      <w:r>
        <w:rPr>
          <w:rFonts w:hint="eastAsia" w:ascii="仿宋_GB2312" w:hAnsi="仿宋_GB2312" w:eastAsia="仿宋_GB2312" w:cs="仿宋_GB2312"/>
          <w:b w:val="0"/>
          <w:bCs w:val="0"/>
          <w:color w:val="auto"/>
          <w:kern w:val="2"/>
          <w:sz w:val="32"/>
          <w:szCs w:val="32"/>
          <w:lang w:val="en-US" w:eastAsia="zh-CN" w:bidi="ar-SA"/>
        </w:rPr>
        <w:t>0</w:t>
      </w:r>
      <w:r>
        <w:rPr>
          <w:rFonts w:hint="eastAsia" w:ascii="仿宋_GB2312" w:hAnsi="仿宋_GB2312" w:eastAsia="仿宋_GB2312" w:cs="仿宋_GB2312"/>
          <w:b w:val="0"/>
          <w:bCs w:val="0"/>
          <w:color w:val="auto"/>
          <w:kern w:val="2"/>
          <w:sz w:val="32"/>
          <w:szCs w:val="32"/>
          <w:lang w:eastAsia="zh-CN" w:bidi="ar-SA"/>
        </w:rPr>
        <w:t>个。</w:t>
      </w:r>
    </w:p>
    <w:p w14:paraId="2C125CE9">
      <w:pPr>
        <w:pStyle w:val="14"/>
        <w:pageBreakBefore w:val="0"/>
        <w:widowControl w:val="0"/>
        <w:kinsoku/>
        <w:wordWrap/>
        <w:overflowPunct/>
        <w:topLinePunct w:val="0"/>
        <w:autoSpaceDE/>
        <w:autoSpaceDN/>
        <w:bidi w:val="0"/>
        <w:adjustRightInd/>
        <w:snapToGrid/>
        <w:spacing w:line="560" w:lineRule="atLeast"/>
        <w:textAlignment w:val="auto"/>
        <w:rPr>
          <w:rFonts w:hint="eastAsia"/>
        </w:rPr>
      </w:pPr>
    </w:p>
    <w:p w14:paraId="1BB7197E">
      <w:pPr>
        <w:rPr>
          <w:rFonts w:hint="eastAsia"/>
        </w:rPr>
      </w:pPr>
    </w:p>
    <w:p w14:paraId="445FE28C">
      <w:pPr>
        <w:pStyle w:val="14"/>
        <w:rPr>
          <w:rFonts w:hint="eastAsia"/>
        </w:rPr>
      </w:pPr>
    </w:p>
    <w:p w14:paraId="26E66AE3">
      <w:pPr>
        <w:rPr>
          <w:rFonts w:hint="eastAsia"/>
        </w:rPr>
      </w:pPr>
    </w:p>
    <w:p w14:paraId="0942BBEB">
      <w:pPr>
        <w:pStyle w:val="14"/>
        <w:rPr>
          <w:rFonts w:hint="eastAsia"/>
        </w:rPr>
      </w:pPr>
    </w:p>
    <w:p w14:paraId="1368D51E">
      <w:pPr>
        <w:pStyle w:val="14"/>
        <w:ind w:left="0" w:leftChars="0" w:firstLine="0" w:firstLineChars="0"/>
        <w:rPr>
          <w:rFonts w:hint="eastAsia"/>
        </w:rPr>
      </w:pPr>
    </w:p>
    <w:p w14:paraId="7D8E1B53">
      <w:pPr>
        <w:pStyle w:val="5"/>
        <w:jc w:val="center"/>
        <w:rPr>
          <w:rFonts w:ascii="Times New Roman" w:hAnsi="Times New Roman"/>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6F2E4E6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2"/>
      <w:bookmarkEnd w:id="13"/>
    </w:p>
    <w:p w14:paraId="1184868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434.15</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较</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93.15</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w:t>
      </w:r>
      <w:r>
        <w:rPr>
          <w:rFonts w:ascii="仿宋_GB2312" w:hAnsi="仿宋_GB2312" w:eastAsia="仿宋_GB2312" w:cs="仿宋_GB2312"/>
          <w:sz w:val="32"/>
          <w:szCs w:val="32"/>
        </w:rPr>
        <w:t>本年项目继续实施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项目支出增加，以</w:t>
      </w:r>
      <w:r>
        <w:rPr>
          <w:rFonts w:ascii="仿宋_GB2312" w:hAnsi="仿宋_GB2312" w:eastAsia="仿宋_GB2312" w:cs="仿宋_GB2312"/>
          <w:sz w:val="32"/>
          <w:szCs w:val="32"/>
        </w:rPr>
        <w:t>及人员变动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职级晋升</w:t>
      </w:r>
      <w:r>
        <w:rPr>
          <w:rFonts w:ascii="仿宋_GB2312" w:hAnsi="仿宋_GB2312" w:eastAsia="仿宋_GB2312" w:cs="仿宋_GB2312"/>
          <w:sz w:val="32"/>
          <w:szCs w:val="32"/>
        </w:rPr>
        <w:t>等原因收支数据增加</w:t>
      </w:r>
      <w:r>
        <w:rPr>
          <w:rFonts w:hint="eastAsia" w:ascii="仿宋_GB2312" w:hAnsi="仿宋_GB2312" w:eastAsia="仿宋_GB2312" w:cs="仿宋_GB2312"/>
          <w:sz w:val="32"/>
          <w:szCs w:val="32"/>
          <w:lang w:eastAsia="zh-CN"/>
        </w:rPr>
        <w:t>。</w:t>
      </w:r>
    </w:p>
    <w:p w14:paraId="60FD2F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C6655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5A3713D7">
      <w:pPr>
        <w:spacing w:line="600" w:lineRule="exact"/>
        <w:ind w:firstLine="640" w:firstLineChars="200"/>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434.15万元，其中：一般公共预算财政拨款收入434.15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政府性基金预算财政拨款收入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6F7EB122">
      <w:pPr>
        <w:pStyle w:val="14"/>
        <w:rPr>
          <w:rFonts w:hint="eastAsia" w:ascii="Times New Roman" w:hAnsi="Times New Roman" w:eastAsia="仿宋_GB2312" w:cs="仿宋_GB2312"/>
          <w:color w:val="auto"/>
          <w:sz w:val="32"/>
          <w:szCs w:val="32"/>
          <w:highlight w:val="none"/>
          <w:lang w:eastAsia="zh-CN"/>
        </w:rPr>
      </w:pPr>
      <w:r>
        <w:rPr>
          <w:rFonts w:hint="eastAsia"/>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12C76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6"/>
      <w:bookmarkEnd w:id="17"/>
    </w:p>
    <w:p w14:paraId="5265B3C3">
      <w:pPr>
        <w:spacing w:line="600" w:lineRule="exact"/>
        <w:ind w:firstLine="640" w:firstLineChars="200"/>
        <w:outlineLvl w:val="1"/>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434.15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281.44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64.82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152.71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35.17</w:t>
      </w:r>
      <w:r>
        <w:rPr>
          <w:rFonts w:hint="eastAsia" w:ascii="仿宋_GB2312" w:hAnsi="仿宋_GB2312" w:eastAsia="仿宋_GB2312" w:cs="仿宋_GB2312"/>
          <w:color w:val="auto"/>
          <w:sz w:val="32"/>
          <w:szCs w:val="32"/>
          <w:highlight w:val="none"/>
          <w:lang w:eastAsia="zh-CN"/>
        </w:rPr>
        <w:t>%。</w:t>
      </w:r>
    </w:p>
    <w:p w14:paraId="6EC4FBF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DCC3F81">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4E3F87">
      <w:pPr>
        <w:pStyle w:val="14"/>
        <w:rPr>
          <w:rFonts w:hint="eastAsia"/>
          <w:lang w:eastAsia="zh-CN"/>
        </w:rPr>
      </w:pPr>
    </w:p>
    <w:p w14:paraId="141D141F">
      <w:pPr>
        <w:ind w:firstLine="800" w:firstLineChars="250"/>
        <w:rPr>
          <w:rFonts w:hint="eastAsia" w:ascii="Times New Roman" w:hAnsi="Times New Roman" w:eastAsia="仿宋_GB2312" w:cs="仿宋_GB2312"/>
          <w:color w:val="auto"/>
          <w:sz w:val="32"/>
          <w:szCs w:val="32"/>
          <w:highlight w:val="none"/>
          <w:lang w:eastAsia="zh-CN"/>
        </w:rPr>
      </w:pPr>
    </w:p>
    <w:p w14:paraId="2C8ED97D">
      <w:pPr>
        <w:spacing w:line="600" w:lineRule="exact"/>
        <w:ind w:firstLine="640" w:firstLineChars="200"/>
        <w:outlineLvl w:val="1"/>
        <w:rPr>
          <w:rStyle w:val="30"/>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8"/>
      <w:bookmarkEnd w:id="19"/>
    </w:p>
    <w:p w14:paraId="7ED551F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434.15</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2023年度相比，财政拨款收入、支出总计各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93.15</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w:t>
      </w:r>
      <w:r>
        <w:rPr>
          <w:rFonts w:hint="eastAsia" w:ascii="Times New Roman" w:hAnsi="Times New Roman" w:eastAsia="仿宋_GB2312" w:cs="仿宋_GB2312"/>
          <w:color w:val="auto"/>
          <w:sz w:val="32"/>
          <w:szCs w:val="32"/>
          <w:highlight w:val="none"/>
          <w:lang w:eastAsia="zh-CN"/>
        </w:rPr>
        <w:t>：</w:t>
      </w:r>
      <w:r>
        <w:rPr>
          <w:rFonts w:ascii="仿宋_GB2312" w:hAnsi="仿宋_GB2312" w:eastAsia="仿宋_GB2312" w:cs="仿宋_GB2312"/>
          <w:sz w:val="32"/>
          <w:szCs w:val="32"/>
        </w:rPr>
        <w:t>本年项目继续实施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项目支出增加，以</w:t>
      </w:r>
      <w:r>
        <w:rPr>
          <w:rFonts w:ascii="仿宋_GB2312" w:hAnsi="仿宋_GB2312" w:eastAsia="仿宋_GB2312" w:cs="仿宋_GB2312"/>
          <w:sz w:val="32"/>
          <w:szCs w:val="32"/>
        </w:rPr>
        <w:t>及人员变动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职级晋升</w:t>
      </w:r>
      <w:r>
        <w:rPr>
          <w:rFonts w:ascii="仿宋_GB2312" w:hAnsi="仿宋_GB2312" w:eastAsia="仿宋_GB2312" w:cs="仿宋_GB2312"/>
          <w:sz w:val="32"/>
          <w:szCs w:val="32"/>
        </w:rPr>
        <w:t>等原因收支数据增加</w:t>
      </w:r>
      <w:r>
        <w:rPr>
          <w:rFonts w:hint="eastAsia" w:ascii="仿宋_GB2312" w:hAnsi="仿宋_GB2312" w:eastAsia="仿宋_GB2312" w:cs="仿宋_GB2312"/>
          <w:sz w:val="32"/>
          <w:szCs w:val="32"/>
          <w:lang w:eastAsia="zh-CN"/>
        </w:rPr>
        <w:t>。</w:t>
      </w:r>
    </w:p>
    <w:p w14:paraId="08E8FFED">
      <w:pPr>
        <w:pStyle w:val="14"/>
        <w:ind w:left="0" w:leftChars="0" w:firstLine="0" w:firstLineChars="0"/>
        <w:rPr>
          <w:rFonts w:hint="eastAsia"/>
          <w:lang w:val="en-US" w:eastAsia="zh-CN"/>
        </w:rPr>
      </w:pPr>
      <w:r>
        <w:rPr>
          <w:rFonts w:hint="eastAsia"/>
          <w:lang w:val="en-US" w:eastAsia="zh-CN"/>
        </w:rPr>
        <w:drawing>
          <wp:anchor distT="0" distB="0" distL="114300" distR="114300" simplePos="0" relativeHeight="251659264" behindDoc="1" locked="0" layoutInCell="1" allowOverlap="1">
            <wp:simplePos x="0" y="0"/>
            <wp:positionH relativeFrom="column">
              <wp:posOffset>271780</wp:posOffset>
            </wp:positionH>
            <wp:positionV relativeFrom="paragraph">
              <wp:posOffset>84455</wp:posOffset>
            </wp:positionV>
            <wp:extent cx="5256530" cy="2988310"/>
            <wp:effectExtent l="5080" t="4445" r="15240" b="17145"/>
            <wp:wrapTight wrapText="bothSides">
              <wp:wrapPolygon>
                <wp:start x="-21" y="-32"/>
                <wp:lineTo x="-21" y="21449"/>
                <wp:lineTo x="21506" y="21449"/>
                <wp:lineTo x="21506" y="-32"/>
                <wp:lineTo x="-21" y="-32"/>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E8E989E">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522E147">
      <w:pPr>
        <w:spacing w:line="600" w:lineRule="exact"/>
        <w:ind w:firstLine="640" w:firstLineChars="200"/>
        <w:outlineLvl w:val="1"/>
        <w:rPr>
          <w:rStyle w:val="30"/>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0"/>
      <w:bookmarkEnd w:id="21"/>
    </w:p>
    <w:p w14:paraId="4957AF5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73C517D9">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434.15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w:t>
      </w:r>
      <w:bookmarkStart w:id="67" w:name="_GoBack"/>
      <w:bookmarkEnd w:id="67"/>
      <w:r>
        <w:rPr>
          <w:rFonts w:hint="eastAsia" w:ascii="仿宋_GB2312" w:hAnsi="仿宋_GB2312" w:eastAsia="仿宋_GB2312" w:cs="仿宋_GB2312"/>
          <w:color w:val="auto"/>
          <w:kern w:val="2"/>
          <w:sz w:val="32"/>
          <w:szCs w:val="32"/>
          <w:highlight w:val="none"/>
          <w:lang w:val="en-US" w:eastAsia="zh-CN" w:bidi="ar-SA"/>
        </w:rPr>
        <w:t>2023年度相比，一般公共预算财政拨款支出</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93.15</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w:t>
      </w:r>
      <w:r>
        <w:rPr>
          <w:rFonts w:hint="eastAsia" w:ascii="Times New Roman" w:hAnsi="Times New Roman" w:eastAsia="仿宋_GB2312" w:cs="仿宋_GB2312"/>
          <w:color w:val="auto"/>
          <w:sz w:val="32"/>
          <w:szCs w:val="32"/>
          <w:highlight w:val="none"/>
          <w:lang w:eastAsia="zh-CN"/>
        </w:rPr>
        <w:t>：</w:t>
      </w:r>
      <w:r>
        <w:rPr>
          <w:rFonts w:ascii="仿宋_GB2312" w:hAnsi="仿宋_GB2312" w:eastAsia="仿宋_GB2312" w:cs="仿宋_GB2312"/>
          <w:sz w:val="32"/>
          <w:szCs w:val="32"/>
        </w:rPr>
        <w:t>本年项目继续实施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项目支出增加，以</w:t>
      </w:r>
      <w:r>
        <w:rPr>
          <w:rFonts w:ascii="仿宋_GB2312" w:hAnsi="仿宋_GB2312" w:eastAsia="仿宋_GB2312" w:cs="仿宋_GB2312"/>
          <w:sz w:val="32"/>
          <w:szCs w:val="32"/>
        </w:rPr>
        <w:t>及人员变动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职级晋升</w:t>
      </w:r>
      <w:r>
        <w:rPr>
          <w:rFonts w:ascii="仿宋_GB2312" w:hAnsi="仿宋_GB2312" w:eastAsia="仿宋_GB2312" w:cs="仿宋_GB2312"/>
          <w:sz w:val="32"/>
          <w:szCs w:val="32"/>
        </w:rPr>
        <w:t>等原因收支数据增加</w:t>
      </w:r>
      <w:r>
        <w:rPr>
          <w:rFonts w:hint="eastAsia" w:ascii="仿宋_GB2312" w:hAnsi="仿宋_GB2312" w:eastAsia="仿宋_GB2312" w:cs="仿宋_GB2312"/>
          <w:sz w:val="32"/>
          <w:szCs w:val="32"/>
          <w:lang w:eastAsia="zh-CN"/>
        </w:rPr>
        <w:t>。</w:t>
      </w:r>
    </w:p>
    <w:p w14:paraId="643E220C">
      <w:pPr>
        <w:pStyle w:val="14"/>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1CC71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29C7457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434.15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358.30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82.5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36.28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16.96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22.61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6855DF3">
      <w:pPr>
        <w:pStyle w:val="14"/>
        <w:rPr>
          <w:rFonts w:hint="eastAsia"/>
          <w:lang w:val="en-US" w:eastAsia="zh-CN"/>
        </w:rPr>
      </w:pPr>
      <w:r>
        <w:rPr>
          <w:rFonts w:hint="eastAsia"/>
          <w:lang w:val="en-US"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B450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436476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213"/>
      <w:bookmarkStart w:id="2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434.15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2947EE15">
      <w:pPr>
        <w:numPr>
          <w:ilvl w:val="0"/>
          <w:numId w:val="3"/>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8" w:name="_Toc15377214"/>
      <w:bookmarkStart w:id="29" w:name="_Toc15396608"/>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201</w:t>
      </w:r>
      <w:r>
        <w:rPr>
          <w:rFonts w:hint="eastAsia" w:ascii="Times New Roman" w:hAnsi="Times New Roman" w:eastAsia="仿宋_GB2312" w:cs="仿宋_GB2312"/>
          <w:color w:val="auto"/>
          <w:kern w:val="2"/>
          <w:sz w:val="32"/>
          <w:szCs w:val="32"/>
          <w:highlight w:val="none"/>
          <w:lang w:val="en-US" w:eastAsia="zh-CN" w:bidi="ar-SA"/>
        </w:rPr>
        <w:t>）统计信息事务（</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）行政运行（</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358.30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持平。</w:t>
      </w:r>
    </w:p>
    <w:p w14:paraId="39C21012">
      <w:pPr>
        <w:numPr>
          <w:ilvl w:val="0"/>
          <w:numId w:val="3"/>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）机关事业单位基本养老保险（</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）:支出决算为24.</w:t>
      </w: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万元，完成预算100%，决算数</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预算数持平。</w:t>
      </w:r>
    </w:p>
    <w:p w14:paraId="615ED8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）机关事业单位职业年金（</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）:支出决算为12.0</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万元，完成预算100%，决算数</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预算数持平。</w:t>
      </w:r>
    </w:p>
    <w:p w14:paraId="4896FD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）行政单位医疗（</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）:支出决算为16.</w:t>
      </w:r>
      <w:r>
        <w:rPr>
          <w:rFonts w:hint="eastAsia" w:eastAsia="仿宋_GB2312" w:cs="仿宋_GB2312"/>
          <w:color w:val="auto"/>
          <w:kern w:val="2"/>
          <w:sz w:val="32"/>
          <w:szCs w:val="32"/>
          <w:highlight w:val="none"/>
          <w:lang w:val="en-US" w:eastAsia="zh-CN" w:bidi="ar-SA"/>
        </w:rPr>
        <w:t>96</w:t>
      </w:r>
      <w:r>
        <w:rPr>
          <w:rFonts w:hint="eastAsia" w:ascii="Times New Roman" w:hAnsi="Times New Roman" w:eastAsia="仿宋_GB2312" w:cs="仿宋_GB2312"/>
          <w:color w:val="auto"/>
          <w:kern w:val="2"/>
          <w:sz w:val="32"/>
          <w:szCs w:val="32"/>
          <w:highlight w:val="none"/>
          <w:lang w:val="en-US" w:eastAsia="zh-CN" w:bidi="ar-SA"/>
        </w:rPr>
        <w:t>万元，完成预算100%，决算数</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预算数持平。</w:t>
      </w:r>
    </w:p>
    <w:p w14:paraId="129B78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5.住房保障（</w:t>
      </w:r>
      <w:r>
        <w:rPr>
          <w:rFonts w:hint="eastAsia" w:eastAsia="仿宋_GB2312" w:cs="仿宋_GB2312"/>
          <w:color w:val="auto"/>
          <w:kern w:val="2"/>
          <w:sz w:val="32"/>
          <w:szCs w:val="32"/>
          <w:highlight w:val="none"/>
          <w:lang w:val="en-US" w:eastAsia="zh-CN" w:bidi="ar-SA"/>
        </w:rPr>
        <w:t>221</w:t>
      </w:r>
      <w:r>
        <w:rPr>
          <w:rFonts w:hint="eastAsia" w:ascii="Times New Roman" w:hAnsi="Times New Roman" w:eastAsia="仿宋_GB2312" w:cs="仿宋_GB2312"/>
          <w:color w:val="auto"/>
          <w:kern w:val="2"/>
          <w:sz w:val="32"/>
          <w:szCs w:val="32"/>
          <w:highlight w:val="none"/>
          <w:lang w:val="en-US" w:eastAsia="zh-CN" w:bidi="ar-SA"/>
        </w:rPr>
        <w:t>）住房改造（</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22.61</w:t>
      </w:r>
      <w:r>
        <w:rPr>
          <w:rFonts w:hint="eastAsia" w:ascii="Times New Roman" w:hAnsi="Times New Roman" w:eastAsia="仿宋_GB2312" w:cs="仿宋_GB2312"/>
          <w:color w:val="auto"/>
          <w:kern w:val="2"/>
          <w:sz w:val="32"/>
          <w:szCs w:val="32"/>
          <w:highlight w:val="none"/>
          <w:lang w:val="en-US" w:eastAsia="zh-CN" w:bidi="ar-SA"/>
        </w:rPr>
        <w:t>万元，完成预算100%，决算数</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预算数持平。</w:t>
      </w:r>
    </w:p>
    <w:p w14:paraId="5E425D43">
      <w:pPr>
        <w:tabs>
          <w:tab w:val="right" w:pos="8306"/>
        </w:tabs>
        <w:spacing w:line="600" w:lineRule="exact"/>
        <w:ind w:firstLine="640"/>
        <w:outlineLvl w:val="1"/>
        <w:rPr>
          <w:rStyle w:val="30"/>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8"/>
      <w:bookmarkEnd w:id="29"/>
      <w:r>
        <w:rPr>
          <w:rStyle w:val="30"/>
          <w:rFonts w:ascii="Times New Roman" w:hAnsi="Times New Roman" w:eastAsia="黑体"/>
          <w:b w:val="0"/>
          <w:color w:val="auto"/>
          <w:highlight w:val="none"/>
        </w:rPr>
        <w:tab/>
      </w:r>
    </w:p>
    <w:p w14:paraId="0625DE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281.44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576E1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269.15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12.29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415BD43">
      <w:pPr>
        <w:spacing w:line="600" w:lineRule="exact"/>
        <w:ind w:firstLine="640"/>
        <w:outlineLvl w:val="1"/>
        <w:rPr>
          <w:rStyle w:val="30"/>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0"/>
      <w:bookmarkEnd w:id="31"/>
    </w:p>
    <w:p w14:paraId="09300D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7C259A7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6.31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减少0.31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下降4.7</w:t>
      </w:r>
      <w:r>
        <w:rPr>
          <w:rFonts w:hint="eastAsia" w:ascii="Times New Roman" w:hAnsi="Times New Roman" w:eastAsia="仿宋_GB2312" w:cs="仿宋_GB2312"/>
          <w:color w:val="auto"/>
          <w:kern w:val="2"/>
          <w:sz w:val="32"/>
          <w:szCs w:val="32"/>
          <w:highlight w:val="none"/>
          <w:lang w:val="en-US" w:eastAsia="zh-CN" w:bidi="ar-SA"/>
        </w:rPr>
        <w:t>%。</w:t>
      </w:r>
    </w:p>
    <w:p w14:paraId="5D0199D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2D542C0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6.31</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54AC643F">
      <w:pPr>
        <w:pStyle w:val="14"/>
        <w:rPr>
          <w:rFonts w:hint="eastAsia"/>
          <w:lang w:val="en-US" w:eastAsia="zh-CN"/>
        </w:rPr>
      </w:pPr>
      <w:r>
        <w:rPr>
          <w:rFonts w:hint="eastAsia"/>
          <w:lang w:val="en-US" w:eastAsia="zh-CN"/>
        </w:rPr>
        <w:drawing>
          <wp:inline distT="0" distB="0" distL="114300" distR="114300">
            <wp:extent cx="5256530" cy="2988310"/>
            <wp:effectExtent l="5080" t="4445" r="15240"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F3F9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35E2607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6.31万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eastAsia="仿宋_GB2312" w:cs="仿宋_GB2312"/>
          <w:color w:val="auto"/>
          <w:kern w:val="2"/>
          <w:sz w:val="32"/>
          <w:szCs w:val="32"/>
          <w:highlight w:val="none"/>
          <w:lang w:val="en-US" w:eastAsia="zh-CN" w:bidi="ar-SA"/>
        </w:rPr>
        <w:t>减少0.31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下降4.7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主要原因是：2023年全国第五次经济普查下乡开展工作较多。</w:t>
      </w:r>
    </w:p>
    <w:p w14:paraId="4CF4B6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p>
    <w:p w14:paraId="29FC76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6.31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color w:val="auto"/>
          <w:sz w:val="32"/>
          <w:szCs w:val="32"/>
          <w:highlight w:val="none"/>
          <w:lang w:val="en-US" w:eastAsia="zh-CN"/>
        </w:rPr>
        <w:t>各项统计专业工作下乡指导及参加业务培训会</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4F34A9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其中：</w:t>
      </w:r>
    </w:p>
    <w:p w14:paraId="72F3BE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022436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bookmarkStart w:id="34" w:name="_Toc15396610"/>
      <w:bookmarkStart w:id="35" w:name="_Toc15377218"/>
    </w:p>
    <w:p w14:paraId="50C6BFF1">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4"/>
      <w:bookmarkEnd w:id="35"/>
    </w:p>
    <w:p w14:paraId="7C49D94B">
      <w:pPr>
        <w:numPr>
          <w:ilvl w:val="0"/>
          <w:numId w:val="0"/>
        </w:numPr>
        <w:spacing w:line="600" w:lineRule="exact"/>
        <w:ind w:left="630" w:leftChars="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bookmarkStart w:id="36" w:name="_Toc15396611"/>
      <w:bookmarkStart w:id="37" w:name="_Toc15377219"/>
      <w:r>
        <w:rPr>
          <w:rFonts w:hint="eastAsia" w:ascii="仿宋_GB2312" w:hAnsi="仿宋_GB2312" w:eastAsia="仿宋_GB2312" w:cs="仿宋_GB2312"/>
          <w:color w:val="auto"/>
          <w:kern w:val="2"/>
          <w:sz w:val="32"/>
          <w:szCs w:val="32"/>
          <w:highlight w:val="none"/>
          <w:lang w:val="en-US" w:eastAsia="zh-CN" w:bidi="ar-SA"/>
        </w:rPr>
        <w:t>。</w:t>
      </w:r>
    </w:p>
    <w:p w14:paraId="1A8B6006">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6"/>
      <w:bookmarkEnd w:id="37"/>
    </w:p>
    <w:p w14:paraId="16B62F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7B677DD3">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38" w:name="_Toc15377221"/>
      <w:bookmarkStart w:id="39"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8"/>
      <w:bookmarkEnd w:id="39"/>
    </w:p>
    <w:p w14:paraId="4EDBC5D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4BF705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四川省阿坝州茂县统计局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12.29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2023年度增加</w:t>
      </w:r>
      <w:r>
        <w:rPr>
          <w:rFonts w:hint="eastAsia" w:eastAsia="仿宋_GB2312" w:cs="仿宋_GB2312"/>
          <w:color w:val="auto"/>
          <w:kern w:val="2"/>
          <w:sz w:val="32"/>
          <w:szCs w:val="32"/>
          <w:highlight w:val="none"/>
          <w:lang w:val="en-US" w:eastAsia="zh-CN" w:bidi="ar-SA"/>
        </w:rPr>
        <w:t>0.94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主要原因是：本年全国第五次经济普查后期印刷费用较多，加之本年度新增临聘人员。</w:t>
      </w:r>
    </w:p>
    <w:p w14:paraId="251227C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245707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四川省阿坝州茂县统计局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3.92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3.92</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万元。主要用于开展统计工作所需。授予中小企业合同金额</w:t>
      </w:r>
      <w:r>
        <w:rPr>
          <w:rFonts w:hint="eastAsia" w:ascii="仿宋_GB2312" w:hAnsi="仿宋_GB2312" w:eastAsia="仿宋_GB2312" w:cs="仿宋_GB2312"/>
          <w:sz w:val="32"/>
          <w:szCs w:val="32"/>
        </w:rPr>
        <w:t>3.92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3.92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5599134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197188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四川省阿坝州茂县统计局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9138EC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28112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color w:val="auto"/>
          <w:sz w:val="32"/>
          <w:szCs w:val="32"/>
          <w:highlight w:val="none"/>
        </w:rPr>
        <w:t>城乡住户调查、“一套表”联网直报项目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4个项目</w:t>
      </w:r>
      <w:r>
        <w:rPr>
          <w:rFonts w:hint="eastAsia" w:ascii="Times New Roman" w:hAnsi="Times New Roman" w:eastAsia="仿宋_GB2312" w:cs="仿宋_GB2312"/>
          <w:color w:val="auto"/>
          <w:kern w:val="2"/>
          <w:sz w:val="32"/>
          <w:szCs w:val="32"/>
          <w:highlight w:val="none"/>
          <w:lang w:val="en-US" w:eastAsia="zh-CN" w:bidi="ar-SA"/>
        </w:rPr>
        <w:t>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FC32F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茂县统计局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部门整体（含部门预算项目）绩效自评报告、2024年专项预算项目绩效评价报告等专项预算项目绩效自评报告，其中，</w:t>
      </w:r>
      <w:r>
        <w:rPr>
          <w:rFonts w:hint="eastAsia" w:eastAsia="仿宋_GB2312" w:cs="仿宋_GB2312"/>
          <w:color w:val="auto"/>
          <w:kern w:val="2"/>
          <w:sz w:val="32"/>
          <w:szCs w:val="32"/>
          <w:highlight w:val="none"/>
          <w:lang w:val="en-US" w:eastAsia="zh-CN" w:bidi="ar-SA"/>
        </w:rPr>
        <w:t>茂县统计局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93</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茂县统计局2024年</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595DF0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D08180">
      <w:pPr>
        <w:pStyle w:val="14"/>
        <w:rPr>
          <w:rFonts w:hint="eastAsia" w:ascii="Times New Roman" w:hAnsi="Times New Roman" w:eastAsia="仿宋_GB2312" w:cs="仿宋_GB2312"/>
          <w:color w:val="auto"/>
          <w:kern w:val="2"/>
          <w:sz w:val="32"/>
          <w:szCs w:val="32"/>
          <w:highlight w:val="none"/>
          <w:lang w:val="en-US" w:eastAsia="zh-CN" w:bidi="ar-SA"/>
        </w:rPr>
      </w:pPr>
    </w:p>
    <w:p w14:paraId="5EDCB1F3">
      <w:pPr>
        <w:rPr>
          <w:rFonts w:hint="eastAsia" w:ascii="Times New Roman" w:hAnsi="Times New Roman" w:eastAsia="仿宋_GB2312" w:cs="仿宋_GB2312"/>
          <w:color w:val="auto"/>
          <w:kern w:val="2"/>
          <w:sz w:val="32"/>
          <w:szCs w:val="32"/>
          <w:highlight w:val="none"/>
          <w:lang w:val="en-US" w:eastAsia="zh-CN" w:bidi="ar-SA"/>
        </w:rPr>
      </w:pPr>
    </w:p>
    <w:p w14:paraId="2F3FA35B">
      <w:pPr>
        <w:pStyle w:val="14"/>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148CBFC0">
      <w:pPr>
        <w:rPr>
          <w:rFonts w:hint="eastAsia" w:ascii="Times New Roman" w:hAnsi="Times New Roman" w:eastAsia="仿宋_GB2312" w:cs="仿宋_GB2312"/>
          <w:color w:val="auto"/>
          <w:kern w:val="2"/>
          <w:sz w:val="32"/>
          <w:szCs w:val="32"/>
          <w:highlight w:val="none"/>
          <w:lang w:val="en-US" w:eastAsia="zh-CN" w:bidi="ar-SA"/>
        </w:rPr>
      </w:pPr>
    </w:p>
    <w:p w14:paraId="5BB7EBCD">
      <w:pPr>
        <w:pStyle w:val="2"/>
        <w:rPr>
          <w:rFonts w:hint="eastAsia" w:ascii="Times New Roman" w:hAnsi="Times New Roman" w:eastAsia="仿宋_GB2312" w:cs="仿宋_GB2312"/>
          <w:color w:val="auto"/>
          <w:kern w:val="2"/>
          <w:sz w:val="32"/>
          <w:szCs w:val="32"/>
          <w:highlight w:val="none"/>
          <w:lang w:val="en-US" w:eastAsia="zh-CN" w:bidi="ar-SA"/>
        </w:rPr>
      </w:pPr>
    </w:p>
    <w:p w14:paraId="1DF3E048">
      <w:pPr>
        <w:pStyle w:val="3"/>
        <w:rPr>
          <w:rFonts w:hint="eastAsia" w:ascii="Times New Roman" w:hAnsi="Times New Roman" w:eastAsia="仿宋_GB2312" w:cs="仿宋_GB2312"/>
          <w:color w:val="auto"/>
          <w:kern w:val="2"/>
          <w:sz w:val="32"/>
          <w:szCs w:val="32"/>
          <w:highlight w:val="none"/>
          <w:lang w:val="en-US" w:eastAsia="zh-CN" w:bidi="ar-SA"/>
        </w:rPr>
      </w:pPr>
    </w:p>
    <w:p w14:paraId="445B0C1C">
      <w:pPr>
        <w:pStyle w:val="3"/>
        <w:rPr>
          <w:rFonts w:hint="eastAsia" w:ascii="Times New Roman" w:hAnsi="Times New Roman" w:eastAsia="仿宋_GB2312" w:cs="仿宋_GB2312"/>
          <w:color w:val="auto"/>
          <w:kern w:val="2"/>
          <w:sz w:val="32"/>
          <w:szCs w:val="32"/>
          <w:highlight w:val="none"/>
          <w:lang w:val="en-US" w:eastAsia="zh-CN" w:bidi="ar-SA"/>
        </w:rPr>
      </w:pPr>
    </w:p>
    <w:p w14:paraId="1AB4D75B">
      <w:pPr>
        <w:pStyle w:val="3"/>
        <w:rPr>
          <w:rFonts w:hint="eastAsia" w:ascii="Times New Roman" w:hAnsi="Times New Roman" w:eastAsia="仿宋_GB2312" w:cs="仿宋_GB2312"/>
          <w:color w:val="auto"/>
          <w:kern w:val="2"/>
          <w:sz w:val="32"/>
          <w:szCs w:val="32"/>
          <w:highlight w:val="none"/>
          <w:lang w:val="en-US" w:eastAsia="zh-CN" w:bidi="ar-SA"/>
        </w:rPr>
      </w:pPr>
    </w:p>
    <w:p w14:paraId="777165CC">
      <w:pPr>
        <w:pStyle w:val="3"/>
        <w:rPr>
          <w:rFonts w:hint="eastAsia" w:ascii="Times New Roman" w:hAnsi="Times New Roman" w:eastAsia="仿宋_GB2312" w:cs="仿宋_GB2312"/>
          <w:color w:val="auto"/>
          <w:kern w:val="2"/>
          <w:sz w:val="32"/>
          <w:szCs w:val="32"/>
          <w:highlight w:val="none"/>
          <w:lang w:val="en-US" w:eastAsia="zh-CN" w:bidi="ar-SA"/>
        </w:rPr>
      </w:pPr>
    </w:p>
    <w:p w14:paraId="1F0CA8E7">
      <w:pPr>
        <w:rPr>
          <w:rFonts w:hint="eastAsia"/>
          <w:lang w:val="en-US" w:eastAsia="zh-CN"/>
        </w:rPr>
      </w:pPr>
    </w:p>
    <w:p w14:paraId="2AD24DB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5A1C6252">
      <w:pPr>
        <w:spacing w:line="600" w:lineRule="exact"/>
        <w:jc w:val="left"/>
        <w:rPr>
          <w:rFonts w:ascii="Times New Roman" w:hAnsi="Times New Roman"/>
          <w:b/>
          <w:color w:val="auto"/>
          <w:sz w:val="44"/>
          <w:szCs w:val="44"/>
          <w:highlight w:val="none"/>
        </w:rPr>
      </w:pPr>
    </w:p>
    <w:p w14:paraId="2530C647">
      <w:pPr>
        <w:pageBreakBefore w:val="0"/>
        <w:widowControl/>
        <w:kinsoku/>
        <w:wordWrap/>
        <w:overflowPunct/>
        <w:topLinePunct w:val="0"/>
        <w:bidi w:val="0"/>
        <w:spacing w:line="576" w:lineRule="exact"/>
        <w:ind w:left="0" w:right="0" w:firstLine="707" w:firstLineChars="221"/>
        <w:jc w:val="both"/>
        <w:textAlignment w:val="auto"/>
        <w:outlineLvl w:val="1"/>
        <w:rPr>
          <w:rFonts w:hint="default" w:ascii="Times New Roman" w:hAnsi="Times New Roman" w:eastAsia="仿宋_GB2312" w:cs="Times New Roman"/>
          <w:sz w:val="32"/>
          <w:szCs w:val="32"/>
          <w:lang w:bidi="ar-SA"/>
        </w:rPr>
      </w:pPr>
      <w:bookmarkStart w:id="45" w:name="_Toc937"/>
      <w:bookmarkStart w:id="46" w:name="_Toc31859"/>
      <w:bookmarkStart w:id="47" w:name="_Toc16292"/>
      <w:bookmarkStart w:id="48" w:name="_Toc15377226"/>
      <w:r>
        <w:rPr>
          <w:rFonts w:hint="default" w:ascii="Times New Roman" w:hAnsi="Times New Roman" w:eastAsia="仿宋_GB2312" w:cs="Times New Roman"/>
          <w:color w:val="000000"/>
          <w:kern w:val="0"/>
          <w:sz w:val="32"/>
          <w:szCs w:val="32"/>
          <w:lang w:bidi="ar-SA"/>
        </w:rPr>
        <w:t>1.财政拨款收入：指省级财政当年拨付的资金。</w:t>
      </w:r>
      <w:bookmarkEnd w:id="45"/>
      <w:bookmarkEnd w:id="46"/>
      <w:bookmarkEnd w:id="47"/>
    </w:p>
    <w:p w14:paraId="0A89E775">
      <w:pPr>
        <w:pageBreakBefore w:val="0"/>
        <w:widowControl/>
        <w:kinsoku/>
        <w:wordWrap/>
        <w:overflowPunct/>
        <w:topLinePunct w:val="0"/>
        <w:bidi w:val="0"/>
        <w:spacing w:line="576" w:lineRule="exact"/>
        <w:ind w:left="0" w:right="0" w:firstLine="707" w:firstLineChars="221"/>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2.其他收入：指除上述“财政拨款收入”、“事业收入”、“经营收入”等以外的收入。</w:t>
      </w:r>
    </w:p>
    <w:p w14:paraId="5141DEB0">
      <w:pPr>
        <w:pStyle w:val="27"/>
        <w:pageBreakBefore w:val="0"/>
        <w:widowControl w:val="0"/>
        <w:kinsoku/>
        <w:wordWrap/>
        <w:overflowPunct/>
        <w:topLinePunct w:val="0"/>
        <w:autoSpaceDE w:val="0"/>
        <w:autoSpaceDN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bidi="ar-SA"/>
        </w:rPr>
        <w:t xml:space="preserve">.年初结转和结余：指以前年度尚未完成、结转到本年按有关规定继续使用的资金。 </w:t>
      </w:r>
    </w:p>
    <w:p w14:paraId="32B26742">
      <w:pPr>
        <w:pStyle w:val="27"/>
        <w:pageBreakBefore w:val="0"/>
        <w:widowControl w:val="0"/>
        <w:kinsoku/>
        <w:wordWrap/>
        <w:overflowPunct/>
        <w:topLinePunct w:val="0"/>
        <w:autoSpaceDE w:val="0"/>
        <w:autoSpaceDN w:val="0"/>
        <w:bidi w:val="0"/>
        <w:spacing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sz w:val="32"/>
          <w:szCs w:val="32"/>
          <w:lang w:val="en-US" w:eastAsia="zh-CN" w:bidi="ar-SA"/>
        </w:rPr>
        <w:t>4</w:t>
      </w:r>
      <w:r>
        <w:rPr>
          <w:rFonts w:hint="default" w:ascii="Times New Roman" w:hAnsi="Times New Roman" w:eastAsia="仿宋_GB2312" w:cs="Times New Roman"/>
          <w:sz w:val="32"/>
          <w:szCs w:val="32"/>
          <w:lang w:bidi="ar-SA"/>
        </w:rPr>
        <w:t>、年末结转和结余：指单位按有关规定结转到下年或以后年度继续使用的资金。</w:t>
      </w:r>
    </w:p>
    <w:p w14:paraId="25FD75F1">
      <w:pPr>
        <w:pageBreakBefore w:val="0"/>
        <w:widowControl/>
        <w:kinsoku/>
        <w:wordWrap/>
        <w:overflowPunct/>
        <w:topLinePunct w:val="0"/>
        <w:bidi w:val="0"/>
        <w:spacing w:line="576" w:lineRule="exact"/>
        <w:ind w:left="0" w:right="0" w:firstLine="707" w:firstLineChars="221"/>
        <w:jc w:val="both"/>
        <w:textAlignment w:val="auto"/>
        <w:outlineLvl w:val="1"/>
        <w:rPr>
          <w:rFonts w:hint="default" w:ascii="Times New Roman" w:hAnsi="Times New Roman" w:eastAsia="仿宋_GB2312" w:cs="Times New Roman"/>
          <w:sz w:val="32"/>
          <w:szCs w:val="32"/>
          <w:lang w:bidi="ar-SA"/>
        </w:rPr>
      </w:pPr>
      <w:bookmarkStart w:id="49" w:name="_Toc801"/>
      <w:bookmarkStart w:id="50" w:name="_Toc25421"/>
      <w:bookmarkStart w:id="51" w:name="_Toc32439"/>
      <w:r>
        <w:rPr>
          <w:rFonts w:hint="default" w:ascii="Times New Roman" w:hAnsi="Times New Roman" w:eastAsia="仿宋_GB2312" w:cs="Times New Roman"/>
          <w:color w:val="000000"/>
          <w:kern w:val="0"/>
          <w:sz w:val="32"/>
          <w:szCs w:val="32"/>
          <w:lang w:val="en-US" w:eastAsia="zh-CN" w:bidi="ar-SA"/>
        </w:rPr>
        <w:t>5</w:t>
      </w:r>
      <w:r>
        <w:rPr>
          <w:rFonts w:hint="default" w:ascii="Times New Roman" w:hAnsi="Times New Roman" w:eastAsia="仿宋_GB2312" w:cs="Times New Roman"/>
          <w:color w:val="000000"/>
          <w:kern w:val="0"/>
          <w:sz w:val="32"/>
          <w:szCs w:val="32"/>
          <w:lang w:bidi="ar-SA"/>
        </w:rPr>
        <w:t>.一般公共服务（类）</w:t>
      </w:r>
      <w:r>
        <w:rPr>
          <w:rFonts w:hint="default" w:ascii="Times New Roman" w:hAnsi="Times New Roman" w:eastAsia="仿宋_GB2312" w:cs="Times New Roman"/>
          <w:color w:val="000000"/>
          <w:kern w:val="0"/>
          <w:sz w:val="32"/>
          <w:szCs w:val="32"/>
          <w:lang w:eastAsia="zh-CN" w:bidi="ar-SA"/>
        </w:rPr>
        <w:t>统计信息事务</w:t>
      </w:r>
      <w:r>
        <w:rPr>
          <w:rFonts w:hint="default" w:ascii="Times New Roman" w:hAnsi="Times New Roman" w:eastAsia="仿宋_GB2312" w:cs="Times New Roman"/>
          <w:color w:val="000000"/>
          <w:kern w:val="0"/>
          <w:sz w:val="32"/>
          <w:szCs w:val="32"/>
          <w:lang w:bidi="ar-SA"/>
        </w:rPr>
        <w:t>（款）行政运行（项）：</w:t>
      </w:r>
      <w:bookmarkEnd w:id="49"/>
      <w:bookmarkEnd w:id="50"/>
      <w:bookmarkEnd w:id="51"/>
    </w:p>
    <w:p w14:paraId="168F3803">
      <w:pPr>
        <w:pageBreakBefore w:val="0"/>
        <w:widowControl/>
        <w:kinsoku/>
        <w:wordWrap/>
        <w:overflowPunct/>
        <w:topLinePunct w:val="0"/>
        <w:bidi w:val="0"/>
        <w:spacing w:line="576" w:lineRule="exact"/>
        <w:ind w:left="0" w:right="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bidi="ar-SA"/>
        </w:rPr>
        <w:t>指机关及参公管理事业单位用于保障机构正常运行、开展</w:t>
      </w:r>
    </w:p>
    <w:p w14:paraId="5313D0B9">
      <w:pPr>
        <w:pageBreakBefore w:val="0"/>
        <w:widowControl/>
        <w:kinsoku/>
        <w:wordWrap/>
        <w:overflowPunct/>
        <w:topLinePunct w:val="0"/>
        <w:bidi w:val="0"/>
        <w:spacing w:line="576" w:lineRule="exact"/>
        <w:ind w:left="0" w:right="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bidi="ar-SA"/>
        </w:rPr>
        <w:t>日常工作的基本支出。</w:t>
      </w:r>
    </w:p>
    <w:p w14:paraId="1FD9EA53">
      <w:pPr>
        <w:pageBreakBefore w:val="0"/>
        <w:widowControl/>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val="en-US" w:eastAsia="zh-CN" w:bidi="ar-SA"/>
        </w:rPr>
        <w:t>6</w:t>
      </w:r>
      <w:r>
        <w:rPr>
          <w:rFonts w:hint="default" w:ascii="Times New Roman" w:hAnsi="Times New Roman" w:eastAsia="仿宋_GB2312" w:cs="Times New Roman"/>
          <w:color w:val="000000"/>
          <w:kern w:val="0"/>
          <w:sz w:val="32"/>
          <w:szCs w:val="32"/>
          <w:lang w:bidi="ar-SA"/>
        </w:rPr>
        <w:t>.一般公共服务（类）财政事务（款）一般行政管理事务（项）：指机关及参公管理事业单位开展财政综合业务、</w:t>
      </w:r>
    </w:p>
    <w:p w14:paraId="79409A7D">
      <w:pPr>
        <w:pageBreakBefore w:val="0"/>
        <w:widowControl/>
        <w:kinsoku/>
        <w:wordWrap/>
        <w:overflowPunct/>
        <w:topLinePunct w:val="0"/>
        <w:bidi w:val="0"/>
        <w:spacing w:line="576" w:lineRule="exact"/>
        <w:ind w:left="0" w:right="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bidi="ar-SA"/>
        </w:rPr>
        <w:t>预决算编审等未单独设置项级科目的专门性财政管理工作</w:t>
      </w:r>
    </w:p>
    <w:p w14:paraId="015244F0">
      <w:pPr>
        <w:pageBreakBefore w:val="0"/>
        <w:widowControl/>
        <w:kinsoku/>
        <w:wordWrap/>
        <w:overflowPunct/>
        <w:topLinePunct w:val="0"/>
        <w:bidi w:val="0"/>
        <w:spacing w:line="576" w:lineRule="exact"/>
        <w:ind w:left="0" w:right="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的项目支出。</w:t>
      </w:r>
    </w:p>
    <w:p w14:paraId="652C6344">
      <w:pPr>
        <w:pStyle w:val="27"/>
        <w:pageBreakBefore w:val="0"/>
        <w:widowControl w:val="0"/>
        <w:kinsoku/>
        <w:wordWrap/>
        <w:overflowPunct/>
        <w:topLinePunct w:val="0"/>
        <w:autoSpaceDE w:val="0"/>
        <w:autoSpaceDN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7</w:t>
      </w:r>
      <w:r>
        <w:rPr>
          <w:rFonts w:hint="default" w:ascii="Times New Roman" w:hAnsi="Times New Roman" w:eastAsia="仿宋_GB2312" w:cs="Times New Roman"/>
          <w:sz w:val="32"/>
          <w:szCs w:val="32"/>
          <w:lang w:bidi="ar-SA"/>
        </w:rPr>
        <w:t xml:space="preserve">.年初结转和结余：指以前年度尚未完成、结转到本年按有关规定继续使用的资金。 </w:t>
      </w:r>
    </w:p>
    <w:p w14:paraId="1677862E">
      <w:pPr>
        <w:pStyle w:val="27"/>
        <w:pageBreakBefore w:val="0"/>
        <w:widowControl w:val="0"/>
        <w:kinsoku/>
        <w:wordWrap/>
        <w:overflowPunct/>
        <w:topLinePunct w:val="0"/>
        <w:autoSpaceDE w:val="0"/>
        <w:autoSpaceDN w:val="0"/>
        <w:bidi w:val="0"/>
        <w:spacing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sz w:val="32"/>
          <w:szCs w:val="32"/>
          <w:lang w:val="en-US" w:eastAsia="zh-CN" w:bidi="ar-SA"/>
        </w:rPr>
        <w:t>8</w:t>
      </w:r>
      <w:r>
        <w:rPr>
          <w:rFonts w:hint="default" w:ascii="Times New Roman" w:hAnsi="Times New Roman" w:eastAsia="仿宋_GB2312" w:cs="Times New Roman"/>
          <w:sz w:val="32"/>
          <w:szCs w:val="32"/>
          <w:lang w:bidi="ar-SA"/>
        </w:rPr>
        <w:t>、年末结转和结余：指单位按有关规定结转到下年或以后年度继续使用的资金。</w:t>
      </w:r>
    </w:p>
    <w:p w14:paraId="798507A5">
      <w:pPr>
        <w:pageBreakBefore w:val="0"/>
        <w:widowControl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sz w:val="32"/>
          <w:szCs w:val="32"/>
          <w:lang w:val="en-US" w:eastAsia="zh-CN" w:bidi="ar-SA"/>
        </w:rPr>
        <w:t>9</w:t>
      </w:r>
      <w:r>
        <w:rPr>
          <w:rFonts w:hint="default" w:ascii="Times New Roman" w:hAnsi="Times New Roman" w:eastAsia="仿宋_GB2312" w:cs="Times New Roman"/>
          <w:color w:val="000000"/>
          <w:sz w:val="32"/>
          <w:szCs w:val="32"/>
          <w:lang w:bidi="ar-SA"/>
        </w:rPr>
        <w:t>.医疗卫生</w:t>
      </w:r>
      <w:r>
        <w:rPr>
          <w:rFonts w:hint="eastAsia" w:eastAsia="仿宋_GB2312" w:cs="Times New Roman"/>
          <w:color w:val="000000"/>
          <w:sz w:val="32"/>
          <w:szCs w:val="32"/>
          <w:lang w:eastAsia="zh-CN" w:bidi="ar-SA"/>
        </w:rPr>
        <w:t>较</w:t>
      </w:r>
      <w:r>
        <w:rPr>
          <w:rFonts w:hint="default" w:ascii="Times New Roman" w:hAnsi="Times New Roman" w:eastAsia="仿宋_GB2312" w:cs="Times New Roman"/>
          <w:color w:val="000000"/>
          <w:sz w:val="32"/>
          <w:szCs w:val="32"/>
          <w:lang w:bidi="ar-SA"/>
        </w:rPr>
        <w:t>计划生育（类）行政事业单位医疗（款）行政单位医疗（项）：指</w:t>
      </w:r>
      <w:r>
        <w:rPr>
          <w:rFonts w:hint="default" w:ascii="Times New Roman" w:hAnsi="Times New Roman" w:eastAsia="仿宋_GB2312" w:cs="Times New Roman"/>
          <w:sz w:val="32"/>
          <w:szCs w:val="32"/>
          <w:lang w:bidi="ar-SA"/>
        </w:rPr>
        <w:t>行政单位医疗，反映用于医疗保障方面的支出，指财政部门集中安排的行政单位的公费医疗经费，按国家规定享受离休人员、红军老战士待遇人员的医疗经费。</w:t>
      </w:r>
    </w:p>
    <w:p w14:paraId="42B14484">
      <w:pPr>
        <w:pageBreakBefore w:val="0"/>
        <w:widowControl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10</w:t>
      </w:r>
      <w:r>
        <w:rPr>
          <w:rFonts w:hint="default" w:ascii="Times New Roman" w:hAnsi="Times New Roman" w:eastAsia="仿宋_GB2312" w:cs="Times New Roman"/>
          <w:sz w:val="32"/>
          <w:szCs w:val="32"/>
          <w:lang w:bidi="ar-SA"/>
        </w:rPr>
        <w:t>.住房保障支出（类）住房改革支出（款）住房公积金（项）：住房改革支出，反映行政事业单位按人力资源和社会保障部、财政部规定的基本工资和津贴补贴以及规定比例为职工缴纳的住房公积金。</w:t>
      </w:r>
    </w:p>
    <w:p w14:paraId="7C7C2021">
      <w:pPr>
        <w:pageBreakBefore w:val="0"/>
        <w:widowControl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11</w:t>
      </w:r>
      <w:r>
        <w:rPr>
          <w:rFonts w:hint="default" w:ascii="Times New Roman" w:hAnsi="Times New Roman" w:eastAsia="仿宋_GB2312" w:cs="Times New Roman"/>
          <w:sz w:val="32"/>
          <w:szCs w:val="32"/>
          <w:lang w:bidi="ar-SA"/>
        </w:rPr>
        <w:t>.社会保障和就业（类）行政事业单位离退休（款）养老保险（项）：机关事业单位基本养老保险缴费支出，反映机关事业单位实施养老保险制度由单位缴纳的基本养老保险费支出。</w:t>
      </w:r>
    </w:p>
    <w:p w14:paraId="2AF0C6B2">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sz w:val="32"/>
          <w:szCs w:val="32"/>
          <w:lang w:val="en-US" w:eastAsia="zh-CN" w:bidi="ar-SA"/>
        </w:rPr>
        <w:t>12</w:t>
      </w:r>
      <w:r>
        <w:rPr>
          <w:rFonts w:hint="default" w:ascii="Times New Roman" w:hAnsi="Times New Roman" w:eastAsia="仿宋_GB2312" w:cs="Times New Roman"/>
          <w:sz w:val="32"/>
          <w:szCs w:val="32"/>
          <w:lang w:bidi="ar-SA"/>
        </w:rPr>
        <w:t>.社会保障和就业（类）行政事业单位离退休（款）职业年金（项）：机关事业单位职业年金缴费支出，反映机关事业单位实施养老保险制度由单位实际缴纳的职业年金支出</w:t>
      </w:r>
      <w:r>
        <w:rPr>
          <w:rFonts w:hint="default" w:ascii="Times New Roman" w:hAnsi="Times New Roman" w:eastAsia="仿宋_GB2312" w:cs="Times New Roman"/>
          <w:color w:val="000000"/>
          <w:sz w:val="32"/>
          <w:szCs w:val="32"/>
          <w:lang w:bidi="ar-SA"/>
        </w:rPr>
        <w:t>。</w:t>
      </w:r>
    </w:p>
    <w:p w14:paraId="2B727B93">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sz w:val="32"/>
          <w:szCs w:val="32"/>
          <w:lang w:val="en-US" w:eastAsia="zh-CN" w:bidi="ar-SA"/>
        </w:rPr>
        <w:t>13</w:t>
      </w:r>
      <w:r>
        <w:rPr>
          <w:rFonts w:hint="default" w:ascii="Times New Roman" w:hAnsi="Times New Roman" w:eastAsia="仿宋_GB2312" w:cs="Times New Roman"/>
          <w:color w:val="000000"/>
          <w:sz w:val="32"/>
          <w:szCs w:val="32"/>
          <w:lang w:bidi="ar-SA"/>
        </w:rPr>
        <w:t>.</w:t>
      </w:r>
      <w:r>
        <w:rPr>
          <w:rFonts w:hint="default" w:ascii="Times New Roman" w:hAnsi="Times New Roman" w:eastAsia="仿宋_GB2312" w:cs="Times New Roman"/>
          <w:sz w:val="32"/>
          <w:szCs w:val="32"/>
          <w:lang w:bidi="ar-SA"/>
        </w:rPr>
        <w:t>基本支出：指为保障机构正常运转、完成日常工作任务而发生的人员支出和公用支出。人员经费支出主要包括基本工资；津贴补贴；）奖金；绩效工资；）机关事业单位基本养老保险缴费；职业年金缴费；其他社会保障缴费；奖励金；住房公积金；医疗费。</w:t>
      </w:r>
    </w:p>
    <w:p w14:paraId="284BFB64">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1</w:t>
      </w:r>
      <w:r>
        <w:rPr>
          <w:rFonts w:hint="default" w:ascii="Times New Roman" w:hAnsi="Times New Roman" w:eastAsia="仿宋_GB2312" w:cs="Times New Roman"/>
          <w:sz w:val="32"/>
          <w:szCs w:val="32"/>
          <w:lang w:val="en-US" w:eastAsia="zh-CN" w:bidi="ar-SA"/>
        </w:rPr>
        <w:t>4</w:t>
      </w:r>
      <w:r>
        <w:rPr>
          <w:rFonts w:hint="default" w:ascii="Times New Roman" w:hAnsi="Times New Roman" w:eastAsia="仿宋_GB2312" w:cs="Times New Roman"/>
          <w:sz w:val="32"/>
          <w:szCs w:val="32"/>
          <w:lang w:bidi="ar-SA"/>
        </w:rPr>
        <w:t>.项目支出：指在基本支出之外为完成特定行政任务动之外开展非独立核算经营活动发生的支出。</w:t>
      </w:r>
    </w:p>
    <w:p w14:paraId="50E0094C">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sz w:val="32"/>
          <w:szCs w:val="32"/>
          <w:lang w:val="en-US" w:eastAsia="zh-CN" w:bidi="ar-SA"/>
        </w:rPr>
        <w:t>15</w:t>
      </w:r>
      <w:r>
        <w:rPr>
          <w:rFonts w:hint="default" w:ascii="Times New Roman" w:hAnsi="Times New Roman" w:eastAsia="仿宋_GB2312" w:cs="Times New Roman"/>
          <w:color w:val="000000"/>
          <w:sz w:val="32"/>
          <w:szCs w:val="32"/>
          <w:lang w:bidi="ar-SA"/>
        </w:rPr>
        <w:t>.经营支出：指事业单位在专业业务活动及其辅助活动之外开展非独立核算经营活动发生的支出。</w:t>
      </w:r>
    </w:p>
    <w:p w14:paraId="3ACBB886">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1</w:t>
      </w:r>
      <w:r>
        <w:rPr>
          <w:rFonts w:hint="default" w:ascii="Times New Roman" w:hAnsi="Times New Roman" w:eastAsia="仿宋_GB2312" w:cs="Times New Roman"/>
          <w:sz w:val="32"/>
          <w:szCs w:val="32"/>
          <w:lang w:val="en-US" w:eastAsia="zh-CN" w:bidi="ar-SA"/>
        </w:rPr>
        <w:t>6</w:t>
      </w:r>
      <w:r>
        <w:rPr>
          <w:rFonts w:hint="default" w:ascii="Times New Roman" w:hAnsi="Times New Roman" w:eastAsia="仿宋_GB2312" w:cs="Times New Roman"/>
          <w:sz w:val="32"/>
          <w:szCs w:val="32"/>
          <w:lang w:bidi="ar-SA"/>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46B8C4A">
      <w:pPr>
        <w:pageBreakBefore w:val="0"/>
        <w:widowControl w:val="0"/>
        <w:kinsoku/>
        <w:wordWrap/>
        <w:overflowPunct/>
        <w:topLinePunct w:val="0"/>
        <w:autoSpaceDE/>
        <w:autoSpaceDN/>
        <w:bidi w:val="0"/>
        <w:spacing w:line="576" w:lineRule="exact"/>
        <w:ind w:left="0" w:right="0" w:firstLine="640"/>
        <w:jc w:val="both"/>
        <w:textAlignment w:val="auto"/>
        <w:rPr>
          <w:rFonts w:hint="default" w:ascii="Times New Roman" w:hAnsi="Times New Roman" w:eastAsia="仿宋_GB2312" w:cs="Times New Roman"/>
          <w:b/>
          <w:color w:val="000000"/>
          <w:sz w:val="32"/>
          <w:szCs w:val="32"/>
          <w:lang w:bidi="ar-SA"/>
        </w:rPr>
      </w:pPr>
      <w:r>
        <w:rPr>
          <w:rFonts w:hint="default" w:ascii="Times New Roman" w:hAnsi="Times New Roman" w:eastAsia="仿宋_GB2312" w:cs="Times New Roman"/>
          <w:sz w:val="32"/>
          <w:szCs w:val="32"/>
          <w:lang w:bidi="ar-SA"/>
        </w:rPr>
        <w:t>1</w:t>
      </w:r>
      <w:r>
        <w:rPr>
          <w:rFonts w:hint="default" w:ascii="Times New Roman" w:hAnsi="Times New Roman" w:eastAsia="仿宋_GB2312" w:cs="Times New Roman"/>
          <w:sz w:val="32"/>
          <w:szCs w:val="32"/>
          <w:lang w:val="en-US" w:eastAsia="zh-CN" w:bidi="ar-SA"/>
        </w:rPr>
        <w:t>7</w:t>
      </w:r>
      <w:r>
        <w:rPr>
          <w:rFonts w:hint="default" w:ascii="Times New Roman" w:hAnsi="Times New Roman" w:eastAsia="仿宋_GB2312" w:cs="Times New Roman"/>
          <w:sz w:val="32"/>
          <w:szCs w:val="32"/>
          <w:lang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办公费；）邮电费；）差旅费；培训费；租赁费；其他商品和服务支出。</w:t>
      </w:r>
    </w:p>
    <w:p w14:paraId="27D940E9">
      <w:pPr>
        <w:spacing w:line="600" w:lineRule="exact"/>
        <w:jc w:val="center"/>
        <w:rPr>
          <w:rFonts w:hint="eastAsia" w:ascii="Times New Roman" w:hAnsi="Times New Roman" w:eastAsia="黑体" w:cs="黑体"/>
          <w:color w:val="auto"/>
          <w:sz w:val="32"/>
          <w:szCs w:val="32"/>
          <w:highlight w:val="none"/>
        </w:rPr>
      </w:pPr>
      <w:r>
        <w:rPr>
          <w:rFonts w:ascii="宋体"/>
          <w:b/>
          <w:color w:val="auto"/>
          <w:sz w:val="44"/>
          <w:szCs w:val="44"/>
          <w:highlight w:val="none"/>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14:paraId="381604A7">
      <w:pPr>
        <w:spacing w:line="600" w:lineRule="exact"/>
        <w:jc w:val="center"/>
        <w:outlineLvl w:val="0"/>
        <w:rPr>
          <w:rFonts w:hint="eastAsia"/>
        </w:rPr>
      </w:pPr>
      <w:r>
        <w:rPr>
          <w:rFonts w:hint="eastAsia" w:hAnsi="Times New Roman" w:cs="Times New Roman"/>
          <w:sz w:val="32"/>
          <w:szCs w:val="32"/>
          <w:highlight w:val="none"/>
          <w:lang w:val="en-US" w:eastAsia="zh-CN"/>
        </w:rPr>
        <w:t>单位预算项目支出绩效自评表（2024年度）</w:t>
      </w:r>
    </w:p>
    <w:tbl>
      <w:tblPr>
        <w:tblStyle w:val="16"/>
        <w:tblpPr w:leftFromText="180" w:rightFromText="180" w:vertAnchor="text" w:horzAnchor="page" w:tblpX="1623" w:tblpY="672"/>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85"/>
        <w:gridCol w:w="1371"/>
        <w:gridCol w:w="2592"/>
        <w:gridCol w:w="396"/>
        <w:gridCol w:w="756"/>
        <w:gridCol w:w="490"/>
        <w:gridCol w:w="883"/>
        <w:gridCol w:w="486"/>
        <w:gridCol w:w="420"/>
      </w:tblGrid>
      <w:tr w14:paraId="0C50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A60FC6">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14:paraId="675C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AAB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8FFB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51322322T000000309164-“一套表”联网直报工作经费</w:t>
            </w:r>
          </w:p>
        </w:tc>
      </w:tr>
      <w:tr w14:paraId="02DD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F87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7D1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茂县统计局本级</w:t>
            </w:r>
          </w:p>
        </w:tc>
        <w:tc>
          <w:tcPr>
            <w:tcW w:w="885" w:type="dxa"/>
            <w:tcBorders>
              <w:top w:val="nil"/>
              <w:left w:val="nil"/>
              <w:bottom w:val="nil"/>
              <w:right w:val="nil"/>
            </w:tcBorders>
            <w:shd w:val="clear" w:color="auto" w:fill="auto"/>
            <w:vAlign w:val="center"/>
          </w:tcPr>
          <w:p w14:paraId="05AF962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21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w:t>
            </w:r>
          </w:p>
        </w:tc>
      </w:tr>
      <w:tr w14:paraId="5CBA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71C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6AA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6C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78EB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03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DFF90">
            <w:pP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1A25">
            <w:pPr>
              <w:rPr>
                <w:rFonts w:hint="eastAsia" w:ascii="宋体" w:hAnsi="宋体" w:eastAsia="宋体" w:cs="宋体"/>
                <w:i w:val="0"/>
                <w:iCs w:val="0"/>
                <w:color w:val="000000"/>
                <w:sz w:val="18"/>
                <w:szCs w:val="18"/>
                <w:u w:val="none"/>
              </w:rPr>
            </w:pP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9E5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根据《四川统计数据采集处理平台用户管理办法（试行）》和《四川省“一套表”实施方案要求。</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659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以企业统计调查核心指标体系为基础，调查表分年报和定期报表，了解规上企业经营情况。</w:t>
            </w:r>
          </w:p>
        </w:tc>
      </w:tr>
      <w:tr w14:paraId="7F1A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D67F">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8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C9AF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涉及调查单位基本情况、从业人员及工资总额、固定资产支出、财务状况、生产经营情况、能源和水消费、科技活动、信息化情况等方面内容</w:t>
            </w:r>
          </w:p>
        </w:tc>
      </w:tr>
      <w:tr w14:paraId="1EE5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DA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A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4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6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87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F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4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C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61AA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CC60">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A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3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9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32.01</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A2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0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5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2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29D1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FF43">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C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3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32.01</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87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5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C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5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554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90A7">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B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D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5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6E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E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4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8FE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B64BB">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7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DC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1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F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B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2B8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17FA">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2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54E8">
            <w:pPr>
              <w:jc w:val="center"/>
              <w:rPr>
                <w:rFonts w:hint="eastAsia" w:ascii="微软雅黑" w:hAnsi="微软雅黑" w:eastAsia="微软雅黑" w:cs="微软雅黑"/>
                <w:i/>
                <w:iCs/>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5282">
            <w:pPr>
              <w:jc w:val="center"/>
              <w:rPr>
                <w:rFonts w:hint="eastAsia" w:ascii="微软雅黑" w:hAnsi="微软雅黑" w:eastAsia="微软雅黑" w:cs="微软雅黑"/>
                <w:i/>
                <w:iCs/>
                <w:color w:val="000000"/>
                <w:sz w:val="18"/>
                <w:szCs w:val="18"/>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E2B4D">
            <w:pPr>
              <w:jc w:val="center"/>
              <w:rPr>
                <w:rFonts w:hint="eastAsia" w:ascii="微软雅黑" w:hAnsi="微软雅黑" w:eastAsia="微软雅黑" w:cs="微软雅黑"/>
                <w:i/>
                <w:iCs/>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4116">
            <w:pPr>
              <w:jc w:val="center"/>
              <w:rPr>
                <w:rFonts w:hint="eastAsia" w:ascii="微软雅黑" w:hAnsi="微软雅黑" w:eastAsia="微软雅黑" w:cs="微软雅黑"/>
                <w:i/>
                <w:iCs/>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C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D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A4F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73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F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D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A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D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6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6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B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1020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D8507">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AD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D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B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高效完成各项统计工作</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4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B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9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438">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4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C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24CA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1E5C">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3B5A">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E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0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准确及时完成各项统计工作</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6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0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4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9529">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C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D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2FE5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C5F8">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21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D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4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促进一套表联网直报工作有效执行</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B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0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B7C">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2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3D52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FD4E">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104BD">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6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8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保障统计局日常报表工作正常进行</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0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B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A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63E6">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2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D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490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C548">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C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7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4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切实提高统计工作服务态度</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C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5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A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6E09">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6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4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073A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98B6">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0B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AE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2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严控预算资金</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D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7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132873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9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8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132873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6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7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14:paraId="60C1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617C">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41B0">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6933">
            <w:pPr>
              <w:jc w:val="center"/>
              <w:rPr>
                <w:rFonts w:hint="eastAsia" w:ascii="宋体" w:hAnsi="宋体" w:eastAsia="宋体" w:cs="宋体"/>
                <w:i w:val="0"/>
                <w:iCs w:val="0"/>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1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保障好2024年工作开展所需经费支出</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A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7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132873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D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4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132873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A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4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14:paraId="720A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B26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6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3A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14:paraId="795E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1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30" w:type="dxa"/>
            <w:gridSpan w:val="9"/>
            <w:tcBorders>
              <w:top w:val="single" w:color="000000" w:sz="4" w:space="0"/>
              <w:left w:val="single" w:color="000000" w:sz="4" w:space="0"/>
              <w:bottom w:val="single" w:color="000000" w:sz="4" w:space="0"/>
              <w:right w:val="nil"/>
            </w:tcBorders>
            <w:shd w:val="clear" w:color="auto" w:fill="auto"/>
            <w:vAlign w:val="center"/>
          </w:tcPr>
          <w:p w14:paraId="69C55B8C">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该项目预算执行情况自评得分10分，绩效指标得分98分，该项目以企业统计调查核心指标体系为基础，调查表分年报和定期报表，了解规上企业经营情况。</w:t>
            </w:r>
          </w:p>
        </w:tc>
      </w:tr>
      <w:tr w14:paraId="0A70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9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97C382">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14:paraId="7C81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E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70BA0E">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14:paraId="1C26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673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项目负责人：赵秀云</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7A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财务负责人：赵秀云</w:t>
            </w:r>
          </w:p>
        </w:tc>
      </w:tr>
    </w:tbl>
    <w:tbl>
      <w:tblPr>
        <w:tblStyle w:val="16"/>
        <w:tblpPr w:leftFromText="180" w:rightFromText="180" w:vertAnchor="text" w:horzAnchor="page" w:tblpX="1623" w:tblpY="291"/>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85"/>
        <w:gridCol w:w="1375"/>
        <w:gridCol w:w="2589"/>
        <w:gridCol w:w="396"/>
        <w:gridCol w:w="756"/>
        <w:gridCol w:w="490"/>
        <w:gridCol w:w="883"/>
        <w:gridCol w:w="486"/>
        <w:gridCol w:w="419"/>
      </w:tblGrid>
      <w:tr w14:paraId="5C09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9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C51DE1">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14:paraId="45E3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AB3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9EAC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51322324T000011111611-统计劳动力调查、普查、一套表、住户调查一体化等统计工作经费</w:t>
            </w:r>
          </w:p>
        </w:tc>
      </w:tr>
      <w:tr w14:paraId="77FA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569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357E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茂县统计局本级</w:t>
            </w:r>
          </w:p>
        </w:tc>
        <w:tc>
          <w:tcPr>
            <w:tcW w:w="885" w:type="dxa"/>
            <w:tcBorders>
              <w:top w:val="nil"/>
              <w:left w:val="nil"/>
              <w:bottom w:val="nil"/>
              <w:right w:val="nil"/>
            </w:tcBorders>
            <w:shd w:val="clear" w:color="auto" w:fill="auto"/>
            <w:vAlign w:val="center"/>
          </w:tcPr>
          <w:p w14:paraId="4D2E456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B8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w:t>
            </w:r>
          </w:p>
        </w:tc>
      </w:tr>
      <w:tr w14:paraId="7CD1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E42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78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D5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528E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6D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F8CD4">
            <w:pP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5AA6">
            <w:pPr>
              <w:rPr>
                <w:rFonts w:hint="eastAsia" w:ascii="宋体" w:hAnsi="宋体" w:eastAsia="宋体" w:cs="宋体"/>
                <w:i w:val="0"/>
                <w:iCs w:val="0"/>
                <w:color w:val="000000"/>
                <w:sz w:val="18"/>
                <w:szCs w:val="18"/>
                <w:u w:val="none"/>
              </w:rPr>
            </w:pP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BC7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共阿坝州委办公室、阿坝州人民政府办公室关于进一步加强住户调查和农村贫困监测工作的通知》阿委办〔2019〕38号文件要求；根据《四川统计数据采集处理平台用户管理办法（试行）》和《四川省“一套表”实施方案》要求，为保障我局本年度“一套表”工作顺利开展；根据国务院颁布的《全国经济普查条例》规定，全面调查第二产业和第三产业发展规模、布局和效益，全面摸清经济社会发展状况；根据《阿坝州人民政府关于扎实做好劳动力调查工作的通知》（阿府办发〔2021〕29号）要求和州国调队的统一安排，我县四个社区（内南社区、外南社区、雪花井社区、西岳庙社区）作为劳动力调查样本小区，每月将由调查员入户进行抽样采集调查</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16D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统计专项经费合并为一个项目库，本级财政统一拨付经费，确保各项统计业务顺利开展。</w:t>
            </w:r>
          </w:p>
        </w:tc>
      </w:tr>
      <w:tr w14:paraId="63CA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F637">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D9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0BD9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统计专项经费合并为一个项目库，本级财政统一拨付经费，确保各项统计业务顺利开展。</w:t>
            </w:r>
          </w:p>
        </w:tc>
      </w:tr>
      <w:tr w14:paraId="7BC4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7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2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5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4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B0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7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B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3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5665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334A7">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6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9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5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44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1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9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F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2BEC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D2A4">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1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A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6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10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1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A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B6F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C27AE">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6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1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E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7E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B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1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9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6C4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741B">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9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8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C8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8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6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B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AE2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E11E">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2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F9BC">
            <w:pPr>
              <w:jc w:val="center"/>
              <w:rPr>
                <w:rFonts w:hint="eastAsia" w:ascii="微软雅黑" w:hAnsi="微软雅黑" w:eastAsia="微软雅黑" w:cs="微软雅黑"/>
                <w:i/>
                <w:iCs/>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57B3">
            <w:pPr>
              <w:jc w:val="center"/>
              <w:rPr>
                <w:rFonts w:hint="eastAsia" w:ascii="微软雅黑" w:hAnsi="微软雅黑" w:eastAsia="微软雅黑" w:cs="微软雅黑"/>
                <w:i/>
                <w:iCs/>
                <w:color w:val="000000"/>
                <w:sz w:val="18"/>
                <w:szCs w:val="18"/>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C698E">
            <w:pPr>
              <w:jc w:val="center"/>
              <w:rPr>
                <w:rFonts w:hint="eastAsia" w:ascii="微软雅黑" w:hAnsi="微软雅黑" w:eastAsia="微软雅黑" w:cs="微软雅黑"/>
                <w:i/>
                <w:iCs/>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C686">
            <w:pPr>
              <w:jc w:val="center"/>
              <w:rPr>
                <w:rFonts w:hint="eastAsia" w:ascii="微软雅黑" w:hAnsi="微软雅黑" w:eastAsia="微软雅黑" w:cs="微软雅黑"/>
                <w:i/>
                <w:iCs/>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5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F56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53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4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1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6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2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8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B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3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D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741D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2895">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A6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29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1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一套表联网直报基层报表人员</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C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F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3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2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6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1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r>
      <w:tr w14:paraId="08AC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6BB3">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DF05">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C276">
            <w:pPr>
              <w:jc w:val="center"/>
              <w:rPr>
                <w:rFonts w:hint="eastAsia" w:ascii="宋体" w:hAnsi="宋体" w:eastAsia="宋体" w:cs="宋体"/>
                <w:i w:val="0"/>
                <w:iCs w:val="0"/>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B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劳动力调查聘请业务人员</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2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9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8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4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0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5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3CDB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7CB4A">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69B4">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9BC7">
            <w:pPr>
              <w:jc w:val="center"/>
              <w:rPr>
                <w:rFonts w:hint="eastAsia" w:ascii="宋体" w:hAnsi="宋体" w:eastAsia="宋体" w:cs="宋体"/>
                <w:i w:val="0"/>
                <w:iCs w:val="0"/>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5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一套表联网直报社销零、服务员限下抽样调查个体户补助人数</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6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C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A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7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5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3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3692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837CC">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52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9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F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劳动力调查工作：我县四个社区（内南社区、外南社区、雪花井社区、西岳庙社区）作为劳动力调查样本小区，每月将由调查员入户进行抽样采集调查</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0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A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1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A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8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2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14:paraId="5184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C3A2A">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CD64">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根据国务院颁布的《全国经济普查条例》规定，全面调查第二产业和第三产业发展规模、布局和效益，全面摸清经济社会发展状况</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1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D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2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E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E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7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14:paraId="4920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8E59">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6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5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7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顺利完成统计业务工作</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5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4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2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5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E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4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14:paraId="5761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9240">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4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2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此项目包括劳动力调查、城乡住户调查、一套表工作、全国第五次经济普查</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C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B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A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A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7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6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1051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1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E9A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C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89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14:paraId="51B7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5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B97A35">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该项目预算执行情况自评得分10分，绩效指标得分96分，确保各项统计业务顺利开展。</w:t>
            </w:r>
          </w:p>
        </w:tc>
      </w:tr>
      <w:tr w14:paraId="1299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5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25BB04">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14:paraId="5458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C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F196E3">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14:paraId="2466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7CC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项目负责人：陈邦丽、赵秀云</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0A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财务负责人：赵秀云</w:t>
            </w:r>
          </w:p>
        </w:tc>
      </w:tr>
    </w:tbl>
    <w:tbl>
      <w:tblPr>
        <w:tblStyle w:val="16"/>
        <w:tblpPr w:leftFromText="180" w:rightFromText="180" w:vertAnchor="text" w:horzAnchor="page" w:tblpX="1591" w:tblpY="361"/>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6"/>
        <w:gridCol w:w="1396"/>
        <w:gridCol w:w="2438"/>
        <w:gridCol w:w="396"/>
        <w:gridCol w:w="756"/>
        <w:gridCol w:w="483"/>
        <w:gridCol w:w="880"/>
        <w:gridCol w:w="486"/>
        <w:gridCol w:w="428"/>
      </w:tblGrid>
      <w:tr w14:paraId="2CA6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89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325DD8">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14:paraId="13A1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969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F313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51322325T000012972757-城乡住户调查工作经费</w:t>
            </w:r>
          </w:p>
        </w:tc>
      </w:tr>
      <w:tr w14:paraId="112E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F46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16E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茂县统计局本级</w:t>
            </w:r>
          </w:p>
        </w:tc>
        <w:tc>
          <w:tcPr>
            <w:tcW w:w="885" w:type="dxa"/>
            <w:tcBorders>
              <w:top w:val="nil"/>
              <w:left w:val="nil"/>
              <w:bottom w:val="nil"/>
              <w:right w:val="nil"/>
            </w:tcBorders>
            <w:shd w:val="clear" w:color="auto" w:fill="auto"/>
            <w:vAlign w:val="center"/>
          </w:tcPr>
          <w:p w14:paraId="7E7145F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D5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w:t>
            </w:r>
          </w:p>
        </w:tc>
      </w:tr>
      <w:tr w14:paraId="70B0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076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556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FE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864A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AC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7406">
            <w:pP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255F">
            <w:pPr>
              <w:rPr>
                <w:rFonts w:hint="eastAsia" w:ascii="宋体" w:hAnsi="宋体" w:eastAsia="宋体" w:cs="宋体"/>
                <w:i w:val="0"/>
                <w:iCs w:val="0"/>
                <w:color w:val="000000"/>
                <w:sz w:val="18"/>
                <w:szCs w:val="18"/>
                <w:u w:val="none"/>
              </w:rPr>
            </w:pP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77A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根据《中共阿坝州委办公室、阿坝州人民政府办公室关于进一步加强住户调查和农村贫困监测工作的通知》阿委办〔2019〕38号文件，反映居民家庭收支状况，提供家庭就业、消费、住房、社区发展等有关信息</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16A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提高调查数据质量，加强收入信息监测，促进城乡居民收入增长，切实保障和改善民生。</w:t>
            </w:r>
          </w:p>
        </w:tc>
      </w:tr>
      <w:tr w14:paraId="2C7B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87F1A">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0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7BB8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反映居民家庭收入和支出状况，提供家庭就业、消费、住房、社区发展等有关信息，我县共抽中160户调查户。</w:t>
            </w:r>
          </w:p>
        </w:tc>
      </w:tr>
      <w:tr w14:paraId="648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CC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C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2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A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FA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A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3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8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51ED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31ED">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3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4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9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61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F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A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2A84">
            <w:pPr>
              <w:jc w:val="center"/>
              <w:rPr>
                <w:rFonts w:hint="eastAsia" w:ascii="宋体" w:hAnsi="宋体" w:eastAsia="宋体" w:cs="宋体"/>
                <w:i w:val="0"/>
                <w:iCs w:val="0"/>
                <w:color w:val="000000"/>
                <w:sz w:val="18"/>
                <w:szCs w:val="18"/>
                <w:u w:val="none"/>
              </w:rPr>
            </w:pPr>
          </w:p>
        </w:tc>
      </w:tr>
      <w:tr w14:paraId="6831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35649">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4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1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6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7B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D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9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4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739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3524F">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B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C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74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F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F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2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863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0455">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D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D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E2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6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8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065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6B712">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1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5A5C">
            <w:pPr>
              <w:jc w:val="center"/>
              <w:rPr>
                <w:rFonts w:hint="eastAsia" w:ascii="微软雅黑" w:hAnsi="微软雅黑" w:eastAsia="微软雅黑" w:cs="微软雅黑"/>
                <w:i/>
                <w:iCs/>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A4D2">
            <w:pPr>
              <w:jc w:val="center"/>
              <w:rPr>
                <w:rFonts w:hint="eastAsia" w:ascii="微软雅黑" w:hAnsi="微软雅黑" w:eastAsia="微软雅黑" w:cs="微软雅黑"/>
                <w:i/>
                <w:iCs/>
                <w:color w:val="000000"/>
                <w:sz w:val="18"/>
                <w:szCs w:val="18"/>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11863">
            <w:pPr>
              <w:jc w:val="center"/>
              <w:rPr>
                <w:rFonts w:hint="eastAsia" w:ascii="微软雅黑" w:hAnsi="微软雅黑" w:eastAsia="微软雅黑" w:cs="微软雅黑"/>
                <w:i/>
                <w:iCs/>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393">
            <w:pPr>
              <w:jc w:val="center"/>
              <w:rPr>
                <w:rFonts w:hint="eastAsia" w:ascii="微软雅黑" w:hAnsi="微软雅黑" w:eastAsia="微软雅黑" w:cs="微软雅黑"/>
                <w:i/>
                <w:iCs/>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D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2BE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DE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0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2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5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A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6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E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C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7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75E9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5DE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C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1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F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保障2024年开展工作所需资金数量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5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8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D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3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481183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6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6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r>
      <w:tr w14:paraId="1CB2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A1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1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E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C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电子记账户数量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C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3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7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D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F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575D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70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E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2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E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纸质记账户数量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4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6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C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2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C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1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2349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B2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A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1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顺利完成住户调查工作，所需记账户补贴经费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1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1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1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E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481183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5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14:paraId="63B6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22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AD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E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B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反映居民家庭收支状况，提供家庭就业、消费、住房、社区发展等有关信息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A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9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7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D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F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5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3D8C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92F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A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1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C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全面、准确、及时反映城乡居民收入与消费及其他生活状况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DC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7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E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1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5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E72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7E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1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0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9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辅助调查员、专职编码员年度经费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A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5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F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D4EE">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591D">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w:t>
            </w:r>
          </w:p>
        </w:tc>
      </w:tr>
      <w:tr w14:paraId="3294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81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127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A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5B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14:paraId="145D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4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30" w:type="dxa"/>
            <w:gridSpan w:val="9"/>
            <w:tcBorders>
              <w:top w:val="single" w:color="000000" w:sz="4" w:space="0"/>
              <w:left w:val="single" w:color="000000" w:sz="4" w:space="0"/>
              <w:bottom w:val="single" w:color="000000" w:sz="4" w:space="0"/>
              <w:right w:val="nil"/>
            </w:tcBorders>
            <w:shd w:val="clear" w:color="auto" w:fill="auto"/>
            <w:vAlign w:val="center"/>
          </w:tcPr>
          <w:p w14:paraId="397E320F">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该项目预算执行情况自评得分10分，绩效指标得分96分，该项目提高调查数据质量，加强收入信息监测，促进城乡居民收入增长，切实保障和改善民生。</w:t>
            </w:r>
          </w:p>
        </w:tc>
      </w:tr>
      <w:tr w14:paraId="03D0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3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A87736">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14:paraId="7197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1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9D3132">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14:paraId="0DFC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078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项目负责人：陈邦丽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DC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财务负责人：赵秀云</w:t>
            </w:r>
          </w:p>
        </w:tc>
      </w:tr>
    </w:tbl>
    <w:tbl>
      <w:tblPr>
        <w:tblStyle w:val="16"/>
        <w:tblpPr w:leftFromText="180" w:rightFromText="180" w:vertAnchor="text" w:horzAnchor="page" w:tblpX="1559" w:tblpY="257"/>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6"/>
        <w:gridCol w:w="1388"/>
        <w:gridCol w:w="2278"/>
        <w:gridCol w:w="396"/>
        <w:gridCol w:w="756"/>
        <w:gridCol w:w="666"/>
        <w:gridCol w:w="877"/>
        <w:gridCol w:w="486"/>
        <w:gridCol w:w="416"/>
      </w:tblGrid>
      <w:tr w14:paraId="0928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89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5A6E16">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14:paraId="7ED9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01D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2B68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51322325T000012972813-劳动力调查工作经费</w:t>
            </w:r>
          </w:p>
        </w:tc>
      </w:tr>
      <w:tr w14:paraId="738C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8BF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A39B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茂县统计局本级</w:t>
            </w:r>
          </w:p>
        </w:tc>
        <w:tc>
          <w:tcPr>
            <w:tcW w:w="877" w:type="dxa"/>
            <w:tcBorders>
              <w:top w:val="nil"/>
              <w:left w:val="nil"/>
              <w:bottom w:val="nil"/>
              <w:right w:val="nil"/>
            </w:tcBorders>
            <w:shd w:val="clear" w:color="auto" w:fill="auto"/>
            <w:vAlign w:val="center"/>
          </w:tcPr>
          <w:p w14:paraId="6D4EE98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3B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w:t>
            </w:r>
          </w:p>
        </w:tc>
      </w:tr>
      <w:tr w14:paraId="6E1B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587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B75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8A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B2EF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54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8DF2">
            <w:pP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983F">
            <w:pPr>
              <w:rPr>
                <w:rFonts w:hint="eastAsia" w:ascii="宋体" w:hAnsi="宋体" w:eastAsia="宋体" w:cs="宋体"/>
                <w:i w:val="0"/>
                <w:iCs w:val="0"/>
                <w:color w:val="000000"/>
                <w:sz w:val="18"/>
                <w:szCs w:val="18"/>
                <w:u w:val="none"/>
              </w:rPr>
            </w:pPr>
          </w:p>
        </w:tc>
        <w:tc>
          <w:tcPr>
            <w:tcW w:w="5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AF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阿坝州人民政府关于扎实做好劳动力调查工作的通知》（阿府办发〔2021〕29号）要求和州国调队的统一安排，我县四个社区（内南社区、外南社区、雪花井社区、西岳庙社区）作为劳动力调查样本小区，每月将由调查员入户进行抽样采集调查工作。确保劳动力调查工作顺利开展</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ADE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顺利完成抽样调查工作</w:t>
            </w:r>
          </w:p>
        </w:tc>
      </w:tr>
      <w:tr w14:paraId="45ED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2EE8">
            <w:pP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E5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4236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我县四个社区（内南社区、外南社区、雪花井社区、西岳庙社区）作为劳动力调查样本小区，每月将由调查员入户进行抽样采集调查工作。</w:t>
            </w:r>
          </w:p>
        </w:tc>
      </w:tr>
      <w:tr w14:paraId="7FEA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9E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6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F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A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F2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F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E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F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363A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840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3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6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F9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0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5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2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182F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4FBD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1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F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62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A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2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1D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2763">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4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6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3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9B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B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B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2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76A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44B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2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8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2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14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2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5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C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023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4AA3">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A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2B84">
            <w:pPr>
              <w:jc w:val="center"/>
              <w:rPr>
                <w:rFonts w:hint="eastAsia" w:ascii="微软雅黑" w:hAnsi="微软雅黑" w:eastAsia="微软雅黑" w:cs="微软雅黑"/>
                <w:i/>
                <w:iCs/>
                <w:color w:val="000000"/>
                <w:sz w:val="18"/>
                <w:szCs w:val="18"/>
                <w:u w:val="none"/>
              </w:rPr>
            </w:pP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CF9A">
            <w:pPr>
              <w:jc w:val="center"/>
              <w:rPr>
                <w:rFonts w:hint="eastAsia" w:ascii="微软雅黑" w:hAnsi="微软雅黑" w:eastAsia="微软雅黑" w:cs="微软雅黑"/>
                <w:i/>
                <w:iCs/>
                <w:color w:val="000000"/>
                <w:sz w:val="18"/>
                <w:szCs w:val="18"/>
                <w:u w:val="none"/>
              </w:rPr>
            </w:pP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23C19">
            <w:pPr>
              <w:jc w:val="center"/>
              <w:rPr>
                <w:rFonts w:hint="eastAsia" w:ascii="微软雅黑" w:hAnsi="微软雅黑" w:eastAsia="微软雅黑" w:cs="微软雅黑"/>
                <w:i/>
                <w:iCs/>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51B4">
            <w:pPr>
              <w:jc w:val="center"/>
              <w:rPr>
                <w:rFonts w:hint="eastAsia" w:ascii="微软雅黑" w:hAnsi="微软雅黑" w:eastAsia="微软雅黑" w:cs="微软雅黑"/>
                <w:i/>
                <w:iCs/>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5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1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6AD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4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1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B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6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C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C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9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A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1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0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14:paraId="7AF9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C4472">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73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7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顺利完成劳动力调查工作</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5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D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2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2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D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8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14:paraId="4AB3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4F6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3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A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8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涉及四个社区的调查员</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6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E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F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0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A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C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5722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D0B2">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C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C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1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聘请业务人员</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64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A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A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D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2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F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7A60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08E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5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9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9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开展此项工作涉及经费</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4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8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8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元/年</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06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58315.2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F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1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14:paraId="0ECF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45E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7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5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8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调查员入户进行抽样采集调查工作，高效完成各项报表任务</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2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B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5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5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F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9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r>
      <w:tr w14:paraId="40F8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79FAF">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2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D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确保劳动力调查工作顺利开展</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B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2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F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2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5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5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14:paraId="5D93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C7AD">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3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4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3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严格控制预算经费</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C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5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7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元/年</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00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58315.2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F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0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14:paraId="5D51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80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048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D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B2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r>
      <w:tr w14:paraId="22FA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F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79" w:type="dxa"/>
            <w:gridSpan w:val="9"/>
            <w:tcBorders>
              <w:top w:val="single" w:color="000000" w:sz="4" w:space="0"/>
              <w:left w:val="single" w:color="000000" w:sz="4" w:space="0"/>
              <w:bottom w:val="single" w:color="000000" w:sz="4" w:space="0"/>
              <w:right w:val="nil"/>
            </w:tcBorders>
            <w:shd w:val="clear" w:color="auto" w:fill="auto"/>
            <w:vAlign w:val="center"/>
          </w:tcPr>
          <w:p w14:paraId="2588FAC7">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该项目预算执行情况自评得分10分，绩效指标得分93分，通过劳动力调查得到得到的调查失业率是宏观经济四大指标之一，对于监测宏观经济运行、就业形势变化、民生改善等方面具有重要作用。</w:t>
            </w:r>
          </w:p>
        </w:tc>
      </w:tr>
      <w:tr w14:paraId="77F8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48B5">
            <w:pPr>
              <w:keepNext w:val="0"/>
              <w:keepLines w:val="0"/>
              <w:widowControl/>
              <w:suppressLineNumbers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83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D0E45A">
            <w:pPr>
              <w:keepNext w:val="0"/>
              <w:keepLines w:val="0"/>
              <w:widowControl/>
              <w:suppressLineNumbers w:val="0"/>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14:paraId="6E0B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5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421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项目负责人：陈邦丽</w:t>
            </w:r>
          </w:p>
        </w:tc>
        <w:tc>
          <w:tcPr>
            <w:tcW w:w="32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43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财务负责人：赵秀云</w:t>
            </w:r>
          </w:p>
        </w:tc>
      </w:tr>
    </w:tbl>
    <w:p w14:paraId="342D658A">
      <w:pPr>
        <w:jc w:val="center"/>
        <w:rPr>
          <w:rFonts w:hint="eastAsia" w:ascii="Times New Roman" w:hAnsi="Times New Roman" w:eastAsia="仿宋"/>
          <w:b w:val="0"/>
          <w:color w:val="auto"/>
          <w:highlight w:val="none"/>
        </w:rPr>
      </w:pPr>
      <w:bookmarkStart w:id="53"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8"/>
      <w:bookmarkEnd w:id="53"/>
      <w:bookmarkStart w:id="54" w:name="_Toc15396619"/>
    </w:p>
    <w:p w14:paraId="51CD260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5B4E5D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6E3A395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30EE441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0472BC5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4DA022A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2E7DA74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77DF993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18D3599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0A6411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77A8CDD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0DC6C74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1824CB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576E3AA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5A73F63E">
      <w:pPr>
        <w:rPr>
          <w:rFonts w:hint="eastAsia" w:ascii="Times New Roman" w:hAnsi="Times New Roman"/>
          <w:lang w:eastAsia="zh-CN"/>
        </w:rPr>
      </w:pPr>
    </w:p>
    <w:sectPr>
      <w:footerReference r:id="rId7" w:type="default"/>
      <w:pgSz w:w="11906" w:h="16838"/>
      <w:pgMar w:top="1440" w:right="1800" w:bottom="1440" w:left="1800"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E117">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29F84">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B29F84">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08AA980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E7B">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4726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A4726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EDA2">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C35831">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7C3583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2F98">
    <w:pPr>
      <w:pStyle w:val="11"/>
      <w:jc w:val="center"/>
    </w:pPr>
  </w:p>
  <w:p w14:paraId="35E9F98C">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2CDE4">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392CDE4">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BE600E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787C4">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8C5D"/>
    <w:multiLevelType w:val="singleLevel"/>
    <w:tmpl w:val="F6988C5D"/>
    <w:lvl w:ilvl="0" w:tentative="0">
      <w:start w:val="1"/>
      <w:numFmt w:val="chineseCounting"/>
      <w:suff w:val="nothing"/>
      <w:lvlText w:val="（%1）"/>
      <w:lvlJc w:val="left"/>
      <w:rPr>
        <w:rFonts w:hint="eastAsia"/>
      </w:rPr>
    </w:lvl>
  </w:abstractNum>
  <w:abstractNum w:abstractNumId="1">
    <w:nsid w:val="30E23907"/>
    <w:multiLevelType w:val="singleLevel"/>
    <w:tmpl w:val="30E23907"/>
    <w:lvl w:ilvl="0" w:tentative="0">
      <w:start w:val="1"/>
      <w:numFmt w:val="chineseCounting"/>
      <w:suff w:val="nothing"/>
      <w:lvlText w:val="%1、"/>
      <w:lvlJc w:val="left"/>
      <w:rPr>
        <w:rFonts w:hint="eastAsia"/>
      </w:rPr>
    </w:lvl>
  </w:abstractNum>
  <w:abstractNum w:abstractNumId="2">
    <w:nsid w:val="74B2668D"/>
    <w:multiLevelType w:val="singleLevel"/>
    <w:tmpl w:val="74B2668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NWQ5ODgyN2IyOTI2NzQ3MDVhMDM5Y2YxMDQ1N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4E27D3"/>
    <w:rsid w:val="07996F6E"/>
    <w:rsid w:val="07DFD8BA"/>
    <w:rsid w:val="09867E8F"/>
    <w:rsid w:val="0A2032A3"/>
    <w:rsid w:val="0CA8290A"/>
    <w:rsid w:val="0D35B1ED"/>
    <w:rsid w:val="0E254B6B"/>
    <w:rsid w:val="0F98263C"/>
    <w:rsid w:val="0FB65E47"/>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800C37"/>
    <w:rsid w:val="26970054"/>
    <w:rsid w:val="26F85710"/>
    <w:rsid w:val="27D56FF1"/>
    <w:rsid w:val="281408E2"/>
    <w:rsid w:val="29FD04D3"/>
    <w:rsid w:val="2BFF7BC6"/>
    <w:rsid w:val="2C195961"/>
    <w:rsid w:val="2C8A61B5"/>
    <w:rsid w:val="2D1B45AC"/>
    <w:rsid w:val="2DF04E50"/>
    <w:rsid w:val="2E586DFA"/>
    <w:rsid w:val="2F040D46"/>
    <w:rsid w:val="2F6B035B"/>
    <w:rsid w:val="2FAE5751"/>
    <w:rsid w:val="2FB1A395"/>
    <w:rsid w:val="2FD9A7D8"/>
    <w:rsid w:val="2FDBF714"/>
    <w:rsid w:val="30AB6865"/>
    <w:rsid w:val="30CE5850"/>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A58EC"/>
    <w:rsid w:val="397BAF1F"/>
    <w:rsid w:val="3AB79AF3"/>
    <w:rsid w:val="3AE834C0"/>
    <w:rsid w:val="3B7E65E3"/>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065591F"/>
    <w:rsid w:val="537E6D0A"/>
    <w:rsid w:val="53F74C96"/>
    <w:rsid w:val="55170BA8"/>
    <w:rsid w:val="553218C9"/>
    <w:rsid w:val="567E1AA5"/>
    <w:rsid w:val="56E47B74"/>
    <w:rsid w:val="57175D52"/>
    <w:rsid w:val="577A230E"/>
    <w:rsid w:val="57BD3DD4"/>
    <w:rsid w:val="5AAD161D"/>
    <w:rsid w:val="5AF92295"/>
    <w:rsid w:val="5B250254"/>
    <w:rsid w:val="5BDD79E6"/>
    <w:rsid w:val="5BF561CA"/>
    <w:rsid w:val="5BFF5DFC"/>
    <w:rsid w:val="5CD71FC4"/>
    <w:rsid w:val="5D1F11B5"/>
    <w:rsid w:val="5D695134"/>
    <w:rsid w:val="5DAE1B18"/>
    <w:rsid w:val="5DE7D9E5"/>
    <w:rsid w:val="5EB4486C"/>
    <w:rsid w:val="5ECEC941"/>
    <w:rsid w:val="5FBF9FF3"/>
    <w:rsid w:val="5FCD4E2C"/>
    <w:rsid w:val="5FEF394A"/>
    <w:rsid w:val="5FF67715"/>
    <w:rsid w:val="60F56144"/>
    <w:rsid w:val="62BF3928"/>
    <w:rsid w:val="63B3701E"/>
    <w:rsid w:val="647F5392"/>
    <w:rsid w:val="65E66580"/>
    <w:rsid w:val="664B1D71"/>
    <w:rsid w:val="664B4E8E"/>
    <w:rsid w:val="67277B67"/>
    <w:rsid w:val="67AA3209"/>
    <w:rsid w:val="698D0931"/>
    <w:rsid w:val="6A7FE5F3"/>
    <w:rsid w:val="6B053271"/>
    <w:rsid w:val="6BDD78B3"/>
    <w:rsid w:val="6C4A05C8"/>
    <w:rsid w:val="6C5C330E"/>
    <w:rsid w:val="6C8742B8"/>
    <w:rsid w:val="6DBF5E93"/>
    <w:rsid w:val="6DFF077E"/>
    <w:rsid w:val="6E714EF0"/>
    <w:rsid w:val="6E7E3605"/>
    <w:rsid w:val="6E7FDCC7"/>
    <w:rsid w:val="6ED6A62E"/>
    <w:rsid w:val="6EE00B15"/>
    <w:rsid w:val="6F6FB3EB"/>
    <w:rsid w:val="6F8731EA"/>
    <w:rsid w:val="6FCE6052"/>
    <w:rsid w:val="6FD57C00"/>
    <w:rsid w:val="6FEE51C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0F04A9"/>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276692"/>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341</c:v>
                </c:pt>
                <c:pt idx="1">
                  <c:v>341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434.15</c:v>
                </c:pt>
                <c:pt idx="1">
                  <c:v>434.15</c:v>
                </c:pt>
              </c:numCache>
            </c:numRef>
          </c:val>
        </c:ser>
        <c:dLbls>
          <c:showLegendKey val="0"/>
          <c:showVal val="1"/>
          <c:showCatName val="0"/>
          <c:showSerName val="0"/>
          <c:showPercent val="0"/>
          <c:showBubbleSize val="0"/>
        </c:dLbls>
        <c:gapWidth val="246"/>
        <c:overlap val="-28"/>
        <c:axId val="976609186"/>
        <c:axId val="45903217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766091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032170"/>
        <c:crosses val="autoZero"/>
        <c:auto val="1"/>
        <c:lblAlgn val="ctr"/>
        <c:lblOffset val="100"/>
        <c:noMultiLvlLbl val="0"/>
      </c:catAx>
      <c:valAx>
        <c:axId val="45903217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091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07608a-9df6-4473-97e9-180540c8f8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一般公共预算财政拨款收入</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bdc3ea-aff4-4368-b147-66cfbaea828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0.6482</c:v>
                </c:pt>
                <c:pt idx="1">
                  <c:v>0.3517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3210fa-788c-4843-a934-13647550f53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341</c:v>
                </c:pt>
                <c:pt idx="1">
                  <c:v>341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434.15</c:v>
                </c:pt>
                <c:pt idx="1">
                  <c:v>434.15</c:v>
                </c:pt>
              </c:numCache>
            </c:numRef>
          </c:val>
        </c:ser>
        <c:dLbls>
          <c:showLegendKey val="0"/>
          <c:showVal val="1"/>
          <c:showCatName val="0"/>
          <c:showSerName val="0"/>
          <c:showPercent val="0"/>
          <c:showBubbleSize val="0"/>
        </c:dLbls>
        <c:gapWidth val="246"/>
        <c:overlap val="-28"/>
        <c:axId val="593130357"/>
        <c:axId val="349535365"/>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财政拨款收入</c:v>
                      </c:pt>
                      <c:pt idx="1">
                        <c:v>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931303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535365"/>
        <c:crosses val="autoZero"/>
        <c:auto val="1"/>
        <c:lblAlgn val="ctr"/>
        <c:lblOffset val="100"/>
        <c:noMultiLvlLbl val="0"/>
      </c:catAx>
      <c:valAx>
        <c:axId val="34953536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31303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8bd9def-a7c7-4acf-80d2-573220108e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341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434.15</c:v>
                </c:pt>
              </c:numCache>
            </c:numRef>
          </c:val>
        </c:ser>
        <c:dLbls>
          <c:showLegendKey val="0"/>
          <c:showVal val="0"/>
          <c:showCatName val="0"/>
          <c:showSerName val="0"/>
          <c:showPercent val="0"/>
          <c:showBubbleSize val="0"/>
        </c:dLbls>
        <c:gapWidth val="246"/>
        <c:overlap val="-28"/>
        <c:axId val="635548248"/>
        <c:axId val="61484735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c15:sqref>
                        </c15:formulaRef>
                      </c:ext>
                    </c:extLst>
                    <c:strCache>
                      <c:ptCount val="1"/>
                      <c:pt idx="0">
                        <c:v>一般公共预算财政拨款支出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355482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847358"/>
        <c:crosses val="autoZero"/>
        <c:auto val="1"/>
        <c:lblAlgn val="ctr"/>
        <c:lblOffset val="100"/>
        <c:noMultiLvlLbl val="0"/>
      </c:catAx>
      <c:valAx>
        <c:axId val="61484735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5482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21b521-f50c-476b-85d2-226f9e3fdf4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c:formatCode>
                <c:ptCount val="4"/>
                <c:pt idx="0">
                  <c:v>0.825</c:v>
                </c:pt>
                <c:pt idx="1">
                  <c:v>0.084</c:v>
                </c:pt>
                <c:pt idx="2">
                  <c:v>0.039</c:v>
                </c:pt>
                <c:pt idx="3">
                  <c:v>0.052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36ce9a7-19d6-413d-80b0-d0be6b9505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因公出国</c:v>
                </c:pt>
                <c:pt idx="1">
                  <c:v>公车用车购置及运行维护费</c:v>
                </c:pt>
                <c:pt idx="2">
                  <c:v>公务接待费</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0</c:v>
                </c:pt>
                <c:pt idx="1" c:formatCode="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b472c4-0604-4fe2-983b-34327c3b71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3669</Words>
  <Characters>5935</Characters>
  <Lines>61</Lines>
  <Paragraphs>17</Paragraphs>
  <TotalTime>12</TotalTime>
  <ScaleCrop>false</ScaleCrop>
  <LinksUpToDate>false</LinksUpToDate>
  <CharactersWithSpaces>5959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Sept-wang</cp:lastModifiedBy>
  <cp:lastPrinted>2025-09-25T02:30:00Z</cp:lastPrinted>
  <dcterms:modified xsi:type="dcterms:W3CDTF">2025-09-25T09:50:49Z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3A34F66F50DF4E799C79E1BA3A37C2AE_13</vt:lpwstr>
  </property>
  <property fmtid="{D5CDD505-2E9C-101B-9397-08002B2CF9AE}" pid="4" name="KSOTemplateDocerSaveRecord">
    <vt:lpwstr>eyJoZGlkIjoiN2VmMTc1NzhhNjk3YTgxNDQ2ZDNlYzAwZGJiMDhlOTEiLCJ1c2VySWQiOiIyNjQzMjY5NjQifQ==</vt:lpwstr>
  </property>
</Properties>
</file>