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0" w:name="_Toc15377425"/>
      <w:bookmarkStart w:id="1" w:name="_Toc15378441"/>
      <w:bookmarkStart w:id="2" w:name="_Toc15377193"/>
      <w:bookmarkStart w:id="3" w:name="_Toc15396597"/>
      <w:bookmarkStart w:id="4" w:name="_Toc15306267"/>
      <w:bookmarkStart w:id="5" w:name="_Toc15396475"/>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rPr>
          <w:rFonts w:hint="eastAsia" w:ascii="Times New Roman" w:hAnsi="Times New Roman" w:eastAsia="方正小标宋简体" w:cs="Times New Roman"/>
          <w:color w:val="auto"/>
          <w:kern w:val="2"/>
          <w:sz w:val="72"/>
          <w:szCs w:val="72"/>
          <w:highlight w:val="none"/>
          <w:lang w:val="en-US" w:eastAsia="zh-CN" w:bidi="ar-SA"/>
        </w:rPr>
      </w:pPr>
      <w:bookmarkStart w:id="89" w:name="_GoBack"/>
      <w:bookmarkEnd w:id="89"/>
    </w:p>
    <w:p>
      <w:pPr>
        <w:pStyle w:val="8"/>
        <w:rPr>
          <w:rFonts w:hint="eastAsia" w:ascii="Times New Roman" w:hAnsi="Times New Roman" w:eastAsia="方正小标宋简体" w:cs="Times New Roman"/>
          <w:color w:val="auto"/>
          <w:kern w:val="2"/>
          <w:sz w:val="72"/>
          <w:szCs w:val="72"/>
          <w:highlight w:val="none"/>
          <w:lang w:val="en-US" w:eastAsia="zh-CN" w:bidi="ar-SA"/>
        </w:rPr>
      </w:pPr>
    </w:p>
    <w:p>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茂县统计局部门</w:t>
      </w:r>
      <w:r>
        <w:rPr>
          <w:rFonts w:hint="eastAsia" w:ascii="Times New Roman" w:hAnsi="Times New Roman" w:eastAsia="方正小标宋简体" w:cs="Times New Roman"/>
          <w:color w:val="auto"/>
          <w:kern w:val="2"/>
          <w:sz w:val="44"/>
          <w:szCs w:val="44"/>
          <w:highlight w:val="none"/>
          <w:lang w:val="en-US" w:eastAsia="zh-CN" w:bidi="ar-SA"/>
        </w:rPr>
        <w:t>决算</w:t>
      </w:r>
    </w:p>
    <w:p>
      <w:pPr>
        <w:pStyle w:val="8"/>
        <w:jc w:val="center"/>
        <w:rPr>
          <w:rFonts w:hint="eastAsia" w:ascii="Times New Roman" w:hAnsi="Times New Roman" w:eastAsia="黑体"/>
          <w:color w:val="auto"/>
          <w:sz w:val="48"/>
          <w:szCs w:val="48"/>
          <w:highlight w:val="none"/>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eastAsia" w:ascii="Times New Roman" w:hAnsi="Times New Roman" w:eastAsia="方正小标宋简体" w:cs="Times New Roman"/>
          <w:color w:val="auto"/>
          <w:kern w:val="2"/>
          <w:sz w:val="44"/>
          <w:szCs w:val="44"/>
          <w:highlight w:val="none"/>
          <w:lang w:val="en-US" w:eastAsia="zh-CN" w:bidi="ar-SA"/>
        </w:rPr>
        <w:t>公开文字</w:t>
      </w:r>
      <w:r>
        <w:rPr>
          <w:rFonts w:hint="eastAsia" w:ascii="Times New Roman" w:eastAsia="方正小标宋简体" w:cs="Times New Roman"/>
          <w:color w:val="auto"/>
          <w:kern w:val="2"/>
          <w:sz w:val="44"/>
          <w:szCs w:val="44"/>
          <w:highlight w:val="none"/>
          <w:lang w:val="en-US" w:eastAsia="zh-CN" w:bidi="ar-SA"/>
        </w:rPr>
        <w:t>说明</w:t>
      </w:r>
      <w:bookmarkEnd w:id="0"/>
      <w:bookmarkEnd w:id="1"/>
      <w:bookmarkEnd w:id="2"/>
      <w:bookmarkEnd w:id="3"/>
      <w:bookmarkEnd w:id="4"/>
      <w:bookmarkEnd w:id="5"/>
    </w:p>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pPr>
        <w:rPr>
          <w:rFonts w:ascii="Times New Roman" w:hAnsi="Times New Roman"/>
          <w:color w:val="auto"/>
          <w:highlight w:val="none"/>
        </w:rPr>
      </w:pPr>
    </w:p>
    <w:p>
      <w:pPr>
        <w:numPr>
          <w:ilvl w:val="0"/>
          <w:numId w:val="0"/>
        </w:numPr>
        <w:rPr>
          <w:rFonts w:hint="eastAsia"/>
          <w:sz w:val="28"/>
          <w:szCs w:val="28"/>
        </w:rPr>
      </w:pPr>
      <w:r>
        <w:rPr>
          <w:rFonts w:hint="eastAsia"/>
          <w:b/>
          <w:bCs/>
          <w:sz w:val="28"/>
          <w:szCs w:val="28"/>
          <w:lang w:val="en-US" w:eastAsia="zh-CN"/>
        </w:rPr>
        <w:t xml:space="preserve">第一部分 </w:t>
      </w:r>
      <w:r>
        <w:rPr>
          <w:rFonts w:hint="eastAsia"/>
          <w:b/>
          <w:bCs/>
          <w:sz w:val="28"/>
          <w:szCs w:val="28"/>
        </w:rPr>
        <w:t>部门概况</w:t>
      </w:r>
      <w:r>
        <w:rPr>
          <w:rFonts w:hint="eastAsia"/>
          <w:sz w:val="28"/>
          <w:szCs w:val="28"/>
        </w:rPr>
        <w:tab/>
      </w:r>
      <w:r>
        <w:rPr>
          <w:rFonts w:hint="eastAsia"/>
          <w:sz w:val="28"/>
          <w:szCs w:val="28"/>
          <w:lang w:val="en-US" w:eastAsia="zh-CN"/>
        </w:rPr>
        <w:t>..............................................................................4</w:t>
      </w:r>
    </w:p>
    <w:p>
      <w:pPr>
        <w:numPr>
          <w:ilvl w:val="0"/>
          <w:numId w:val="0"/>
        </w:numPr>
        <w:rPr>
          <w:rFonts w:hint="eastAsia" w:eastAsia="宋体"/>
          <w:sz w:val="28"/>
          <w:szCs w:val="28"/>
          <w:lang w:val="en-US" w:eastAsia="zh-CN"/>
        </w:rPr>
      </w:pPr>
      <w:r>
        <w:rPr>
          <w:rFonts w:hint="eastAsia" w:ascii="宋体" w:hAnsi="宋体" w:eastAsia="宋体" w:cs="宋体"/>
          <w:sz w:val="24"/>
          <w:szCs w:val="24"/>
        </w:rPr>
        <w:t>一、 部门职责</w:t>
      </w:r>
      <w:r>
        <w:rPr>
          <w:rFonts w:hint="eastAsia"/>
          <w:sz w:val="28"/>
          <w:szCs w:val="28"/>
          <w:lang w:val="en-US" w:eastAsia="zh-CN"/>
        </w:rPr>
        <w:t>............................................................................................4</w:t>
      </w:r>
    </w:p>
    <w:p>
      <w:pPr>
        <w:rPr>
          <w:rFonts w:hint="eastAsia" w:eastAsia="宋体"/>
          <w:sz w:val="28"/>
          <w:szCs w:val="28"/>
          <w:lang w:eastAsia="zh-CN"/>
        </w:rPr>
      </w:pPr>
      <w:r>
        <w:rPr>
          <w:rFonts w:hint="eastAsia" w:ascii="宋体" w:hAnsi="宋体" w:eastAsia="宋体" w:cs="宋体"/>
          <w:sz w:val="24"/>
          <w:szCs w:val="24"/>
        </w:rPr>
        <w:t>二、机构设置</w:t>
      </w:r>
      <w:r>
        <w:rPr>
          <w:rFonts w:hint="eastAsia" w:ascii="宋体" w:hAnsi="宋体" w:eastAsia="宋体" w:cs="宋体"/>
          <w:sz w:val="28"/>
          <w:szCs w:val="28"/>
          <w:lang w:val="en-US" w:eastAsia="zh-CN"/>
        </w:rPr>
        <w:t>.</w:t>
      </w:r>
      <w:r>
        <w:rPr>
          <w:rFonts w:hint="eastAsia"/>
          <w:sz w:val="28"/>
          <w:szCs w:val="28"/>
          <w:lang w:val="en-US" w:eastAsia="zh-CN"/>
        </w:rPr>
        <w:t>...........................................................................................5</w:t>
      </w:r>
    </w:p>
    <w:p>
      <w:pPr>
        <w:rPr>
          <w:rFonts w:hint="eastAsia" w:eastAsia="宋体"/>
          <w:sz w:val="28"/>
          <w:szCs w:val="28"/>
          <w:lang w:eastAsia="zh-CN"/>
        </w:rPr>
      </w:pPr>
      <w:r>
        <w:rPr>
          <w:rFonts w:hint="eastAsia" w:ascii="宋体" w:hAnsi="宋体" w:eastAsia="宋体" w:cs="宋体"/>
          <w:b/>
          <w:bCs/>
          <w:sz w:val="28"/>
          <w:szCs w:val="28"/>
        </w:rPr>
        <w:t>第二部分 202</w:t>
      </w:r>
      <w:r>
        <w:rPr>
          <w:rFonts w:hint="eastAsia"/>
          <w:b/>
          <w:bCs/>
          <w:sz w:val="28"/>
          <w:szCs w:val="28"/>
        </w:rPr>
        <w:t>3年度部门决算情况说明</w:t>
      </w:r>
      <w:r>
        <w:rPr>
          <w:rFonts w:hint="eastAsia"/>
          <w:sz w:val="28"/>
          <w:szCs w:val="28"/>
          <w:lang w:val="en-US" w:eastAsia="zh-CN"/>
        </w:rPr>
        <w:t>...............................................6</w:t>
      </w:r>
    </w:p>
    <w:p>
      <w:pPr>
        <w:rPr>
          <w:rFonts w:hint="eastAsia" w:eastAsia="宋体"/>
          <w:sz w:val="28"/>
          <w:szCs w:val="28"/>
          <w:lang w:eastAsia="zh-CN"/>
        </w:rPr>
      </w:pPr>
      <w:r>
        <w:rPr>
          <w:rFonts w:hint="eastAsia"/>
          <w:sz w:val="24"/>
          <w:szCs w:val="24"/>
        </w:rPr>
        <w:t>一、 收入支出决算总体情况说明</w:t>
      </w:r>
      <w:r>
        <w:rPr>
          <w:rFonts w:hint="eastAsia"/>
          <w:sz w:val="24"/>
          <w:szCs w:val="24"/>
        </w:rPr>
        <w:tab/>
      </w:r>
      <w:r>
        <w:rPr>
          <w:rFonts w:hint="eastAsia"/>
          <w:sz w:val="24"/>
          <w:szCs w:val="24"/>
          <w:lang w:val="en-US" w:eastAsia="zh-CN"/>
        </w:rPr>
        <w:t>.</w:t>
      </w:r>
      <w:r>
        <w:rPr>
          <w:rFonts w:hint="eastAsia"/>
          <w:sz w:val="28"/>
          <w:szCs w:val="28"/>
          <w:lang w:val="en-US" w:eastAsia="zh-CN"/>
        </w:rPr>
        <w:t>.......................................................... 6</w:t>
      </w:r>
    </w:p>
    <w:p>
      <w:pPr>
        <w:rPr>
          <w:rFonts w:hint="eastAsia"/>
          <w:sz w:val="28"/>
          <w:szCs w:val="28"/>
          <w:lang w:val="en-US" w:eastAsia="zh-CN"/>
        </w:rPr>
      </w:pPr>
      <w:r>
        <w:rPr>
          <w:rFonts w:hint="eastAsia"/>
          <w:sz w:val="24"/>
          <w:szCs w:val="24"/>
        </w:rPr>
        <w:t>二、 收入决算情况说明</w:t>
      </w:r>
      <w:r>
        <w:rPr>
          <w:rFonts w:hint="eastAsia"/>
          <w:sz w:val="28"/>
          <w:szCs w:val="28"/>
          <w:lang w:val="en-US" w:eastAsia="zh-CN"/>
        </w:rPr>
        <w:t>..............................................................................6</w:t>
      </w:r>
    </w:p>
    <w:p>
      <w:pPr>
        <w:rPr>
          <w:rFonts w:hint="default"/>
          <w:sz w:val="28"/>
          <w:szCs w:val="28"/>
          <w:lang w:val="en-US" w:eastAsia="zh-CN"/>
        </w:rPr>
      </w:pPr>
      <w:r>
        <w:rPr>
          <w:rFonts w:hint="eastAsia"/>
          <w:sz w:val="24"/>
          <w:szCs w:val="24"/>
        </w:rPr>
        <w:t>三、 支出决算情况说明</w:t>
      </w:r>
      <w:r>
        <w:rPr>
          <w:rFonts w:hint="eastAsia"/>
          <w:sz w:val="28"/>
          <w:szCs w:val="28"/>
          <w:lang w:val="en-US" w:eastAsia="zh-CN"/>
        </w:rPr>
        <w:t>..............................................................................7</w:t>
      </w:r>
    </w:p>
    <w:p>
      <w:pPr>
        <w:rPr>
          <w:rFonts w:hint="default"/>
          <w:sz w:val="28"/>
          <w:szCs w:val="28"/>
          <w:lang w:val="en-US" w:eastAsia="zh-CN"/>
        </w:rPr>
      </w:pPr>
      <w:r>
        <w:rPr>
          <w:rFonts w:hint="eastAsia"/>
          <w:sz w:val="24"/>
          <w:szCs w:val="24"/>
        </w:rPr>
        <w:t>四、财政拨款收入支出决算总体情况说明</w:t>
      </w:r>
      <w:r>
        <w:rPr>
          <w:rFonts w:hint="eastAsia"/>
          <w:sz w:val="28"/>
          <w:szCs w:val="28"/>
          <w:lang w:val="en-US" w:eastAsia="zh-CN"/>
        </w:rPr>
        <w:t>....................................................7</w:t>
      </w:r>
    </w:p>
    <w:p>
      <w:pPr>
        <w:rPr>
          <w:rFonts w:hint="default" w:eastAsia="宋体"/>
          <w:sz w:val="24"/>
          <w:szCs w:val="24"/>
          <w:lang w:val="en-US" w:eastAsia="zh-CN"/>
        </w:rPr>
      </w:pPr>
      <w:r>
        <w:rPr>
          <w:rFonts w:hint="eastAsia"/>
          <w:sz w:val="24"/>
          <w:szCs w:val="24"/>
        </w:rPr>
        <w:t>五、一般公共预算财政拨款支出决算情况说明</w:t>
      </w:r>
      <w:r>
        <w:rPr>
          <w:rFonts w:hint="eastAsia"/>
          <w:sz w:val="28"/>
          <w:szCs w:val="28"/>
          <w:lang w:val="en-US" w:eastAsia="zh-CN"/>
        </w:rPr>
        <w:t>.............................................8</w:t>
      </w:r>
    </w:p>
    <w:p>
      <w:pPr>
        <w:numPr>
          <w:ilvl w:val="0"/>
          <w:numId w:val="0"/>
        </w:numPr>
        <w:rPr>
          <w:rFonts w:hint="eastAsia"/>
          <w:sz w:val="28"/>
          <w:szCs w:val="28"/>
          <w:lang w:val="en-US" w:eastAsia="zh-CN"/>
        </w:rPr>
      </w:pPr>
      <w:r>
        <w:rPr>
          <w:rFonts w:hint="eastAsia"/>
          <w:sz w:val="24"/>
          <w:szCs w:val="24"/>
          <w:lang w:val="en-US" w:eastAsia="zh-CN"/>
        </w:rPr>
        <w:t>六、</w:t>
      </w:r>
      <w:r>
        <w:rPr>
          <w:rFonts w:hint="eastAsia"/>
          <w:sz w:val="24"/>
          <w:szCs w:val="24"/>
        </w:rPr>
        <w:t>一般公共预算财政拨款基本支出决算情况说明</w:t>
      </w:r>
      <w:r>
        <w:rPr>
          <w:rFonts w:hint="eastAsia"/>
          <w:sz w:val="24"/>
          <w:szCs w:val="24"/>
          <w:lang w:val="en-US" w:eastAsia="zh-CN"/>
        </w:rPr>
        <w:t>.</w:t>
      </w:r>
      <w:r>
        <w:rPr>
          <w:rFonts w:hint="eastAsia"/>
          <w:sz w:val="28"/>
          <w:szCs w:val="28"/>
          <w:lang w:val="en-US" w:eastAsia="zh-CN"/>
        </w:rPr>
        <w:t>.....................................10</w:t>
      </w:r>
    </w:p>
    <w:p>
      <w:pPr>
        <w:numPr>
          <w:ilvl w:val="0"/>
          <w:numId w:val="0"/>
        </w:numPr>
        <w:rPr>
          <w:rFonts w:hint="default" w:eastAsia="宋体"/>
          <w:sz w:val="28"/>
          <w:szCs w:val="28"/>
          <w:lang w:val="en-US" w:eastAsia="zh-CN"/>
        </w:rPr>
      </w:pPr>
      <w:r>
        <w:rPr>
          <w:rFonts w:hint="eastAsia"/>
          <w:sz w:val="24"/>
          <w:szCs w:val="24"/>
        </w:rPr>
        <w:t>七、财政拨款“三公”经费支出决算情况说明</w:t>
      </w:r>
      <w:r>
        <w:rPr>
          <w:rFonts w:hint="eastAsia"/>
          <w:sz w:val="28"/>
          <w:szCs w:val="28"/>
          <w:lang w:val="en-US" w:eastAsia="zh-CN"/>
        </w:rPr>
        <w:t>.............................................11</w:t>
      </w:r>
    </w:p>
    <w:p>
      <w:pPr>
        <w:rPr>
          <w:rFonts w:hint="eastAsia"/>
          <w:sz w:val="28"/>
          <w:szCs w:val="28"/>
          <w:lang w:val="en-US" w:eastAsia="zh-CN"/>
        </w:rPr>
      </w:pPr>
      <w:r>
        <w:rPr>
          <w:rFonts w:hint="eastAsia"/>
          <w:sz w:val="24"/>
          <w:szCs w:val="24"/>
        </w:rPr>
        <w:t>八、政府性基金预算支出决算情况说明</w:t>
      </w:r>
      <w:r>
        <w:rPr>
          <w:rFonts w:hint="eastAsia"/>
          <w:sz w:val="28"/>
          <w:szCs w:val="28"/>
          <w:lang w:val="en-US" w:eastAsia="zh-CN"/>
        </w:rPr>
        <w:t>.......................................................13</w:t>
      </w:r>
    </w:p>
    <w:p>
      <w:pPr>
        <w:rPr>
          <w:rFonts w:hint="default" w:eastAsia="宋体"/>
          <w:sz w:val="28"/>
          <w:szCs w:val="28"/>
          <w:lang w:val="en-US" w:eastAsia="zh-CN"/>
        </w:rPr>
      </w:pPr>
      <w:r>
        <w:rPr>
          <w:rFonts w:hint="eastAsia"/>
          <w:sz w:val="24"/>
          <w:szCs w:val="24"/>
        </w:rPr>
        <w:t>九、 国有资本经营预算支出决算情况说明</w:t>
      </w:r>
      <w:r>
        <w:rPr>
          <w:rFonts w:hint="eastAsia"/>
          <w:sz w:val="28"/>
          <w:szCs w:val="28"/>
          <w:lang w:val="en-US" w:eastAsia="zh-CN"/>
        </w:rPr>
        <w:t>..................................................13</w:t>
      </w:r>
    </w:p>
    <w:p>
      <w:pPr>
        <w:rPr>
          <w:rFonts w:hint="eastAsia"/>
          <w:sz w:val="28"/>
          <w:szCs w:val="28"/>
          <w:lang w:val="en-US" w:eastAsia="zh-CN"/>
        </w:rPr>
      </w:pPr>
      <w:r>
        <w:rPr>
          <w:rFonts w:hint="eastAsia"/>
          <w:sz w:val="24"/>
          <w:szCs w:val="24"/>
        </w:rPr>
        <w:t>十、 其他重要事项的情况说明</w:t>
      </w:r>
      <w:r>
        <w:rPr>
          <w:rFonts w:hint="eastAsia"/>
          <w:sz w:val="28"/>
          <w:szCs w:val="28"/>
          <w:lang w:val="en-US" w:eastAsia="zh-CN"/>
        </w:rPr>
        <w:t>...................................................................13</w:t>
      </w:r>
    </w:p>
    <w:p>
      <w:pPr>
        <w:rPr>
          <w:rFonts w:hint="eastAsia"/>
          <w:sz w:val="28"/>
          <w:szCs w:val="28"/>
          <w:lang w:val="en-US" w:eastAsia="zh-CN"/>
        </w:rPr>
      </w:pPr>
      <w:r>
        <w:rPr>
          <w:rFonts w:hint="eastAsia"/>
          <w:b/>
          <w:bCs/>
          <w:sz w:val="28"/>
          <w:szCs w:val="28"/>
        </w:rPr>
        <w:t>第三部分 名词解释</w:t>
      </w:r>
      <w:r>
        <w:rPr>
          <w:rFonts w:hint="eastAsia"/>
          <w:sz w:val="28"/>
          <w:szCs w:val="28"/>
          <w:lang w:val="en-US" w:eastAsia="zh-CN"/>
        </w:rPr>
        <w:t>...............................................................................15</w:t>
      </w:r>
    </w:p>
    <w:p>
      <w:pPr>
        <w:rPr>
          <w:rFonts w:hint="default"/>
          <w:sz w:val="28"/>
          <w:szCs w:val="28"/>
          <w:lang w:val="en-US" w:eastAsia="zh-CN"/>
        </w:rPr>
      </w:pPr>
      <w:r>
        <w:rPr>
          <w:rFonts w:hint="eastAsia"/>
          <w:b/>
          <w:bCs/>
          <w:sz w:val="28"/>
          <w:szCs w:val="28"/>
        </w:rPr>
        <w:t>第四部分 附件</w:t>
      </w:r>
      <w:r>
        <w:rPr>
          <w:rFonts w:hint="eastAsia"/>
          <w:sz w:val="28"/>
          <w:szCs w:val="28"/>
          <w:lang w:val="en-US" w:eastAsia="zh-CN"/>
        </w:rPr>
        <w:t>.......................................................................................18</w:t>
      </w:r>
    </w:p>
    <w:p>
      <w:pPr>
        <w:rPr>
          <w:rFonts w:hint="eastAsia"/>
          <w:sz w:val="28"/>
          <w:szCs w:val="28"/>
          <w:lang w:val="en-US" w:eastAsia="zh-CN"/>
        </w:rPr>
      </w:pPr>
      <w:r>
        <w:rPr>
          <w:rFonts w:hint="eastAsia"/>
          <w:b/>
          <w:bCs/>
          <w:sz w:val="28"/>
          <w:szCs w:val="28"/>
        </w:rPr>
        <w:t>第五部分 附表</w:t>
      </w:r>
      <w:r>
        <w:rPr>
          <w:rFonts w:hint="eastAsia"/>
          <w:sz w:val="28"/>
          <w:szCs w:val="28"/>
          <w:lang w:val="en-US" w:eastAsia="zh-CN"/>
        </w:rPr>
        <w:t>.......................................................................................34</w:t>
      </w:r>
    </w:p>
    <w:p>
      <w:pPr>
        <w:rPr>
          <w:rFonts w:hint="default" w:eastAsia="宋体"/>
          <w:sz w:val="28"/>
          <w:szCs w:val="28"/>
          <w:lang w:val="en-US" w:eastAsia="zh-CN"/>
        </w:rPr>
      </w:pPr>
      <w:r>
        <w:rPr>
          <w:rFonts w:hint="eastAsia"/>
          <w:sz w:val="24"/>
          <w:szCs w:val="24"/>
        </w:rPr>
        <w:t>一、收入支出决算总表</w:t>
      </w:r>
      <w:r>
        <w:rPr>
          <w:rFonts w:hint="eastAsia"/>
          <w:sz w:val="28"/>
          <w:szCs w:val="28"/>
          <w:lang w:val="en-US" w:eastAsia="zh-CN"/>
        </w:rPr>
        <w:t>...............................................................................34</w:t>
      </w:r>
    </w:p>
    <w:p>
      <w:pPr>
        <w:rPr>
          <w:rFonts w:hint="eastAsia" w:eastAsia="宋体"/>
          <w:sz w:val="28"/>
          <w:szCs w:val="28"/>
          <w:lang w:val="en-US" w:eastAsia="zh-CN"/>
        </w:rPr>
      </w:pPr>
      <w:r>
        <w:rPr>
          <w:rFonts w:hint="eastAsia"/>
          <w:sz w:val="24"/>
          <w:szCs w:val="24"/>
        </w:rPr>
        <w:t>二、收入决算表</w:t>
      </w:r>
      <w:r>
        <w:rPr>
          <w:rFonts w:hint="eastAsia"/>
          <w:sz w:val="28"/>
          <w:szCs w:val="28"/>
          <w:lang w:val="en-US" w:eastAsia="zh-CN"/>
        </w:rPr>
        <w:t>........................................................................................</w:t>
      </w:r>
      <w:r>
        <w:rPr>
          <w:rFonts w:hint="eastAsia"/>
          <w:sz w:val="28"/>
          <w:szCs w:val="28"/>
        </w:rPr>
        <w:t>3</w:t>
      </w:r>
      <w:r>
        <w:rPr>
          <w:rFonts w:hint="eastAsia"/>
          <w:sz w:val="28"/>
          <w:szCs w:val="28"/>
          <w:lang w:val="en-US" w:eastAsia="zh-CN"/>
        </w:rPr>
        <w:t>4</w:t>
      </w:r>
    </w:p>
    <w:p>
      <w:pPr>
        <w:rPr>
          <w:rFonts w:hint="eastAsia" w:eastAsia="宋体"/>
          <w:sz w:val="28"/>
          <w:szCs w:val="28"/>
          <w:lang w:val="en-US" w:eastAsia="zh-CN"/>
        </w:rPr>
      </w:pPr>
      <w:r>
        <w:rPr>
          <w:rFonts w:hint="eastAsia"/>
          <w:sz w:val="24"/>
          <w:szCs w:val="24"/>
        </w:rPr>
        <w:t>三、支出决算表</w:t>
      </w:r>
      <w:r>
        <w:rPr>
          <w:rFonts w:hint="eastAsia"/>
          <w:sz w:val="28"/>
          <w:szCs w:val="28"/>
          <w:lang w:val="en-US" w:eastAsia="zh-CN"/>
        </w:rPr>
        <w:t>........................................................................................</w:t>
      </w:r>
      <w:r>
        <w:rPr>
          <w:rFonts w:hint="eastAsia"/>
          <w:sz w:val="28"/>
          <w:szCs w:val="28"/>
        </w:rPr>
        <w:t>3</w:t>
      </w:r>
      <w:r>
        <w:rPr>
          <w:rFonts w:hint="eastAsia"/>
          <w:sz w:val="28"/>
          <w:szCs w:val="28"/>
          <w:lang w:val="en-US" w:eastAsia="zh-CN"/>
        </w:rPr>
        <w:t>4</w:t>
      </w:r>
    </w:p>
    <w:p>
      <w:pPr>
        <w:rPr>
          <w:rFonts w:hint="eastAsia" w:eastAsia="宋体"/>
          <w:sz w:val="28"/>
          <w:szCs w:val="28"/>
          <w:lang w:val="en-US" w:eastAsia="zh-CN"/>
        </w:rPr>
      </w:pPr>
      <w:r>
        <w:rPr>
          <w:rFonts w:hint="eastAsia"/>
          <w:sz w:val="24"/>
          <w:szCs w:val="24"/>
        </w:rPr>
        <w:t>四、财政拨款收入支出决算总表</w:t>
      </w:r>
      <w:r>
        <w:rPr>
          <w:rFonts w:hint="eastAsia"/>
          <w:sz w:val="28"/>
          <w:szCs w:val="28"/>
          <w:lang w:val="en-US" w:eastAsia="zh-CN"/>
        </w:rPr>
        <w:t>................................................................</w:t>
      </w:r>
      <w:r>
        <w:rPr>
          <w:rFonts w:hint="eastAsia"/>
          <w:sz w:val="28"/>
          <w:szCs w:val="28"/>
        </w:rPr>
        <w:t>3</w:t>
      </w:r>
      <w:r>
        <w:rPr>
          <w:rFonts w:hint="eastAsia"/>
          <w:sz w:val="28"/>
          <w:szCs w:val="28"/>
          <w:lang w:val="en-US" w:eastAsia="zh-CN"/>
        </w:rPr>
        <w:t>4</w:t>
      </w:r>
    </w:p>
    <w:p>
      <w:pPr>
        <w:rPr>
          <w:rFonts w:hint="eastAsia" w:eastAsia="宋体"/>
          <w:sz w:val="28"/>
          <w:szCs w:val="28"/>
          <w:lang w:val="en-US" w:eastAsia="zh-CN"/>
        </w:rPr>
      </w:pPr>
      <w:r>
        <w:rPr>
          <w:rFonts w:hint="eastAsia"/>
          <w:sz w:val="24"/>
          <w:szCs w:val="24"/>
        </w:rPr>
        <w:t>五、财政拨款支出决算明细表</w:t>
      </w:r>
      <w:r>
        <w:rPr>
          <w:rFonts w:hint="eastAsia"/>
          <w:sz w:val="28"/>
          <w:szCs w:val="28"/>
          <w:lang w:val="en-US" w:eastAsia="zh-CN"/>
        </w:rPr>
        <w:t>...................................................................</w:t>
      </w:r>
      <w:r>
        <w:rPr>
          <w:rFonts w:hint="eastAsia"/>
          <w:sz w:val="28"/>
          <w:szCs w:val="28"/>
        </w:rPr>
        <w:t>3</w:t>
      </w:r>
      <w:r>
        <w:rPr>
          <w:rFonts w:hint="eastAsia"/>
          <w:sz w:val="28"/>
          <w:szCs w:val="28"/>
          <w:lang w:val="en-US" w:eastAsia="zh-CN"/>
        </w:rPr>
        <w:t>4</w:t>
      </w:r>
    </w:p>
    <w:p>
      <w:pPr>
        <w:rPr>
          <w:rFonts w:hint="eastAsia" w:eastAsia="宋体"/>
          <w:sz w:val="28"/>
          <w:szCs w:val="28"/>
          <w:lang w:val="en-US" w:eastAsia="zh-CN"/>
        </w:rPr>
      </w:pPr>
      <w:r>
        <w:rPr>
          <w:rFonts w:hint="eastAsia"/>
          <w:sz w:val="24"/>
          <w:szCs w:val="24"/>
        </w:rPr>
        <w:t>六、一般公共预算财政拨款支出决算表</w:t>
      </w:r>
      <w:r>
        <w:rPr>
          <w:rFonts w:hint="eastAsia"/>
          <w:sz w:val="24"/>
          <w:szCs w:val="24"/>
          <w:lang w:val="en-US" w:eastAsia="zh-CN"/>
        </w:rPr>
        <w:t>.</w:t>
      </w:r>
      <w:r>
        <w:rPr>
          <w:rFonts w:hint="eastAsia"/>
          <w:sz w:val="28"/>
          <w:szCs w:val="28"/>
          <w:lang w:val="en-US" w:eastAsia="zh-CN"/>
        </w:rPr>
        <w:t>.....................................................</w:t>
      </w:r>
      <w:r>
        <w:rPr>
          <w:rFonts w:hint="eastAsia"/>
          <w:sz w:val="28"/>
          <w:szCs w:val="28"/>
        </w:rPr>
        <w:t>3</w:t>
      </w:r>
      <w:r>
        <w:rPr>
          <w:rFonts w:hint="eastAsia"/>
          <w:sz w:val="28"/>
          <w:szCs w:val="28"/>
          <w:lang w:val="en-US" w:eastAsia="zh-CN"/>
        </w:rPr>
        <w:t>4</w:t>
      </w:r>
    </w:p>
    <w:p>
      <w:pPr>
        <w:rPr>
          <w:rFonts w:hint="eastAsia" w:eastAsia="宋体"/>
          <w:sz w:val="28"/>
          <w:szCs w:val="28"/>
          <w:lang w:val="en-US" w:eastAsia="zh-CN"/>
        </w:rPr>
      </w:pPr>
      <w:r>
        <w:rPr>
          <w:rFonts w:hint="eastAsia"/>
          <w:sz w:val="24"/>
          <w:szCs w:val="24"/>
        </w:rPr>
        <w:t>七、一般公共预算财政拨款支出决算明细表</w:t>
      </w:r>
      <w:r>
        <w:rPr>
          <w:rFonts w:hint="eastAsia"/>
          <w:sz w:val="28"/>
          <w:szCs w:val="28"/>
          <w:lang w:val="en-US" w:eastAsia="zh-CN"/>
        </w:rPr>
        <w:t>...............................................</w:t>
      </w:r>
      <w:r>
        <w:rPr>
          <w:rFonts w:hint="eastAsia"/>
          <w:sz w:val="28"/>
          <w:szCs w:val="28"/>
        </w:rPr>
        <w:t>3</w:t>
      </w:r>
      <w:r>
        <w:rPr>
          <w:rFonts w:hint="eastAsia"/>
          <w:sz w:val="28"/>
          <w:szCs w:val="28"/>
          <w:lang w:val="en-US" w:eastAsia="zh-CN"/>
        </w:rPr>
        <w:t>4</w:t>
      </w:r>
    </w:p>
    <w:p>
      <w:pPr>
        <w:rPr>
          <w:rFonts w:hint="eastAsia" w:eastAsia="宋体"/>
          <w:sz w:val="28"/>
          <w:szCs w:val="28"/>
          <w:lang w:val="en-US" w:eastAsia="zh-CN"/>
        </w:rPr>
      </w:pPr>
      <w:r>
        <w:rPr>
          <w:rFonts w:hint="eastAsia"/>
          <w:sz w:val="24"/>
          <w:szCs w:val="24"/>
        </w:rPr>
        <w:t>八、一般公共预算财政拨款基本支出决算表</w:t>
      </w:r>
      <w:r>
        <w:rPr>
          <w:rFonts w:hint="eastAsia"/>
          <w:sz w:val="28"/>
          <w:szCs w:val="28"/>
        </w:rPr>
        <w:tab/>
      </w:r>
      <w:r>
        <w:rPr>
          <w:rFonts w:hint="eastAsia"/>
          <w:sz w:val="28"/>
          <w:szCs w:val="28"/>
          <w:lang w:val="en-US" w:eastAsia="zh-CN"/>
        </w:rPr>
        <w:t>..............................................</w:t>
      </w:r>
      <w:r>
        <w:rPr>
          <w:rFonts w:hint="eastAsia"/>
          <w:sz w:val="28"/>
          <w:szCs w:val="28"/>
        </w:rPr>
        <w:t>3</w:t>
      </w:r>
      <w:r>
        <w:rPr>
          <w:rFonts w:hint="eastAsia"/>
          <w:sz w:val="28"/>
          <w:szCs w:val="28"/>
          <w:lang w:val="en-US" w:eastAsia="zh-CN"/>
        </w:rPr>
        <w:t>4</w:t>
      </w:r>
    </w:p>
    <w:p>
      <w:pPr>
        <w:rPr>
          <w:rFonts w:hint="default"/>
          <w:sz w:val="28"/>
          <w:szCs w:val="28"/>
          <w:lang w:val="en-US" w:eastAsia="zh-CN"/>
        </w:rPr>
      </w:pPr>
      <w:r>
        <w:rPr>
          <w:rFonts w:hint="eastAsia"/>
          <w:sz w:val="24"/>
          <w:szCs w:val="24"/>
        </w:rPr>
        <w:t>九、一般公共预算财政拨款项目支出决算表</w:t>
      </w:r>
      <w:r>
        <w:rPr>
          <w:rFonts w:hint="eastAsia"/>
          <w:sz w:val="28"/>
          <w:szCs w:val="28"/>
          <w:lang w:val="en-US" w:eastAsia="zh-CN"/>
        </w:rPr>
        <w:t>...............................................34</w:t>
      </w:r>
    </w:p>
    <w:p>
      <w:pPr>
        <w:rPr>
          <w:rFonts w:hint="default"/>
          <w:sz w:val="28"/>
          <w:szCs w:val="28"/>
          <w:lang w:val="en-US" w:eastAsia="zh-CN"/>
        </w:rPr>
      </w:pPr>
      <w:r>
        <w:rPr>
          <w:rFonts w:hint="eastAsia"/>
          <w:sz w:val="24"/>
          <w:szCs w:val="24"/>
        </w:rPr>
        <w:t>十、政府性基金预算财政拨款收入支出决算表</w:t>
      </w:r>
      <w:r>
        <w:rPr>
          <w:rFonts w:hint="eastAsia"/>
          <w:sz w:val="28"/>
          <w:szCs w:val="28"/>
          <w:lang w:val="en-US" w:eastAsia="zh-CN"/>
        </w:rPr>
        <w:t>............................................34</w:t>
      </w:r>
    </w:p>
    <w:p>
      <w:pPr>
        <w:rPr>
          <w:rFonts w:hint="default"/>
          <w:sz w:val="28"/>
          <w:szCs w:val="28"/>
          <w:lang w:val="en-US" w:eastAsia="zh-CN"/>
        </w:rPr>
      </w:pPr>
      <w:r>
        <w:rPr>
          <w:rFonts w:hint="eastAsia"/>
          <w:sz w:val="24"/>
          <w:szCs w:val="24"/>
        </w:rPr>
        <w:t>十一、国有资本经营预算财政拨款收入支出决算表</w:t>
      </w:r>
      <w:r>
        <w:rPr>
          <w:rFonts w:hint="eastAsia"/>
          <w:sz w:val="28"/>
          <w:szCs w:val="28"/>
          <w:lang w:val="en-US" w:eastAsia="zh-CN"/>
        </w:rPr>
        <w:t>.....................................34</w:t>
      </w:r>
    </w:p>
    <w:p>
      <w:pPr>
        <w:rPr>
          <w:rFonts w:hint="default"/>
          <w:sz w:val="28"/>
          <w:szCs w:val="28"/>
          <w:lang w:val="en-US" w:eastAsia="zh-CN"/>
        </w:rPr>
      </w:pPr>
      <w:r>
        <w:rPr>
          <w:rFonts w:hint="eastAsia"/>
          <w:sz w:val="24"/>
          <w:szCs w:val="24"/>
        </w:rPr>
        <w:t>十二、国有资本经营预算财政拨款支出决算表</w:t>
      </w:r>
      <w:r>
        <w:rPr>
          <w:rFonts w:hint="eastAsia"/>
          <w:sz w:val="28"/>
          <w:szCs w:val="28"/>
          <w:lang w:val="en-US" w:eastAsia="zh-CN"/>
        </w:rPr>
        <w:t>............................................34</w:t>
      </w:r>
    </w:p>
    <w:p>
      <w:pPr>
        <w:rPr>
          <w:rFonts w:hint="eastAsia"/>
          <w:sz w:val="28"/>
          <w:szCs w:val="28"/>
          <w:lang w:val="en-US" w:eastAsia="zh-CN"/>
        </w:rPr>
      </w:pPr>
      <w:r>
        <w:rPr>
          <w:rFonts w:hint="eastAsia"/>
          <w:sz w:val="24"/>
          <w:szCs w:val="24"/>
        </w:rPr>
        <w:t>十三、财政拨款“三公”经费支出决算表</w:t>
      </w:r>
      <w:r>
        <w:rPr>
          <w:rFonts w:hint="eastAsia"/>
          <w:sz w:val="28"/>
          <w:szCs w:val="28"/>
          <w:lang w:val="en-US" w:eastAsia="zh-CN"/>
        </w:rPr>
        <w:t>...................................................34</w:t>
      </w:r>
    </w:p>
    <w:p>
      <w:pPr>
        <w:bidi w:val="0"/>
        <w:rPr>
          <w:rFonts w:hint="default" w:ascii="Times New Roman" w:hAnsi="Times New Roman" w:eastAsia="宋体" w:cs="Times New Roman"/>
          <w:kern w:val="2"/>
          <w:sz w:val="21"/>
          <w:szCs w:val="24"/>
          <w:lang w:val="en-US" w:eastAsia="zh-CN" w:bidi="ar-SA"/>
        </w:rPr>
      </w:pPr>
    </w:p>
    <w:p>
      <w:pPr>
        <w:bidi w:val="0"/>
        <w:rPr>
          <w:rFonts w:hint="default"/>
          <w:lang w:val="en-US" w:eastAsia="zh-CN"/>
        </w:rPr>
        <w:sectPr>
          <w:footerReference r:id="rId6" w:type="default"/>
          <w:pgSz w:w="11906" w:h="16838"/>
          <w:pgMar w:top="1440" w:right="1800" w:bottom="1440" w:left="1800" w:header="720" w:footer="720" w:gutter="0"/>
          <w:cols w:space="720" w:num="1"/>
          <w:docGrid w:type="lines" w:linePitch="312" w:charSpace="0"/>
        </w:sectPr>
      </w:pPr>
    </w:p>
    <w:p>
      <w:pPr>
        <w:pStyle w:val="5"/>
        <w:jc w:val="center"/>
        <w:rPr>
          <w:rFonts w:ascii="Times New Roman" w:hAnsi="Times New Roman" w:eastAsia="黑体"/>
          <w:color w:val="auto"/>
          <w:sz w:val="32"/>
          <w:szCs w:val="32"/>
          <w:highlight w:val="none"/>
        </w:rPr>
      </w:pPr>
      <w:bookmarkStart w:id="6" w:name="_Toc11530"/>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6"/>
    </w:p>
    <w:p>
      <w:pPr>
        <w:pStyle w:val="6"/>
        <w:pageBreakBefore w:val="0"/>
        <w:widowControl w:val="0"/>
        <w:numPr>
          <w:ilvl w:val="0"/>
          <w:numId w:val="1"/>
        </w:numPr>
        <w:kinsoku/>
        <w:wordWrap/>
        <w:overflowPunct/>
        <w:topLinePunct w:val="0"/>
        <w:autoSpaceDE/>
        <w:autoSpaceDN/>
        <w:bidi w:val="0"/>
        <w:spacing w:before="0" w:after="0" w:line="560" w:lineRule="exact"/>
        <w:textAlignment w:val="auto"/>
        <w:rPr>
          <w:rFonts w:hint="eastAsia" w:ascii="Times New Roman" w:hAnsi="Times New Roman" w:eastAsia="黑体"/>
          <w:b w:val="0"/>
          <w:color w:val="auto"/>
          <w:highlight w:val="none"/>
          <w:lang w:eastAsia="zh-CN"/>
        </w:rPr>
      </w:pPr>
      <w:bookmarkStart w:id="7" w:name="_Toc20632"/>
      <w:r>
        <w:rPr>
          <w:rFonts w:hint="eastAsia" w:ascii="Times New Roman" w:hAnsi="Times New Roman" w:eastAsia="黑体"/>
          <w:b w:val="0"/>
          <w:color w:val="auto"/>
          <w:highlight w:val="none"/>
          <w:lang w:eastAsia="zh-CN"/>
        </w:rPr>
        <w:t>部门职责</w:t>
      </w:r>
      <w:bookmarkEnd w:id="7"/>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依照国家法律、法规、规章、组织领导和综合协调全县各乡镇、各部门的统计和国民经济核算工作，准确、及时、全面地反映县情县力，反映社会经济发展的基本情况，为茂县制定政策、计划、指导经济和社会发展提供依据；监督检查统计法律、法规的实施，查处统计违法案件。</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根据全县宏观管理和科学决策的要求，建立健全全县国民经济核算体系和统计指标体系，制定和管理全县统一的基本报表制度；制定</w:t>
      </w:r>
      <w:r>
        <w:rPr>
          <w:rFonts w:hint="eastAsia" w:ascii="Times New Roman" w:cs="Times New Roman"/>
          <w:kern w:val="2"/>
          <w:sz w:val="32"/>
          <w:szCs w:val="32"/>
          <w:lang w:eastAsia="zh-CN" w:bidi="ar-SA"/>
        </w:rPr>
        <w:t>较</w:t>
      </w:r>
      <w:r>
        <w:rPr>
          <w:rFonts w:hint="default" w:ascii="Times New Roman" w:hAnsi="Times New Roman" w:eastAsia="仿宋_GB2312" w:cs="Times New Roman"/>
          <w:kern w:val="2"/>
          <w:sz w:val="32"/>
          <w:szCs w:val="32"/>
          <w:lang w:bidi="ar-SA"/>
        </w:rPr>
        <w:t>有关部门共同制定全县统计标准，审定部门统计标准；管理全县统计调查项目，审批全县各镇、各部门的统计调查计划、调查方案和统计报表。</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负责组织实施全县重大的国情国力普查和专项统计调查；汇总、整理全县的基本统计资料；对国民经济运行、科技进步和社会发展情况进行统计分析、预测、监督；向县委、</w:t>
      </w:r>
      <w:r>
        <w:rPr>
          <w:rFonts w:hint="default" w:ascii="Times New Roman" w:hAnsi="Times New Roman" w:eastAsia="仿宋_GB2312" w:cs="Times New Roman"/>
          <w:kern w:val="2"/>
          <w:sz w:val="32"/>
          <w:szCs w:val="32"/>
          <w:lang w:eastAsia="zh-CN" w:bidi="ar-SA"/>
        </w:rPr>
        <w:t>县</w:t>
      </w:r>
      <w:r>
        <w:rPr>
          <w:rFonts w:hint="default" w:ascii="Times New Roman" w:hAnsi="Times New Roman" w:eastAsia="仿宋_GB2312" w:cs="Times New Roman"/>
          <w:kern w:val="2"/>
          <w:sz w:val="32"/>
          <w:szCs w:val="32"/>
          <w:lang w:bidi="ar-SA"/>
        </w:rPr>
        <w:t>政府及有关部门提供统计信息和咨询建议。</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统一核定、管理、公布、出版全县的基本统计资料，定期发布全县国民经济和社会发展情况的统计信息，积极培育和发展县内信息咨询服务市场。</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负责收集、整理、提供全县性的基本统计资料和全县居民的年度主要统计资料，并对国民经济社会发展和科技进步情况进行分析、预测，向县政府提供统计建议。</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调查、编算、提供消费及零售物价指数资料，进行市场物价分析、预测、监控工作。</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调查、编算、提供城乡居民家庭收支抽样调查资料，适时反映居民生活消费情况。</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建立健全和管理全县统计信息自动化系统和统计数据库体系；制定全县各镇、各部门统计数据库网络的基本标准和运行规则。</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default" w:ascii="Times New Roman" w:hAnsi="Times New Roman" w:eastAsia="仿宋_GB2312" w:cs="Times New Roman"/>
          <w:kern w:val="2"/>
          <w:sz w:val="32"/>
          <w:szCs w:val="32"/>
          <w:lang w:bidi="ar-SA"/>
        </w:rPr>
      </w:pPr>
      <w:r>
        <w:rPr>
          <w:rFonts w:hint="default" w:ascii="Times New Roman" w:hAnsi="Times New Roman" w:eastAsia="仿宋_GB2312" w:cs="Times New Roman"/>
          <w:kern w:val="2"/>
          <w:sz w:val="32"/>
          <w:szCs w:val="32"/>
          <w:lang w:bidi="ar-SA"/>
        </w:rPr>
        <w:t>根据州统计局的安排负责组织全县统计系统专业技术资格考试和职务评审，统计人员的统计专业技术岗位培训和继续教育工作。</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eastAsia"/>
          <w:lang w:eastAsia="zh-CN"/>
        </w:rPr>
      </w:pPr>
      <w:r>
        <w:rPr>
          <w:rFonts w:hint="default" w:ascii="Times New Roman" w:hAnsi="Times New Roman" w:eastAsia="仿宋_GB2312" w:cs="Times New Roman"/>
          <w:kern w:val="2"/>
          <w:sz w:val="32"/>
          <w:szCs w:val="32"/>
          <w:lang w:bidi="ar-SA"/>
        </w:rPr>
        <w:t>承担县政府公布的有关行政审批事项。</w:t>
      </w:r>
    </w:p>
    <w:p>
      <w:pPr>
        <w:pStyle w:val="8"/>
        <w:keepNext w:val="0"/>
        <w:keepLines w:val="0"/>
        <w:pageBreakBefore w:val="0"/>
        <w:widowControl w:val="0"/>
        <w:numPr>
          <w:ilvl w:val="0"/>
          <w:numId w:val="2"/>
        </w:numPr>
        <w:kinsoku/>
        <w:wordWrap/>
        <w:overflowPunct/>
        <w:topLinePunct w:val="0"/>
        <w:autoSpaceDE/>
        <w:autoSpaceDN/>
        <w:bidi w:val="0"/>
        <w:adjustRightInd w:val="0"/>
        <w:snapToGrid w:val="0"/>
        <w:spacing w:beforeLines="0" w:line="600" w:lineRule="exact"/>
        <w:ind w:left="0" w:right="0" w:firstLine="640" w:firstLineChars="200"/>
        <w:jc w:val="both"/>
        <w:textAlignment w:val="auto"/>
        <w:rPr>
          <w:rFonts w:hint="eastAsia"/>
          <w:lang w:eastAsia="zh-CN"/>
        </w:rPr>
      </w:pPr>
      <w:r>
        <w:rPr>
          <w:rFonts w:hint="default" w:ascii="Times New Roman" w:hAnsi="Times New Roman" w:eastAsia="仿宋_GB2312" w:cs="Times New Roman"/>
          <w:kern w:val="2"/>
          <w:sz w:val="32"/>
          <w:szCs w:val="32"/>
          <w:lang w:bidi="ar-SA"/>
        </w:rPr>
        <w:t>承办县政府交办的其他事项。</w:t>
      </w:r>
    </w:p>
    <w:p>
      <w:pPr>
        <w:pStyle w:val="6"/>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b w:val="0"/>
          <w:color w:val="auto"/>
          <w:highlight w:val="none"/>
        </w:rPr>
      </w:pPr>
      <w:bookmarkStart w:id="8" w:name="_Toc8124"/>
      <w:bookmarkStart w:id="9" w:name="_Toc15396601"/>
      <w:bookmarkStart w:id="10" w:name="_Toc15377200"/>
      <w:r>
        <w:rPr>
          <w:rFonts w:hint="eastAsia" w:ascii="Times New Roman" w:hAnsi="Times New Roman" w:eastAsia="黑体"/>
          <w:b w:val="0"/>
          <w:color w:val="auto"/>
          <w:highlight w:val="none"/>
          <w:lang w:val="en-US" w:eastAsia="zh-CN"/>
        </w:rPr>
        <w:t>二、</w:t>
      </w:r>
      <w:r>
        <w:rPr>
          <w:rFonts w:hint="eastAsia" w:ascii="Times New Roman" w:hAnsi="Times New Roman" w:eastAsia="黑体"/>
          <w:b w:val="0"/>
          <w:color w:val="auto"/>
          <w:highlight w:val="none"/>
        </w:rPr>
        <w:t>机构设置</w:t>
      </w:r>
      <w:bookmarkEnd w:id="8"/>
      <w:bookmarkEnd w:id="9"/>
      <w:bookmarkEnd w:id="10"/>
    </w:p>
    <w:p>
      <w:pPr>
        <w:pStyle w:val="1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rPr>
      </w:pPr>
      <w:r>
        <w:rPr>
          <w:rFonts w:hint="eastAsia" w:ascii="仿宋_GB2312" w:hAnsi="仿宋_GB2312" w:eastAsia="仿宋_GB2312" w:cs="仿宋_GB2312"/>
          <w:b w:val="0"/>
          <w:bCs w:val="0"/>
          <w:color w:val="auto"/>
          <w:sz w:val="32"/>
          <w:szCs w:val="32"/>
          <w:highlight w:val="none"/>
        </w:rPr>
        <w:t>四川省阿坝州茂县统计局</w:t>
      </w:r>
      <w:r>
        <w:rPr>
          <w:rFonts w:hint="eastAsia" w:ascii="仿宋_GB2312" w:hAnsi="仿宋_GB2312" w:eastAsia="仿宋_GB2312" w:cs="仿宋_GB2312"/>
          <w:b w:val="0"/>
          <w:bCs w:val="0"/>
          <w:color w:val="auto"/>
          <w:kern w:val="2"/>
          <w:sz w:val="32"/>
          <w:szCs w:val="32"/>
          <w:lang w:val="en-US" w:eastAsia="zh-CN" w:bidi="ar-SA"/>
        </w:rPr>
        <w:t>下属</w:t>
      </w:r>
      <w:r>
        <w:rPr>
          <w:rFonts w:hint="eastAsia" w:ascii="仿宋_GB2312" w:hAnsi="仿宋_GB2312" w:eastAsia="仿宋_GB2312" w:cs="仿宋_GB2312"/>
          <w:b w:val="0"/>
          <w:bCs w:val="0"/>
          <w:color w:val="auto"/>
          <w:kern w:val="2"/>
          <w:sz w:val="32"/>
          <w:szCs w:val="32"/>
          <w:lang w:eastAsia="zh-CN" w:bidi="ar-SA"/>
        </w:rPr>
        <w:t>二级预算单位</w:t>
      </w:r>
      <w:r>
        <w:rPr>
          <w:rFonts w:hint="eastAsia" w:ascii="仿宋_GB2312" w:hAnsi="仿宋_GB2312" w:eastAsia="仿宋_GB2312" w:cs="仿宋_GB2312"/>
          <w:b w:val="0"/>
          <w:bCs w:val="0"/>
          <w:color w:val="auto"/>
          <w:kern w:val="2"/>
          <w:sz w:val="32"/>
          <w:szCs w:val="32"/>
          <w:lang w:val="en-US" w:eastAsia="zh-CN" w:bidi="ar-SA"/>
        </w:rPr>
        <w:t>0</w:t>
      </w:r>
      <w:r>
        <w:rPr>
          <w:rFonts w:hint="eastAsia" w:ascii="仿宋_GB2312" w:hAnsi="仿宋_GB2312" w:eastAsia="仿宋_GB2312" w:cs="仿宋_GB2312"/>
          <w:b w:val="0"/>
          <w:bCs w:val="0"/>
          <w:color w:val="auto"/>
          <w:kern w:val="2"/>
          <w:sz w:val="32"/>
          <w:szCs w:val="32"/>
          <w:lang w:eastAsia="zh-CN" w:bidi="ar-SA"/>
        </w:rPr>
        <w:t>个，其中行政单位</w:t>
      </w:r>
      <w:r>
        <w:rPr>
          <w:rFonts w:hint="eastAsia" w:ascii="仿宋_GB2312" w:hAnsi="仿宋_GB2312" w:eastAsia="仿宋_GB2312" w:cs="仿宋_GB2312"/>
          <w:b w:val="0"/>
          <w:bCs w:val="0"/>
          <w:color w:val="auto"/>
          <w:kern w:val="2"/>
          <w:sz w:val="32"/>
          <w:szCs w:val="32"/>
          <w:lang w:val="en-US" w:eastAsia="zh-CN" w:bidi="ar-SA"/>
        </w:rPr>
        <w:t>0</w:t>
      </w:r>
      <w:r>
        <w:rPr>
          <w:rFonts w:hint="eastAsia" w:ascii="仿宋_GB2312" w:hAnsi="仿宋_GB2312" w:eastAsia="仿宋_GB2312" w:cs="仿宋_GB2312"/>
          <w:b w:val="0"/>
          <w:bCs w:val="0"/>
          <w:color w:val="auto"/>
          <w:kern w:val="2"/>
          <w:sz w:val="32"/>
          <w:szCs w:val="32"/>
          <w:lang w:eastAsia="zh-CN" w:bidi="ar-SA"/>
        </w:rPr>
        <w:t>个，参照公务员法管理的事业单位</w:t>
      </w:r>
      <w:r>
        <w:rPr>
          <w:rFonts w:hint="eastAsia" w:ascii="仿宋_GB2312" w:hAnsi="仿宋_GB2312" w:eastAsia="仿宋_GB2312" w:cs="仿宋_GB2312"/>
          <w:b w:val="0"/>
          <w:bCs w:val="0"/>
          <w:color w:val="auto"/>
          <w:kern w:val="2"/>
          <w:sz w:val="32"/>
          <w:szCs w:val="32"/>
          <w:lang w:val="en-US" w:eastAsia="zh-CN" w:bidi="ar-SA"/>
        </w:rPr>
        <w:t>0</w:t>
      </w:r>
      <w:r>
        <w:rPr>
          <w:rFonts w:hint="eastAsia" w:ascii="仿宋_GB2312" w:hAnsi="仿宋_GB2312" w:eastAsia="仿宋_GB2312" w:cs="仿宋_GB2312"/>
          <w:b w:val="0"/>
          <w:bCs w:val="0"/>
          <w:color w:val="auto"/>
          <w:kern w:val="2"/>
          <w:sz w:val="32"/>
          <w:szCs w:val="32"/>
          <w:lang w:eastAsia="zh-CN" w:bidi="ar-SA"/>
        </w:rPr>
        <w:t>个，其他事业单位</w:t>
      </w:r>
      <w:r>
        <w:rPr>
          <w:rFonts w:hint="eastAsia" w:ascii="仿宋_GB2312" w:hAnsi="仿宋_GB2312" w:eastAsia="仿宋_GB2312" w:cs="仿宋_GB2312"/>
          <w:b w:val="0"/>
          <w:bCs w:val="0"/>
          <w:color w:val="auto"/>
          <w:kern w:val="2"/>
          <w:sz w:val="32"/>
          <w:szCs w:val="32"/>
          <w:lang w:val="en-US" w:eastAsia="zh-CN" w:bidi="ar-SA"/>
        </w:rPr>
        <w:t>0</w:t>
      </w:r>
      <w:r>
        <w:rPr>
          <w:rFonts w:hint="eastAsia" w:ascii="仿宋_GB2312" w:hAnsi="仿宋_GB2312" w:eastAsia="仿宋_GB2312" w:cs="仿宋_GB2312"/>
          <w:b w:val="0"/>
          <w:bCs w:val="0"/>
          <w:color w:val="auto"/>
          <w:kern w:val="2"/>
          <w:sz w:val="32"/>
          <w:szCs w:val="32"/>
          <w:lang w:eastAsia="zh-CN" w:bidi="ar-SA"/>
        </w:rPr>
        <w:t>个。</w:t>
      </w:r>
    </w:p>
    <w:p>
      <w:pPr>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rPr>
          <w:rFonts w:hint="eastAsia"/>
        </w:rPr>
      </w:pPr>
    </w:p>
    <w:p>
      <w:pPr>
        <w:pStyle w:val="14"/>
        <w:rPr>
          <w:rFonts w:hint="eastAsia"/>
        </w:rPr>
      </w:pPr>
    </w:p>
    <w:p>
      <w:pPr>
        <w:pStyle w:val="14"/>
        <w:rPr>
          <w:rFonts w:hint="eastAsia"/>
        </w:rPr>
      </w:pPr>
    </w:p>
    <w:p>
      <w:pPr>
        <w:pStyle w:val="5"/>
        <w:jc w:val="center"/>
        <w:rPr>
          <w:rFonts w:ascii="Times New Roman" w:hAnsi="Times New Roman"/>
          <w:color w:val="auto"/>
          <w:highlight w:val="none"/>
        </w:rPr>
      </w:pPr>
      <w:bookmarkStart w:id="11" w:name="_Toc2201"/>
      <w:bookmarkStart w:id="12" w:name="_Toc15377204"/>
      <w:bookmarkStart w:id="13"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1"/>
      <w:bookmarkEnd w:id="12"/>
      <w:bookmarkEnd w:id="13"/>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14" w:name="_Toc23"/>
      <w:bookmarkStart w:id="15" w:name="_Toc15377205"/>
      <w:bookmarkStart w:id="16"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4"/>
      <w:bookmarkEnd w:id="15"/>
      <w:bookmarkEnd w:id="16"/>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2024年度收入</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支出</w:t>
      </w:r>
      <w:r>
        <w:rPr>
          <w:rFonts w:hint="eastAsia" w:ascii="仿宋_GB2312" w:hAnsi="仿宋_GB2312" w:eastAsia="仿宋_GB2312" w:cs="仿宋_GB2312"/>
          <w:b w:val="0"/>
          <w:bCs w:val="0"/>
          <w:color w:val="auto"/>
          <w:sz w:val="32"/>
          <w:szCs w:val="32"/>
          <w:highlight w:val="none"/>
        </w:rPr>
        <w:t>总计</w:t>
      </w:r>
      <w:r>
        <w:rPr>
          <w:rFonts w:hint="eastAsia" w:ascii="仿宋_GB2312" w:hAnsi="仿宋_GB2312" w:eastAsia="仿宋_GB2312" w:cs="仿宋_GB2312"/>
          <w:b w:val="0"/>
          <w:bCs w:val="0"/>
          <w:color w:val="auto"/>
          <w:sz w:val="32"/>
          <w:szCs w:val="32"/>
          <w:highlight w:val="none"/>
          <w:lang w:eastAsia="zh-CN"/>
        </w:rPr>
        <w:t>均为</w:t>
      </w:r>
      <w:r>
        <w:rPr>
          <w:rFonts w:hint="eastAsia" w:ascii="仿宋_GB2312" w:hAnsi="仿宋_GB2312" w:eastAsia="仿宋_GB2312" w:cs="仿宋_GB2312"/>
          <w:b w:val="0"/>
          <w:bCs w:val="0"/>
          <w:color w:val="auto"/>
          <w:sz w:val="32"/>
          <w:szCs w:val="32"/>
          <w:highlight w:val="none"/>
        </w:rPr>
        <w:t>434.15万元。</w:t>
      </w:r>
      <w:r>
        <w:rPr>
          <w:rFonts w:hint="eastAsia" w:ascii="仿宋_GB2312" w:hAnsi="仿宋_GB2312" w:eastAsia="仿宋_GB2312" w:cs="仿宋_GB2312"/>
          <w:b w:val="0"/>
          <w:bCs w:val="0"/>
          <w:color w:val="auto"/>
          <w:sz w:val="32"/>
          <w:szCs w:val="32"/>
          <w:highlight w:val="none"/>
          <w:lang w:val="en-US" w:eastAsia="zh-CN"/>
        </w:rPr>
        <w:t>较</w:t>
      </w:r>
      <w:r>
        <w:rPr>
          <w:rFonts w:hint="eastAsia" w:ascii="仿宋_GB2312" w:hAnsi="仿宋_GB2312" w:eastAsia="仿宋_GB2312" w:cs="仿宋_GB2312"/>
          <w:b w:val="0"/>
          <w:bCs w:val="0"/>
          <w:color w:val="auto"/>
          <w:sz w:val="32"/>
          <w:szCs w:val="32"/>
          <w:highlight w:val="none"/>
          <w:lang w:eastAsia="zh-CN"/>
        </w:rPr>
        <w:t>202</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eastAsia="zh-CN"/>
        </w:rPr>
        <w:t>度</w:t>
      </w:r>
      <w:r>
        <w:rPr>
          <w:rFonts w:hint="eastAsia" w:ascii="仿宋_GB2312" w:hAnsi="仿宋_GB2312" w:eastAsia="仿宋_GB2312" w:cs="仿宋_GB2312"/>
          <w:b w:val="0"/>
          <w:bCs w:val="0"/>
          <w:color w:val="auto"/>
          <w:sz w:val="32"/>
          <w:szCs w:val="32"/>
          <w:highlight w:val="none"/>
        </w:rPr>
        <w:t>相比，</w:t>
      </w:r>
      <w:r>
        <w:rPr>
          <w:rFonts w:hint="eastAsia" w:ascii="仿宋_GB2312" w:hAnsi="仿宋_GB2312" w:eastAsia="仿宋_GB2312" w:cs="仿宋_GB2312"/>
          <w:b w:val="0"/>
          <w:bCs w:val="0"/>
          <w:color w:val="auto"/>
          <w:sz w:val="32"/>
          <w:szCs w:val="32"/>
          <w:highlight w:val="none"/>
          <w:lang w:eastAsia="zh-CN"/>
        </w:rPr>
        <w:t>收入</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支出</w:t>
      </w:r>
      <w:r>
        <w:rPr>
          <w:rFonts w:hint="eastAsia" w:ascii="仿宋_GB2312" w:hAnsi="仿宋_GB2312" w:eastAsia="仿宋_GB2312" w:cs="仿宋_GB2312"/>
          <w:b w:val="0"/>
          <w:bCs w:val="0"/>
          <w:color w:val="auto"/>
          <w:sz w:val="32"/>
          <w:szCs w:val="32"/>
          <w:highlight w:val="none"/>
        </w:rPr>
        <w:t>总计各增加</w:t>
      </w:r>
      <w:r>
        <w:rPr>
          <w:rFonts w:hint="eastAsia" w:ascii="仿宋_GB2312" w:hAnsi="仿宋_GB2312" w:eastAsia="仿宋_GB2312" w:cs="仿宋_GB2312"/>
          <w:b w:val="0"/>
          <w:bCs w:val="0"/>
          <w:color w:val="auto"/>
          <w:sz w:val="32"/>
          <w:szCs w:val="32"/>
          <w:highlight w:val="none"/>
          <w:lang w:val="en-US" w:eastAsia="zh-CN"/>
        </w:rPr>
        <w:t>93.15</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27</w:t>
      </w:r>
      <w:r>
        <w:rPr>
          <w:rFonts w:hint="eastAsia" w:ascii="仿宋_GB2312" w:hAnsi="仿宋_GB2312" w:eastAsia="仿宋_GB2312" w:cs="仿宋_GB2312"/>
          <w:b w:val="0"/>
          <w:bCs w:val="0"/>
          <w:color w:val="auto"/>
          <w:sz w:val="32"/>
          <w:szCs w:val="32"/>
          <w:highlight w:val="none"/>
        </w:rPr>
        <w:t>%。主要变动原因</w:t>
      </w:r>
      <w:r>
        <w:rPr>
          <w:rFonts w:hint="eastAsia" w:ascii="仿宋_GB2312" w:hAnsi="仿宋_GB2312" w:eastAsia="仿宋_GB2312" w:cs="仿宋_GB2312"/>
          <w:b w:val="0"/>
          <w:bCs w:val="0"/>
          <w:color w:val="auto"/>
          <w:sz w:val="32"/>
          <w:szCs w:val="32"/>
          <w:highlight w:val="none"/>
          <w:lang w:val="en-US" w:eastAsia="zh-CN"/>
        </w:rPr>
        <w:t>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本年项目继续实施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项目支出增加，以</w:t>
      </w:r>
      <w:r>
        <w:rPr>
          <w:rFonts w:hint="eastAsia" w:ascii="仿宋_GB2312" w:hAnsi="仿宋_GB2312" w:eastAsia="仿宋_GB2312" w:cs="仿宋_GB2312"/>
          <w:b w:val="0"/>
          <w:bCs w:val="0"/>
          <w:color w:val="auto"/>
          <w:sz w:val="32"/>
          <w:szCs w:val="32"/>
          <w:highlight w:val="none"/>
        </w:rPr>
        <w:t>及人员变动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职级晋升</w:t>
      </w:r>
      <w:r>
        <w:rPr>
          <w:rFonts w:hint="eastAsia" w:ascii="仿宋_GB2312" w:hAnsi="仿宋_GB2312" w:eastAsia="仿宋_GB2312" w:cs="仿宋_GB2312"/>
          <w:b w:val="0"/>
          <w:bCs w:val="0"/>
          <w:color w:val="auto"/>
          <w:sz w:val="32"/>
          <w:szCs w:val="32"/>
          <w:highlight w:val="none"/>
        </w:rPr>
        <w:t>等原因收支数据增加</w:t>
      </w:r>
      <w:r>
        <w:rPr>
          <w:rFonts w:hint="eastAsia" w:ascii="仿宋_GB2312" w:hAnsi="仿宋_GB2312" w:eastAsia="仿宋_GB2312" w:cs="仿宋_GB2312"/>
          <w:b w:val="0"/>
          <w:bCs w:val="0"/>
          <w:color w:val="auto"/>
          <w:sz w:val="32"/>
          <w:szCs w:val="32"/>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7" w:name="_Toc9354"/>
      <w:bookmarkStart w:id="18" w:name="_Toc15377206"/>
      <w:bookmarkStart w:id="19" w:name="_Toc15396604"/>
    </w:p>
    <w:p>
      <w:pPr>
        <w:pStyle w:val="2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7"/>
      <w:bookmarkEnd w:id="18"/>
      <w:bookmarkEnd w:id="19"/>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2024年度本年收入合计</w:t>
      </w:r>
      <w:r>
        <w:rPr>
          <w:rFonts w:hint="eastAsia" w:ascii="仿宋_GB2312" w:hAnsi="仿宋_GB2312" w:eastAsia="仿宋_GB2312" w:cs="仿宋_GB2312"/>
          <w:b w:val="0"/>
          <w:bCs w:val="0"/>
          <w:color w:val="auto"/>
          <w:sz w:val="32"/>
          <w:szCs w:val="32"/>
          <w:highlight w:val="none"/>
        </w:rPr>
        <w:t>434.15万元，其中：一般公共预算财政拨款收入434.15</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color w:val="auto"/>
          <w:sz w:val="32"/>
          <w:szCs w:val="32"/>
          <w:highlight w:val="none"/>
        </w:rPr>
        <w:t>100</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政府性基金预算财政拨款收入</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0</w:t>
      </w:r>
      <w:r>
        <w:rPr>
          <w:rFonts w:hint="eastAsia" w:ascii="仿宋_GB2312" w:hAnsi="仿宋_GB2312" w:eastAsia="仿宋_GB2312" w:cs="仿宋_GB2312"/>
          <w:b w:val="0"/>
          <w:bCs w:val="0"/>
          <w:color w:val="auto"/>
          <w:sz w:val="32"/>
          <w:szCs w:val="32"/>
          <w:highlight w:val="none"/>
        </w:rPr>
        <w:t>%。</w:t>
      </w:r>
    </w:p>
    <w:p>
      <w:pPr>
        <w:pStyle w:val="14"/>
        <w:rPr>
          <w:rFonts w:hint="eastAsia" w:ascii="Times New Roman" w:hAnsi="Times New Roman" w:eastAsia="仿宋_GB2312" w:cs="仿宋_GB2312"/>
          <w:color w:val="auto"/>
          <w:sz w:val="32"/>
          <w:szCs w:val="32"/>
          <w:highlight w:val="none"/>
          <w:lang w:eastAsia="zh-CN"/>
        </w:rPr>
      </w:pPr>
      <w:r>
        <w:rPr>
          <w:rFonts w:hint="eastAsia"/>
          <w:lang w:eastAsia="zh-CN"/>
        </w:rPr>
        <w:drawing>
          <wp:inline distT="0" distB="0" distL="114300" distR="114300">
            <wp:extent cx="5256530" cy="2988310"/>
            <wp:effectExtent l="5080" t="4445" r="15240" b="1714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0" w:name="_Toc15377207"/>
      <w:bookmarkStart w:id="21" w:name="_Toc29403"/>
      <w:bookmarkStart w:id="22" w:name="_Toc15396605"/>
    </w:p>
    <w:p>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0"/>
      <w:bookmarkEnd w:id="21"/>
      <w:bookmarkEnd w:id="22"/>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lang w:eastAsia="zh-CN"/>
        </w:rPr>
      </w:pPr>
      <w:r>
        <w:rPr>
          <w:rFonts w:hint="eastAsia" w:ascii="仿宋_GB2312" w:hAnsi="仿宋_GB2312" w:eastAsia="仿宋_GB2312" w:cs="仿宋_GB2312"/>
          <w:b w:val="0"/>
          <w:bCs w:val="0"/>
          <w:color w:val="auto"/>
          <w:sz w:val="32"/>
          <w:szCs w:val="32"/>
          <w:highlight w:val="none"/>
          <w:lang w:eastAsia="zh-CN"/>
        </w:rPr>
        <w:t>2024年度本年支出合计</w:t>
      </w:r>
      <w:r>
        <w:rPr>
          <w:rFonts w:hint="eastAsia" w:ascii="仿宋_GB2312" w:hAnsi="仿宋_GB2312" w:eastAsia="仿宋_GB2312" w:cs="仿宋_GB2312"/>
          <w:b w:val="0"/>
          <w:bCs w:val="0"/>
          <w:color w:val="auto"/>
          <w:sz w:val="32"/>
          <w:szCs w:val="32"/>
          <w:highlight w:val="none"/>
        </w:rPr>
        <w:t>434.15</w:t>
      </w:r>
      <w:r>
        <w:rPr>
          <w:rFonts w:hint="eastAsia" w:ascii="仿宋_GB2312" w:hAnsi="仿宋_GB2312" w:eastAsia="仿宋_GB2312" w:cs="仿宋_GB2312"/>
          <w:b w:val="0"/>
          <w:bCs w:val="0"/>
          <w:color w:val="auto"/>
          <w:sz w:val="32"/>
          <w:szCs w:val="32"/>
          <w:highlight w:val="none"/>
          <w:lang w:eastAsia="zh-CN"/>
        </w:rPr>
        <w:t>万元，其中：基本支出</w:t>
      </w:r>
      <w:r>
        <w:rPr>
          <w:rFonts w:hint="eastAsia" w:ascii="仿宋_GB2312" w:hAnsi="仿宋_GB2312" w:eastAsia="仿宋_GB2312" w:cs="仿宋_GB2312"/>
          <w:b w:val="0"/>
          <w:bCs w:val="0"/>
          <w:color w:val="auto"/>
          <w:sz w:val="32"/>
          <w:szCs w:val="32"/>
          <w:highlight w:val="none"/>
        </w:rPr>
        <w:t>281.44</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color w:val="auto"/>
          <w:sz w:val="32"/>
          <w:szCs w:val="32"/>
          <w:highlight w:val="none"/>
        </w:rPr>
        <w:t>64.82</w:t>
      </w:r>
      <w:r>
        <w:rPr>
          <w:rFonts w:hint="eastAsia" w:ascii="仿宋_GB2312" w:hAnsi="仿宋_GB2312" w:eastAsia="仿宋_GB2312" w:cs="仿宋_GB2312"/>
          <w:b w:val="0"/>
          <w:bCs w:val="0"/>
          <w:color w:val="auto"/>
          <w:sz w:val="32"/>
          <w:szCs w:val="32"/>
          <w:highlight w:val="none"/>
          <w:lang w:eastAsia="zh-CN"/>
        </w:rPr>
        <w:t>%；项目支出</w:t>
      </w:r>
      <w:r>
        <w:rPr>
          <w:rFonts w:hint="eastAsia" w:ascii="仿宋_GB2312" w:hAnsi="仿宋_GB2312" w:eastAsia="仿宋_GB2312" w:cs="仿宋_GB2312"/>
          <w:b w:val="0"/>
          <w:bCs w:val="0"/>
          <w:color w:val="auto"/>
          <w:sz w:val="32"/>
          <w:szCs w:val="32"/>
          <w:highlight w:val="none"/>
        </w:rPr>
        <w:t>152.71</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color w:val="auto"/>
          <w:sz w:val="32"/>
          <w:szCs w:val="32"/>
          <w:highlight w:val="none"/>
        </w:rPr>
        <w:t>35.17</w:t>
      </w:r>
      <w:r>
        <w:rPr>
          <w:rFonts w:hint="eastAsia" w:ascii="仿宋_GB2312" w:hAnsi="仿宋_GB2312" w:eastAsia="仿宋_GB2312" w:cs="仿宋_GB2312"/>
          <w:b w:val="0"/>
          <w:bCs w:val="0"/>
          <w:color w:val="auto"/>
          <w:sz w:val="32"/>
          <w:szCs w:val="32"/>
          <w:highlight w:val="none"/>
          <w:lang w:eastAsia="zh-CN"/>
        </w:rPr>
        <w:t>%。</w:t>
      </w:r>
    </w:p>
    <w:p>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5240" b="1714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0"/>
          <w:rFonts w:ascii="Times New Roman" w:hAnsi="Times New Roman" w:eastAsia="黑体"/>
          <w:b w:val="0"/>
          <w:color w:val="auto"/>
          <w:highlight w:val="none"/>
        </w:rPr>
      </w:pPr>
      <w:bookmarkStart w:id="23" w:name="_Toc15377208"/>
      <w:bookmarkStart w:id="24" w:name="_Toc32663"/>
      <w:bookmarkStart w:id="25" w:name="_Toc15396606"/>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3"/>
      <w:bookmarkEnd w:id="24"/>
      <w:bookmarkEnd w:id="25"/>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2024年度财政拨款收入、支出总计均为</w:t>
      </w:r>
      <w:r>
        <w:rPr>
          <w:rFonts w:hint="eastAsia" w:ascii="仿宋_GB2312" w:hAnsi="仿宋_GB2312" w:eastAsia="仿宋_GB2312" w:cs="仿宋_GB2312"/>
          <w:b w:val="0"/>
          <w:bCs w:val="0"/>
          <w:color w:val="auto"/>
          <w:sz w:val="32"/>
          <w:szCs w:val="32"/>
          <w:highlight w:val="none"/>
        </w:rPr>
        <w:t>434.15</w:t>
      </w:r>
      <w:r>
        <w:rPr>
          <w:rFonts w:hint="eastAsia" w:ascii="仿宋_GB2312" w:hAnsi="仿宋_GB2312" w:eastAsia="仿宋_GB2312" w:cs="仿宋_GB2312"/>
          <w:b w:val="0"/>
          <w:bCs w:val="0"/>
          <w:color w:val="auto"/>
          <w:sz w:val="32"/>
          <w:szCs w:val="32"/>
          <w:highlight w:val="none"/>
          <w:lang w:val="en-US" w:eastAsia="zh-CN"/>
        </w:rPr>
        <w:t>万元。较2023年度相比，财政拨款收入、支出总计各</w:t>
      </w:r>
      <w:r>
        <w:rPr>
          <w:rFonts w:hint="eastAsia" w:ascii="仿宋_GB2312" w:hAnsi="仿宋_GB2312" w:eastAsia="仿宋_GB2312" w:cs="仿宋_GB2312"/>
          <w:b w:val="0"/>
          <w:bCs w:val="0"/>
          <w:color w:val="auto"/>
          <w:sz w:val="32"/>
          <w:szCs w:val="32"/>
          <w:highlight w:val="none"/>
        </w:rPr>
        <w:t>增加</w:t>
      </w:r>
      <w:r>
        <w:rPr>
          <w:rFonts w:hint="eastAsia" w:ascii="仿宋_GB2312" w:hAnsi="仿宋_GB2312" w:eastAsia="仿宋_GB2312" w:cs="仿宋_GB2312"/>
          <w:b w:val="0"/>
          <w:bCs w:val="0"/>
          <w:color w:val="auto"/>
          <w:sz w:val="32"/>
          <w:szCs w:val="32"/>
          <w:highlight w:val="none"/>
          <w:lang w:val="en-US" w:eastAsia="zh-CN"/>
        </w:rPr>
        <w:t>93.15</w:t>
      </w:r>
      <w:r>
        <w:rPr>
          <w:rFonts w:hint="eastAsia" w:ascii="仿宋_GB2312" w:hAnsi="仿宋_GB2312" w:eastAsia="仿宋_GB2312" w:cs="仿宋_GB2312"/>
          <w:b w:val="0"/>
          <w:bCs w:val="0"/>
          <w:color w:val="auto"/>
          <w:sz w:val="32"/>
          <w:szCs w:val="32"/>
          <w:highlight w:val="none"/>
        </w:rPr>
        <w:t>万元，增长</w:t>
      </w:r>
      <w:r>
        <w:rPr>
          <w:rFonts w:hint="eastAsia" w:ascii="仿宋_GB2312" w:hAnsi="仿宋_GB2312" w:eastAsia="仿宋_GB2312" w:cs="仿宋_GB2312"/>
          <w:b w:val="0"/>
          <w:bCs w:val="0"/>
          <w:color w:val="auto"/>
          <w:sz w:val="32"/>
          <w:szCs w:val="32"/>
          <w:highlight w:val="none"/>
          <w:lang w:val="en-US" w:eastAsia="zh-CN"/>
        </w:rPr>
        <w:t>27</w:t>
      </w:r>
      <w:r>
        <w:rPr>
          <w:rFonts w:hint="eastAsia" w:ascii="仿宋_GB2312" w:hAnsi="仿宋_GB2312" w:eastAsia="仿宋_GB2312" w:cs="仿宋_GB2312"/>
          <w:b w:val="0"/>
          <w:bCs w:val="0"/>
          <w:color w:val="auto"/>
          <w:sz w:val="32"/>
          <w:szCs w:val="32"/>
          <w:highlight w:val="none"/>
        </w:rPr>
        <w:t>%。主要变动原因</w:t>
      </w:r>
      <w:r>
        <w:rPr>
          <w:rFonts w:hint="eastAsia" w:ascii="仿宋_GB2312" w:hAnsi="仿宋_GB2312" w:eastAsia="仿宋_GB2312" w:cs="仿宋_GB2312"/>
          <w:b w:val="0"/>
          <w:bCs w:val="0"/>
          <w:color w:val="auto"/>
          <w:sz w:val="32"/>
          <w:szCs w:val="32"/>
          <w:highlight w:val="none"/>
          <w:lang w:val="en-US" w:eastAsia="zh-CN"/>
        </w:rPr>
        <w:t>是</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本年项目继续实施</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项目支出增加，以</w:t>
      </w:r>
      <w:r>
        <w:rPr>
          <w:rFonts w:hint="eastAsia" w:ascii="仿宋_GB2312" w:hAnsi="仿宋_GB2312" w:eastAsia="仿宋_GB2312" w:cs="仿宋_GB2312"/>
          <w:b w:val="0"/>
          <w:bCs w:val="0"/>
          <w:color w:val="auto"/>
          <w:sz w:val="32"/>
          <w:szCs w:val="32"/>
          <w:highlight w:val="none"/>
        </w:rPr>
        <w:t>及人员变动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职级晋升</w:t>
      </w:r>
      <w:r>
        <w:rPr>
          <w:rFonts w:hint="eastAsia" w:ascii="仿宋_GB2312" w:hAnsi="仿宋_GB2312" w:eastAsia="仿宋_GB2312" w:cs="仿宋_GB2312"/>
          <w:b w:val="0"/>
          <w:bCs w:val="0"/>
          <w:color w:val="auto"/>
          <w:sz w:val="32"/>
          <w:szCs w:val="32"/>
          <w:highlight w:val="none"/>
        </w:rPr>
        <w:t>等原因收支数据增加</w:t>
      </w:r>
      <w:r>
        <w:rPr>
          <w:rFonts w:hint="eastAsia" w:ascii="仿宋_GB2312" w:hAnsi="仿宋_GB2312" w:eastAsia="仿宋_GB2312" w:cs="仿宋_GB2312"/>
          <w:b w:val="0"/>
          <w:bCs w:val="0"/>
          <w:color w:val="auto"/>
          <w:sz w:val="32"/>
          <w:szCs w:val="32"/>
          <w:highlight w:val="none"/>
          <w:lang w:eastAsia="zh-CN"/>
        </w:rPr>
        <w:t>。</w:t>
      </w:r>
    </w:p>
    <w:p>
      <w:pPr>
        <w:pStyle w:val="14"/>
        <w:ind w:left="0" w:leftChars="0" w:firstLine="0" w:firstLineChars="0"/>
        <w:rPr>
          <w:rFonts w:hint="eastAsia"/>
          <w:lang w:val="en-US" w:eastAsia="zh-CN"/>
        </w:rPr>
      </w:pPr>
      <w:r>
        <w:rPr>
          <w:rFonts w:hint="eastAsia"/>
          <w:lang w:val="en-US" w:eastAsia="zh-CN"/>
        </w:rPr>
        <w:drawing>
          <wp:anchor distT="0" distB="0" distL="114300" distR="114300" simplePos="0" relativeHeight="251659264" behindDoc="1" locked="0" layoutInCell="1" allowOverlap="1">
            <wp:simplePos x="0" y="0"/>
            <wp:positionH relativeFrom="column">
              <wp:posOffset>271780</wp:posOffset>
            </wp:positionH>
            <wp:positionV relativeFrom="paragraph">
              <wp:posOffset>84455</wp:posOffset>
            </wp:positionV>
            <wp:extent cx="5256530" cy="2988310"/>
            <wp:effectExtent l="5080" t="4445" r="15240" b="17145"/>
            <wp:wrapTight wrapText="bothSides">
              <wp:wrapPolygon>
                <wp:start x="-21" y="-32"/>
                <wp:lineTo x="-21" y="21449"/>
                <wp:lineTo x="21506" y="21449"/>
                <wp:lineTo x="21506" y="-32"/>
                <wp:lineTo x="-21" y="-32"/>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outlineLvl w:val="1"/>
        <w:rPr>
          <w:rFonts w:hint="eastAsia" w:ascii="Times New Roman" w:hAnsi="Times New Roman" w:eastAsia="黑体"/>
          <w:color w:val="auto"/>
          <w:sz w:val="32"/>
          <w:szCs w:val="32"/>
          <w:highlight w:val="none"/>
        </w:rPr>
      </w:pPr>
      <w:bookmarkStart w:id="26" w:name="_Toc15396607"/>
      <w:bookmarkStart w:id="27" w:name="_Toc15377209"/>
      <w:bookmarkStart w:id="28" w:name="_Toc12871"/>
    </w:p>
    <w:p>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6"/>
      <w:bookmarkEnd w:id="27"/>
      <w:bookmarkEnd w:id="28"/>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29" w:name="_Toc4032"/>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9"/>
      <w:bookmarkEnd w:id="30"/>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度一般公共预算财政拨款支出434.15万元，占本年支出合计的100%。与2023年度相比，一般公共预算财政拨款支出增加93.15万元，增长27%。主要变动原因是：本年项目继续实施，项目支出增加，以及人员变动、职级晋升等原因收支数据增加。</w:t>
      </w:r>
    </w:p>
    <w:p>
      <w:pPr>
        <w:pStyle w:val="14"/>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inline distT="0" distB="0" distL="114300" distR="114300">
            <wp:extent cx="5256530" cy="2988310"/>
            <wp:effectExtent l="5080" t="4445" r="15240" b="1714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1" w:name="_Toc22059"/>
      <w:bookmarkStart w:id="32"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bookmarkEnd w:id="32"/>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2024年度一般公共预算财政拨款支出434.15万元，主要用于以下方面：一般公共服务支出358.30万元，占82.5%；社会保障和就业支出36.28万元，占8.4%；卫生健康支出16.96万元，占3.9%；住房保障支出22.61万元，占5.2%。</w:t>
      </w:r>
    </w:p>
    <w:p>
      <w:pPr>
        <w:pStyle w:val="14"/>
        <w:rPr>
          <w:rFonts w:hint="eastAsia"/>
          <w:lang w:val="en-US" w:eastAsia="zh-CN"/>
        </w:rPr>
      </w:pPr>
      <w:r>
        <w:rPr>
          <w:rFonts w:hint="eastAsia"/>
          <w:lang w:val="en-US" w:eastAsia="zh-CN"/>
        </w:rPr>
        <w:drawing>
          <wp:inline distT="0" distB="0" distL="114300" distR="114300">
            <wp:extent cx="5256530" cy="2988310"/>
            <wp:effectExtent l="5080" t="4445" r="15240" b="1714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3" w:name="_Toc26651"/>
      <w:bookmarkStart w:id="34"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3"/>
      <w:bookmarkEnd w:id="34"/>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bookmarkStart w:id="35" w:name="_Toc15377444"/>
      <w:bookmarkStart w:id="36" w:name="_Toc15378460"/>
      <w:bookmarkStart w:id="37" w:name="_Toc15377213"/>
      <w:r>
        <w:rPr>
          <w:rFonts w:hint="eastAsia" w:ascii="仿宋_GB2312" w:hAnsi="仿宋_GB2312" w:eastAsia="仿宋_GB2312" w:cs="仿宋_GB2312"/>
          <w:b w:val="0"/>
          <w:bCs w:val="0"/>
          <w:color w:val="auto"/>
          <w:sz w:val="32"/>
          <w:szCs w:val="32"/>
          <w:highlight w:val="none"/>
          <w:lang w:val="en-US" w:eastAsia="zh-CN"/>
        </w:rPr>
        <w:t>2024年度一般公共预算财政拨款支出决算数为</w:t>
      </w:r>
      <w:r>
        <w:rPr>
          <w:rFonts w:hint="eastAsia" w:ascii="仿宋_GB2312" w:hAnsi="仿宋_GB2312" w:eastAsia="仿宋_GB2312" w:cs="仿宋_GB2312"/>
          <w:b w:val="0"/>
          <w:bCs w:val="0"/>
          <w:color w:val="auto"/>
          <w:sz w:val="32"/>
          <w:szCs w:val="32"/>
          <w:highlight w:val="none"/>
        </w:rPr>
        <w:t>434.15</w:t>
      </w:r>
      <w:r>
        <w:rPr>
          <w:rFonts w:hint="eastAsia" w:ascii="仿宋_GB2312" w:hAnsi="仿宋_GB2312" w:eastAsia="仿宋_GB2312" w:cs="仿宋_GB2312"/>
          <w:b w:val="0"/>
          <w:bCs w:val="0"/>
          <w:color w:val="auto"/>
          <w:sz w:val="32"/>
          <w:szCs w:val="32"/>
          <w:highlight w:val="none"/>
          <w:lang w:val="en-US" w:eastAsia="zh-CN"/>
        </w:rPr>
        <w:t>万元，完成预算100%。其中：</w:t>
      </w:r>
      <w:bookmarkEnd w:id="35"/>
      <w:bookmarkEnd w:id="36"/>
      <w:bookmarkEnd w:id="37"/>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一般公共服务（201）统计信息事务（05）行政运行（01）：支出决算为358.30万元，完成预算100%，决算数较预算数持平。</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社会保障和就业（208）行政事业单位养老支出（05）机关事业单位基本养老保险（05）:支出决算为24.19万元，完成预算100%，决算数较预算数持平。</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3.社会保障和就业（208）行政事业单位养老支出（05）机关事业单位职业年金（06）:支出决算为12.09万元，完成预算100%，决算数较预算数持平。</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4.卫生健康（210）行政事业单位医疗（11）行政单位医疗（01）:支出决算为16.96万元，完成预算100%，决算数较预算数持平。</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5.住房保障（221）住房改造（02）住房公积金（01）:支出决算为22.61万元，完成预算100%，决算数较预算数持平。</w:t>
      </w:r>
      <w:bookmarkStart w:id="38" w:name="_Toc15396608"/>
      <w:bookmarkStart w:id="39" w:name="_Toc15377214"/>
      <w:bookmarkStart w:id="40" w:name="_Toc15781"/>
    </w:p>
    <w:p>
      <w:pPr>
        <w:tabs>
          <w:tab w:val="right" w:pos="8306"/>
        </w:tabs>
        <w:spacing w:line="600" w:lineRule="exact"/>
        <w:ind w:firstLine="640"/>
        <w:outlineLvl w:val="1"/>
        <w:rPr>
          <w:rStyle w:val="30"/>
          <w:rFonts w:ascii="Times New Roman" w:hAnsi="Times New Roman"/>
          <w:color w:val="auto"/>
          <w:highlight w:val="none"/>
        </w:rPr>
      </w:pPr>
      <w:r>
        <w:rPr>
          <w:rFonts w:hint="eastAsia" w:ascii="Times New Roman" w:hAnsi="Times New Roman" w:eastAsia="黑体"/>
          <w:color w:val="auto"/>
          <w:sz w:val="32"/>
          <w:szCs w:val="32"/>
          <w:highlight w:val="none"/>
        </w:rPr>
        <w:t>六、一般公共预算财政拨款基本支出决算情况说明</w:t>
      </w:r>
      <w:bookmarkEnd w:id="38"/>
      <w:bookmarkEnd w:id="39"/>
      <w:bookmarkEnd w:id="40"/>
      <w:r>
        <w:rPr>
          <w:rStyle w:val="30"/>
          <w:rFonts w:ascii="Times New Roman" w:hAnsi="Times New Roman" w:eastAsia="黑体"/>
          <w:b w:val="0"/>
          <w:color w:val="auto"/>
          <w:highlight w:val="none"/>
        </w:rPr>
        <w:tab/>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2024年度一般公共预算财政拨款基本支出</w:t>
      </w:r>
      <w:r>
        <w:rPr>
          <w:rFonts w:hint="eastAsia" w:ascii="仿宋_GB2312" w:hAnsi="仿宋_GB2312" w:eastAsia="仿宋_GB2312" w:cs="仿宋_GB2312"/>
          <w:b w:val="0"/>
          <w:bCs w:val="0"/>
          <w:color w:val="auto"/>
          <w:sz w:val="32"/>
          <w:szCs w:val="32"/>
          <w:highlight w:val="none"/>
        </w:rPr>
        <w:t>281.44</w:t>
      </w:r>
      <w:r>
        <w:rPr>
          <w:rFonts w:hint="eastAsia" w:ascii="仿宋_GB2312" w:hAnsi="仿宋_GB2312" w:eastAsia="仿宋_GB2312" w:cs="仿宋_GB2312"/>
          <w:b w:val="0"/>
          <w:bCs w:val="0"/>
          <w:color w:val="auto"/>
          <w:sz w:val="32"/>
          <w:szCs w:val="32"/>
          <w:highlight w:val="none"/>
          <w:lang w:val="en-US" w:eastAsia="zh-CN"/>
        </w:rPr>
        <w:t>万元，其中：</w:t>
      </w:r>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人员经费</w:t>
      </w:r>
      <w:r>
        <w:rPr>
          <w:rFonts w:hint="eastAsia" w:ascii="仿宋_GB2312" w:hAnsi="仿宋_GB2312" w:eastAsia="仿宋_GB2312" w:cs="仿宋_GB2312"/>
          <w:b w:val="0"/>
          <w:bCs w:val="0"/>
          <w:color w:val="auto"/>
          <w:sz w:val="32"/>
          <w:szCs w:val="32"/>
          <w:highlight w:val="none"/>
        </w:rPr>
        <w:t>269.15</w:t>
      </w:r>
      <w:r>
        <w:rPr>
          <w:rFonts w:hint="eastAsia" w:ascii="仿宋_GB2312" w:hAnsi="仿宋_GB2312" w:eastAsia="仿宋_GB2312" w:cs="仿宋_GB2312"/>
          <w:b w:val="0"/>
          <w:bCs w:val="0"/>
          <w:color w:val="auto"/>
          <w:sz w:val="32"/>
          <w:szCs w:val="32"/>
          <w:highlight w:val="none"/>
          <w:lang w:val="en-US" w:eastAsia="zh-CN"/>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b w:val="0"/>
          <w:bCs w:val="0"/>
          <w:color w:val="auto"/>
          <w:sz w:val="32"/>
          <w:szCs w:val="32"/>
          <w:highlight w:val="none"/>
          <w:lang w:val="en-US" w:eastAsia="zh-CN"/>
        </w:rPr>
        <w:br w:type="textWrapping"/>
      </w:r>
      <w:r>
        <w:rPr>
          <w:rFonts w:hint="eastAsia" w:ascii="仿宋_GB2312" w:hAnsi="仿宋_GB2312" w:eastAsia="仿宋_GB2312" w:cs="仿宋_GB2312"/>
          <w:b w:val="0"/>
          <w:bCs w:val="0"/>
          <w:color w:val="auto"/>
          <w:sz w:val="32"/>
          <w:szCs w:val="32"/>
          <w:highlight w:val="none"/>
          <w:lang w:val="en-US" w:eastAsia="zh-CN"/>
        </w:rPr>
        <w:t>　　公用经费</w:t>
      </w:r>
      <w:r>
        <w:rPr>
          <w:rFonts w:hint="eastAsia" w:ascii="仿宋_GB2312" w:hAnsi="仿宋_GB2312" w:eastAsia="仿宋_GB2312" w:cs="仿宋_GB2312"/>
          <w:b w:val="0"/>
          <w:bCs w:val="0"/>
          <w:color w:val="auto"/>
          <w:sz w:val="32"/>
          <w:szCs w:val="32"/>
          <w:highlight w:val="none"/>
        </w:rPr>
        <w:t>12.29</w:t>
      </w:r>
      <w:r>
        <w:rPr>
          <w:rFonts w:hint="eastAsia" w:ascii="仿宋_GB2312" w:hAnsi="仿宋_GB2312" w:eastAsia="仿宋_GB2312" w:cs="仿宋_GB2312"/>
          <w:b w:val="0"/>
          <w:bCs w:val="0"/>
          <w:color w:val="auto"/>
          <w:sz w:val="32"/>
          <w:szCs w:val="32"/>
          <w:highlight w:val="none"/>
          <w:lang w:val="en-US" w:eastAsia="zh-CN"/>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41" w:name="_Toc10793"/>
      <w:bookmarkStart w:id="42" w:name="_Toc15377215"/>
      <w:bookmarkStart w:id="43" w:name="_Toc15396609"/>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41"/>
      <w:bookmarkEnd w:id="42"/>
      <w:bookmarkEnd w:id="43"/>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4" w:name="_Toc15377216"/>
      <w:bookmarkStart w:id="45" w:name="_Toc12198"/>
      <w:r>
        <w:rPr>
          <w:rFonts w:hint="eastAsia" w:ascii="Times New Roman" w:hAnsi="Times New Roman" w:eastAsia="楷体_GB2312" w:cs="楷体_GB2312"/>
          <w:b/>
          <w:color w:val="auto"/>
          <w:sz w:val="32"/>
          <w:szCs w:val="32"/>
          <w:highlight w:val="none"/>
        </w:rPr>
        <w:t>（一）“三公”经费财政拨款支出决算总体情况说明</w:t>
      </w:r>
      <w:bookmarkEnd w:id="44"/>
      <w:bookmarkEnd w:id="45"/>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2024年度“三公”经费财政拨款支出决算为</w:t>
      </w:r>
      <w:r>
        <w:rPr>
          <w:rFonts w:hint="eastAsia" w:ascii="仿宋_GB2312" w:hAnsi="仿宋_GB2312" w:eastAsia="仿宋_GB2312" w:cs="仿宋_GB2312"/>
          <w:b w:val="0"/>
          <w:bCs w:val="0"/>
          <w:color w:val="auto"/>
          <w:sz w:val="32"/>
          <w:szCs w:val="32"/>
          <w:highlight w:val="none"/>
        </w:rPr>
        <w:t>6.31</w:t>
      </w:r>
      <w:r>
        <w:rPr>
          <w:rFonts w:hint="eastAsia" w:ascii="仿宋_GB2312" w:hAnsi="仿宋_GB2312" w:eastAsia="仿宋_GB2312" w:cs="仿宋_GB2312"/>
          <w:b w:val="0"/>
          <w:bCs w:val="0"/>
          <w:color w:val="auto"/>
          <w:sz w:val="32"/>
          <w:szCs w:val="32"/>
          <w:highlight w:val="none"/>
          <w:lang w:val="en-US" w:eastAsia="zh-CN"/>
        </w:rPr>
        <w:t>万元，完成预算</w:t>
      </w:r>
      <w:r>
        <w:rPr>
          <w:rFonts w:hint="eastAsia" w:ascii="仿宋_GB2312" w:hAnsi="仿宋_GB2312" w:eastAsia="仿宋_GB2312" w:cs="仿宋_GB2312"/>
          <w:b w:val="0"/>
          <w:bCs w:val="0"/>
          <w:color w:val="auto"/>
          <w:sz w:val="32"/>
          <w:szCs w:val="32"/>
          <w:highlight w:val="none"/>
        </w:rPr>
        <w:t>100</w:t>
      </w:r>
      <w:r>
        <w:rPr>
          <w:rFonts w:hint="eastAsia" w:ascii="仿宋_GB2312" w:hAnsi="仿宋_GB2312" w:eastAsia="仿宋_GB2312" w:cs="仿宋_GB2312"/>
          <w:b w:val="0"/>
          <w:bCs w:val="0"/>
          <w:color w:val="auto"/>
          <w:sz w:val="32"/>
          <w:szCs w:val="32"/>
          <w:highlight w:val="none"/>
          <w:lang w:val="en-US" w:eastAsia="zh-CN"/>
        </w:rPr>
        <w:t>%，较上年度减少0.31万元，下降4.7%。</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6" w:name="_Toc15377217"/>
      <w:bookmarkStart w:id="47" w:name="_Toc18112"/>
      <w:r>
        <w:rPr>
          <w:rFonts w:hint="eastAsia" w:ascii="Times New Roman" w:hAnsi="Times New Roman" w:eastAsia="楷体_GB2312" w:cs="楷体_GB2312"/>
          <w:b/>
          <w:color w:val="auto"/>
          <w:sz w:val="32"/>
          <w:szCs w:val="32"/>
          <w:highlight w:val="none"/>
        </w:rPr>
        <w:t>（二）“三公”经费财政拨款支出决算具体情况说明</w:t>
      </w:r>
      <w:bookmarkEnd w:id="46"/>
      <w:bookmarkEnd w:id="47"/>
    </w:p>
    <w:p>
      <w:pPr>
        <w:pStyle w:val="1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2024年度“三公”经费财政拨款支出决算中，因公出国（境）费支出决算</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万元，占0%；公务用车购置及运行维护费支出决算</w:t>
      </w:r>
      <w:r>
        <w:rPr>
          <w:rFonts w:hint="eastAsia" w:ascii="仿宋_GB2312" w:hAnsi="仿宋_GB2312" w:eastAsia="仿宋_GB2312" w:cs="仿宋_GB2312"/>
          <w:b w:val="0"/>
          <w:bCs w:val="0"/>
          <w:color w:val="auto"/>
          <w:sz w:val="32"/>
          <w:szCs w:val="32"/>
          <w:highlight w:val="none"/>
        </w:rPr>
        <w:t>6.31</w:t>
      </w:r>
      <w:r>
        <w:rPr>
          <w:rFonts w:hint="eastAsia" w:ascii="仿宋_GB2312" w:hAnsi="仿宋_GB2312" w:eastAsia="仿宋_GB2312" w:cs="仿宋_GB2312"/>
          <w:b w:val="0"/>
          <w:bCs w:val="0"/>
          <w:color w:val="auto"/>
          <w:sz w:val="32"/>
          <w:szCs w:val="32"/>
          <w:highlight w:val="none"/>
          <w:lang w:val="en-US" w:eastAsia="zh-CN"/>
        </w:rPr>
        <w:t>万元，占100%；公务接待费支出决算</w:t>
      </w:r>
      <w:r>
        <w:rPr>
          <w:rFonts w:hint="eastAsia" w:ascii="仿宋_GB2312" w:hAnsi="仿宋_GB2312" w:eastAsia="仿宋_GB2312" w:cs="仿宋_GB2312"/>
          <w:b w:val="0"/>
          <w:bCs w:val="0"/>
          <w:color w:val="auto"/>
          <w:sz w:val="32"/>
          <w:szCs w:val="32"/>
          <w:highlight w:val="none"/>
        </w:rPr>
        <w:t>0</w:t>
      </w:r>
      <w:r>
        <w:rPr>
          <w:rFonts w:hint="eastAsia" w:ascii="仿宋_GB2312" w:hAnsi="仿宋_GB2312" w:eastAsia="仿宋_GB2312" w:cs="仿宋_GB2312"/>
          <w:b w:val="0"/>
          <w:bCs w:val="0"/>
          <w:color w:val="auto"/>
          <w:sz w:val="32"/>
          <w:szCs w:val="32"/>
          <w:highlight w:val="none"/>
          <w:lang w:val="en-US" w:eastAsia="zh-CN"/>
        </w:rPr>
        <w:t>万元，占0%。具体情况如下：</w:t>
      </w:r>
    </w:p>
    <w:p>
      <w:pPr>
        <w:pStyle w:val="14"/>
        <w:rPr>
          <w:rFonts w:hint="eastAsia"/>
          <w:lang w:val="en-US" w:eastAsia="zh-CN"/>
        </w:rPr>
      </w:pPr>
      <w:r>
        <w:rPr>
          <w:rFonts w:hint="eastAsia"/>
          <w:lang w:val="en-US" w:eastAsia="zh-CN"/>
        </w:rPr>
        <w:drawing>
          <wp:inline distT="0" distB="0" distL="114300" distR="114300">
            <wp:extent cx="5256530" cy="2988310"/>
            <wp:effectExtent l="5080" t="4445" r="15240" b="1714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6.31万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w:t>
      </w:r>
      <w:r>
        <w:rPr>
          <w:rFonts w:hint="eastAsia" w:eastAsia="仿宋_GB2312" w:cs="仿宋_GB2312"/>
          <w:color w:val="auto"/>
          <w:kern w:val="2"/>
          <w:sz w:val="32"/>
          <w:szCs w:val="32"/>
          <w:highlight w:val="none"/>
          <w:lang w:val="en-US" w:eastAsia="zh-CN" w:bidi="ar-SA"/>
        </w:rPr>
        <w:t>减少0.31</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下降4.7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主要原因是：2023年全国第五次经济普查下乡开展工作较多。</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6.31</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color w:val="auto"/>
          <w:sz w:val="32"/>
          <w:szCs w:val="32"/>
          <w:highlight w:val="none"/>
          <w:lang w:val="en-US" w:eastAsia="zh-CN"/>
        </w:rPr>
        <w:t>各项统计专业工作下乡指导及参加业务培训会</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ascii="Times New Roman" w:hAnsi="Times New Roman" w:eastAsia="仿宋_GB2312" w:cs="仿宋_GB2312"/>
          <w:color w:val="auto"/>
          <w:kern w:val="2"/>
          <w:sz w:val="32"/>
          <w:szCs w:val="32"/>
          <w:highlight w:val="none"/>
          <w:lang w:val="en-US" w:eastAsia="zh-CN" w:bidi="ar-SA"/>
        </w:rPr>
        <w:t>其中：</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bookmarkStart w:id="48" w:name="_Toc15377218"/>
      <w:bookmarkStart w:id="49" w:name="_Toc15396610"/>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Times New Roman" w:hAnsi="Times New Roman" w:eastAsia="黑体"/>
          <w:color w:val="auto"/>
          <w:sz w:val="32"/>
          <w:szCs w:val="32"/>
          <w:highlight w:val="none"/>
        </w:rPr>
      </w:pPr>
      <w:bookmarkStart w:id="50" w:name="_Toc1246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Fonts w:hint="eastAsia" w:ascii="Times New Roman" w:hAnsi="Times New Roman" w:eastAsia="黑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8"/>
      <w:bookmarkEnd w:id="49"/>
      <w:bookmarkEnd w:id="50"/>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29" w:leftChars="0"/>
        <w:textAlignment w:val="auto"/>
        <w:outlineLvl w:val="9"/>
        <w:rPr>
          <w:rStyle w:val="30"/>
          <w:rFonts w:hint="eastAsia" w:ascii="Times New Roman" w:hAnsi="Times New Roman" w:eastAsia="黑体"/>
          <w:b w:val="0"/>
          <w:color w:val="auto"/>
          <w:highlight w:val="none"/>
          <w:lang w:eastAsia="zh-CN"/>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bookmarkStart w:id="51" w:name="_Toc15396611"/>
      <w:bookmarkStart w:id="52" w:name="_Toc15377219"/>
      <w:r>
        <w:rPr>
          <w:rFonts w:hint="eastAsia" w:ascii="仿宋_GB2312" w:hAnsi="仿宋_GB2312" w:eastAsia="仿宋_GB2312" w:cs="仿宋_GB2312"/>
          <w:color w:val="auto"/>
          <w:kern w:val="2"/>
          <w:sz w:val="32"/>
          <w:szCs w:val="32"/>
          <w:highlight w:val="none"/>
          <w:lang w:val="en-US" w:eastAsia="zh-CN" w:bidi="ar-SA"/>
        </w:rPr>
        <w:t>。</w:t>
      </w:r>
      <w:bookmarkStart w:id="53" w:name="_Toc13145"/>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51"/>
      <w:bookmarkEnd w:id="52"/>
      <w:bookmarkEnd w:id="53"/>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bookmarkStart w:id="54" w:name="_Toc16233"/>
      <w:bookmarkStart w:id="55" w:name="_Toc15396612"/>
      <w:bookmarkStart w:id="56" w:name="_Toc15377221"/>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outlineLvl w:val="1"/>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7" w:name="_Toc7876"/>
      <w:bookmarkStart w:id="58" w:name="_Toc15377222"/>
      <w:r>
        <w:rPr>
          <w:rFonts w:hint="eastAsia" w:ascii="Times New Roman" w:hAnsi="Times New Roman" w:eastAsia="楷体_GB2312" w:cs="楷体_GB2312"/>
          <w:b/>
          <w:color w:val="auto"/>
          <w:sz w:val="32"/>
          <w:szCs w:val="32"/>
          <w:highlight w:val="none"/>
        </w:rPr>
        <w:t>（一）机关运行经费支出情况</w:t>
      </w:r>
      <w:bookmarkEnd w:id="57"/>
      <w:bookmarkEnd w:id="58"/>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四川省阿坝州茂县统计局</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12.29</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r>
        <w:rPr>
          <w:rFonts w:hint="eastAsia" w:eastAsia="仿宋_GB2312" w:cs="仿宋_GB2312"/>
          <w:color w:val="auto"/>
          <w:kern w:val="2"/>
          <w:sz w:val="32"/>
          <w:szCs w:val="32"/>
          <w:highlight w:val="none"/>
          <w:lang w:val="en-US" w:eastAsia="zh-CN" w:bidi="ar-SA"/>
        </w:rPr>
        <w:t>较</w:t>
      </w:r>
      <w:r>
        <w:rPr>
          <w:rFonts w:hint="eastAsia" w:ascii="Times New Roman" w:hAnsi="Times New Roman" w:eastAsia="仿宋_GB2312" w:cs="仿宋_GB2312"/>
          <w:color w:val="auto"/>
          <w:kern w:val="2"/>
          <w:sz w:val="32"/>
          <w:szCs w:val="32"/>
          <w:highlight w:val="none"/>
          <w:lang w:val="en-US" w:eastAsia="zh-CN" w:bidi="ar-SA"/>
        </w:rPr>
        <w:t>2023年度增加</w:t>
      </w:r>
      <w:r>
        <w:rPr>
          <w:rFonts w:hint="eastAsia" w:eastAsia="仿宋_GB2312" w:cs="仿宋_GB2312"/>
          <w:color w:val="auto"/>
          <w:kern w:val="2"/>
          <w:sz w:val="32"/>
          <w:szCs w:val="32"/>
          <w:highlight w:val="none"/>
          <w:lang w:val="en-US" w:eastAsia="zh-CN" w:bidi="ar-SA"/>
        </w:rPr>
        <w:t>0.94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主要原因是：全国第五次经济普查后期印刷费用较多，加之本年度新增临聘人员。</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59" w:name="_Toc15377223"/>
      <w:bookmarkStart w:id="60" w:name="_Toc30464"/>
      <w:r>
        <w:rPr>
          <w:rFonts w:hint="eastAsia" w:ascii="Times New Roman" w:hAnsi="Times New Roman" w:eastAsia="楷体_GB2312" w:cs="楷体_GB2312"/>
          <w:b/>
          <w:color w:val="auto"/>
          <w:sz w:val="32"/>
          <w:szCs w:val="32"/>
          <w:highlight w:val="none"/>
        </w:rPr>
        <w:t>（二）政府采购支出情况</w:t>
      </w:r>
      <w:bookmarkEnd w:id="59"/>
      <w:bookmarkEnd w:id="60"/>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四川省阿坝州茂县统计局</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3.92</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3.92</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万元。主要用于开展统计工作所需。授予中小企业合同金额</w:t>
      </w:r>
      <w:r>
        <w:rPr>
          <w:rFonts w:hint="eastAsia" w:ascii="仿宋_GB2312" w:hAnsi="仿宋_GB2312" w:eastAsia="仿宋_GB2312" w:cs="仿宋_GB2312"/>
          <w:sz w:val="32"/>
          <w:szCs w:val="32"/>
        </w:rPr>
        <w:t>3.92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3.92</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61" w:name="_Toc15377224"/>
      <w:bookmarkStart w:id="62" w:name="_Toc18580"/>
      <w:r>
        <w:rPr>
          <w:rFonts w:hint="eastAsia" w:ascii="Times New Roman" w:hAnsi="Times New Roman" w:eastAsia="楷体_GB2312" w:cs="楷体_GB2312"/>
          <w:b/>
          <w:color w:val="auto"/>
          <w:sz w:val="32"/>
          <w:szCs w:val="32"/>
          <w:highlight w:val="none"/>
        </w:rPr>
        <w:t>（三）国有资产占有使用情况</w:t>
      </w:r>
      <w:bookmarkEnd w:id="61"/>
      <w:bookmarkEnd w:id="62"/>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四川省阿坝州茂县统计局</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2"/>
        <w:rPr>
          <w:rFonts w:hint="eastAsia" w:ascii="Times New Roman" w:hAnsi="Times New Roman" w:eastAsia="楷体_GB2312" w:cs="楷体_GB2312"/>
          <w:b/>
          <w:color w:val="auto"/>
          <w:sz w:val="32"/>
          <w:szCs w:val="32"/>
          <w:highlight w:val="none"/>
        </w:rPr>
      </w:pPr>
      <w:bookmarkStart w:id="63" w:name="_Toc19826"/>
      <w:r>
        <w:rPr>
          <w:rFonts w:hint="eastAsia" w:ascii="Times New Roman" w:hAnsi="Times New Roman" w:eastAsia="楷体_GB2312" w:cs="楷体_GB2312"/>
          <w:b/>
          <w:color w:val="auto"/>
          <w:sz w:val="32"/>
          <w:szCs w:val="32"/>
          <w:highlight w:val="none"/>
        </w:rPr>
        <w:t>（四）预算绩效管理情况</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仿宋_GB2312" w:hAnsi="仿宋_GB2312" w:eastAsia="仿宋_GB2312" w:cs="仿宋_GB2312"/>
          <w:color w:val="auto"/>
          <w:sz w:val="32"/>
          <w:szCs w:val="32"/>
          <w:highlight w:val="none"/>
        </w:rPr>
        <w:t>城乡住户调查、“一套表”联网直报项目</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4个项目</w:t>
      </w:r>
      <w:r>
        <w:rPr>
          <w:rFonts w:hint="eastAsia" w:ascii="Times New Roman" w:hAnsi="Times New Roman" w:eastAsia="仿宋_GB2312" w:cs="仿宋_GB2312"/>
          <w:color w:val="auto"/>
          <w:kern w:val="2"/>
          <w:sz w:val="32"/>
          <w:szCs w:val="32"/>
          <w:highlight w:val="none"/>
          <w:lang w:val="en-US" w:eastAsia="zh-CN" w:bidi="ar-SA"/>
        </w:rPr>
        <w:t>开展了预算事前绩效评估，对</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keepNext w:val="0"/>
        <w:keepLines w:val="0"/>
        <w:pageBreakBefore w:val="0"/>
        <w:widowControl w:val="0"/>
        <w:kinsoku/>
        <w:wordWrap/>
        <w:overflowPunct/>
        <w:topLinePunct w:val="0"/>
        <w:autoSpaceDE/>
        <w:autoSpaceDN/>
        <w:bidi w:val="0"/>
        <w:adjustRightInd/>
        <w:snapToGrid/>
        <w:spacing w:line="600" w:lineRule="exact"/>
        <w:ind w:firstLine="641"/>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茂县统计局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部门整体（含部门预算项目）绩效自评报告、2024年专项预算项目绩效评价报告等专项预算项目绩效自评报告，其中，</w:t>
      </w:r>
      <w:r>
        <w:rPr>
          <w:rFonts w:hint="eastAsia" w:eastAsia="仿宋_GB2312" w:cs="仿宋_GB2312"/>
          <w:color w:val="auto"/>
          <w:kern w:val="2"/>
          <w:sz w:val="32"/>
          <w:szCs w:val="32"/>
          <w:highlight w:val="none"/>
          <w:lang w:val="en-US" w:eastAsia="zh-CN" w:bidi="ar-SA"/>
        </w:rPr>
        <w:t>茂县统计局</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93</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茂县统计局2024年</w:t>
      </w:r>
      <w:r>
        <w:rPr>
          <w:rFonts w:hint="eastAsia" w:ascii="Times New Roman" w:hAnsi="Times New Roman" w:eastAsia="仿宋_GB2312" w:cs="仿宋_GB2312"/>
          <w:color w:val="auto"/>
          <w:kern w:val="2"/>
          <w:sz w:val="32"/>
          <w:szCs w:val="32"/>
          <w:highlight w:val="none"/>
          <w:lang w:val="en-US" w:eastAsia="zh-CN" w:bidi="ar-SA"/>
        </w:rPr>
        <w:t>专项预算项目绩效自评得分为</w:t>
      </w:r>
      <w:r>
        <w:rPr>
          <w:rFonts w:hint="eastAsia" w:eastAsia="仿宋_GB2312" w:cs="仿宋_GB2312"/>
          <w:color w:val="auto"/>
          <w:kern w:val="2"/>
          <w:sz w:val="32"/>
          <w:szCs w:val="32"/>
          <w:highlight w:val="none"/>
          <w:lang w:val="en-US" w:eastAsia="zh-CN" w:bidi="ar-SA"/>
        </w:rPr>
        <w:t>84</w:t>
      </w:r>
      <w:r>
        <w:rPr>
          <w:rFonts w:hint="eastAsia" w:ascii="Times New Roman" w:hAnsi="Times New Roman" w:eastAsia="仿宋_GB2312" w:cs="仿宋_GB2312"/>
          <w:color w:val="auto"/>
          <w:kern w:val="2"/>
          <w:sz w:val="32"/>
          <w:szCs w:val="32"/>
          <w:highlight w:val="none"/>
          <w:lang w:val="en-US" w:eastAsia="zh-CN" w:bidi="ar-SA"/>
        </w:rPr>
        <w:t>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14"/>
        <w:rPr>
          <w:rFonts w:hint="eastAsia" w:ascii="Times New Roman" w:hAnsi="Times New Roman" w:eastAsia="仿宋_GB2312" w:cs="仿宋_GB2312"/>
          <w:color w:val="auto"/>
          <w:kern w:val="2"/>
          <w:sz w:val="32"/>
          <w:szCs w:val="32"/>
          <w:highlight w:val="none"/>
          <w:lang w:val="en-US" w:eastAsia="zh-CN" w:bidi="ar-SA"/>
        </w:rPr>
      </w:pPr>
    </w:p>
    <w:p>
      <w:pPr>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3"/>
        <w:rPr>
          <w:rFonts w:hint="eastAsia" w:ascii="Times New Roman" w:hAnsi="Times New Roman" w:eastAsia="仿宋_GB2312" w:cs="仿宋_GB2312"/>
          <w:color w:val="auto"/>
          <w:kern w:val="2"/>
          <w:sz w:val="32"/>
          <w:szCs w:val="32"/>
          <w:highlight w:val="none"/>
          <w:lang w:val="en-US" w:eastAsia="zh-CN" w:bidi="ar-SA"/>
        </w:rPr>
      </w:pPr>
    </w:p>
    <w:p>
      <w:pPr>
        <w:pStyle w:val="14"/>
        <w:ind w:left="0" w:leftChars="0" w:firstLine="0" w:firstLineChars="0"/>
        <w:rPr>
          <w:rFonts w:hint="eastAsia" w:ascii="Times New Roman" w:hAnsi="Times New Roman" w:eastAsia="仿宋_GB2312" w:cs="仿宋_GB2312"/>
          <w:color w:val="auto"/>
          <w:kern w:val="2"/>
          <w:sz w:val="30"/>
          <w:szCs w:val="30"/>
          <w:highlight w:val="none"/>
          <w:lang w:val="en-US" w:eastAsia="zh-CN" w:bidi="ar-SA"/>
        </w:rPr>
      </w:pPr>
    </w:p>
    <w:p>
      <w:pPr>
        <w:rPr>
          <w:rFonts w:hint="eastAsia"/>
          <w:lang w:val="en-US" w:eastAsia="zh-CN"/>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64" w:name="_Toc15396613"/>
      <w:bookmarkStart w:id="65" w:name="_Toc30906"/>
      <w:bookmarkStart w:id="66" w:name="_Toc15377225"/>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64"/>
      <w:bookmarkEnd w:id="65"/>
      <w:bookmarkEnd w:id="66"/>
    </w:p>
    <w:p>
      <w:pPr>
        <w:spacing w:line="600" w:lineRule="exact"/>
        <w:jc w:val="left"/>
        <w:rPr>
          <w:rFonts w:ascii="Times New Roman" w:hAnsi="Times New Roman"/>
          <w:b/>
          <w:color w:val="auto"/>
          <w:sz w:val="44"/>
          <w:szCs w:val="44"/>
          <w:highlight w:val="none"/>
        </w:rPr>
      </w:pPr>
    </w:p>
    <w:p>
      <w:pPr>
        <w:pageBreakBefore w:val="0"/>
        <w:widowControl/>
        <w:kinsoku/>
        <w:wordWrap/>
        <w:overflowPunct/>
        <w:topLinePunct w:val="0"/>
        <w:bidi w:val="0"/>
        <w:spacing w:line="576" w:lineRule="exact"/>
        <w:ind w:left="0" w:right="0" w:firstLine="707" w:firstLineChars="221"/>
        <w:jc w:val="both"/>
        <w:textAlignment w:val="auto"/>
        <w:outlineLvl w:val="9"/>
        <w:rPr>
          <w:rFonts w:hint="default" w:ascii="Times New Roman" w:hAnsi="Times New Roman" w:eastAsia="仿宋_GB2312" w:cs="Times New Roman"/>
          <w:sz w:val="32"/>
          <w:szCs w:val="32"/>
          <w:lang w:bidi="ar-SA"/>
        </w:rPr>
      </w:pPr>
      <w:bookmarkStart w:id="67" w:name="_Toc31859"/>
      <w:bookmarkStart w:id="68" w:name="_Toc16292"/>
      <w:bookmarkStart w:id="69" w:name="_Toc937"/>
      <w:bookmarkStart w:id="70" w:name="_Toc15377226"/>
      <w:r>
        <w:rPr>
          <w:rFonts w:hint="default" w:ascii="Times New Roman" w:hAnsi="Times New Roman" w:eastAsia="仿宋_GB2312" w:cs="Times New Roman"/>
          <w:color w:val="000000"/>
          <w:kern w:val="0"/>
          <w:sz w:val="32"/>
          <w:szCs w:val="32"/>
          <w:lang w:bidi="ar-SA"/>
        </w:rPr>
        <w:t>1.财政拨款收入：指省级财政当年拨付的资金。</w:t>
      </w:r>
      <w:bookmarkEnd w:id="67"/>
      <w:bookmarkEnd w:id="68"/>
      <w:bookmarkEnd w:id="69"/>
    </w:p>
    <w:p>
      <w:pPr>
        <w:pageBreakBefore w:val="0"/>
        <w:widowControl/>
        <w:kinsoku/>
        <w:wordWrap/>
        <w:overflowPunct/>
        <w:topLinePunct w:val="0"/>
        <w:bidi w:val="0"/>
        <w:spacing w:line="576" w:lineRule="exact"/>
        <w:ind w:left="0" w:right="0" w:firstLine="707" w:firstLineChars="221"/>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2.其他收入：指除上述“财政拨款收入”、“事业收入”、“经营收入”等以外的收入。</w:t>
      </w:r>
    </w:p>
    <w:p>
      <w:pPr>
        <w:pStyle w:val="27"/>
        <w:pageBreakBefore w:val="0"/>
        <w:widowControl w:val="0"/>
        <w:kinsoku/>
        <w:wordWrap/>
        <w:overflowPunct/>
        <w:topLinePunct w:val="0"/>
        <w:autoSpaceDE w:val="0"/>
        <w:autoSpaceDN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3</w:t>
      </w:r>
      <w:r>
        <w:rPr>
          <w:rFonts w:hint="default" w:ascii="Times New Roman" w:hAnsi="Times New Roman" w:eastAsia="仿宋_GB2312" w:cs="Times New Roman"/>
          <w:sz w:val="32"/>
          <w:szCs w:val="32"/>
          <w:lang w:bidi="ar-SA"/>
        </w:rPr>
        <w:t xml:space="preserve">.年初结转和结余：指以前年度尚未完成、结转到本年按有关规定继续使用的资金。 </w:t>
      </w:r>
    </w:p>
    <w:p>
      <w:pPr>
        <w:pStyle w:val="27"/>
        <w:pageBreakBefore w:val="0"/>
        <w:widowControl w:val="0"/>
        <w:kinsoku/>
        <w:wordWrap/>
        <w:overflowPunct/>
        <w:topLinePunct w:val="0"/>
        <w:autoSpaceDE w:val="0"/>
        <w:autoSpaceDN w:val="0"/>
        <w:bidi w:val="0"/>
        <w:spacing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sz w:val="32"/>
          <w:szCs w:val="32"/>
          <w:lang w:val="en-US" w:eastAsia="zh-CN" w:bidi="ar-SA"/>
        </w:rPr>
        <w:t>4</w:t>
      </w:r>
      <w:r>
        <w:rPr>
          <w:rFonts w:hint="default" w:ascii="Times New Roman" w:hAnsi="Times New Roman" w:eastAsia="仿宋_GB2312" w:cs="Times New Roman"/>
          <w:sz w:val="32"/>
          <w:szCs w:val="32"/>
          <w:lang w:bidi="ar-SA"/>
        </w:rPr>
        <w:t>、年末结转和结余：指单位按有关规定结转到下年或以后年度继续使用的资金。</w:t>
      </w:r>
    </w:p>
    <w:p>
      <w:pPr>
        <w:pageBreakBefore w:val="0"/>
        <w:widowControl/>
        <w:kinsoku/>
        <w:wordWrap/>
        <w:overflowPunct/>
        <w:topLinePunct w:val="0"/>
        <w:bidi w:val="0"/>
        <w:spacing w:line="576" w:lineRule="exact"/>
        <w:ind w:left="0" w:right="0" w:firstLine="707" w:firstLineChars="221"/>
        <w:jc w:val="both"/>
        <w:textAlignment w:val="auto"/>
        <w:outlineLvl w:val="9"/>
        <w:rPr>
          <w:rFonts w:hint="default" w:ascii="Times New Roman" w:hAnsi="Times New Roman" w:eastAsia="仿宋_GB2312" w:cs="Times New Roman"/>
          <w:sz w:val="32"/>
          <w:szCs w:val="32"/>
          <w:lang w:bidi="ar-SA"/>
        </w:rPr>
      </w:pPr>
      <w:bookmarkStart w:id="71" w:name="_Toc801"/>
      <w:bookmarkStart w:id="72" w:name="_Toc32439"/>
      <w:bookmarkStart w:id="73" w:name="_Toc25421"/>
      <w:r>
        <w:rPr>
          <w:rFonts w:hint="default" w:ascii="Times New Roman" w:hAnsi="Times New Roman" w:eastAsia="仿宋_GB2312" w:cs="Times New Roman"/>
          <w:color w:val="000000"/>
          <w:kern w:val="0"/>
          <w:sz w:val="32"/>
          <w:szCs w:val="32"/>
          <w:lang w:val="en-US" w:eastAsia="zh-CN" w:bidi="ar-SA"/>
        </w:rPr>
        <w:t>5</w:t>
      </w:r>
      <w:r>
        <w:rPr>
          <w:rFonts w:hint="default" w:ascii="Times New Roman" w:hAnsi="Times New Roman" w:eastAsia="仿宋_GB2312" w:cs="Times New Roman"/>
          <w:color w:val="000000"/>
          <w:kern w:val="0"/>
          <w:sz w:val="32"/>
          <w:szCs w:val="32"/>
          <w:lang w:bidi="ar-SA"/>
        </w:rPr>
        <w:t>.一般公共服务（类）</w:t>
      </w:r>
      <w:r>
        <w:rPr>
          <w:rFonts w:hint="default" w:ascii="Times New Roman" w:hAnsi="Times New Roman" w:eastAsia="仿宋_GB2312" w:cs="Times New Roman"/>
          <w:color w:val="000000"/>
          <w:kern w:val="0"/>
          <w:sz w:val="32"/>
          <w:szCs w:val="32"/>
          <w:lang w:eastAsia="zh-CN" w:bidi="ar-SA"/>
        </w:rPr>
        <w:t>统计信息事务</w:t>
      </w:r>
      <w:r>
        <w:rPr>
          <w:rFonts w:hint="default" w:ascii="Times New Roman" w:hAnsi="Times New Roman" w:eastAsia="仿宋_GB2312" w:cs="Times New Roman"/>
          <w:color w:val="000000"/>
          <w:kern w:val="0"/>
          <w:sz w:val="32"/>
          <w:szCs w:val="32"/>
          <w:lang w:bidi="ar-SA"/>
        </w:rPr>
        <w:t>（款）行政运行（项）：</w:t>
      </w:r>
      <w:bookmarkEnd w:id="71"/>
      <w:bookmarkEnd w:id="72"/>
      <w:bookmarkEnd w:id="73"/>
    </w:p>
    <w:p>
      <w:pPr>
        <w:pageBreakBefore w:val="0"/>
        <w:widowControl/>
        <w:kinsoku/>
        <w:wordWrap/>
        <w:overflowPunct/>
        <w:topLinePunct w:val="0"/>
        <w:bidi w:val="0"/>
        <w:spacing w:line="576" w:lineRule="exact"/>
        <w:ind w:left="0" w:right="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bidi="ar-SA"/>
        </w:rPr>
        <w:t>指机关及参公管理事业单位用于保障机构正常运行、开展</w:t>
      </w:r>
    </w:p>
    <w:p>
      <w:pPr>
        <w:pageBreakBefore w:val="0"/>
        <w:widowControl/>
        <w:kinsoku/>
        <w:wordWrap/>
        <w:overflowPunct/>
        <w:topLinePunct w:val="0"/>
        <w:bidi w:val="0"/>
        <w:spacing w:line="576" w:lineRule="exact"/>
        <w:ind w:left="0" w:right="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bidi="ar-SA"/>
        </w:rPr>
        <w:t>日常工作的基本支出。</w:t>
      </w:r>
    </w:p>
    <w:p>
      <w:pPr>
        <w:pageBreakBefore w:val="0"/>
        <w:widowControl/>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val="en-US" w:eastAsia="zh-CN" w:bidi="ar-SA"/>
        </w:rPr>
        <w:t>6</w:t>
      </w:r>
      <w:r>
        <w:rPr>
          <w:rFonts w:hint="default" w:ascii="Times New Roman" w:hAnsi="Times New Roman" w:eastAsia="仿宋_GB2312" w:cs="Times New Roman"/>
          <w:color w:val="000000"/>
          <w:kern w:val="0"/>
          <w:sz w:val="32"/>
          <w:szCs w:val="32"/>
          <w:lang w:bidi="ar-SA"/>
        </w:rPr>
        <w:t>.一般公共服务（类）财政事务（款）一般行政管理事务（项）：指机关及参公管理事业单位开展财政综合业务、</w:t>
      </w:r>
    </w:p>
    <w:p>
      <w:pPr>
        <w:pageBreakBefore w:val="0"/>
        <w:widowControl/>
        <w:kinsoku/>
        <w:wordWrap/>
        <w:overflowPunct/>
        <w:topLinePunct w:val="0"/>
        <w:bidi w:val="0"/>
        <w:spacing w:line="576" w:lineRule="exact"/>
        <w:ind w:left="0" w:right="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bidi="ar-SA"/>
        </w:rPr>
        <w:t>预决算编审等未单独设置项级科目的专门性财政管理工作</w:t>
      </w:r>
    </w:p>
    <w:p>
      <w:pPr>
        <w:pageBreakBefore w:val="0"/>
        <w:widowControl/>
        <w:kinsoku/>
        <w:wordWrap/>
        <w:overflowPunct/>
        <w:topLinePunct w:val="0"/>
        <w:bidi w:val="0"/>
        <w:spacing w:line="576" w:lineRule="exact"/>
        <w:ind w:left="0" w:right="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color w:val="000000"/>
          <w:kern w:val="0"/>
          <w:sz w:val="32"/>
          <w:szCs w:val="32"/>
          <w:lang w:bidi="ar-SA"/>
        </w:rPr>
        <w:t>的项目支出。</w:t>
      </w:r>
    </w:p>
    <w:p>
      <w:pPr>
        <w:pStyle w:val="27"/>
        <w:pageBreakBefore w:val="0"/>
        <w:widowControl w:val="0"/>
        <w:kinsoku/>
        <w:wordWrap/>
        <w:overflowPunct/>
        <w:topLinePunct w:val="0"/>
        <w:autoSpaceDE w:val="0"/>
        <w:autoSpaceDN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7</w:t>
      </w:r>
      <w:r>
        <w:rPr>
          <w:rFonts w:hint="default" w:ascii="Times New Roman" w:hAnsi="Times New Roman" w:eastAsia="仿宋_GB2312" w:cs="Times New Roman"/>
          <w:sz w:val="32"/>
          <w:szCs w:val="32"/>
          <w:lang w:bidi="ar-SA"/>
        </w:rPr>
        <w:t xml:space="preserve">.年初结转和结余：指以前年度尚未完成、结转到本年按有关规定继续使用的资金。 </w:t>
      </w:r>
    </w:p>
    <w:p>
      <w:pPr>
        <w:pStyle w:val="27"/>
        <w:pageBreakBefore w:val="0"/>
        <w:widowControl w:val="0"/>
        <w:kinsoku/>
        <w:wordWrap/>
        <w:overflowPunct/>
        <w:topLinePunct w:val="0"/>
        <w:autoSpaceDE w:val="0"/>
        <w:autoSpaceDN w:val="0"/>
        <w:bidi w:val="0"/>
        <w:spacing w:line="576" w:lineRule="exact"/>
        <w:ind w:left="0" w:right="0" w:firstLine="640" w:firstLineChars="200"/>
        <w:jc w:val="both"/>
        <w:textAlignment w:val="auto"/>
        <w:rPr>
          <w:rFonts w:hint="default" w:ascii="Times New Roman" w:hAnsi="Times New Roman" w:eastAsia="仿宋_GB2312" w:cs="Times New Roman"/>
          <w:color w:val="000000"/>
          <w:kern w:val="0"/>
          <w:sz w:val="32"/>
          <w:szCs w:val="32"/>
          <w:lang w:bidi="ar-SA"/>
        </w:rPr>
      </w:pPr>
      <w:r>
        <w:rPr>
          <w:rFonts w:hint="default" w:ascii="Times New Roman" w:hAnsi="Times New Roman" w:eastAsia="仿宋_GB2312" w:cs="Times New Roman"/>
          <w:sz w:val="32"/>
          <w:szCs w:val="32"/>
          <w:lang w:val="en-US" w:eastAsia="zh-CN" w:bidi="ar-SA"/>
        </w:rPr>
        <w:t>8</w:t>
      </w:r>
      <w:r>
        <w:rPr>
          <w:rFonts w:hint="default" w:ascii="Times New Roman" w:hAnsi="Times New Roman" w:eastAsia="仿宋_GB2312" w:cs="Times New Roman"/>
          <w:sz w:val="32"/>
          <w:szCs w:val="32"/>
          <w:lang w:bidi="ar-SA"/>
        </w:rPr>
        <w:t>、年末结转和结余：指单位按有关规定结转到下年或以后年度继续使用的资金。</w:t>
      </w:r>
    </w:p>
    <w:p>
      <w:pPr>
        <w:pageBreakBefore w:val="0"/>
        <w:widowControl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sz w:val="32"/>
          <w:szCs w:val="32"/>
          <w:lang w:val="en-US" w:eastAsia="zh-CN" w:bidi="ar-SA"/>
        </w:rPr>
        <w:t>9</w:t>
      </w:r>
      <w:r>
        <w:rPr>
          <w:rFonts w:hint="default" w:ascii="Times New Roman" w:hAnsi="Times New Roman" w:eastAsia="仿宋_GB2312" w:cs="Times New Roman"/>
          <w:color w:val="000000"/>
          <w:sz w:val="32"/>
          <w:szCs w:val="32"/>
          <w:lang w:bidi="ar-SA"/>
        </w:rPr>
        <w:t>.医疗卫生</w:t>
      </w:r>
      <w:r>
        <w:rPr>
          <w:rFonts w:hint="eastAsia" w:eastAsia="仿宋_GB2312" w:cs="Times New Roman"/>
          <w:color w:val="000000"/>
          <w:sz w:val="32"/>
          <w:szCs w:val="32"/>
          <w:lang w:eastAsia="zh-CN" w:bidi="ar-SA"/>
        </w:rPr>
        <w:t>较</w:t>
      </w:r>
      <w:r>
        <w:rPr>
          <w:rFonts w:hint="default" w:ascii="Times New Roman" w:hAnsi="Times New Roman" w:eastAsia="仿宋_GB2312" w:cs="Times New Roman"/>
          <w:color w:val="000000"/>
          <w:sz w:val="32"/>
          <w:szCs w:val="32"/>
          <w:lang w:bidi="ar-SA"/>
        </w:rPr>
        <w:t>计划生育（类）行政事业单位医疗（款）行政单位医疗（项）：指</w:t>
      </w:r>
      <w:r>
        <w:rPr>
          <w:rFonts w:hint="default" w:ascii="Times New Roman" w:hAnsi="Times New Roman" w:eastAsia="仿宋_GB2312" w:cs="Times New Roman"/>
          <w:sz w:val="32"/>
          <w:szCs w:val="32"/>
          <w:lang w:bidi="ar-SA"/>
        </w:rPr>
        <w:t>行政单位医疗，反映用于医疗保障方面的支出，指财政部门集中安排的行政单位的公费医疗经费，按国家规定享受离休人员、红军老战士待遇人员的医疗经费。</w:t>
      </w:r>
    </w:p>
    <w:p>
      <w:pPr>
        <w:pageBreakBefore w:val="0"/>
        <w:widowControl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10</w:t>
      </w:r>
      <w:r>
        <w:rPr>
          <w:rFonts w:hint="default" w:ascii="Times New Roman" w:hAnsi="Times New Roman" w:eastAsia="仿宋_GB2312" w:cs="Times New Roman"/>
          <w:sz w:val="32"/>
          <w:szCs w:val="32"/>
          <w:lang w:bidi="ar-SA"/>
        </w:rPr>
        <w:t>.住房保障支出（类）住房改革支出（款）住房公积金（项）：住房改革支出，反映行政事业单位按人力资源和社会保障部、财政部规定的基本工资和津贴补贴以及规定比例为职工缴纳的住房公积金。</w:t>
      </w:r>
    </w:p>
    <w:p>
      <w:pPr>
        <w:pageBreakBefore w:val="0"/>
        <w:widowControl w:val="0"/>
        <w:kinsoku/>
        <w:wordWrap/>
        <w:overflowPunct/>
        <w:topLinePunct w:val="0"/>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val="en-US" w:eastAsia="zh-CN" w:bidi="ar-SA"/>
        </w:rPr>
        <w:t>11</w:t>
      </w:r>
      <w:r>
        <w:rPr>
          <w:rFonts w:hint="default" w:ascii="Times New Roman" w:hAnsi="Times New Roman" w:eastAsia="仿宋_GB2312" w:cs="Times New Roman"/>
          <w:sz w:val="32"/>
          <w:szCs w:val="32"/>
          <w:lang w:bidi="ar-SA"/>
        </w:rPr>
        <w:t>.社会保障和就业（类）行政事业单位离退休（款）养老保险（项）：机关事业单位基本养老保险缴费支出，反映机关事业单位实施养老保险制度由单位缴纳的基本养老保险费支出。</w:t>
      </w:r>
    </w:p>
    <w:p>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color w:val="000000"/>
          <w:sz w:val="32"/>
          <w:szCs w:val="32"/>
          <w:lang w:bidi="ar-SA"/>
        </w:rPr>
      </w:pPr>
      <w:r>
        <w:rPr>
          <w:rFonts w:hint="default" w:ascii="Times New Roman" w:hAnsi="Times New Roman" w:eastAsia="仿宋_GB2312" w:cs="Times New Roman"/>
          <w:sz w:val="32"/>
          <w:szCs w:val="32"/>
          <w:lang w:val="en-US" w:eastAsia="zh-CN" w:bidi="ar-SA"/>
        </w:rPr>
        <w:t>12</w:t>
      </w:r>
      <w:r>
        <w:rPr>
          <w:rFonts w:hint="default" w:ascii="Times New Roman" w:hAnsi="Times New Roman" w:eastAsia="仿宋_GB2312" w:cs="Times New Roman"/>
          <w:sz w:val="32"/>
          <w:szCs w:val="32"/>
          <w:lang w:bidi="ar-SA"/>
        </w:rPr>
        <w:t>.社会保障和就业（类）行政事业单位离退休（款）职业年金（项）：机关事业单位职业年金缴费支出，反映机关事业单位实施养老保险制度由单位实际缴纳的职业年金支出</w:t>
      </w:r>
      <w:r>
        <w:rPr>
          <w:rFonts w:hint="default" w:ascii="Times New Roman" w:hAnsi="Times New Roman" w:eastAsia="仿宋_GB2312" w:cs="Times New Roman"/>
          <w:color w:val="000000"/>
          <w:sz w:val="32"/>
          <w:szCs w:val="32"/>
          <w:lang w:bidi="ar-SA"/>
        </w:rPr>
        <w:t>。</w:t>
      </w:r>
    </w:p>
    <w:p>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sz w:val="32"/>
          <w:szCs w:val="32"/>
          <w:lang w:val="en-US" w:eastAsia="zh-CN" w:bidi="ar-SA"/>
        </w:rPr>
        <w:t>13</w:t>
      </w:r>
      <w:r>
        <w:rPr>
          <w:rFonts w:hint="default" w:ascii="Times New Roman" w:hAnsi="Times New Roman" w:eastAsia="仿宋_GB2312" w:cs="Times New Roman"/>
          <w:color w:val="000000"/>
          <w:sz w:val="32"/>
          <w:szCs w:val="32"/>
          <w:lang w:bidi="ar-SA"/>
        </w:rPr>
        <w:t>.</w:t>
      </w:r>
      <w:r>
        <w:rPr>
          <w:rFonts w:hint="default" w:ascii="Times New Roman" w:hAnsi="Times New Roman" w:eastAsia="仿宋_GB2312" w:cs="Times New Roman"/>
          <w:sz w:val="32"/>
          <w:szCs w:val="32"/>
          <w:lang w:bidi="ar-SA"/>
        </w:rPr>
        <w:t>基本支出：指为保障机构正常运转、完成日常工作任务而发生的人员支出和公用支出。人员经费支出主要包括基本工资；津贴补贴；）奖金；绩效工资；）机关事业单位基本养老保险缴费；职业年金缴费；其他社会保障缴费；奖励金；住房公积金；医疗费。</w:t>
      </w:r>
    </w:p>
    <w:p>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1</w:t>
      </w:r>
      <w:r>
        <w:rPr>
          <w:rFonts w:hint="default" w:ascii="Times New Roman" w:hAnsi="Times New Roman" w:eastAsia="仿宋_GB2312" w:cs="Times New Roman"/>
          <w:sz w:val="32"/>
          <w:szCs w:val="32"/>
          <w:lang w:val="en-US" w:eastAsia="zh-CN" w:bidi="ar-SA"/>
        </w:rPr>
        <w:t>4</w:t>
      </w:r>
      <w:r>
        <w:rPr>
          <w:rFonts w:hint="default" w:ascii="Times New Roman" w:hAnsi="Times New Roman" w:eastAsia="仿宋_GB2312" w:cs="Times New Roman"/>
          <w:sz w:val="32"/>
          <w:szCs w:val="32"/>
          <w:lang w:bidi="ar-SA"/>
        </w:rPr>
        <w:t>.项目支出：指在基本支出之外为完成特定行政任务动之外开展非独立核算经营活动发生的支出。</w:t>
      </w:r>
    </w:p>
    <w:p>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sz w:val="32"/>
          <w:szCs w:val="32"/>
          <w:lang w:val="en-US" w:eastAsia="zh-CN" w:bidi="ar-SA"/>
        </w:rPr>
        <w:t>15</w:t>
      </w:r>
      <w:r>
        <w:rPr>
          <w:rFonts w:hint="default" w:ascii="Times New Roman" w:hAnsi="Times New Roman" w:eastAsia="仿宋_GB2312" w:cs="Times New Roman"/>
          <w:color w:val="000000"/>
          <w:sz w:val="32"/>
          <w:szCs w:val="32"/>
          <w:lang w:bidi="ar-SA"/>
        </w:rPr>
        <w:t>.经营支出：指事业单位在专业业务活动及其辅助活动之外开展非独立核算经营活动发生的支出。</w:t>
      </w:r>
    </w:p>
    <w:p>
      <w:pPr>
        <w:pageBreakBefore w:val="0"/>
        <w:widowControl w:val="0"/>
        <w:kinsoku/>
        <w:wordWrap/>
        <w:overflowPunct/>
        <w:topLinePunct w:val="0"/>
        <w:autoSpaceDE/>
        <w:autoSpaceDN/>
        <w:bidi w:val="0"/>
        <w:spacing w:line="576" w:lineRule="exact"/>
        <w:ind w:left="0" w:right="0"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1</w:t>
      </w:r>
      <w:r>
        <w:rPr>
          <w:rFonts w:hint="default" w:ascii="Times New Roman" w:hAnsi="Times New Roman" w:eastAsia="仿宋_GB2312" w:cs="Times New Roman"/>
          <w:sz w:val="32"/>
          <w:szCs w:val="32"/>
          <w:lang w:val="en-US" w:eastAsia="zh-CN" w:bidi="ar-SA"/>
        </w:rPr>
        <w:t>6</w:t>
      </w:r>
      <w:r>
        <w:rPr>
          <w:rFonts w:hint="default" w:ascii="Times New Roman" w:hAnsi="Times New Roman" w:eastAsia="仿宋_GB2312" w:cs="Times New Roman"/>
          <w:sz w:val="32"/>
          <w:szCs w:val="32"/>
          <w:lang w:bidi="ar-SA"/>
        </w:rPr>
        <w:t>.“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ageBreakBefore w:val="0"/>
        <w:widowControl w:val="0"/>
        <w:kinsoku/>
        <w:wordWrap/>
        <w:overflowPunct/>
        <w:topLinePunct w:val="0"/>
        <w:autoSpaceDE/>
        <w:autoSpaceDN/>
        <w:bidi w:val="0"/>
        <w:spacing w:line="576" w:lineRule="exact"/>
        <w:ind w:left="0" w:right="0" w:firstLine="640"/>
        <w:jc w:val="both"/>
        <w:textAlignment w:val="auto"/>
        <w:rPr>
          <w:rFonts w:hint="default" w:ascii="Times New Roman" w:hAnsi="Times New Roman" w:eastAsia="仿宋_GB2312" w:cs="Times New Roman"/>
          <w:b/>
          <w:color w:val="000000"/>
          <w:sz w:val="32"/>
          <w:szCs w:val="32"/>
          <w:lang w:bidi="ar-SA"/>
        </w:rPr>
      </w:pPr>
      <w:r>
        <w:rPr>
          <w:rFonts w:hint="default" w:ascii="Times New Roman" w:hAnsi="Times New Roman" w:eastAsia="仿宋_GB2312" w:cs="Times New Roman"/>
          <w:sz w:val="32"/>
          <w:szCs w:val="32"/>
          <w:lang w:bidi="ar-SA"/>
        </w:rPr>
        <w:t>1</w:t>
      </w:r>
      <w:r>
        <w:rPr>
          <w:rFonts w:hint="default" w:ascii="Times New Roman" w:hAnsi="Times New Roman" w:eastAsia="仿宋_GB2312" w:cs="Times New Roman"/>
          <w:sz w:val="32"/>
          <w:szCs w:val="32"/>
          <w:lang w:val="en-US" w:eastAsia="zh-CN" w:bidi="ar-SA"/>
        </w:rPr>
        <w:t>7</w:t>
      </w:r>
      <w:r>
        <w:rPr>
          <w:rFonts w:hint="default" w:ascii="Times New Roman" w:hAnsi="Times New Roman" w:eastAsia="仿宋_GB2312" w:cs="Times New Roman"/>
          <w:sz w:val="32"/>
          <w:szCs w:val="32"/>
          <w:lang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办公费；）邮电费；）差旅费；培训费；租赁费；其他商品和服务支出。</w:t>
      </w:r>
    </w:p>
    <w:p>
      <w:pPr>
        <w:spacing w:line="240" w:lineRule="auto"/>
        <w:jc w:val="center"/>
        <w:rPr>
          <w:rStyle w:val="29"/>
          <w:rFonts w:hint="eastAsia" w:ascii="Times New Roman" w:hAnsi="Times New Roman" w:eastAsia="黑体"/>
          <w:b w:val="0"/>
          <w:color w:val="auto"/>
          <w:highlight w:val="none"/>
          <w:lang w:eastAsia="zh-CN"/>
        </w:rPr>
      </w:pPr>
      <w:r>
        <w:rPr>
          <w:rFonts w:ascii="宋体"/>
          <w:b/>
          <w:color w:val="auto"/>
          <w:sz w:val="44"/>
          <w:szCs w:val="44"/>
          <w:highlight w:val="none"/>
        </w:rPr>
        <w:br w:type="page"/>
      </w:r>
    </w:p>
    <w:p>
      <w:pPr>
        <w:numPr>
          <w:ilvl w:val="0"/>
          <w:numId w:val="3"/>
        </w:numPr>
        <w:spacing w:line="600" w:lineRule="exact"/>
        <w:jc w:val="center"/>
        <w:outlineLvl w:val="0"/>
        <w:rPr>
          <w:rFonts w:hint="eastAsia" w:eastAsia="黑体" w:cs="Times New Roman"/>
          <w:color w:val="auto"/>
          <w:kern w:val="2"/>
          <w:sz w:val="44"/>
          <w:szCs w:val="44"/>
          <w:highlight w:val="none"/>
          <w:lang w:val="en-US" w:eastAsia="zh-CN" w:bidi="ar-SA"/>
        </w:rPr>
      </w:pPr>
      <w:r>
        <w:rPr>
          <w:rFonts w:hint="eastAsia" w:eastAsia="黑体" w:cs="Times New Roman"/>
          <w:color w:val="auto"/>
          <w:kern w:val="2"/>
          <w:sz w:val="44"/>
          <w:szCs w:val="44"/>
          <w:highlight w:val="none"/>
          <w:lang w:val="en-US" w:eastAsia="zh-CN" w:bidi="ar-SA"/>
        </w:rPr>
        <w:t xml:space="preserve"> </w:t>
      </w:r>
      <w:bookmarkStart w:id="74" w:name="_Toc5420"/>
      <w:r>
        <w:rPr>
          <w:rFonts w:hint="eastAsia" w:eastAsia="黑体" w:cs="Times New Roman"/>
          <w:color w:val="auto"/>
          <w:kern w:val="2"/>
          <w:sz w:val="44"/>
          <w:szCs w:val="44"/>
          <w:highlight w:val="none"/>
          <w:lang w:val="en-US" w:eastAsia="zh-CN" w:bidi="ar-SA"/>
        </w:rPr>
        <w:t>附件</w:t>
      </w:r>
      <w:bookmarkEnd w:id="74"/>
    </w:p>
    <w:p>
      <w:pPr>
        <w:pStyle w:val="2"/>
        <w:numPr>
          <w:ilvl w:val="0"/>
          <w:numId w:val="0"/>
        </w:numPr>
        <w:rPr>
          <w:rFonts w:hint="eastAsia"/>
        </w:rPr>
      </w:pPr>
    </w:p>
    <w:p>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ascii="方正小标宋简体" w:hAnsi="方正小标宋简体" w:eastAsia="方正小标宋简体" w:cs="方正小标宋简体"/>
          <w:bCs/>
          <w:sz w:val="44"/>
          <w:szCs w:val="44"/>
        </w:rPr>
      </w:pPr>
      <w:r>
        <w:rPr>
          <w:rFonts w:hint="eastAsia" w:eastAsia="方正小标宋简体" w:cs="Times New Roman"/>
          <w:b w:val="0"/>
          <w:bCs/>
          <w:sz w:val="44"/>
          <w:szCs w:val="44"/>
          <w:highlight w:val="none"/>
          <w:shd w:val="clear" w:color="auto" w:fill="FFFFFF"/>
          <w:lang w:val="en-US" w:eastAsia="zh-CN"/>
        </w:rPr>
        <w:t>茂县统计局2024年</w:t>
      </w: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pPr>
        <w:keepNext w:val="0"/>
        <w:keepLines w:val="0"/>
        <w:pageBreakBefore w:val="0"/>
        <w:widowControl w:val="0"/>
        <w:kinsoku/>
        <w:overflowPunct/>
        <w:topLinePunct w:val="0"/>
        <w:autoSpaceDE/>
        <w:autoSpaceDN/>
        <w:bidi w:val="0"/>
        <w:adjustRightInd/>
        <w:snapToGrid/>
        <w:spacing w:line="560" w:lineRule="exact"/>
        <w:contextualSpacing/>
        <w:textAlignment w:val="auto"/>
        <w:rPr>
          <w:rFonts w:hint="eastAsia" w:ascii="黑体" w:hAnsi="Times New Roman" w:eastAsia="黑体" w:cs="宋体"/>
          <w:color w:val="000000"/>
          <w:kern w:val="0"/>
          <w:sz w:val="32"/>
          <w:szCs w:val="32"/>
          <w:shd w:val="clear" w:color="auto" w:fill="FFFFFF"/>
        </w:rPr>
      </w:pP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一、部门（单位）概况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（一）机构组成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茂县统计局属一级预算单位，内设</w:t>
      </w:r>
      <w:r>
        <w:rPr>
          <w:rFonts w:hint="eastAsia" w:ascii="仿宋_GB2312" w:hAnsi="仿宋_GB2312" w:eastAsia="仿宋_GB2312" w:cs="仿宋_GB2312"/>
          <w:color w:val="000000"/>
          <w:kern w:val="0"/>
          <w:sz w:val="32"/>
          <w:szCs w:val="32"/>
          <w:shd w:val="clear" w:color="auto" w:fill="FFFFFF"/>
          <w:lang w:val="en-US" w:eastAsia="zh-CN"/>
        </w:rPr>
        <w:t>股室</w:t>
      </w:r>
      <w:r>
        <w:rPr>
          <w:rFonts w:hint="eastAsia" w:ascii="仿宋_GB2312" w:hAnsi="仿宋_GB2312" w:eastAsia="仿宋_GB2312" w:cs="仿宋_GB2312"/>
          <w:color w:val="000000"/>
          <w:kern w:val="0"/>
          <w:sz w:val="32"/>
          <w:szCs w:val="32"/>
          <w:shd w:val="clear" w:color="auto" w:fill="FFFFFF"/>
        </w:rPr>
        <w:t>为办公室、综合统计股、专业统计股、城乡社会经济抽样调查队。</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（二）机构职能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依照国家法律、法规、规章、组织领导和综合协调全县各乡镇、各部门的统计和国民经济核算工作，准确、及时、全面地反映县情县力，反映社会经济发展的基本情况，为茂县制定政策、计划、指导经济和社会发展提供依据；监督检查统计法律、法规的实施，查处统计违法案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2.根据全县宏观管理和科学决策的要求，建立健全全县国民经济核算体系和统计指标体系，制定和管理全县统一的基本报表制度；制定</w:t>
      </w:r>
      <w:r>
        <w:rPr>
          <w:rFonts w:hint="eastAsia" w:ascii="仿宋_GB2312" w:hAnsi="仿宋_GB2312" w:eastAsia="仿宋_GB2312" w:cs="仿宋_GB2312"/>
          <w:color w:val="000000"/>
          <w:kern w:val="0"/>
          <w:sz w:val="32"/>
          <w:szCs w:val="32"/>
          <w:shd w:val="clear" w:color="auto" w:fill="FFFFFF"/>
          <w:lang w:eastAsia="zh-CN"/>
        </w:rPr>
        <w:t>较</w:t>
      </w:r>
      <w:r>
        <w:rPr>
          <w:rFonts w:hint="eastAsia" w:ascii="仿宋_GB2312" w:hAnsi="仿宋_GB2312" w:eastAsia="仿宋_GB2312" w:cs="仿宋_GB2312"/>
          <w:color w:val="000000"/>
          <w:kern w:val="0"/>
          <w:sz w:val="32"/>
          <w:szCs w:val="32"/>
          <w:shd w:val="clear" w:color="auto" w:fill="FFFFFF"/>
        </w:rPr>
        <w:t>有关部门共同制定全县统计标准，审定部门统计标准；管理全县统计调查项目，审批全县各乡镇、各部门的统计调查计划、调查方案和统计报表。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负责组织实施全县重大的国情国力普查和专项统计调查；汇总、整理全县的基本统计资料；对国民经济运行、科技进步和社会发展情况进行统计分析、预测、监督；向县委、政府及有关部门提供统计信息和咨询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4.统一核定、管理、公布、出版全县的基本统计资料，定期发布全县国民经济和社会发展情况的统计信息，积极培育和发展县内信息咨询服务市场。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5.负责收集、整理、提供全县性的基本统计资料和全县居民的年度主要统计资料，并对国民经济社会发展和科技进步情况进行分析、预测，向县政府提供统计建议。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6.调查、编算、提供消费及零售物价指数资料，进行市场物价分析、预测、监控工作。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7.调查、编算、提供城乡居民家庭收支抽样调查资料，适时反映居民生活消费情况。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8.建立健全和管理全县统计信息自动化系统和统计数据库体系；制定全县各乡镇、各部门统计数据库网络的基本标准和运行规则。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9.根据州统计局的安排负责组织全县统计系统专业技术资格考试和职务评审，统计人员的统计专业技术岗位培训和继续教育工作。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10.承担县政府公布的有关行政审批事项。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11.承办县政府交办的其他事项。</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（三）人员概况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黑体" w:hAnsi="黑体" w:eastAsia="黑体" w:cs="黑体"/>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总编制1</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rPr>
        <w:t>名,其中:行政编制7名,参照公务员法管理的事业编制</w:t>
      </w:r>
      <w:r>
        <w:rPr>
          <w:rFonts w:hint="eastAsia" w:ascii="仿宋_GB2312" w:hAnsi="仿宋_GB2312" w:eastAsia="仿宋_GB2312" w:cs="仿宋_GB2312"/>
          <w:color w:val="000000"/>
          <w:kern w:val="0"/>
          <w:sz w:val="32"/>
          <w:szCs w:val="32"/>
          <w:shd w:val="clear" w:color="auto" w:fill="FFFFFF"/>
          <w:lang w:val="en-US" w:eastAsia="zh-CN"/>
        </w:rPr>
        <w:t>8</w:t>
      </w:r>
      <w:r>
        <w:rPr>
          <w:rFonts w:hint="eastAsia" w:ascii="仿宋_GB2312" w:hAnsi="仿宋_GB2312" w:eastAsia="仿宋_GB2312" w:cs="仿宋_GB2312"/>
          <w:color w:val="000000"/>
          <w:kern w:val="0"/>
          <w:sz w:val="32"/>
          <w:szCs w:val="32"/>
          <w:shd w:val="clear" w:color="auto" w:fill="FFFFFF"/>
        </w:rPr>
        <w:t>名。在职人员总数1</w:t>
      </w:r>
      <w:r>
        <w:rPr>
          <w:rFonts w:hint="eastAsia" w:ascii="仿宋_GB2312" w:hAnsi="仿宋_GB2312" w:eastAsia="仿宋_GB2312" w:cs="仿宋_GB2312"/>
          <w:color w:val="000000"/>
          <w:kern w:val="0"/>
          <w:sz w:val="32"/>
          <w:szCs w:val="32"/>
          <w:shd w:val="clear" w:color="auto" w:fill="FFFFFF"/>
          <w:lang w:val="en-US" w:eastAsia="zh-CN"/>
        </w:rPr>
        <w:t>2</w:t>
      </w:r>
      <w:r>
        <w:rPr>
          <w:rFonts w:hint="eastAsia" w:ascii="仿宋_GB2312" w:hAnsi="仿宋_GB2312" w:eastAsia="仿宋_GB2312" w:cs="仿宋_GB2312"/>
          <w:color w:val="000000"/>
          <w:kern w:val="0"/>
          <w:sz w:val="32"/>
          <w:szCs w:val="32"/>
          <w:shd w:val="clear" w:color="auto" w:fill="FFFFFF"/>
        </w:rPr>
        <w:t>名，其中：行政人员6名，参照公务员法管理的事业人员</w:t>
      </w:r>
      <w:r>
        <w:rPr>
          <w:rFonts w:hint="eastAsia" w:ascii="仿宋_GB2312" w:hAnsi="仿宋_GB2312" w:eastAsia="仿宋_GB2312" w:cs="仿宋_GB2312"/>
          <w:color w:val="000000"/>
          <w:kern w:val="0"/>
          <w:sz w:val="32"/>
          <w:szCs w:val="32"/>
          <w:shd w:val="clear" w:color="auto" w:fill="FFFFFF"/>
          <w:lang w:val="en-US" w:eastAsia="zh-CN"/>
        </w:rPr>
        <w:t>5</w:t>
      </w:r>
      <w:r>
        <w:rPr>
          <w:rFonts w:hint="eastAsia" w:ascii="仿宋_GB2312" w:hAnsi="仿宋_GB2312" w:eastAsia="仿宋_GB2312" w:cs="仿宋_GB2312"/>
          <w:color w:val="000000"/>
          <w:kern w:val="0"/>
          <w:sz w:val="32"/>
          <w:szCs w:val="32"/>
          <w:shd w:val="clear" w:color="auto" w:fill="FFFFFF"/>
        </w:rPr>
        <w:t>名，行政工勤人员1名（占参公编制）；退休人员1</w:t>
      </w:r>
      <w:r>
        <w:rPr>
          <w:rFonts w:hint="eastAsia" w:ascii="仿宋_GB2312" w:hAnsi="仿宋_GB2312" w:eastAsia="仿宋_GB2312" w:cs="仿宋_GB2312"/>
          <w:color w:val="000000"/>
          <w:kern w:val="0"/>
          <w:sz w:val="32"/>
          <w:szCs w:val="32"/>
          <w:shd w:val="clear" w:color="auto" w:fill="FFFFFF"/>
          <w:lang w:val="en-US" w:eastAsia="zh-CN"/>
        </w:rPr>
        <w:t>3</w:t>
      </w:r>
      <w:r>
        <w:rPr>
          <w:rFonts w:hint="eastAsia" w:ascii="仿宋_GB2312" w:hAnsi="仿宋_GB2312" w:eastAsia="仿宋_GB2312" w:cs="仿宋_GB2312"/>
          <w:color w:val="000000"/>
          <w:kern w:val="0"/>
          <w:sz w:val="32"/>
          <w:szCs w:val="32"/>
          <w:shd w:val="clear" w:color="auto" w:fill="FFFFFF"/>
        </w:rPr>
        <w:t>人。</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二、部门财政资金收支情况</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（一）部门财政资金收入情况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年本部门财政拨款收入决算总额为</w:t>
      </w:r>
      <w:r>
        <w:rPr>
          <w:rFonts w:ascii="仿宋_GB2312" w:hAnsi="仿宋_GB2312" w:eastAsia="仿宋_GB2312" w:cs="仿宋_GB2312"/>
          <w:sz w:val="32"/>
          <w:szCs w:val="32"/>
        </w:rPr>
        <w:t>434</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color w:val="000000"/>
          <w:kern w:val="0"/>
          <w:sz w:val="32"/>
          <w:szCs w:val="32"/>
          <w:shd w:val="clear" w:color="auto" w:fill="FFFFFF"/>
        </w:rPr>
        <w:t>万元，其中：当年财政拨款收入</w:t>
      </w:r>
      <w:r>
        <w:rPr>
          <w:rFonts w:ascii="仿宋_GB2312" w:hAnsi="仿宋_GB2312" w:eastAsia="仿宋_GB2312" w:cs="仿宋_GB2312"/>
          <w:sz w:val="32"/>
          <w:szCs w:val="32"/>
        </w:rPr>
        <w:t>434</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color w:val="000000"/>
          <w:kern w:val="0"/>
          <w:sz w:val="32"/>
          <w:szCs w:val="32"/>
          <w:shd w:val="clear" w:color="auto" w:fill="FFFFFF"/>
        </w:rPr>
        <w:t>万元,均为一般公共预算财政拨款。</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（二）部门财政资金支出情况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年总支出434</w:t>
      </w:r>
      <w:r>
        <w:rPr>
          <w:rFonts w:hint="eastAsia" w:ascii="仿宋_GB2312" w:hAnsi="仿宋_GB2312" w:eastAsia="仿宋_GB2312" w:cs="仿宋_GB2312"/>
          <w:color w:val="000000"/>
          <w:kern w:val="0"/>
          <w:sz w:val="32"/>
          <w:szCs w:val="32"/>
          <w:shd w:val="clear" w:color="auto" w:fill="FFFFFF"/>
          <w:lang w:val="en-US" w:eastAsia="zh-CN"/>
        </w:rPr>
        <w:t>.14</w:t>
      </w:r>
      <w:r>
        <w:rPr>
          <w:rFonts w:hint="eastAsia" w:ascii="仿宋_GB2312" w:hAnsi="仿宋_GB2312" w:eastAsia="仿宋_GB2312" w:cs="仿宋_GB2312"/>
          <w:color w:val="000000"/>
          <w:kern w:val="0"/>
          <w:sz w:val="32"/>
          <w:szCs w:val="32"/>
          <w:shd w:val="clear" w:color="auto" w:fill="FFFFFF"/>
        </w:rPr>
        <w:t>万元，其中一般公共服务支出为</w:t>
      </w:r>
      <w:r>
        <w:rPr>
          <w:rFonts w:hint="eastAsia" w:ascii="仿宋_GB2312" w:hAnsi="仿宋_GB2312" w:eastAsia="仿宋_GB2312" w:cs="仿宋_GB2312"/>
          <w:color w:val="000000"/>
          <w:kern w:val="0"/>
          <w:sz w:val="32"/>
          <w:szCs w:val="32"/>
          <w:shd w:val="clear" w:color="auto" w:fill="FFFFFF"/>
          <w:lang w:val="en-US" w:eastAsia="zh-CN"/>
        </w:rPr>
        <w:t>358.30</w:t>
      </w:r>
      <w:r>
        <w:rPr>
          <w:rFonts w:hint="eastAsia" w:ascii="仿宋_GB2312" w:hAnsi="仿宋_GB2312" w:eastAsia="仿宋_GB2312" w:cs="仿宋_GB2312"/>
          <w:color w:val="000000"/>
          <w:kern w:val="0"/>
          <w:sz w:val="32"/>
          <w:szCs w:val="32"/>
          <w:shd w:val="clear" w:color="auto" w:fill="FFFFFF"/>
        </w:rPr>
        <w:t>万元,社会保障和就业支出为</w:t>
      </w:r>
      <w:r>
        <w:rPr>
          <w:rFonts w:hint="eastAsia" w:ascii="仿宋_GB2312" w:hAnsi="仿宋_GB2312" w:eastAsia="仿宋_GB2312" w:cs="仿宋_GB2312"/>
          <w:color w:val="000000"/>
          <w:kern w:val="0"/>
          <w:sz w:val="32"/>
          <w:szCs w:val="32"/>
          <w:shd w:val="clear" w:color="auto" w:fill="FFFFFF"/>
          <w:lang w:val="en-US" w:eastAsia="zh-CN"/>
        </w:rPr>
        <w:t>36.28</w:t>
      </w:r>
      <w:r>
        <w:rPr>
          <w:rFonts w:hint="eastAsia" w:ascii="仿宋_GB2312" w:hAnsi="仿宋_GB2312" w:eastAsia="仿宋_GB2312" w:cs="仿宋_GB2312"/>
          <w:color w:val="000000"/>
          <w:kern w:val="0"/>
          <w:sz w:val="32"/>
          <w:szCs w:val="32"/>
          <w:shd w:val="clear" w:color="auto" w:fill="FFFFFF"/>
        </w:rPr>
        <w:t>万元</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卫生健康支出为</w:t>
      </w:r>
      <w:r>
        <w:rPr>
          <w:rFonts w:hint="eastAsia" w:ascii="仿宋_GB2312" w:hAnsi="仿宋_GB2312" w:eastAsia="仿宋_GB2312" w:cs="仿宋_GB2312"/>
          <w:color w:val="000000"/>
          <w:kern w:val="0"/>
          <w:sz w:val="32"/>
          <w:szCs w:val="32"/>
          <w:shd w:val="clear" w:color="auto" w:fill="FFFFFF"/>
          <w:lang w:val="en-US" w:eastAsia="zh-CN"/>
        </w:rPr>
        <w:t>16.96</w:t>
      </w:r>
      <w:r>
        <w:rPr>
          <w:rFonts w:hint="eastAsia" w:ascii="仿宋_GB2312" w:hAnsi="仿宋_GB2312" w:eastAsia="仿宋_GB2312" w:cs="仿宋_GB2312"/>
          <w:color w:val="000000"/>
          <w:kern w:val="0"/>
          <w:sz w:val="32"/>
          <w:szCs w:val="32"/>
          <w:shd w:val="clear" w:color="auto" w:fill="FFFFFF"/>
        </w:rPr>
        <w:t>万元,住房保障支出为</w:t>
      </w:r>
      <w:r>
        <w:rPr>
          <w:rFonts w:hint="eastAsia" w:ascii="仿宋_GB2312" w:hAnsi="仿宋_GB2312" w:eastAsia="仿宋_GB2312" w:cs="仿宋_GB2312"/>
          <w:color w:val="000000"/>
          <w:kern w:val="0"/>
          <w:sz w:val="32"/>
          <w:szCs w:val="32"/>
          <w:shd w:val="clear" w:color="auto" w:fill="FFFFFF"/>
          <w:lang w:val="en-US" w:eastAsia="zh-CN"/>
        </w:rPr>
        <w:t>22.61</w:t>
      </w:r>
      <w:r>
        <w:rPr>
          <w:rFonts w:hint="eastAsia" w:ascii="仿宋_GB2312" w:hAnsi="仿宋_GB2312" w:eastAsia="仿宋_GB2312" w:cs="仿宋_GB2312"/>
          <w:color w:val="000000"/>
          <w:kern w:val="0"/>
          <w:sz w:val="32"/>
          <w:szCs w:val="32"/>
          <w:shd w:val="clear" w:color="auto" w:fill="FFFFFF"/>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（三）结余分配和结转结余情况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年末结转和结余0万元，其中基本支出结转0万元，项目支出结转和结余0万元。项目支出结转和结余中：一般公共服务支出为0万元,社会保障和就业支出为0万元,卫生健康支出为0万元,住房保障支出为0万元。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三、部门预算绩效分析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（一）部门预算总体绩效分析。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1.履职效能。根据我单位职能职责，结合中长期规划和年度工作计划，明确了年度主要工作任务及年度内履职所要达到的总体产出和效果，设定了年度绩效数量指标、成本指标</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效益指标等。认真组织开展所属单位的绩效监控工作，对项目进度预算执行、投入产出、各项效益的阶段完成情况进行动态跟踪监控，有效使用财政资金，提高财政资金使用效益，保障了本单位工作顺利开展。</w:t>
      </w:r>
      <w:r>
        <w:rPr>
          <w:rFonts w:hint="eastAsia" w:ascii="仿宋_GB2312" w:hAnsi="仿宋_GB2312" w:eastAsia="仿宋_GB2312" w:cs="仿宋_GB2312"/>
          <w:color w:val="000000"/>
          <w:kern w:val="0"/>
          <w:sz w:val="32"/>
          <w:szCs w:val="32"/>
          <w:shd w:val="clear" w:color="auto" w:fill="FFFFFF"/>
          <w:lang w:val="zh-CN" w:eastAsia="zh-CN"/>
        </w:rPr>
        <w:t>部门整体绩效目标中选定</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lang w:val="zh-CN" w:eastAsia="zh-CN"/>
        </w:rPr>
        <w:t>个核心职能目标</w:t>
      </w:r>
      <w:r>
        <w:rPr>
          <w:rFonts w:hint="eastAsia" w:ascii="仿宋_GB2312" w:hAnsi="仿宋_GB2312" w:eastAsia="仿宋_GB2312" w:cs="仿宋_GB2312"/>
          <w:color w:val="000000"/>
          <w:kern w:val="0"/>
          <w:sz w:val="32"/>
          <w:szCs w:val="32"/>
          <w:shd w:val="clear" w:color="auto" w:fill="FFFFFF"/>
          <w:lang w:val="en-US" w:eastAsia="zh-CN"/>
        </w:rPr>
        <w:t>自评表</w:t>
      </w:r>
      <w:r>
        <w:rPr>
          <w:rFonts w:hint="eastAsia" w:ascii="仿宋_GB2312" w:hAnsi="仿宋_GB2312" w:eastAsia="仿宋_GB2312" w:cs="仿宋_GB2312"/>
          <w:color w:val="000000"/>
          <w:kern w:val="0"/>
          <w:sz w:val="32"/>
          <w:szCs w:val="32"/>
          <w:shd w:val="clear" w:color="auto" w:fill="FFFFFF"/>
          <w:lang w:val="zh-CN" w:eastAsia="zh-CN"/>
        </w:rPr>
        <w:t>，对职能目标完成效果情况绩效分析（</w:t>
      </w:r>
      <w:r>
        <w:rPr>
          <w:rFonts w:hint="eastAsia" w:ascii="仿宋_GB2312" w:hAnsi="仿宋_GB2312" w:eastAsia="仿宋_GB2312" w:cs="仿宋_GB2312"/>
          <w:color w:val="000000"/>
          <w:kern w:val="0"/>
          <w:sz w:val="32"/>
          <w:szCs w:val="32"/>
          <w:shd w:val="clear" w:color="auto" w:fill="FFFFFF"/>
          <w:lang w:val="en-US" w:eastAsia="zh-CN"/>
        </w:rPr>
        <w:t>附表</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预算管理。严格按照相关财务规定要求，加强财务管理。一是在规定的时间内报送绩效管理相关工作，报送资料齐全。二是在编制预算时，按时填报部门整体支出、项目支出绩效目标申报表。绩效目标申报表目标设置合理，符合项目特点，描述清晰明确，填报新增重大政策、重大项目目标申报表。三是对预算执行中进行有效绩效跟踪监控。四是认真开展项目支出、财政政策、部门整体支出事后绩效自评工作。五是及时整改绩效评价存在的问题，并及时报送整改报告。六是将项目资金和整体支出绩效自评情况及时在门户网站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财务管理。一是加强预算编制工作，认真做好预算绩效编制。二是提升财务人员工作能力。三是加强财务管理，牢牢把握专款专用及财经纪律审好审细每张票据，确保资金用在“刀刃上”。四是在资金支付时，严格按照预算规定的用途进行资金使用审核，确保资金使用合法合规、安全高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4.资产管理。单位在严格遵照《行政单位国有资产管理暂行办法》（财政部令第35号）、《事业单位国有资产管理暂行办法》（财政部令第36号）和《行政事业单位国有资产报告制度》等有关规定的基础上结合本单位</w:t>
      </w:r>
      <w:r>
        <w:rPr>
          <w:rFonts w:hint="eastAsia" w:ascii="仿宋_GB2312" w:hAnsi="仿宋_GB2312" w:eastAsia="仿宋_GB2312" w:cs="仿宋_GB2312"/>
          <w:color w:val="000000"/>
          <w:kern w:val="0"/>
          <w:sz w:val="32"/>
          <w:szCs w:val="32"/>
          <w:shd w:val="clear" w:color="auto" w:fill="FFFFFF"/>
          <w:lang w:val="en-US" w:eastAsia="zh-CN"/>
        </w:rPr>
        <w:t>的</w:t>
      </w:r>
      <w:r>
        <w:rPr>
          <w:rFonts w:hint="eastAsia" w:ascii="仿宋_GB2312" w:hAnsi="仿宋_GB2312" w:eastAsia="仿宋_GB2312" w:cs="仿宋_GB2312"/>
          <w:color w:val="000000"/>
          <w:kern w:val="0"/>
          <w:sz w:val="32"/>
          <w:szCs w:val="32"/>
          <w:shd w:val="clear" w:color="auto" w:fill="FFFFFF"/>
        </w:rPr>
        <w:t>实际情况制定</w:t>
      </w:r>
      <w:r>
        <w:rPr>
          <w:rFonts w:hint="eastAsia" w:ascii="仿宋_GB2312" w:hAnsi="仿宋_GB2312" w:eastAsia="仿宋_GB2312" w:cs="仿宋_GB2312"/>
          <w:color w:val="000000"/>
          <w:kern w:val="0"/>
          <w:sz w:val="32"/>
          <w:szCs w:val="32"/>
          <w:shd w:val="clear" w:color="auto" w:fill="FFFFFF"/>
          <w:lang w:eastAsia="zh-CN"/>
        </w:rPr>
        <w:t>了</w:t>
      </w:r>
      <w:r>
        <w:rPr>
          <w:rFonts w:hint="eastAsia" w:ascii="仿宋_GB2312" w:hAnsi="仿宋_GB2312" w:eastAsia="仿宋_GB2312" w:cs="仿宋_GB2312"/>
          <w:color w:val="000000"/>
          <w:kern w:val="0"/>
          <w:sz w:val="32"/>
          <w:szCs w:val="32"/>
          <w:shd w:val="clear" w:color="auto" w:fill="FFFFFF"/>
        </w:rPr>
        <w:t>《茂县</w:t>
      </w:r>
      <w:r>
        <w:rPr>
          <w:rFonts w:hint="eastAsia" w:ascii="仿宋_GB2312" w:hAnsi="仿宋_GB2312" w:eastAsia="仿宋_GB2312" w:cs="仿宋_GB2312"/>
          <w:color w:val="000000"/>
          <w:kern w:val="0"/>
          <w:sz w:val="32"/>
          <w:szCs w:val="32"/>
          <w:shd w:val="clear" w:color="auto" w:fill="FFFFFF"/>
          <w:lang w:val="en-US" w:eastAsia="zh-CN"/>
        </w:rPr>
        <w:t>统计局</w:t>
      </w:r>
      <w:r>
        <w:rPr>
          <w:rFonts w:hint="eastAsia" w:ascii="仿宋_GB2312" w:hAnsi="仿宋_GB2312" w:eastAsia="仿宋_GB2312" w:cs="仿宋_GB2312"/>
          <w:color w:val="000000"/>
          <w:kern w:val="0"/>
          <w:sz w:val="32"/>
          <w:szCs w:val="32"/>
          <w:shd w:val="clear" w:color="auto" w:fill="FFFFFF"/>
        </w:rPr>
        <w:t>资产管理办法》</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对固定资产的购置、领用、出租、处置、报废等工作程序做出了明确的规定，同时指定单位资产管理负责人，规范资产管理体制，明确责任分工，强化落实单位资产的使用和管理。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（二）部门预算项目绩效分析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lang w:eastAsia="zh-CN"/>
        </w:rPr>
      </w:pPr>
      <w:r>
        <w:rPr>
          <w:rFonts w:hint="eastAsia" w:ascii="仿宋_GB2312" w:hAnsi="仿宋_GB2312" w:eastAsia="仿宋_GB2312" w:cs="仿宋_GB2312"/>
          <w:color w:val="000000"/>
          <w:kern w:val="0"/>
          <w:sz w:val="32"/>
          <w:szCs w:val="32"/>
          <w:shd w:val="clear" w:color="auto" w:fill="FFFFFF"/>
        </w:rPr>
        <w:t>常年项目绩效分析。该类项目总数4个，涉及预算总金额</w:t>
      </w:r>
      <w:r>
        <w:rPr>
          <w:rFonts w:hint="eastAsia" w:ascii="仿宋_GB2312" w:hAnsi="仿宋_GB2312" w:eastAsia="仿宋_GB2312" w:cs="仿宋_GB2312"/>
          <w:color w:val="000000"/>
          <w:kern w:val="0"/>
          <w:sz w:val="32"/>
          <w:szCs w:val="32"/>
          <w:shd w:val="clear" w:color="auto" w:fill="FFFFFF"/>
          <w:lang w:val="en-US" w:eastAsia="zh-CN"/>
        </w:rPr>
        <w:t>182.42</w:t>
      </w:r>
      <w:r>
        <w:rPr>
          <w:rFonts w:hint="eastAsia" w:ascii="仿宋_GB2312" w:hAnsi="仿宋_GB2312" w:eastAsia="仿宋_GB2312" w:cs="仿宋_GB2312"/>
          <w:color w:val="000000"/>
          <w:kern w:val="0"/>
          <w:sz w:val="32"/>
          <w:szCs w:val="32"/>
          <w:shd w:val="clear" w:color="auto" w:fill="FFFFFF"/>
        </w:rPr>
        <w:t>万元</w:t>
      </w:r>
      <w:r>
        <w:rPr>
          <w:rFonts w:hint="eastAsia" w:ascii="仿宋_GB2312" w:hAnsi="仿宋_GB2312" w:eastAsia="仿宋_GB2312" w:cs="仿宋_GB2312"/>
          <w:color w:val="000000"/>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阶段（一次性）项目绩效分析。该类项目总数1个（全国第五次经济普查），涉及预算总金额</w:t>
      </w:r>
      <w:r>
        <w:rPr>
          <w:rFonts w:hint="eastAsia" w:ascii="仿宋_GB2312" w:hAnsi="仿宋_GB2312" w:eastAsia="仿宋_GB2312" w:cs="仿宋_GB2312"/>
          <w:color w:val="000000"/>
          <w:kern w:val="0"/>
          <w:sz w:val="32"/>
          <w:szCs w:val="32"/>
          <w:shd w:val="clear" w:color="auto" w:fill="FFFFFF"/>
          <w:lang w:val="en-US" w:eastAsia="zh-CN"/>
        </w:rPr>
        <w:t>28.81</w:t>
      </w:r>
      <w:r>
        <w:rPr>
          <w:rFonts w:hint="eastAsia" w:ascii="仿宋_GB2312" w:hAnsi="仿宋_GB2312" w:eastAsia="仿宋_GB2312" w:cs="仿宋_GB2312"/>
          <w:color w:val="000000"/>
          <w:kern w:val="0"/>
          <w:sz w:val="32"/>
          <w:szCs w:val="32"/>
          <w:shd w:val="clear" w:color="auto" w:fill="FFFFFF"/>
        </w:rPr>
        <w:t>万元，1—12月预算执行总体进度为100%，其中：预算结余率大于10%的项目共计0个。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1.项目决策。我单位认真学习贯彻党的二十大和省委相关重要会议精神，根据职能职责积极谋划，确定目标任务，积极发挥公共财政职能作用，推动落实稳增长、促改革、调结构、惠民生、防风险各项工作。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2.项目执行。按照202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年部门预算编审要求，根据我单位职能职责，结合中长期规划和年度工作计划，明确了年度主要工作任务及年度内履职所要达到的总体产出和效果，设定了年度绩效数量指标、成本指标效益指标等。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3.目标实现。各项专项经费很好的保障了统计业务工作顺利进行。全年基本支出保证了部门的正常运行和日常工作的正常开展，项目支出保障了重点工作的开展，达到预期绩效目标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（三）重点领域绩效分析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本单位202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年度涉及行政事业性国有资产、政府购买服务两项重点领域，完成情况简述如下：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1.行政事业性国有资产净值情况：我单位土地、房屋及</w:t>
      </w:r>
      <w:r>
        <w:rPr>
          <w:rFonts w:hint="eastAsia" w:ascii="仿宋_GB2312" w:hAnsi="仿宋_GB2312" w:eastAsia="仿宋_GB2312" w:cs="仿宋_GB2312"/>
          <w:color w:val="000000"/>
          <w:kern w:val="0"/>
          <w:sz w:val="32"/>
          <w:szCs w:val="32"/>
          <w:shd w:val="clear" w:color="auto" w:fill="FFFFFF"/>
          <w:lang w:val="en-US" w:eastAsia="zh-CN"/>
        </w:rPr>
        <w:t>建</w:t>
      </w:r>
      <w:r>
        <w:rPr>
          <w:rFonts w:hint="eastAsia" w:ascii="仿宋_GB2312" w:hAnsi="仿宋_GB2312" w:eastAsia="仿宋_GB2312" w:cs="仿宋_GB2312"/>
          <w:color w:val="000000"/>
          <w:kern w:val="0"/>
          <w:sz w:val="32"/>
          <w:szCs w:val="32"/>
          <w:shd w:val="clear" w:color="auto" w:fill="FFFFFF"/>
        </w:rPr>
        <w:t>筑物0万元，占固定资产的0%（其中，房屋0万元，占固定资产的0%）；通用设备</w:t>
      </w:r>
      <w:r>
        <w:rPr>
          <w:rFonts w:hint="eastAsia" w:ascii="仿宋_GB2312" w:hAnsi="仿宋_GB2312" w:eastAsia="仿宋_GB2312" w:cs="仿宋_GB2312"/>
          <w:color w:val="000000"/>
          <w:kern w:val="0"/>
          <w:sz w:val="32"/>
          <w:szCs w:val="32"/>
          <w:shd w:val="clear" w:color="auto" w:fill="FFFFFF"/>
          <w:lang w:val="en-US" w:eastAsia="zh-CN"/>
        </w:rPr>
        <w:t>21.40</w:t>
      </w:r>
      <w:r>
        <w:rPr>
          <w:rFonts w:hint="eastAsia" w:ascii="仿宋_GB2312" w:hAnsi="仿宋_GB2312" w:eastAsia="仿宋_GB2312" w:cs="仿宋_GB2312"/>
          <w:color w:val="000000"/>
          <w:kern w:val="0"/>
          <w:sz w:val="32"/>
          <w:szCs w:val="32"/>
          <w:shd w:val="clear" w:color="auto" w:fill="FFFFFF"/>
        </w:rPr>
        <w:t>万元，占</w:t>
      </w:r>
      <w:r>
        <w:rPr>
          <w:rFonts w:hint="eastAsia" w:ascii="仿宋_GB2312" w:hAnsi="仿宋_GB2312" w:eastAsia="仿宋_GB2312" w:cs="仿宋_GB2312"/>
          <w:color w:val="000000"/>
          <w:kern w:val="0"/>
          <w:sz w:val="32"/>
          <w:szCs w:val="32"/>
          <w:shd w:val="clear" w:color="auto" w:fill="FFFFFF"/>
          <w:lang w:val="en-US" w:eastAsia="zh-CN"/>
        </w:rPr>
        <w:t>97.7</w:t>
      </w:r>
      <w:r>
        <w:rPr>
          <w:rFonts w:hint="eastAsia" w:ascii="仿宋_GB2312" w:hAnsi="仿宋_GB2312" w:eastAsia="仿宋_GB2312" w:cs="仿宋_GB2312"/>
          <w:color w:val="000000"/>
          <w:kern w:val="0"/>
          <w:sz w:val="32"/>
          <w:szCs w:val="32"/>
          <w:shd w:val="clear" w:color="auto" w:fill="FFFFFF"/>
        </w:rPr>
        <w:t>%（其中，车辆</w:t>
      </w:r>
      <w:r>
        <w:rPr>
          <w:rFonts w:hint="eastAsia" w:ascii="仿宋_GB2312" w:hAnsi="仿宋_GB2312" w:eastAsia="仿宋_GB2312" w:cs="仿宋_GB2312"/>
          <w:color w:val="000000"/>
          <w:kern w:val="0"/>
          <w:sz w:val="32"/>
          <w:szCs w:val="32"/>
          <w:shd w:val="clear" w:color="auto" w:fill="FFFFFF"/>
          <w:lang w:val="en-US" w:eastAsia="zh-CN"/>
        </w:rPr>
        <w:t>3.30</w:t>
      </w:r>
      <w:r>
        <w:rPr>
          <w:rFonts w:hint="eastAsia" w:ascii="仿宋_GB2312" w:hAnsi="仿宋_GB2312" w:eastAsia="仿宋_GB2312" w:cs="仿宋_GB2312"/>
          <w:color w:val="000000"/>
          <w:kern w:val="0"/>
          <w:sz w:val="32"/>
          <w:szCs w:val="32"/>
          <w:shd w:val="clear" w:color="auto" w:fill="FFFFFF"/>
        </w:rPr>
        <w:t>万元，占</w:t>
      </w:r>
      <w:r>
        <w:rPr>
          <w:rFonts w:hint="eastAsia" w:ascii="仿宋_GB2312" w:hAnsi="仿宋_GB2312" w:eastAsia="仿宋_GB2312" w:cs="仿宋_GB2312"/>
          <w:color w:val="000000"/>
          <w:kern w:val="0"/>
          <w:sz w:val="32"/>
          <w:szCs w:val="32"/>
          <w:shd w:val="clear" w:color="auto" w:fill="FFFFFF"/>
          <w:lang w:val="en-US" w:eastAsia="zh-CN"/>
        </w:rPr>
        <w:t>15</w:t>
      </w:r>
      <w:r>
        <w:rPr>
          <w:rFonts w:hint="eastAsia" w:ascii="仿宋_GB2312" w:hAnsi="仿宋_GB2312" w:eastAsia="仿宋_GB2312" w:cs="仿宋_GB2312"/>
          <w:color w:val="000000"/>
          <w:kern w:val="0"/>
          <w:sz w:val="32"/>
          <w:szCs w:val="32"/>
          <w:shd w:val="clear" w:color="auto" w:fill="FFFFFF"/>
        </w:rPr>
        <w:t>%，单价50万（含）以上（不含车辆）设备0万元，占0.00%）；专用设备0万元，占0%（单价100万（含）以上设备0万元，占0%）；家具、用具、装具及动植物0.</w:t>
      </w:r>
      <w:r>
        <w:rPr>
          <w:rFonts w:hint="eastAsia" w:ascii="仿宋_GB2312" w:hAnsi="仿宋_GB2312" w:eastAsia="仿宋_GB2312" w:cs="仿宋_GB2312"/>
          <w:color w:val="000000"/>
          <w:kern w:val="0"/>
          <w:sz w:val="32"/>
          <w:szCs w:val="32"/>
          <w:shd w:val="clear" w:color="auto" w:fill="FFFFFF"/>
          <w:lang w:val="en-US" w:eastAsia="zh-CN"/>
        </w:rPr>
        <w:t>50</w:t>
      </w:r>
      <w:r>
        <w:rPr>
          <w:rFonts w:hint="eastAsia" w:ascii="仿宋_GB2312" w:hAnsi="仿宋_GB2312" w:eastAsia="仿宋_GB2312" w:cs="仿宋_GB2312"/>
          <w:color w:val="000000"/>
          <w:kern w:val="0"/>
          <w:sz w:val="32"/>
          <w:szCs w:val="32"/>
          <w:shd w:val="clear" w:color="auto" w:fill="FFFFFF"/>
        </w:rPr>
        <w:t>万元，占</w:t>
      </w:r>
      <w:r>
        <w:rPr>
          <w:rFonts w:hint="eastAsia" w:ascii="仿宋_GB2312" w:hAnsi="仿宋_GB2312" w:eastAsia="仿宋_GB2312" w:cs="仿宋_GB2312"/>
          <w:color w:val="000000"/>
          <w:kern w:val="0"/>
          <w:sz w:val="32"/>
          <w:szCs w:val="32"/>
          <w:shd w:val="clear" w:color="auto" w:fill="FFFFFF"/>
          <w:lang w:val="en-US" w:eastAsia="zh-CN"/>
        </w:rPr>
        <w:t>2.3</w:t>
      </w:r>
      <w:r>
        <w:rPr>
          <w:rFonts w:hint="eastAsia" w:ascii="仿宋_GB2312" w:hAnsi="仿宋_GB2312" w:eastAsia="仿宋_GB2312" w:cs="仿宋_GB2312"/>
          <w:color w:val="000000"/>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rPr>
        <w:t>2.政府购买服务：</w:t>
      </w:r>
      <w:r>
        <w:rPr>
          <w:rFonts w:hint="eastAsia" w:ascii="仿宋_GB2312" w:hAnsi="仿宋_GB2312" w:eastAsia="仿宋_GB2312" w:cs="仿宋_GB2312"/>
          <w:color w:val="000000"/>
          <w:kern w:val="0"/>
          <w:sz w:val="32"/>
          <w:szCs w:val="32"/>
          <w:shd w:val="clear" w:color="auto" w:fill="FFFFFF"/>
          <w:lang w:val="en-US" w:eastAsia="zh-CN"/>
        </w:rPr>
        <w:t>根据《中共阿坝州委办公室 阿坝州人民政府办公室印发&lt;关于更加有效发挥统计监督职能作用的实施方案&gt;的通知》（阿委办发〔2023〕9号）、《阿坝州人民政府办公室关于在全州建立首席统计师和协统员制度的通知》（阿府办发〔2023〕18号）要求，结合我县统计工作实际，我局需选聘5名协统员协助开展日常数据收集、审核、处理、分析及各项统计调查等统计工作任务，参与较重大国情国力调查、专项调查、普查等工作。</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（四）绩效结果应用情况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我单位对部门预算绩效管理工作开展情况认真进行了自评。绩效评价自查开展覆盖全单位及重点支出，将评价结果作为预算安排的重要依据，参照项目年度预算执行情况“三年滚动规划”执行情况统筹项目支出需求，保障重点支出调整支出结构，优化财政资金配置，不断强化绩效理念，推动本部门整体绩效管理水平不断提升。</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四、评价结论及建议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年我部门整体支出绩效评价自查自评结果良好，全年基本支出保证了部门的正常运行和日常工作的正常开展，项目支出保障了重点工作的开展，达到预期绩效目标，按照202</w:t>
      </w:r>
      <w:r>
        <w:rPr>
          <w:rFonts w:hint="eastAsia" w:ascii="仿宋_GB2312" w:hAnsi="仿宋_GB2312" w:eastAsia="仿宋_GB2312" w:cs="仿宋_GB2312"/>
          <w:color w:val="000000"/>
          <w:kern w:val="0"/>
          <w:sz w:val="32"/>
          <w:szCs w:val="32"/>
          <w:shd w:val="clear" w:color="auto" w:fill="FFFFFF"/>
          <w:lang w:val="en-US" w:eastAsia="zh-CN"/>
        </w:rPr>
        <w:t>4</w:t>
      </w:r>
      <w:r>
        <w:rPr>
          <w:rFonts w:hint="eastAsia" w:ascii="仿宋_GB2312" w:hAnsi="仿宋_GB2312" w:eastAsia="仿宋_GB2312" w:cs="仿宋_GB2312"/>
          <w:color w:val="000000"/>
          <w:kern w:val="0"/>
          <w:sz w:val="32"/>
          <w:szCs w:val="32"/>
          <w:shd w:val="clear" w:color="auto" w:fill="FFFFFF"/>
        </w:rPr>
        <w:t>年部门整体支出绩效评价指标体系自评得分93分。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（二）存在问题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绩效目标设定有待更科学更合理。</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2"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（三）改进建议。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tbl>
      <w:tblPr>
        <w:tblStyle w:val="16"/>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85"/>
        <w:gridCol w:w="1370"/>
        <w:gridCol w:w="2592"/>
        <w:gridCol w:w="396"/>
        <w:gridCol w:w="756"/>
        <w:gridCol w:w="491"/>
        <w:gridCol w:w="884"/>
        <w:gridCol w:w="486"/>
        <w:gridCol w:w="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89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51322322T000000309164-“一套表”联网直报工作经费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茂县统计局本级</w:t>
            </w:r>
          </w:p>
        </w:tc>
        <w:tc>
          <w:tcPr>
            <w:tcW w:w="88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根据《四川统计数据采集处理平台用户管理办法（试行）》和《四川省“一套表”实施方案要求。</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以企业统计调查核心指标体系为基础，调查表分年报和定期报表，了解规上企业经营情况。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涉及调查单位基本情况、从业人员及工资总额、固定资产支出、财务状况、生产经营情况、能源和水消费、科技活动、信息化情况等方面内容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32.01</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32.01</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高效完成各项统计工作</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准确及时完成各项统计工作</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促进一套表联网直报工作有效执行</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保障统计局日常报表工作正常进行</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切实提高统计工作服务态度</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严控预算资金</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132873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132873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保障好2024年工作开展所需经费支出</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132873</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132873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1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30"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该项目预算执行情况自评得分10分，绩效指标得分98分，该项目以企业统计调查核心指标体系为基础，调查表分年报和定期报表，了解规上企业经营情况。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项目负责人：赵秀云</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财务负责人：赵秀云</w:t>
            </w:r>
          </w:p>
        </w:tc>
      </w:tr>
    </w:tbl>
    <w:p>
      <w:pPr>
        <w:pStyle w:val="2"/>
        <w:rPr>
          <w:rFonts w:hint="eastAsia"/>
          <w:lang w:val="zh-CN"/>
        </w:rPr>
      </w:pPr>
    </w:p>
    <w:tbl>
      <w:tblPr>
        <w:tblStyle w:val="16"/>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985"/>
        <w:gridCol w:w="1373"/>
        <w:gridCol w:w="2589"/>
        <w:gridCol w:w="396"/>
        <w:gridCol w:w="756"/>
        <w:gridCol w:w="490"/>
        <w:gridCol w:w="884"/>
        <w:gridCol w:w="486"/>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9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51322324T000011111611-统计劳动力调查、普查、一套表、住户调查一体化等统计工作经费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茂县统计局本级</w:t>
            </w:r>
          </w:p>
        </w:tc>
        <w:tc>
          <w:tcPr>
            <w:tcW w:w="88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共阿坝州委办公室、阿坝州人民政府办公室关于进一步加强住户调查和农村贫困监测工作的通知》阿委办〔2019〕38号文件要求；根据《四川统计数据采集处理平台用户管理办法（试行）》和《四川省“一套表”实施方案》要求，为保障我局本年度“一套表”工作顺利开展；根据国务院颁布的《全国经济普查条例》规定，全面调查第二产业和第三产业发展规模、布局和效益，全面摸清经济社会发展状况；根据《阿坝州人民政府关于扎实做好劳动力调查工作的通知》（阿府办发〔2021〕29号）要求和州国调队的统一安排，我县四个社区（内南社区、外南社区、雪花井社区、西岳庙社区）作为劳动力调查样本小区，每月将由调查员入户进行抽样采集调查</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统计专项经费合并为一个项目库，本级财政统一拨付经费，确保各项统计业务顺利开展。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统计专项经费合并为一个项目库，本级财政统一拨付经费，确保各项统计业务顺利开展。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一套表联网直报基层报表人员</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劳动力调查聘请业务人员</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一套表联网直报社销零、服务员限下抽样调查个体户补助人数</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劳动力调查工作：我县四个社区（内南社区、外南社区、雪花井社区、西岳庙社区）作为劳动力调查样本小区，每月将由调查员入户进行抽样采集调查</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根据国务院颁布的《全国经济普查条例》规定，全面调查第二产业和第三产业发展规模、布局和效益，全面摸清经济社会发展状况</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顺利完成统计业务工作</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此项目包括劳动力调查、城乡住户调查、一套表工作、全国第五次经济普查</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1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该项目预算执行情况自评得分10分，绩效指标得分96分，确保各项统计业务顺利开展。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项目负责人：陈邦丽、赵秀云</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财务负责人：赵秀云</w:t>
            </w:r>
          </w:p>
        </w:tc>
      </w:tr>
    </w:tbl>
    <w:p>
      <w:pPr>
        <w:rPr>
          <w:rFonts w:hint="eastAsia"/>
          <w:lang w:val="zh-CN"/>
        </w:rPr>
      </w:pPr>
    </w:p>
    <w:tbl>
      <w:tblPr>
        <w:tblStyle w:val="16"/>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6"/>
        <w:gridCol w:w="1397"/>
        <w:gridCol w:w="2445"/>
        <w:gridCol w:w="396"/>
        <w:gridCol w:w="756"/>
        <w:gridCol w:w="484"/>
        <w:gridCol w:w="882"/>
        <w:gridCol w:w="486"/>
        <w:gridCol w:w="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9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51322325T000012972757-城乡住户调查工作经费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5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茂县统计局本级</w:t>
            </w:r>
          </w:p>
        </w:tc>
        <w:tc>
          <w:tcPr>
            <w:tcW w:w="885"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根据《中共阿坝州委办公室、阿坝州人民政府办公室关于进一步加强住户调查和农村贫困监测工作的通知》阿委办〔2019〕38号文件，反映居民家庭收支状况，提供家庭就业、消费、住房、社区发展等有关信息</w:t>
            </w:r>
          </w:p>
        </w:tc>
        <w:tc>
          <w:tcPr>
            <w:tcW w:w="17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提高调查数据质量，加强收入信息监测，促进城乡居民收入增长，切实保障和改善民生。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4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反映居民家庭收入和支出状况，提供家庭就业、消费、住房、社区发展等有关信息，我县共抽中160户调查户。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48.12</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16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保障2024年开展工作所需资金数量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959600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481183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电子记账户数量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纸质记账户数量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顺利完成住户调查工作，所需记账户补贴经费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666000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481183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反映居民家庭收支状况，提供家庭就业、消费、住房、社区发展等有关信息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全面、准确、及时反映城乡居民收入与消费及其他生活状况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辅助调查员、专职编码员年度经费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242000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242000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1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430"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该项目预算执行情况自评得分10分，绩效指标得分96分，该项目提高调查数据质量，加强收入信息监测，促进城乡居民收入增长，切实保障和改善民生。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43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60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项目负责人：陈邦丽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财务负责人：赵秀云</w:t>
            </w:r>
          </w:p>
        </w:tc>
      </w:tr>
    </w:tbl>
    <w:p>
      <w:pPr>
        <w:pStyle w:val="2"/>
        <w:rPr>
          <w:rFonts w:hint="eastAsia"/>
          <w:lang w:val="zh-CN"/>
        </w:rPr>
      </w:pPr>
    </w:p>
    <w:tbl>
      <w:tblPr>
        <w:tblStyle w:val="16"/>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16"/>
        <w:gridCol w:w="1388"/>
        <w:gridCol w:w="2278"/>
        <w:gridCol w:w="396"/>
        <w:gridCol w:w="756"/>
        <w:gridCol w:w="666"/>
        <w:gridCol w:w="877"/>
        <w:gridCol w:w="486"/>
        <w:gridCol w:w="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9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18"/>
                <w:szCs w:val="18"/>
                <w:u w:val="none"/>
              </w:rPr>
            </w:pPr>
            <w:r>
              <w:rPr>
                <w:rFonts w:hint="eastAsia" w:ascii="黑体" w:hAnsi="宋体" w:eastAsia="黑体" w:cs="黑体"/>
                <w:b/>
                <w:bCs/>
                <w:i w:val="0"/>
                <w:iCs w:val="0"/>
                <w:color w:val="000000"/>
                <w:kern w:val="0"/>
                <w:sz w:val="18"/>
                <w:szCs w:val="18"/>
                <w:u w:val="none"/>
                <w:lang w:val="en-US" w:eastAsia="zh-CN" w:bidi="ar"/>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51322325T000012972813-劳动力调查工作经费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5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茂县统计局本级</w:t>
            </w:r>
          </w:p>
        </w:tc>
        <w:tc>
          <w:tcPr>
            <w:tcW w:w="877"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9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茂县统计局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5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54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据《阿坝州人民政府关于扎实做好劳动力调查工作的通知》（阿府办发〔2021〕29号）要求和州国调队的统一安排，我县四个社区（内南社区、外南社区、雪花井社区、西岳庙社区）作为劳动力调查样本小区，每月将由调查员入户进行抽样采集调查工作。确保劳动力调查工作顺利开展</w:t>
            </w:r>
          </w:p>
        </w:tc>
        <w:tc>
          <w:tcPr>
            <w:tcW w:w="17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顺利完成抽样调查工作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我县四个社区（内南社区、外南社区、雪花井社区、西岳庙社区）作为劳动力调查样本小区，每月将由调查员入户进行抽样采集调查工作。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18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顺利完成劳动力调查工作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涉及四个社区的调查员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聘请业务人员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开展此项工作涉及经费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元/年</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58315.2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调查员入户进行抽样采集调查工作，高效完成各项报表任务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确保劳动力调查工作顺利开展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严格控制预算经费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元/年</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58315.2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05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379" w:type="dxa"/>
            <w:gridSpan w:val="9"/>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该项目预算执行情况自评得分10分，绩效指标得分93分，通过劳动力调查得到得到的调查失业率是宏观经济四大指标之一，对于监测宏观经济运行、就业形势变化、民生改善等方面具有重要作用。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37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57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项目负责人：陈邦丽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财务负责人：赵秀云</w:t>
            </w:r>
          </w:p>
        </w:tc>
      </w:tr>
    </w:tbl>
    <w:p>
      <w:pPr>
        <w:pStyle w:val="8"/>
        <w:rPr>
          <w:rFonts w:hint="eastAsia" w:ascii="Times New Roman" w:hAnsi="Times New Roman" w:eastAsia="黑体" w:cs="黑体"/>
          <w:color w:val="auto"/>
          <w:kern w:val="0"/>
          <w:sz w:val="32"/>
          <w:szCs w:val="32"/>
          <w:highlight w:val="none"/>
          <w:shd w:val="clear" w:color="auto" w:fill="FFFFFF"/>
          <w:lang w:val="en-US" w:eastAsia="zh-CN"/>
        </w:rPr>
      </w:pPr>
    </w:p>
    <w:p>
      <w:pPr>
        <w:pStyle w:val="8"/>
        <w:rPr>
          <w:rFonts w:hint="default" w:ascii="Times New Roman" w:hAnsi="Times New Roman" w:eastAsia="黑体" w:cs="黑体"/>
          <w:color w:val="auto"/>
          <w:kern w:val="0"/>
          <w:sz w:val="32"/>
          <w:szCs w:val="32"/>
          <w:highlight w:val="none"/>
          <w:shd w:val="clear" w:color="auto" w:fill="FFFFFF"/>
          <w:lang w:val="en-US" w:eastAsia="zh-CN"/>
        </w:rPr>
      </w:pPr>
      <w:r>
        <w:rPr>
          <w:rFonts w:hint="eastAsia" w:ascii="Times New Roman" w:hAnsi="Times New Roman" w:eastAsia="黑体" w:cs="黑体"/>
          <w:color w:val="auto"/>
          <w:kern w:val="0"/>
          <w:sz w:val="32"/>
          <w:szCs w:val="32"/>
          <w:highlight w:val="none"/>
          <w:shd w:val="clear" w:color="auto" w:fill="FFFFFF"/>
          <w:lang w:val="en-US" w:eastAsia="zh-CN"/>
        </w:rPr>
        <w:t>附件2</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茂县</w:t>
      </w:r>
      <w:r>
        <w:rPr>
          <w:rFonts w:hint="eastAsia" w:ascii="方正小标宋简体" w:hAnsi="方正小标宋简体" w:eastAsia="方正小标宋简体" w:cs="方正小标宋简体"/>
          <w:bCs/>
          <w:sz w:val="44"/>
          <w:szCs w:val="44"/>
          <w:lang w:val="en-US" w:eastAsia="zh-CN"/>
        </w:rPr>
        <w:t>统计局</w:t>
      </w:r>
    </w:p>
    <w:p>
      <w:pPr>
        <w:pStyle w:val="3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2024年</w:t>
      </w: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35"/>
        <w:keepNext w:val="0"/>
        <w:keepLines w:val="0"/>
        <w:pageBreakBefore w:val="0"/>
        <w:widowControl w:val="0"/>
        <w:kinsoku/>
        <w:wordWrap/>
        <w:overflowPunct/>
        <w:topLinePunct w:val="0"/>
        <w:autoSpaceDE/>
        <w:autoSpaceDN/>
        <w:bidi w:val="0"/>
        <w:spacing w:line="578" w:lineRule="exact"/>
        <w:ind w:left="0" w:leftChars="0" w:firstLine="640"/>
        <w:jc w:val="center"/>
        <w:textAlignment w:val="auto"/>
        <w:rPr>
          <w:rFonts w:ascii="Times New Roman" w:hAnsi="Times New Roman"/>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u w:val="none"/>
          <w:lang w:eastAsia="zh-CN"/>
        </w:rPr>
        <w:t>城乡</w:t>
      </w:r>
      <w:r>
        <w:rPr>
          <w:rFonts w:hint="eastAsia" w:ascii="仿宋_GB2312" w:hAnsi="仿宋_GB2312" w:eastAsia="仿宋_GB2312" w:cs="仿宋_GB2312"/>
          <w:b/>
          <w:bCs/>
          <w:sz w:val="32"/>
          <w:szCs w:val="32"/>
          <w:u w:val="none"/>
        </w:rPr>
        <w:t>住户调查</w:t>
      </w:r>
      <w:r>
        <w:rPr>
          <w:rFonts w:hint="eastAsia" w:ascii="仿宋_GB2312" w:hAnsi="仿宋_GB2312" w:eastAsia="仿宋_GB2312" w:cs="仿宋_GB2312"/>
          <w:sz w:val="32"/>
          <w:szCs w:val="32"/>
        </w:rPr>
        <w:t>的主要内容是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按照省、州调查实施方案要求，根据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阿府办函</w:t>
      </w:r>
      <w:r>
        <w:rPr>
          <w:rFonts w:hint="eastAsia" w:ascii="仿宋_GB2312" w:hAnsi="仿宋_GB2312" w:eastAsia="仿宋_GB2312" w:cs="仿宋_GB2312"/>
          <w:color w:val="000000"/>
          <w:kern w:val="0"/>
          <w:sz w:val="32"/>
          <w:szCs w:val="32"/>
          <w:shd w:val="clear" w:color="auto" w:fill="FFFFFF"/>
          <w:lang w:val="en-US" w:eastAsia="zh-CN"/>
        </w:rPr>
        <w:t>〔2019〕</w:t>
      </w:r>
      <w:r>
        <w:rPr>
          <w:rFonts w:hint="eastAsia" w:ascii="仿宋_GB2312" w:hAnsi="仿宋_GB2312" w:eastAsia="仿宋_GB2312" w:cs="仿宋_GB2312"/>
          <w:sz w:val="32"/>
          <w:szCs w:val="32"/>
        </w:rPr>
        <w:t>38号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要求。反映居民家庭收入和支出状况，提供家庭就业、消费、住房、社区发展等有关信息，是十分重要的民生统计。进一步做好住户调查工作，提高调查数据质量，加强收入信息监测，促进城乡居民收入增长，切实保障和改善民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s="仿宋_GB2312"/>
          <w:color w:val="auto"/>
          <w:kern w:val="0"/>
          <w:sz w:val="32"/>
          <w:szCs w:val="32"/>
          <w:highlight w:val="none"/>
          <w:u w:val="none"/>
          <w:shd w:val="clear" w:color="auto" w:fill="FFFFFF"/>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仿宋_GB2312" w:hAnsi="仿宋_GB2312" w:eastAsia="仿宋_GB2312" w:cs="仿宋_GB2312"/>
          <w:sz w:val="32"/>
          <w:szCs w:val="32"/>
        </w:rPr>
        <w:t>按照省、州调查实施方案要求，根据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阿府办函</w:t>
      </w:r>
      <w:r>
        <w:rPr>
          <w:rFonts w:hint="eastAsia" w:ascii="仿宋_GB2312" w:hAnsi="仿宋_GB2312" w:eastAsia="仿宋_GB2312" w:cs="仿宋_GB2312"/>
          <w:color w:val="000000"/>
          <w:kern w:val="0"/>
          <w:sz w:val="32"/>
          <w:szCs w:val="32"/>
          <w:shd w:val="clear" w:color="auto" w:fill="FFFFFF"/>
          <w:lang w:val="en-US" w:eastAsia="zh-CN"/>
        </w:rPr>
        <w:t>〔2019〕</w:t>
      </w:r>
      <w:r>
        <w:rPr>
          <w:rFonts w:hint="eastAsia" w:ascii="仿宋_GB2312" w:hAnsi="仿宋_GB2312" w:eastAsia="仿宋_GB2312" w:cs="仿宋_GB2312"/>
          <w:sz w:val="32"/>
          <w:szCs w:val="32"/>
        </w:rPr>
        <w:t>38号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文件要求。反映居民家庭收入和支出状况，提供家庭就业、消费、住房、社区发展等有关信息，是十分重要的民生统计。</w:t>
      </w:r>
    </w:p>
    <w:p>
      <w:pPr>
        <w:keepNext w:val="0"/>
        <w:keepLines w:val="0"/>
        <w:pageBreakBefore w:val="0"/>
        <w:kinsoku/>
        <w:wordWrap/>
        <w:overflowPunct/>
        <w:topLinePunct w:val="0"/>
        <w:autoSpaceDE/>
        <w:autoSpaceDN/>
        <w:bidi w:val="0"/>
        <w:adjustRightInd w:val="0"/>
        <w:snapToGrid w:val="0"/>
        <w:spacing w:line="578" w:lineRule="exact"/>
        <w:ind w:left="0" w:leftChars="0" w:firstLine="642" w:firstLineChars="200"/>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rPr>
        <w:t>（二）</w:t>
      </w:r>
      <w:r>
        <w:rPr>
          <w:rFonts w:hint="default" w:ascii="Times New Roman" w:hAnsi="Times New Roman" w:eastAsia="楷体_GB2312"/>
          <w:b/>
          <w:color w:val="auto"/>
          <w:sz w:val="32"/>
          <w:szCs w:val="32"/>
          <w:highlight w:val="none"/>
          <w:u w:val="none"/>
          <w:lang w:val="en-US" w:eastAsia="zh-CN"/>
        </w:rPr>
        <w:t>实施目的及支持方向</w:t>
      </w:r>
      <w:r>
        <w:rPr>
          <w:rFonts w:hint="eastAsia" w:ascii="Times New Roman" w:hAnsi="Times New Roman" w:eastAsia="楷体_GB2312"/>
          <w:b/>
          <w:color w:val="auto"/>
          <w:sz w:val="32"/>
          <w:szCs w:val="32"/>
          <w:highlight w:val="none"/>
          <w:u w:val="none"/>
          <w:lang w:val="en-US" w:eastAsia="zh-CN"/>
        </w:rPr>
        <w:t>。</w:t>
      </w:r>
      <w:r>
        <w:rPr>
          <w:rFonts w:hint="eastAsia" w:ascii="Times New Roman" w:hAnsi="Times New Roman" w:eastAsia="仿宋_GB2312" w:cs="仿宋_GB2312"/>
          <w:b w:val="0"/>
          <w:bCs w:val="0"/>
          <w:kern w:val="0"/>
          <w:position w:val="0"/>
          <w:sz w:val="32"/>
          <w:szCs w:val="32"/>
          <w:highlight w:val="none"/>
          <w:lang w:val="zh-CN" w:eastAsia="zh-CN" w:bidi="ar-SA"/>
        </w:rPr>
        <w:t>数据采集与监测：全面、准确、及时采集城乡居民家庭的收入、消费、就业、住房等生活状况数据，客观监测居民收入分配格局和不同收入层次居民的生活质量</w:t>
      </w:r>
      <w:r>
        <w:rPr>
          <w:rFonts w:hint="eastAsia" w:eastAsia="仿宋_GB2312" w:cs="仿宋_GB2312"/>
          <w:b w:val="0"/>
          <w:bCs w:val="0"/>
          <w:kern w:val="0"/>
          <w:position w:val="0"/>
          <w:sz w:val="32"/>
          <w:szCs w:val="32"/>
          <w:highlight w:val="none"/>
          <w:lang w:val="zh-CN" w:eastAsia="zh-CN" w:bidi="ar-SA"/>
        </w:rPr>
        <w:t>。为各级政府制定民生保障、乡村振兴、城乡统筹等政策提供核心数据依据，同时用于评估政策实施效果，是制定最低工资标准、低保标准等的重要参考</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楷体_GB2312"/>
          <w:b/>
          <w:color w:val="auto"/>
          <w:sz w:val="32"/>
          <w:szCs w:val="32"/>
          <w:highlight w:val="none"/>
          <w:u w:val="none"/>
          <w:lang w:val="zh-CN" w:eastAsia="zh-CN"/>
        </w:rPr>
        <w:t>（三）</w:t>
      </w:r>
      <w:r>
        <w:rPr>
          <w:rFonts w:hint="default" w:ascii="Times New Roman" w:hAnsi="Times New Roman" w:eastAsia="楷体_GB2312"/>
          <w:b/>
          <w:color w:val="auto"/>
          <w:sz w:val="32"/>
          <w:szCs w:val="32"/>
          <w:highlight w:val="none"/>
          <w:u w:val="none"/>
          <w:lang w:val="en-US" w:eastAsia="zh-CN"/>
        </w:rPr>
        <w:t>预算安排及分配管理</w:t>
      </w:r>
      <w:r>
        <w:rPr>
          <w:rFonts w:hint="eastAsia" w:ascii="Times New Roman" w:hAnsi="Times New Roman" w:eastAsia="楷体_GB2312"/>
          <w:b/>
          <w:color w:val="auto"/>
          <w:sz w:val="32"/>
          <w:szCs w:val="32"/>
          <w:highlight w:val="none"/>
          <w:u w:val="none"/>
          <w:lang w:val="zh-CN" w:eastAsia="zh-CN"/>
        </w:rPr>
        <w:t>。</w:t>
      </w:r>
      <w:r>
        <w:rPr>
          <w:rFonts w:hint="eastAsia" w:ascii="Times New Roman" w:hAnsi="Times New Roman" w:eastAsia="仿宋_GB2312" w:cs="仿宋_GB2312"/>
          <w:b w:val="0"/>
          <w:bCs w:val="0"/>
          <w:kern w:val="0"/>
          <w:position w:val="0"/>
          <w:sz w:val="32"/>
          <w:szCs w:val="32"/>
          <w:highlight w:val="none"/>
          <w:lang w:val="zh-CN" w:eastAsia="zh-CN" w:bidi="ar-SA"/>
        </w:rPr>
        <w:t>经费主要纳入县级财政一般公共预算拨款，按照“分级负担”原则由同级财政保障</w:t>
      </w:r>
      <w:r>
        <w:rPr>
          <w:rFonts w:hint="eastAsia" w:eastAsia="仿宋_GB2312" w:cs="仿宋_GB2312"/>
          <w:b w:val="0"/>
          <w:bCs w:val="0"/>
          <w:kern w:val="0"/>
          <w:position w:val="0"/>
          <w:sz w:val="32"/>
          <w:szCs w:val="32"/>
          <w:highlight w:val="none"/>
          <w:lang w:val="zh-CN" w:eastAsia="zh-CN" w:bidi="ar-SA"/>
        </w:rPr>
        <w:t>，包括培训、资料印制、入户交通等，根据年度调查任务量（如样本规模、轮换频次）分配。</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rPr>
      </w:pPr>
      <w:r>
        <w:rPr>
          <w:rFonts w:hint="eastAsia" w:ascii="Times New Roman" w:hAnsi="Times New Roman" w:eastAsia="楷体_GB2312"/>
          <w:b/>
          <w:color w:val="auto"/>
          <w:sz w:val="32"/>
          <w:szCs w:val="32"/>
          <w:highlight w:val="none"/>
          <w:u w:val="none"/>
          <w:lang w:val="zh-CN" w:eastAsia="zh-CN"/>
        </w:rPr>
        <w:t>（四）项目绩效目标设置。</w:t>
      </w:r>
      <w:r>
        <w:rPr>
          <w:rFonts w:hint="eastAsia" w:ascii="仿宋_GB2312" w:hAnsi="仿宋_GB2312" w:eastAsia="仿宋_GB2312" w:cs="仿宋_GB2312"/>
          <w:sz w:val="32"/>
          <w:szCs w:val="32"/>
        </w:rPr>
        <w:t>进一步做好住户调查工作，提高调查数据质量，加强收入信息监测，促进城乡居民收入增长，切实保障和改善民生。</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sz w:val="32"/>
          <w:szCs w:val="32"/>
          <w:highlight w:val="none"/>
        </w:rPr>
      </w:pPr>
      <w:r>
        <w:rPr>
          <w:rFonts w:hint="eastAsia" w:ascii="Times New Roman" w:hAnsi="Times New Roman" w:eastAsia="黑体"/>
          <w:sz w:val="32"/>
          <w:szCs w:val="32"/>
          <w:highlight w:val="none"/>
        </w:rPr>
        <w:t>二、评价实施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Times New Roman" w:hAnsi="Times New Roman" w:eastAsia="楷体_GB2312"/>
          <w:b/>
          <w:color w:val="auto"/>
          <w:sz w:val="32"/>
          <w:szCs w:val="32"/>
          <w:highlight w:val="none"/>
          <w:u w:val="none"/>
          <w:lang w:val="zh-CN"/>
        </w:rPr>
        <w:t>（一）评价目的。</w:t>
      </w:r>
      <w:r>
        <w:rPr>
          <w:rFonts w:hint="eastAsia" w:ascii="仿宋_GB2312" w:hAnsi="仿宋_GB2312" w:eastAsia="仿宋_GB2312" w:cs="仿宋_GB2312"/>
          <w:sz w:val="32"/>
          <w:szCs w:val="32"/>
        </w:rPr>
        <w:t>通过绩效评估将绩效管理关口前移，为项目设立和预算安排提供重要参考依据，提高预算编制科学性、合理性，优化财政支出结构，从源头上防控财政资源配置的低效无效，提高财政资源配置效率和财政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Times New Roman" w:hAnsi="Times New Roman" w:eastAsia="楷体_GB2312"/>
          <w:b/>
          <w:color w:val="auto"/>
          <w:sz w:val="32"/>
          <w:szCs w:val="32"/>
          <w:highlight w:val="none"/>
          <w:u w:val="none"/>
          <w:lang w:val="zh-CN"/>
        </w:rPr>
        <w:t>（二）预设问题及评价重点。</w:t>
      </w:r>
      <w:r>
        <w:rPr>
          <w:rFonts w:hint="eastAsia" w:ascii="仿宋_GB2312" w:hAnsi="仿宋_GB2312" w:eastAsia="仿宋_GB2312" w:cs="仿宋_GB2312"/>
          <w:sz w:val="32"/>
          <w:szCs w:val="32"/>
        </w:rPr>
        <w:t>本单位严格按照文件要求对专项资金进行使用，切实加强中央对地方专项转移支付的资金管理，提高财政资金使用的规范性、安全性和有效性</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color w:val="auto"/>
          <w:kern w:val="0"/>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r>
        <w:rPr>
          <w:rFonts w:hint="eastAsia" w:ascii="Times New Roman" w:hAnsi="Times New Roman" w:eastAsia="仿宋_GB2312" w:cs="仿宋_GB2312"/>
          <w:b w:val="0"/>
          <w:color w:val="auto"/>
          <w:kern w:val="0"/>
          <w:sz w:val="32"/>
          <w:szCs w:val="32"/>
          <w:highlight w:val="none"/>
          <w:u w:val="none"/>
          <w:lang w:val="zh-CN"/>
        </w:rPr>
        <w:t>按“城镇社区+农村行政村”分层，每个层级选取不同经济水平（高、中、低）的样本点，例如城镇涵盖老城区与新开发区，农村涵盖近郊村与偏远村，确保评价结果能反映整体情况。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Times New Roman" w:hAnsi="Times New Roman" w:eastAsia="楷体_GB2312"/>
          <w:b/>
          <w:color w:val="auto"/>
          <w:sz w:val="32"/>
          <w:szCs w:val="32"/>
          <w:highlight w:val="none"/>
          <w:u w:val="none"/>
          <w:lang w:val="zh-CN"/>
        </w:rPr>
        <w:t>（</w:t>
      </w:r>
      <w:r>
        <w:rPr>
          <w:rFonts w:hint="eastAsia" w:ascii="Times New Roman" w:hAnsi="Times New Roman" w:eastAsia="楷体_GB2312"/>
          <w:b/>
          <w:color w:val="auto"/>
          <w:sz w:val="32"/>
          <w:szCs w:val="32"/>
          <w:highlight w:val="none"/>
          <w:u w:val="none"/>
          <w:lang w:val="en-US" w:eastAsia="zh-CN"/>
        </w:rPr>
        <w:t>四</w:t>
      </w:r>
      <w:r>
        <w:rPr>
          <w:rFonts w:hint="eastAsia" w:ascii="Times New Roman" w:hAnsi="Times New Roman" w:eastAsia="楷体_GB2312"/>
          <w:b/>
          <w:color w:val="auto"/>
          <w:sz w:val="32"/>
          <w:szCs w:val="32"/>
          <w:highlight w:val="none"/>
          <w:u w:val="none"/>
          <w:lang w:val="zh-CN"/>
        </w:rPr>
        <w:t>）评价方法。</w:t>
      </w:r>
      <w:r>
        <w:rPr>
          <w:rFonts w:hint="eastAsia" w:ascii="仿宋_GB2312" w:hAnsi="仿宋_GB2312" w:eastAsia="仿宋_GB2312" w:cs="仿宋_GB2312"/>
          <w:sz w:val="32"/>
          <w:szCs w:val="32"/>
        </w:rPr>
        <w:t>本项目通过座谈</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讨论了解项目情况，收集相关资料，综合分析相关情况后，对项目的立项必要性、投入经济性、目标合理性、方案可行性以及筹资合规性实施评估。</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楷体_GB2312"/>
          <w:b/>
          <w:color w:val="auto"/>
          <w:sz w:val="32"/>
          <w:szCs w:val="32"/>
          <w:highlight w:val="none"/>
          <w:u w:val="none"/>
          <w:lang w:val="zh-CN"/>
        </w:rPr>
        <w:t>（五）评价组织。</w:t>
      </w:r>
      <w:r>
        <w:rPr>
          <w:rFonts w:hint="eastAsia" w:ascii="仿宋_GB2312" w:hAnsi="仿宋_GB2312" w:eastAsia="仿宋_GB2312" w:cs="仿宋_GB2312"/>
          <w:b w:val="0"/>
          <w:bCs/>
          <w:color w:val="auto"/>
          <w:sz w:val="32"/>
          <w:szCs w:val="32"/>
          <w:highlight w:val="none"/>
          <w:u w:val="none"/>
          <w:lang w:val="zh-CN"/>
        </w:rPr>
        <w:t>评价组织以县统计局为核心，联动乡镇</w:t>
      </w:r>
      <w:r>
        <w:rPr>
          <w:rFonts w:hint="eastAsia" w:ascii="仿宋_GB2312" w:hAnsi="仿宋_GB2312" w:eastAsia="仿宋_GB2312" w:cs="仿宋_GB2312"/>
          <w:b w:val="0"/>
          <w:bCs/>
          <w:color w:val="auto"/>
          <w:sz w:val="32"/>
          <w:szCs w:val="32"/>
          <w:highlight w:val="none"/>
          <w:u w:val="none"/>
          <w:lang w:val="en-US" w:eastAsia="zh-CN"/>
        </w:rPr>
        <w:t>统计员，</w:t>
      </w:r>
      <w:r>
        <w:rPr>
          <w:rFonts w:hint="eastAsia" w:ascii="仿宋_GB2312" w:hAnsi="仿宋_GB2312" w:eastAsia="仿宋_GB2312" w:cs="仿宋_GB2312"/>
          <w:b w:val="0"/>
          <w:bCs/>
          <w:kern w:val="0"/>
          <w:position w:val="0"/>
          <w:sz w:val="32"/>
          <w:szCs w:val="32"/>
          <w:highlight w:val="none"/>
          <w:lang w:val="en-US" w:eastAsia="zh-CN" w:bidi="ar-SA"/>
        </w:rPr>
        <w:t>根据县级方案，提</w:t>
      </w:r>
      <w:r>
        <w:rPr>
          <w:rFonts w:hint="eastAsia" w:eastAsia="仿宋_GB2312" w:cs="仿宋_GB2312"/>
          <w:b w:val="0"/>
          <w:bCs w:val="0"/>
          <w:kern w:val="0"/>
          <w:position w:val="0"/>
          <w:sz w:val="32"/>
          <w:szCs w:val="32"/>
          <w:highlight w:val="none"/>
          <w:lang w:val="en-US" w:eastAsia="zh-CN" w:bidi="ar-SA"/>
        </w:rPr>
        <w:t>供辖区内样本点的实际情况（如记账户配合度、辅调员工作状态），协助联系记账户与辅调员，保障现场评价顺利开展。</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sz w:val="32"/>
          <w:szCs w:val="32"/>
          <w:highlight w:val="none"/>
          <w:lang w:val="zh-CN"/>
        </w:rPr>
      </w:pPr>
      <w:r>
        <w:rPr>
          <w:rFonts w:hint="eastAsia" w:ascii="Times New Roman" w:hAnsi="Times New Roman" w:eastAsia="黑体"/>
          <w:sz w:val="32"/>
          <w:szCs w:val="32"/>
          <w:highlight w:val="none"/>
        </w:rPr>
        <w:t>三、</w:t>
      </w:r>
      <w:r>
        <w:rPr>
          <w:rFonts w:hint="eastAsia" w:ascii="Times New Roman" w:hAnsi="Times New Roman" w:eastAsia="黑体"/>
          <w:sz w:val="32"/>
          <w:szCs w:val="32"/>
          <w:highlight w:val="none"/>
          <w:lang w:eastAsia="zh-CN"/>
        </w:rPr>
        <w:t>绩效分析</w:t>
      </w:r>
      <w:r>
        <w:rPr>
          <w:rFonts w:hint="eastAsia" w:ascii="Times New Roman" w:hAnsi="Times New Roman" w:eastAsia="黑体"/>
          <w:sz w:val="32"/>
          <w:szCs w:val="32"/>
          <w:highlight w:val="none"/>
          <w:lang w:val="zh-CN"/>
        </w:rPr>
        <w:tab/>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Times New Roman" w:hAnsi="Times New Roman" w:eastAsia="楷体_GB2312"/>
          <w:b/>
          <w:color w:val="auto"/>
          <w:sz w:val="32"/>
          <w:szCs w:val="32"/>
          <w:highlight w:val="none"/>
          <w:u w:val="none"/>
          <w:lang w:val="en-US" w:eastAsia="zh-CN"/>
        </w:rPr>
      </w:pPr>
      <w:r>
        <w:rPr>
          <w:rFonts w:hint="eastAsia" w:ascii="Times New Roman" w:hAnsi="Times New Roman" w:eastAsia="楷体_GB2312"/>
          <w:b/>
          <w:color w:val="auto"/>
          <w:sz w:val="32"/>
          <w:szCs w:val="32"/>
          <w:highlight w:val="none"/>
          <w:u w:val="none"/>
          <w:lang w:val="zh-CN"/>
        </w:rPr>
        <w:t>（一）</w:t>
      </w:r>
      <w:r>
        <w:rPr>
          <w:rFonts w:hint="eastAsia" w:ascii="Times New Roman" w:hAnsi="Times New Roman" w:eastAsia="楷体_GB2312"/>
          <w:b/>
          <w:color w:val="auto"/>
          <w:sz w:val="32"/>
          <w:szCs w:val="32"/>
          <w:highlight w:val="none"/>
          <w:u w:val="none"/>
          <w:lang w:val="en-US" w:eastAsia="zh-CN"/>
        </w:rPr>
        <w:t>通用指标</w:t>
      </w:r>
      <w:r>
        <w:rPr>
          <w:rFonts w:hint="default" w:ascii="Times New Roman" w:hAnsi="Times New Roman" w:eastAsia="楷体_GB2312"/>
          <w:b/>
          <w:color w:val="auto"/>
          <w:sz w:val="32"/>
          <w:szCs w:val="32"/>
          <w:highlight w:val="none"/>
          <w:u w:val="none"/>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决策。以“服务宏观决策、保障民生福祉”为核心目标，结合国家统计制度要求与县域实际需求，确定调查范围、核心指标（收入、消费、就业、住房等12大类50余项细分指标）及调查周期（月度记账、季度汇总、年度分析），确保决策与县域发展痛点、上级统计要求高度契合。</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项目管理。构建“县-乡-村（社区）”三级管理体系：县统计局负责制定方案、培训指导、数据终审；乡镇统计站负责样本户联络、辅调员管理、数据初审；村（社区）辅调员负责入户指导记账、日常数据核实。</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3.项目实施。</w:t>
      </w:r>
      <w:r>
        <w:rPr>
          <w:rFonts w:hint="eastAsia" w:ascii="Times New Roman" w:hAnsi="Times New Roman" w:eastAsia="仿宋_GB2312" w:cs="仿宋_GB2312"/>
          <w:b w:val="0"/>
          <w:bCs w:val="0"/>
          <w:kern w:val="0"/>
          <w:position w:val="0"/>
          <w:sz w:val="32"/>
          <w:szCs w:val="32"/>
          <w:highlight w:val="none"/>
          <w:lang w:val="zh-CN" w:eastAsia="zh-CN" w:bidi="ar-SA"/>
        </w:rPr>
        <w:t>每5年完成一次全域大样本轮换，通过分层抽样确定新样本户，确保样本覆盖高、中、低收入群体及不同产业从业家庭，代表性达95%以上；</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4.项目结果。</w:t>
      </w:r>
      <w:r>
        <w:rPr>
          <w:rFonts w:hint="eastAsia" w:eastAsia="仿宋_GB2312" w:cs="仿宋_GB2312"/>
          <w:b w:val="0"/>
          <w:bCs w:val="0"/>
          <w:kern w:val="0"/>
          <w:position w:val="0"/>
          <w:sz w:val="32"/>
          <w:szCs w:val="32"/>
          <w:highlight w:val="none"/>
          <w:lang w:val="en-US" w:eastAsia="zh-CN" w:bidi="ar-SA"/>
        </w:rPr>
        <w:t>报表形成后进行分析，</w:t>
      </w:r>
      <w:r>
        <w:rPr>
          <w:rFonts w:hint="eastAsia" w:ascii="Times New Roman" w:hAnsi="Times New Roman" w:eastAsia="仿宋_GB2312" w:cs="仿宋_GB2312"/>
          <w:b w:val="0"/>
          <w:bCs w:val="0"/>
          <w:kern w:val="0"/>
          <w:position w:val="0"/>
          <w:sz w:val="32"/>
          <w:szCs w:val="32"/>
          <w:highlight w:val="none"/>
          <w:lang w:val="en-US" w:eastAsia="zh-CN" w:bidi="ar-SA"/>
        </w:rPr>
        <w:t>清晰呈现收入增速、消费结构变化等核心数据</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2" w:firstLineChars="200"/>
        <w:contextualSpacing/>
        <w:jc w:val="left"/>
        <w:textAlignment w:val="auto"/>
        <w:rPr>
          <w:rFonts w:hint="eastAsia" w:ascii="Times New Roman" w:hAnsi="Times New Roman" w:eastAsia="楷体_GB2312"/>
          <w:b/>
          <w:color w:val="auto"/>
          <w:sz w:val="32"/>
          <w:szCs w:val="32"/>
          <w:highlight w:val="none"/>
          <w:u w:val="none"/>
          <w:lang w:val="zh-CN" w:eastAsia="zh-CN"/>
        </w:rPr>
      </w:pPr>
      <w:r>
        <w:rPr>
          <w:rFonts w:hint="eastAsia" w:ascii="Times New Roman" w:hAnsi="Times New Roman" w:eastAsia="楷体_GB2312"/>
          <w:b/>
          <w:color w:val="auto"/>
          <w:sz w:val="32"/>
          <w:szCs w:val="32"/>
          <w:highlight w:val="none"/>
          <w:u w:val="none"/>
          <w:lang w:val="zh-CN"/>
        </w:rPr>
        <w:t>（二）</w:t>
      </w:r>
      <w:r>
        <w:rPr>
          <w:rFonts w:hint="eastAsia" w:ascii="Times New Roman" w:hAnsi="Times New Roman" w:eastAsia="楷体_GB2312"/>
          <w:b/>
          <w:color w:val="auto"/>
          <w:sz w:val="32"/>
          <w:szCs w:val="32"/>
          <w:highlight w:val="none"/>
          <w:u w:val="none"/>
          <w:lang w:val="en-US" w:eastAsia="zh-CN"/>
        </w:rPr>
        <w:t>专用指标</w:t>
      </w:r>
      <w:r>
        <w:rPr>
          <w:rFonts w:hint="default" w:ascii="Times New Roman" w:hAnsi="Times New Roman" w:eastAsia="楷体_GB2312"/>
          <w:b/>
          <w:color w:val="auto"/>
          <w:sz w:val="32"/>
          <w:szCs w:val="32"/>
          <w:highlight w:val="none"/>
          <w:u w:val="none"/>
          <w:lang w:val="zh-CN"/>
        </w:rPr>
        <w:t>绩效分析</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1.产业发展。通过监测居民“食品消费占比（恩格尔系数）”“服务型消费占比”等数据，反映县域产业供需匹配度。</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民生保障。</w:t>
      </w:r>
      <w:r>
        <w:rPr>
          <w:rFonts w:hint="eastAsia" w:ascii="Times New Roman" w:hAnsi="Times New Roman" w:eastAsia="仿宋_GB2312" w:cs="仿宋_GB2312"/>
          <w:b w:val="0"/>
          <w:bCs w:val="0"/>
          <w:kern w:val="0"/>
          <w:position w:val="0"/>
          <w:sz w:val="32"/>
          <w:szCs w:val="32"/>
          <w:highlight w:val="none"/>
          <w:lang w:val="en-US" w:eastAsia="zh-CN" w:bidi="ar-SA"/>
        </w:rPr>
        <w:t>调查数据是制定/调整低保标准、最低工资标准的核心依据</w:t>
      </w:r>
      <w:r>
        <w:rPr>
          <w:rFonts w:hint="eastAsia" w:eastAsia="仿宋_GB2312" w:cs="仿宋_GB2312"/>
          <w:b w:val="0"/>
          <w:bCs w:val="0"/>
          <w:kern w:val="0"/>
          <w:position w:val="0"/>
          <w:sz w:val="32"/>
          <w:szCs w:val="32"/>
          <w:highlight w:val="none"/>
          <w:lang w:val="en-US" w:eastAsia="zh-CN" w:bidi="ar-SA"/>
        </w:rPr>
        <w:t>。</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3.基础设施。通过“居民出行方式”“网络消费占比”等数据，判断基建需求优先级。</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行政运转。避免“拍脑袋”决策，让政策制定更贴合实际</w:t>
      </w:r>
      <w:r>
        <w:rPr>
          <w:rFonts w:hint="eastAsia" w:eastAsia="仿宋_GB2312" w:cs="仿宋_GB2312"/>
          <w:b w:val="0"/>
          <w:bCs w:val="0"/>
          <w:kern w:val="0"/>
          <w:position w:val="0"/>
          <w:sz w:val="32"/>
          <w:szCs w:val="32"/>
          <w:highlight w:val="none"/>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四</w:t>
      </w:r>
      <w:r>
        <w:rPr>
          <w:rFonts w:hint="eastAsia" w:ascii="Times New Roman" w:hAnsi="Times New Roman" w:eastAsia="黑体"/>
          <w:sz w:val="32"/>
          <w:szCs w:val="32"/>
          <w:highlight w:val="none"/>
          <w:lang w:eastAsia="zh-CN"/>
        </w:rPr>
        <w:t>、评价结论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严格按照要求使用资金，202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年认真进行项目实施，</w:t>
      </w:r>
      <w:r>
        <w:rPr>
          <w:rFonts w:hint="eastAsia" w:ascii="仿宋_GB2312" w:hAnsi="仿宋_GB2312" w:eastAsia="仿宋_GB2312" w:cs="仿宋_GB2312"/>
          <w:sz w:val="32"/>
          <w:szCs w:val="32"/>
          <w:lang w:val="en-US" w:eastAsia="zh-CN"/>
        </w:rPr>
        <w:t>项目绩效自评得分84分。</w:t>
      </w:r>
      <w:r>
        <w:rPr>
          <w:rFonts w:hint="eastAsia" w:ascii="仿宋_GB2312" w:hAnsi="仿宋_GB2312" w:eastAsia="仿宋_GB2312" w:cs="仿宋_GB2312"/>
          <w:sz w:val="32"/>
          <w:szCs w:val="32"/>
          <w:lang w:eastAsia="zh-CN"/>
        </w:rPr>
        <w:t>该项目的实施切实为</w:t>
      </w:r>
      <w:r>
        <w:rPr>
          <w:rFonts w:hint="eastAsia" w:ascii="仿宋_GB2312" w:hAnsi="仿宋_GB2312" w:eastAsia="仿宋_GB2312" w:cs="仿宋_GB2312"/>
          <w:sz w:val="32"/>
          <w:szCs w:val="32"/>
          <w:lang w:val="en-US" w:eastAsia="zh-CN"/>
        </w:rPr>
        <w:t>茂县统计工作</w:t>
      </w:r>
      <w:r>
        <w:rPr>
          <w:rFonts w:hint="eastAsia" w:ascii="仿宋_GB2312" w:hAnsi="仿宋_GB2312" w:eastAsia="仿宋_GB2312" w:cs="仿宋_GB2312"/>
          <w:sz w:val="32"/>
          <w:szCs w:val="32"/>
          <w:lang w:eastAsia="zh-CN"/>
        </w:rPr>
        <w:t>能力提升提供了有力的资金保障。</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lang w:val="en-US" w:eastAsia="zh-CN"/>
        </w:rPr>
        <w:t>五</w:t>
      </w:r>
      <w:r>
        <w:rPr>
          <w:rFonts w:hint="eastAsia" w:ascii="Times New Roman" w:hAnsi="Times New Roman" w:eastAsia="黑体"/>
          <w:sz w:val="32"/>
          <w:szCs w:val="32"/>
          <w:highlight w:val="none"/>
          <w:lang w:eastAsia="zh-CN"/>
        </w:rPr>
        <w:t>、存在主要问题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textAlignment w:val="auto"/>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绩效目标设定有待更科学更合理。</w:t>
      </w:r>
    </w:p>
    <w:p>
      <w:pPr>
        <w:keepNext w:val="0"/>
        <w:keepLines w:val="0"/>
        <w:pageBreakBefore w:val="0"/>
        <w:widowControl w:val="0"/>
        <w:kinsoku/>
        <w:wordWrap/>
        <w:overflowPunct/>
        <w:topLinePunct w:val="0"/>
        <w:autoSpaceDE/>
        <w:autoSpaceDN/>
        <w:bidi w:val="0"/>
        <w:adjustRightInd w:val="0"/>
        <w:snapToGrid w:val="0"/>
        <w:spacing w:line="578" w:lineRule="exact"/>
        <w:ind w:firstLine="640" w:firstLineChars="200"/>
        <w:textAlignment w:val="auto"/>
        <w:rPr>
          <w:rFonts w:hint="eastAsia" w:ascii="Times New Roman" w:hAnsi="Times New Roman" w:eastAsia="黑体"/>
          <w:sz w:val="32"/>
          <w:szCs w:val="32"/>
          <w:highlight w:val="none"/>
          <w:lang w:val="zh-CN"/>
        </w:rPr>
      </w:pPr>
      <w:r>
        <w:rPr>
          <w:rFonts w:hint="eastAsia" w:ascii="Times New Roman" w:hAnsi="Times New Roman" w:eastAsia="黑体"/>
          <w:sz w:val="32"/>
          <w:szCs w:val="32"/>
          <w:highlight w:val="none"/>
          <w:lang w:val="en-US" w:eastAsia="zh-CN"/>
        </w:rPr>
        <w:t>六</w:t>
      </w:r>
      <w:r>
        <w:rPr>
          <w:rFonts w:hint="eastAsia" w:ascii="Times New Roman" w:hAnsi="Times New Roman" w:eastAsia="黑体"/>
          <w:sz w:val="32"/>
          <w:szCs w:val="32"/>
          <w:highlight w:val="none"/>
          <w:lang w:val="zh-CN" w:eastAsia="zh-CN"/>
        </w:rPr>
        <w:t>、改进建议</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color w:val="000000"/>
          <w:kern w:val="0"/>
          <w:sz w:val="32"/>
          <w:szCs w:val="32"/>
          <w:shd w:val="clear" w:color="auto" w:fill="FFFFFF"/>
        </w:rPr>
        <w:t>加强预算执行管理。一是改进部门收支预算编制，夯实预算基础工作，提高预算编制质量；二是认真研究政策，加强项目绩效目标审核，力求科学合理；三是认真研究重点项目的执行，特别是涉及政府采购的项目，提早规划，提前实施，确保项目顺利实施，提高财政资金的使用效益。</w:t>
      </w: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5"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70"/>
      <w:bookmarkEnd w:id="75"/>
      <w:bookmarkStart w:id="76"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7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0"/>
      <w:r>
        <w:rPr>
          <w:rFonts w:hint="eastAsia" w:ascii="Times New Roman" w:hAnsi="Times New Roman" w:eastAsia="仿宋_GB2312" w:cs="仿宋_GB2312"/>
          <w:color w:val="auto"/>
          <w:sz w:val="32"/>
          <w:szCs w:val="32"/>
          <w:highlight w:val="none"/>
        </w:rPr>
        <w:t>二、收入决算表</w:t>
      </w:r>
      <w:bookmarkEnd w:id="77"/>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1"/>
      <w:r>
        <w:rPr>
          <w:rFonts w:hint="eastAsia" w:ascii="Times New Roman" w:hAnsi="Times New Roman" w:eastAsia="仿宋_GB2312" w:cs="仿宋_GB2312"/>
          <w:color w:val="auto"/>
          <w:sz w:val="32"/>
          <w:szCs w:val="32"/>
          <w:highlight w:val="none"/>
        </w:rPr>
        <w:t>三、支出决算表</w:t>
      </w:r>
      <w:bookmarkEnd w:id="7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22"/>
      <w:r>
        <w:rPr>
          <w:rFonts w:hint="eastAsia" w:ascii="Times New Roman" w:hAnsi="Times New Roman" w:eastAsia="仿宋_GB2312" w:cs="仿宋_GB2312"/>
          <w:color w:val="auto"/>
          <w:sz w:val="32"/>
          <w:szCs w:val="32"/>
          <w:highlight w:val="none"/>
        </w:rPr>
        <w:t>四、财政拨款收入支出决算总表</w:t>
      </w:r>
      <w:bookmarkEnd w:id="7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0" w:name="_Toc15396623"/>
      <w:r>
        <w:rPr>
          <w:rFonts w:hint="eastAsia" w:ascii="Times New Roman" w:hAnsi="Times New Roman" w:eastAsia="仿宋_GB2312" w:cs="仿宋_GB2312"/>
          <w:color w:val="auto"/>
          <w:sz w:val="32"/>
          <w:szCs w:val="32"/>
          <w:highlight w:val="none"/>
        </w:rPr>
        <w:t>五、财政拨款支出决算明细表</w:t>
      </w:r>
      <w:bookmarkEnd w:id="80"/>
      <w:bookmarkStart w:id="81"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8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2" w:name="_Toc15396625"/>
      <w:r>
        <w:rPr>
          <w:rFonts w:hint="eastAsia" w:ascii="Times New Roman" w:hAnsi="Times New Roman" w:eastAsia="仿宋_GB2312" w:cs="仿宋_GB2312"/>
          <w:color w:val="auto"/>
          <w:sz w:val="32"/>
          <w:szCs w:val="32"/>
          <w:highlight w:val="none"/>
        </w:rPr>
        <w:t>七、一般公共预算财政拨款支出决算明细表</w:t>
      </w:r>
      <w:bookmarkEnd w:id="82"/>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3" w:name="_Toc15396626"/>
      <w:r>
        <w:rPr>
          <w:rFonts w:hint="eastAsia" w:ascii="Times New Roman" w:hAnsi="Times New Roman" w:eastAsia="仿宋_GB2312" w:cs="仿宋_GB2312"/>
          <w:color w:val="auto"/>
          <w:sz w:val="32"/>
          <w:szCs w:val="32"/>
          <w:highlight w:val="none"/>
        </w:rPr>
        <w:t>八、一般公共预算财政拨款基本支出决算表</w:t>
      </w:r>
      <w:bookmarkEnd w:id="8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4" w:name="_Toc15396627"/>
      <w:r>
        <w:rPr>
          <w:rFonts w:hint="eastAsia" w:ascii="Times New Roman" w:hAnsi="Times New Roman" w:eastAsia="仿宋_GB2312" w:cs="仿宋_GB2312"/>
          <w:color w:val="auto"/>
          <w:sz w:val="32"/>
          <w:szCs w:val="32"/>
          <w:highlight w:val="none"/>
        </w:rPr>
        <w:t>九、一般公共预算财政拨款项目支出决算表</w:t>
      </w:r>
      <w:bookmarkEnd w:id="8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5" w:name="_Toc15396628"/>
      <w:r>
        <w:rPr>
          <w:rFonts w:hint="eastAsia" w:ascii="Times New Roman" w:hAnsi="Times New Roman" w:eastAsia="仿宋_GB2312" w:cs="仿宋_GB2312"/>
          <w:color w:val="auto"/>
          <w:sz w:val="32"/>
          <w:szCs w:val="32"/>
          <w:highlight w:val="none"/>
        </w:rPr>
        <w:t>十、</w:t>
      </w:r>
      <w:bookmarkEnd w:id="85"/>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6" w:name="_Toc15396629"/>
      <w:r>
        <w:rPr>
          <w:rFonts w:hint="eastAsia" w:ascii="Times New Roman" w:hAnsi="Times New Roman" w:eastAsia="仿宋_GB2312" w:cs="仿宋_GB2312"/>
          <w:color w:val="auto"/>
          <w:sz w:val="32"/>
          <w:szCs w:val="32"/>
          <w:highlight w:val="none"/>
        </w:rPr>
        <w:t>十一、</w:t>
      </w:r>
      <w:bookmarkEnd w:id="8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87" w:name="_Toc15396630"/>
      <w:r>
        <w:rPr>
          <w:rFonts w:hint="eastAsia" w:ascii="Times New Roman" w:hAnsi="Times New Roman" w:eastAsia="仿宋_GB2312" w:cs="仿宋_GB2312"/>
          <w:color w:val="auto"/>
          <w:sz w:val="32"/>
          <w:szCs w:val="32"/>
          <w:highlight w:val="none"/>
        </w:rPr>
        <w:t>十二、</w:t>
      </w:r>
      <w:bookmarkEnd w:id="87"/>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8" w:name="_Toc15396631"/>
      <w:r>
        <w:rPr>
          <w:rFonts w:hint="eastAsia" w:ascii="Times New Roman" w:hAnsi="Times New Roman" w:eastAsia="仿宋_GB2312" w:cs="仿宋_GB2312"/>
          <w:color w:val="auto"/>
          <w:sz w:val="32"/>
          <w:szCs w:val="32"/>
          <w:highlight w:val="none"/>
        </w:rPr>
        <w:t>十三、</w:t>
      </w:r>
      <w:bookmarkEnd w:id="88"/>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7" w:type="default"/>
      <w:pgSz w:w="11906" w:h="16838"/>
      <w:pgMar w:top="1440" w:right="1800" w:bottom="1440" w:left="1800" w:header="851" w:footer="992" w:gutter="0"/>
      <w:pgNumType w:fmt="numberInDash"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微软雅黑">
    <w:altName w:val="黑体"/>
    <w:panose1 w:val="020B0503020204020204"/>
    <w:charset w:val="86"/>
    <w:family w:val="auto"/>
    <w:pitch w:val="default"/>
    <w:sig w:usb0="00000000" w:usb1="0000000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W3w8JMg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JbfDwkyAgAAYwQAAA4AAAAAAAAAAQAgAAAA&#10;NQEAAGRycy9lMm9Eb2MueG1sUEsFBgAAAAAGAAYAWQEAANk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988C5D"/>
    <w:multiLevelType w:val="singleLevel"/>
    <w:tmpl w:val="F6988C5D"/>
    <w:lvl w:ilvl="0" w:tentative="0">
      <w:start w:val="1"/>
      <w:numFmt w:val="chineseCounting"/>
      <w:suff w:val="nothing"/>
      <w:lvlText w:val="（%1）"/>
      <w:lvlJc w:val="left"/>
      <w:rPr>
        <w:rFonts w:hint="eastAsia"/>
      </w:rPr>
    </w:lvl>
  </w:abstractNum>
  <w:abstractNum w:abstractNumId="1">
    <w:nsid w:val="30E23907"/>
    <w:multiLevelType w:val="singleLevel"/>
    <w:tmpl w:val="30E23907"/>
    <w:lvl w:ilvl="0" w:tentative="0">
      <w:start w:val="1"/>
      <w:numFmt w:val="chineseCounting"/>
      <w:suff w:val="nothing"/>
      <w:lvlText w:val="%1、"/>
      <w:lvlJc w:val="left"/>
      <w:rPr>
        <w:rFonts w:hint="eastAsia"/>
      </w:rPr>
    </w:lvl>
  </w:abstractNum>
  <w:abstractNum w:abstractNumId="2">
    <w:nsid w:val="6EF2E8A0"/>
    <w:multiLevelType w:val="singleLevel"/>
    <w:tmpl w:val="6EF2E8A0"/>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NWQ5ODgyN2IyOTI2NzQ3MDVhMDM5Y2YxMDQ1ND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0FA657A9"/>
    <w:rsid w:val="0FB65E47"/>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3C7843"/>
    <w:rsid w:val="1D155CEE"/>
    <w:rsid w:val="1D1638FE"/>
    <w:rsid w:val="1E312DEB"/>
    <w:rsid w:val="1E740ACF"/>
    <w:rsid w:val="1FF35744"/>
    <w:rsid w:val="1FF6BC77"/>
    <w:rsid w:val="2186353C"/>
    <w:rsid w:val="23860B96"/>
    <w:rsid w:val="240371BF"/>
    <w:rsid w:val="244F3473"/>
    <w:rsid w:val="24C97D99"/>
    <w:rsid w:val="25A718F0"/>
    <w:rsid w:val="25BB59F6"/>
    <w:rsid w:val="260F557C"/>
    <w:rsid w:val="26800C37"/>
    <w:rsid w:val="26970054"/>
    <w:rsid w:val="26F85710"/>
    <w:rsid w:val="281408E2"/>
    <w:rsid w:val="29FD04D3"/>
    <w:rsid w:val="2BFF7BC6"/>
    <w:rsid w:val="2C8A61B5"/>
    <w:rsid w:val="2DF04E50"/>
    <w:rsid w:val="2E586DFA"/>
    <w:rsid w:val="2F040D46"/>
    <w:rsid w:val="2F6B035B"/>
    <w:rsid w:val="2FAE5751"/>
    <w:rsid w:val="2FB1A395"/>
    <w:rsid w:val="2FD9A7D8"/>
    <w:rsid w:val="2FDBF714"/>
    <w:rsid w:val="30364563"/>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20E1BD9"/>
    <w:rsid w:val="44E268DA"/>
    <w:rsid w:val="450D13D7"/>
    <w:rsid w:val="45506656"/>
    <w:rsid w:val="486A6C7A"/>
    <w:rsid w:val="4A627F82"/>
    <w:rsid w:val="4B0E749A"/>
    <w:rsid w:val="4B2477C4"/>
    <w:rsid w:val="4B4F25DA"/>
    <w:rsid w:val="4BE068DB"/>
    <w:rsid w:val="4D577224"/>
    <w:rsid w:val="4DBF1CEB"/>
    <w:rsid w:val="4DF0007C"/>
    <w:rsid w:val="4E7B1F8D"/>
    <w:rsid w:val="4EAB630A"/>
    <w:rsid w:val="4ECE2238"/>
    <w:rsid w:val="4F833267"/>
    <w:rsid w:val="4FE9BD67"/>
    <w:rsid w:val="4FFB052F"/>
    <w:rsid w:val="537E6D0A"/>
    <w:rsid w:val="53F74C96"/>
    <w:rsid w:val="55170BA8"/>
    <w:rsid w:val="553218C9"/>
    <w:rsid w:val="567E1AA5"/>
    <w:rsid w:val="56E47B74"/>
    <w:rsid w:val="57175D52"/>
    <w:rsid w:val="57BD3DD4"/>
    <w:rsid w:val="5AAD161D"/>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6616591"/>
    <w:rsid w:val="67277B67"/>
    <w:rsid w:val="67AA3209"/>
    <w:rsid w:val="698D0931"/>
    <w:rsid w:val="6A7FE5F3"/>
    <w:rsid w:val="6B053271"/>
    <w:rsid w:val="6BDD78B3"/>
    <w:rsid w:val="6C4A05C8"/>
    <w:rsid w:val="6C5C330E"/>
    <w:rsid w:val="6C8742B8"/>
    <w:rsid w:val="6C97799E"/>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040798"/>
    <w:rsid w:val="75DEEEC2"/>
    <w:rsid w:val="75E32345"/>
    <w:rsid w:val="76E3355F"/>
    <w:rsid w:val="76FF5125"/>
    <w:rsid w:val="776F6FFA"/>
    <w:rsid w:val="77763B6A"/>
    <w:rsid w:val="778769C8"/>
    <w:rsid w:val="77A75DCA"/>
    <w:rsid w:val="77C63036"/>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276692"/>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EEFDBBC"/>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41"/>
    <w:basedOn w:val="17"/>
    <w:qFormat/>
    <w:uiPriority w:val="0"/>
    <w:rPr>
      <w:rFonts w:hint="eastAsia" w:ascii="微软雅黑" w:hAnsi="微软雅黑" w:eastAsia="微软雅黑" w:cs="微软雅黑"/>
      <w:i/>
      <w:iCs/>
      <w:color w:val="000000"/>
      <w:sz w:val="16"/>
      <w:szCs w:val="16"/>
      <w:u w:val="none"/>
    </w:rPr>
  </w:style>
  <w:style w:type="character" w:customStyle="1" w:styleId="37">
    <w:name w:val="font61"/>
    <w:basedOn w:val="17"/>
    <w:qFormat/>
    <w:uiPriority w:val="0"/>
    <w:rPr>
      <w:rFonts w:hint="eastAsia" w:ascii="微软雅黑" w:hAnsi="微软雅黑" w:eastAsia="微软雅黑" w:cs="微软雅黑"/>
      <w:i/>
      <w:iCs/>
      <w:color w:val="000000"/>
      <w:sz w:val="16"/>
      <w:szCs w:val="16"/>
      <w:u w:val="none"/>
    </w:rPr>
  </w:style>
  <w:style w:type="character" w:customStyle="1" w:styleId="38">
    <w:name w:val="font51"/>
    <w:basedOn w:val="17"/>
    <w:qFormat/>
    <w:uiPriority w:val="0"/>
    <w:rPr>
      <w:rFonts w:hint="eastAsia" w:ascii="微软雅黑" w:hAnsi="微软雅黑" w:eastAsia="微软雅黑" w:cs="微软雅黑"/>
      <w:i/>
      <w:i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Sheet1!$B$2:$B$3</c:f>
              <c:numCache>
                <c:formatCode>General</c:formatCode>
                <c:ptCount val="2"/>
                <c:pt idx="0">
                  <c:v>341</c:v>
                </c:pt>
                <c:pt idx="1">
                  <c:v>341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收入</c:v>
                </c:pt>
                <c:pt idx="1">
                  <c:v>支出</c:v>
                </c:pt>
              </c:strCache>
            </c:strRef>
          </c:cat>
          <c:val>
            <c:numRef>
              <c:f>Sheet1!$C$2:$C$3</c:f>
              <c:numCache>
                <c:formatCode>General</c:formatCode>
                <c:ptCount val="2"/>
                <c:pt idx="0">
                  <c:v>434.15</c:v>
                </c:pt>
                <c:pt idx="1">
                  <c:v>434.15</c:v>
                </c:pt>
              </c:numCache>
            </c:numRef>
          </c:val>
        </c:ser>
        <c:dLbls>
          <c:showLegendKey val="0"/>
          <c:showVal val="1"/>
          <c:showCatName val="0"/>
          <c:showSerName val="0"/>
          <c:showPercent val="0"/>
          <c:showBubbleSize val="0"/>
        </c:dLbls>
        <c:gapWidth val="246"/>
        <c:overlap val="-28"/>
        <c:axId val="976609186"/>
        <c:axId val="459032170"/>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Sheet1!$A$2:$A$3</c15:sqref>
                        </c15:formulaRef>
                      </c:ext>
                    </c:extLst>
                    <c:strCache>
                      <c:ptCount val="2"/>
                      <c:pt idx="0">
                        <c:v>收入</c:v>
                      </c:pt>
                      <c:pt idx="1">
                        <c:v>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97660918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9032170"/>
        <c:crosses val="autoZero"/>
        <c:auto val="1"/>
        <c:lblAlgn val="ctr"/>
        <c:lblOffset val="100"/>
        <c:noMultiLvlLbl val="0"/>
      </c:catAx>
      <c:valAx>
        <c:axId val="45903217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7660918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本年收入</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c:f>
              <c:strCache>
                <c:ptCount val="1"/>
                <c:pt idx="0">
                  <c:v>一般公共预算财政拨款收入</c:v>
                </c:pt>
              </c:strCache>
            </c:strRef>
          </c:cat>
          <c:val>
            <c:numRef>
              <c:extLst>
                <c:ext xmlns:c15="http://schemas.microsoft.com/office/drawing/2012/chart" uri="{02D57815-91ED-43cb-92C2-25804820EDAC}">
                  <c15:fullRef>
                    <c15:sqref>Sheet1!$B$2:$B$5</c15:sqref>
                  </c15:fullRef>
                </c:ext>
              </c:extLst>
              <c:f>Sheet1!$B$2</c:f>
              <c:numCache>
                <c:formatCode>0%</c:formatCode>
                <c:ptCount val="1"/>
                <c:pt idx="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本年支出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0.00%</c:formatCode>
                <c:ptCount val="2"/>
                <c:pt idx="0">
                  <c:v>0.6482</c:v>
                </c:pt>
                <c:pt idx="1">
                  <c:v>0.3517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General</c:formatCode>
                <c:ptCount val="2"/>
                <c:pt idx="0">
                  <c:v>341</c:v>
                </c:pt>
                <c:pt idx="1">
                  <c:v>341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434.15</c:v>
                </c:pt>
                <c:pt idx="1">
                  <c:v>434.15</c:v>
                </c:pt>
              </c:numCache>
            </c:numRef>
          </c:val>
        </c:ser>
        <c:dLbls>
          <c:showLegendKey val="0"/>
          <c:showVal val="1"/>
          <c:showCatName val="0"/>
          <c:showSerName val="0"/>
          <c:showPercent val="0"/>
          <c:showBubbleSize val="0"/>
        </c:dLbls>
        <c:gapWidth val="246"/>
        <c:overlap val="-28"/>
        <c:axId val="593130357"/>
        <c:axId val="349535365"/>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财政拨款收入</c:v>
                      </c:pt>
                      <c:pt idx="1">
                        <c:v>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59313035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9535365"/>
        <c:crosses val="autoZero"/>
        <c:auto val="1"/>
        <c:lblAlgn val="ctr"/>
        <c:lblOffset val="100"/>
        <c:noMultiLvlLbl val="0"/>
      </c:catAx>
      <c:valAx>
        <c:axId val="34953536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3130357"/>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341</c:v>
                </c:pt>
              </c:numCache>
            </c:numRef>
          </c:val>
        </c:ser>
        <c:ser>
          <c:idx val="1"/>
          <c:order val="1"/>
          <c:tx>
            <c:strRef>
              <c:f>Sheet1!$C$1</c:f>
              <c:strCache>
                <c:ptCount val="1"/>
                <c:pt idx="0">
                  <c:v>2024</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434.15</c:v>
                </c:pt>
              </c:numCache>
            </c:numRef>
          </c:val>
        </c:ser>
        <c:dLbls>
          <c:showLegendKey val="0"/>
          <c:showVal val="0"/>
          <c:showCatName val="0"/>
          <c:showSerName val="0"/>
          <c:showPercent val="0"/>
          <c:showBubbleSize val="0"/>
        </c:dLbls>
        <c:gapWidth val="246"/>
        <c:overlap val="-28"/>
        <c:axId val="635548248"/>
        <c:axId val="614847358"/>
        <c:extLst>
          <c:ext xmlns:c15="http://schemas.microsoft.com/office/drawing/2012/chart" uri="{02D57815-91ED-43cb-92C2-25804820EDAC}">
            <c15:filteredBarSeries>
              <c15:ser>
                <c:idx val="2"/>
                <c:order val="2"/>
                <c:tx>
                  <c:strRef>
                    <c:extLst>
                      <c:ext uri="{02D57815-91ED-43cb-92C2-25804820EDAC}">
                        <c15:formulaRef>
                          <c15:sqref>Sheet1!#REF!</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c15:sqref>
                        </c15:formulaRef>
                      </c:ext>
                    </c:extLst>
                    <c:strCache>
                      <c:ptCount val="1"/>
                      <c:pt idx="0">
                        <c:v>一般公共预算财政拨款支出</c:v>
                      </c:pt>
                    </c:strCache>
                  </c:strRef>
                </c:cat>
                <c:val>
                  <c:numRef>
                    <c:extLst>
                      <c:ext uri="{02D57815-91ED-43cb-92C2-25804820EDAC}">
                        <c15:formulaRef>
                          <c15:sqref>Sheet1!#REF!</c15:sqref>
                        </c15:formulaRef>
                      </c:ext>
                    </c:extLst>
                    <c:numCache>
                      <c:formatCode>General</c:formatCode>
                      <c:ptCount val="1"/>
                      <c:pt idx="0">
                        <c:v>1</c:v>
                      </c:pt>
                    </c:numCache>
                  </c:numRef>
                </c:val>
              </c15:ser>
            </c15:filteredBarSeries>
          </c:ext>
        </c:extLst>
      </c:barChart>
      <c:catAx>
        <c:axId val="6355482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4847358"/>
        <c:crosses val="autoZero"/>
        <c:auto val="1"/>
        <c:lblAlgn val="ctr"/>
        <c:lblOffset val="100"/>
        <c:noMultiLvlLbl val="0"/>
      </c:catAx>
      <c:valAx>
        <c:axId val="61484735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5482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一般公共预算财政拨款支出占比</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0.0%</c:formatCode>
                <c:ptCount val="4"/>
                <c:pt idx="0">
                  <c:v>0.825</c:v>
                </c:pt>
                <c:pt idx="1">
                  <c:v>0.084</c:v>
                </c:pt>
                <c:pt idx="2">
                  <c:v>0.039</c:v>
                </c:pt>
                <c:pt idx="3">
                  <c:v>0.052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因公出国</c:v>
                </c:pt>
                <c:pt idx="1">
                  <c:v>公车用车购置及运行维护费</c:v>
                </c:pt>
                <c:pt idx="2">
                  <c:v>公务接待费</c:v>
                </c:pt>
              </c:strCache>
            </c:strRef>
          </c:cat>
          <c:val>
            <c:numRef>
              <c:extLst>
                <c:ext xmlns:c15="http://schemas.microsoft.com/office/drawing/2012/chart" uri="{02D57815-91ED-43cb-92C2-25804820EDAC}">
                  <c15:fullRef>
                    <c15:sqref>Sheet1!$B$2:$B$5</c15:sqref>
                  </c15:fullRef>
                </c:ext>
              </c:extLst>
              <c:f>Sheet1!$B$2:$B$4</c:f>
              <c:numCache>
                <c:formatCode>General</c:formatCode>
                <c:ptCount val="3"/>
                <c:pt idx="0">
                  <c:v>0</c:v>
                </c:pt>
                <c:pt idx="1" c:formatCode="0%">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4943</Words>
  <Characters>7221</Characters>
  <Lines>61</Lines>
  <Paragraphs>17</Paragraphs>
  <TotalTime>15</TotalTime>
  <ScaleCrop>false</ScaleCrop>
  <LinksUpToDate>false</LinksUpToDate>
  <CharactersWithSpaces>7248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user</cp:lastModifiedBy>
  <cp:lastPrinted>2025-09-25T10:29:00Z</cp:lastPrinted>
  <dcterms:modified xsi:type="dcterms:W3CDTF">2026-05-06T10:12:02Z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910BF54039FB47C78EDFF90FDE96053A_13</vt:lpwstr>
  </property>
  <property fmtid="{D5CDD505-2E9C-101B-9397-08002B2CF9AE}" pid="4" name="KSOTemplateDocerSaveRecord">
    <vt:lpwstr>eyJoZGlkIjoiN2VmMTc1NzhhNjk3YTgxNDQ2ZDNlYzAwZGJiMDhlOTEiLCJ1c2VySWQiOiIyNjQzMjY5NjQifQ==</vt:lpwstr>
  </property>
</Properties>
</file>