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outlineLvl w:val="0"/>
        <w:rPr>
          <w:rFonts w:ascii="方正小标宋简体" w:eastAsia="方正小标宋简体"/>
          <w:color w:val="000000"/>
          <w:sz w:val="72"/>
          <w:szCs w:val="72"/>
        </w:rPr>
      </w:pPr>
      <w:bookmarkStart w:id="0" w:name="_Toc15396599"/>
      <w:bookmarkStart w:id="1" w:name="_Toc15377196"/>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hint="eastAsia" w:ascii="方正小标宋简体" w:eastAsia="方正小标宋简体"/>
          <w:color w:val="000000"/>
          <w:sz w:val="72"/>
          <w:szCs w:val="72"/>
          <w:lang w:eastAsia="zh-CN"/>
        </w:rPr>
      </w:pPr>
      <w:bookmarkStart w:id="2" w:name="_Toc15377425"/>
      <w:bookmarkStart w:id="3" w:name="_Toc15396475"/>
      <w:bookmarkStart w:id="4" w:name="_Toc15378441"/>
      <w:bookmarkStart w:id="5" w:name="_Toc15396597"/>
      <w:bookmarkStart w:id="6" w:name="_Toc15377193"/>
      <w:r>
        <w:rPr>
          <w:rFonts w:hint="eastAsia" w:ascii="方正小标宋简体" w:eastAsia="方正小标宋简体"/>
          <w:color w:val="000000"/>
          <w:sz w:val="72"/>
          <w:szCs w:val="72"/>
          <w:lang w:eastAsia="zh-CN"/>
        </w:rPr>
        <w:t>20</w:t>
      </w:r>
      <w:r>
        <w:rPr>
          <w:rFonts w:hint="eastAsia" w:ascii="方正小标宋简体" w:eastAsia="方正小标宋简体"/>
          <w:color w:val="000000"/>
          <w:sz w:val="72"/>
          <w:szCs w:val="72"/>
          <w:lang w:val="en-US" w:eastAsia="zh-CN"/>
        </w:rPr>
        <w:t>22</w:t>
      </w:r>
      <w:r>
        <w:rPr>
          <w:rFonts w:hint="eastAsia" w:ascii="方正小标宋简体" w:eastAsia="方正小标宋简体"/>
          <w:color w:val="000000"/>
          <w:sz w:val="72"/>
          <w:szCs w:val="72"/>
          <w:lang w:eastAsia="zh-CN"/>
        </w:rPr>
        <w:t>年度</w:t>
      </w:r>
      <w:bookmarkEnd w:id="2"/>
      <w:bookmarkEnd w:id="3"/>
      <w:bookmarkEnd w:id="4"/>
      <w:bookmarkEnd w:id="5"/>
      <w:bookmarkEnd w:id="6"/>
    </w:p>
    <w:p>
      <w:pPr>
        <w:adjustRightInd w:val="0"/>
        <w:snapToGrid w:val="0"/>
        <w:spacing w:line="360" w:lineRule="auto"/>
        <w:jc w:val="center"/>
        <w:outlineLvl w:val="0"/>
        <w:rPr>
          <w:rFonts w:hint="eastAsia" w:ascii="方正小标宋简体" w:eastAsia="方正小标宋简体"/>
          <w:color w:val="000000"/>
          <w:sz w:val="72"/>
          <w:szCs w:val="72"/>
          <w:lang w:val="en-US" w:eastAsia="zh-CN"/>
        </w:rPr>
      </w:pPr>
      <w:bookmarkStart w:id="7" w:name="_Toc15396598"/>
      <w:bookmarkStart w:id="8" w:name="_Toc15377426"/>
      <w:bookmarkStart w:id="9" w:name="_Toc15378442"/>
      <w:bookmarkStart w:id="10" w:name="_Toc15377194"/>
      <w:bookmarkStart w:id="11" w:name="_Toc15396476"/>
      <w:r>
        <w:rPr>
          <w:rFonts w:hint="eastAsia" w:ascii="方正小标宋简体" w:eastAsia="方正小标宋简体"/>
          <w:color w:val="000000"/>
          <w:sz w:val="72"/>
          <w:szCs w:val="72"/>
        </w:rPr>
        <w:t>四川省阿坝州</w:t>
      </w:r>
      <w:bookmarkStart w:id="12" w:name="_Toc15306268"/>
      <w:r>
        <w:rPr>
          <w:rFonts w:hint="eastAsia" w:ascii="方正小标宋简体" w:eastAsia="方正小标宋简体"/>
          <w:color w:val="000000"/>
          <w:sz w:val="72"/>
          <w:szCs w:val="72"/>
          <w:lang w:eastAsia="zh-CN"/>
        </w:rPr>
        <w:t>茂县信访局部门决算（本级）</w:t>
      </w:r>
    </w:p>
    <w:bookmarkEnd w:id="7"/>
    <w:bookmarkEnd w:id="8"/>
    <w:bookmarkEnd w:id="9"/>
    <w:bookmarkEnd w:id="10"/>
    <w:bookmarkEnd w:id="11"/>
    <w:bookmarkEnd w:id="12"/>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jc w:val="left"/>
        <w:rPr>
          <w:rFonts w:hint="eastAsia" w:ascii="仿宋_GB2312" w:eastAsia="仿宋_GB2312" w:cs="仿宋_GB2312"/>
          <w:sz w:val="32"/>
          <w:szCs w:val="32"/>
          <w:lang w:eastAsia="zh-CN"/>
        </w:rPr>
      </w:pPr>
    </w:p>
    <w:p>
      <w:pPr>
        <w:autoSpaceDE w:val="0"/>
        <w:autoSpaceDN w:val="0"/>
        <w:adjustRightInd w:val="0"/>
        <w:ind w:firstLine="1280" w:firstLineChars="400"/>
        <w:jc w:val="left"/>
        <w:rPr>
          <w:rFonts w:hint="eastAsia" w:ascii="仿宋_GB2312" w:eastAsia="仿宋_GB2312" w:cs="仿宋_GB2312"/>
          <w:sz w:val="32"/>
          <w:szCs w:val="32"/>
          <w:lang w:eastAsia="zh-CN"/>
        </w:rPr>
      </w:pPr>
    </w:p>
    <w:p>
      <w:pPr>
        <w:autoSpaceDE w:val="0"/>
        <w:autoSpaceDN w:val="0"/>
        <w:adjustRightInd w:val="0"/>
        <w:jc w:val="both"/>
        <w:rPr>
          <w:rFonts w:hint="eastAsia" w:eastAsia="仿宋_GB2312"/>
          <w:sz w:val="32"/>
          <w:szCs w:val="32"/>
          <w:lang w:eastAsia="zh-CN"/>
        </w:rPr>
      </w:pPr>
      <w:r>
        <w:rPr>
          <w:rFonts w:hint="eastAsia" w:ascii="仿宋_GB2312" w:eastAsia="仿宋_GB2312" w:cs="仿宋_GB2312"/>
          <w:sz w:val="32"/>
          <w:szCs w:val="32"/>
          <w:lang w:eastAsia="zh-CN"/>
        </w:rPr>
        <w:t>已经保密审查、内容审定，同意对外公开。</w:t>
      </w:r>
    </w:p>
    <w:p>
      <w:pPr>
        <w:widowControl/>
        <w:jc w:val="left"/>
        <w:rPr>
          <w:rFonts w:ascii="方正小标宋简体" w:eastAsia="方正小标宋简体"/>
          <w:sz w:val="36"/>
          <w:szCs w:val="36"/>
        </w:rPr>
      </w:pPr>
    </w:p>
    <w:p>
      <w:pPr>
        <w:pageBreakBefore w:val="0"/>
        <w:widowControl/>
        <w:kinsoku/>
        <w:wordWrap/>
        <w:overflowPunct/>
        <w:topLinePunct w:val="0"/>
        <w:bidi w:val="0"/>
        <w:spacing w:line="576" w:lineRule="exact"/>
        <w:jc w:val="center"/>
        <w:textAlignment w:val="auto"/>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0"/>
        <w:pageBreakBefore w:val="0"/>
        <w:widowControl w:val="0"/>
        <w:kinsoku/>
        <w:wordWrap/>
        <w:overflowPunct/>
        <w:topLinePunct w:val="0"/>
        <w:bidi w:val="0"/>
        <w:spacing w:line="576" w:lineRule="exact"/>
        <w:jc w:val="center"/>
        <w:textAlignment w:val="auto"/>
        <w:rPr>
          <w:rFonts w:hint="eastAsia" w:ascii="仿宋_GB2312" w:eastAsia="仿宋_GB2312" w:cs="仿宋_GB2312"/>
          <w:bCs/>
          <w:sz w:val="28"/>
          <w:szCs w:val="28"/>
        </w:rPr>
      </w:pPr>
      <w:r>
        <w:rPr>
          <w:rFonts w:hint="eastAsia" w:ascii="仿宋_GB2312" w:eastAsia="仿宋_GB2312" w:cs="仿宋_GB2312"/>
          <w:bCs/>
          <w:sz w:val="28"/>
          <w:szCs w:val="28"/>
        </w:rPr>
        <w:t>公开时间：2023年</w:t>
      </w:r>
      <w:r>
        <w:rPr>
          <w:rFonts w:hint="eastAsia" w:ascii="仿宋_GB2312" w:eastAsia="仿宋_GB2312" w:cs="仿宋_GB2312"/>
          <w:bCs/>
          <w:sz w:val="28"/>
          <w:szCs w:val="28"/>
          <w:lang w:val="en-US" w:eastAsia="zh-CN"/>
        </w:rPr>
        <w:t>9</w:t>
      </w:r>
      <w:r>
        <w:rPr>
          <w:rFonts w:hint="eastAsia" w:ascii="仿宋_GB2312" w:eastAsia="仿宋_GB2312" w:cs="仿宋_GB2312"/>
          <w:bCs/>
          <w:sz w:val="28"/>
          <w:szCs w:val="28"/>
        </w:rPr>
        <w:t>月</w:t>
      </w:r>
      <w:r>
        <w:rPr>
          <w:rFonts w:hint="eastAsia" w:ascii="仿宋_GB2312" w:eastAsia="仿宋_GB2312" w:cs="仿宋_GB2312"/>
          <w:bCs/>
          <w:sz w:val="28"/>
          <w:szCs w:val="28"/>
          <w:lang w:val="en-US" w:eastAsia="zh-CN"/>
        </w:rPr>
        <w:t>7</w:t>
      </w:r>
      <w:r>
        <w:rPr>
          <w:rFonts w:hint="eastAsia" w:ascii="仿宋_GB2312" w:eastAsia="仿宋_GB2312" w:cs="仿宋_GB2312"/>
          <w:bCs/>
          <w:sz w:val="28"/>
          <w:szCs w:val="28"/>
        </w:rPr>
        <w:t>日</w:t>
      </w:r>
    </w:p>
    <w:p>
      <w:pPr>
        <w:pStyle w:val="54"/>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TOC \o "1-3" \h \u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_Toc23324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lang w:bidi="ar-SA"/>
        </w:rPr>
        <w:t>第一部分 单位概况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_Toc14656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一、主要职责</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_Toc30733 </w:instrText>
      </w:r>
      <w:r>
        <w:rPr>
          <w:rFonts w:hint="eastAsia" w:ascii="仿宋_GB2312" w:eastAsia="仿宋_GB2312" w:cs="仿宋_GB2312"/>
          <w:sz w:val="28"/>
          <w:szCs w:val="28"/>
        </w:rPr>
        <w:fldChar w:fldCharType="separate"/>
      </w:r>
      <w:r>
        <w:rPr>
          <w:rFonts w:hint="eastAsia" w:ascii="仿宋_GB2312" w:eastAsia="仿宋_GB2312" w:cs="仿宋_GB2312"/>
          <w:bCs/>
          <w:sz w:val="28"/>
          <w:szCs w:val="28"/>
        </w:rPr>
        <w:t>（一）主要职能</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_Toc2091 </w:instrText>
      </w:r>
      <w:r>
        <w:rPr>
          <w:rFonts w:hint="eastAsia" w:ascii="仿宋_GB2312" w:eastAsia="仿宋_GB2312" w:cs="仿宋_GB2312"/>
          <w:sz w:val="28"/>
          <w:szCs w:val="28"/>
        </w:rPr>
        <w:fldChar w:fldCharType="separate"/>
      </w:r>
      <w:r>
        <w:rPr>
          <w:rFonts w:hint="eastAsia" w:ascii="仿宋_GB2312" w:eastAsia="仿宋_GB2312" w:cs="仿宋_GB2312"/>
          <w:bCs/>
          <w:sz w:val="28"/>
          <w:szCs w:val="28"/>
        </w:rPr>
        <w:t>（二）2022年重点工作完成情况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4</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_Toc10669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二、机构设置</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pPr>
        <w:pStyle w:val="54"/>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_Toc26951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lang w:bidi="ar-SA"/>
        </w:rPr>
        <w:t>第二部分 2022年度单位决算情况说明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_Toc12554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 收入支出决算总体情况说明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_Toc11583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 收入决算情况说明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_Toc18578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 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8</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_Toc26488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四、 财政拨款收入支出决算总体情况说明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8</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_Toc5657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五、 一般公共预算财政拨款支出决算情况说明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8</w:t>
      </w:r>
      <w:r>
        <w:rPr>
          <w:rFonts w:hint="eastAsia" w:ascii="仿宋_GB2312" w:eastAsia="仿宋_GB2312" w:cs="仿宋_GB2312"/>
          <w:sz w:val="28"/>
          <w:szCs w:val="28"/>
        </w:rPr>
        <w:fldChar w:fldCharType="end"/>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_Toc3691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（一）一般公共预算财政拨款支出决算总体情况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8</w:t>
      </w:r>
      <w:r>
        <w:rPr>
          <w:rFonts w:hint="eastAsia" w:ascii="仿宋_GB2312" w:eastAsia="仿宋_GB2312" w:cs="仿宋_GB2312"/>
          <w:sz w:val="28"/>
          <w:szCs w:val="28"/>
        </w:rPr>
        <w:fldChar w:fldCharType="end"/>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_Toc26183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（二）一般公共预算财政拨款支出决算结构情况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_Toc29675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（三）一般公共预算财政拨款支出决算具体情况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_Toc17476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六、一般公共预算财政拨款基本支出决算情况说明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_Toc31902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七、“三公”经费财政拨款支出决算情况说明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_Toc22479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（一）“三公”经费财政拨款支出决算总体情况说明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pPr>
        <w:pStyle w:val="56"/>
        <w:pageBreakBefore w:val="0"/>
        <w:tabs>
          <w:tab w:val="right" w:leader="dot" w:pos="8306"/>
        </w:tabs>
        <w:kinsoku/>
        <w:wordWrap/>
        <w:overflowPunct/>
        <w:topLinePunct w:val="0"/>
        <w:bidi w:val="0"/>
        <w:spacing w:line="576" w:lineRule="exact"/>
        <w:textAlignment w:val="auto"/>
        <w:rPr>
          <w:rFonts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_Toc30765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（二）“三公”经费财政拨款支出决算具体情况说明</w:t>
      </w:r>
      <w:r>
        <w:rPr>
          <w:rFonts w:hint="eastAsia" w:ascii="仿宋_GB2312" w:eastAsia="仿宋_GB2312" w:cs="仿宋_GB2312"/>
          <w:sz w:val="28"/>
          <w:szCs w:val="28"/>
        </w:rPr>
        <w:tab/>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11</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_Toc1331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八、政府性基金预算支出决算情况说明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3</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_Toc18417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九、国有资本经营预算支出决算情况说明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3</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_Toc26033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val="en-US" w:eastAsia="zh-CN" w:bidi="ar-SA"/>
        </w:rPr>
        <w:t>十、其他重要事项的情况说明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3</w:t>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_Toc12341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（一）机关运行经费支出情况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3</w:t>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_Toc9297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（二）政府采购支出情况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3</w:t>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_Toc20536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（三）国有资产占有使用情况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3</w:t>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_Toc27201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（四）预算绩效管理情况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3</w:t>
      </w:r>
    </w:p>
    <w:p>
      <w:pPr>
        <w:pStyle w:val="54"/>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_Toc24473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第三部分 名词解释</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5</w:t>
      </w:r>
    </w:p>
    <w:p>
      <w:pPr>
        <w:pStyle w:val="54"/>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_Toc9504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第</w:t>
      </w:r>
      <w:r>
        <w:rPr>
          <w:rFonts w:hint="eastAsia" w:ascii="仿宋_GB2312" w:eastAsia="仿宋_GB2312" w:cs="仿宋_GB2312"/>
          <w:sz w:val="28"/>
          <w:szCs w:val="28"/>
          <w:lang w:eastAsia="zh-CN"/>
        </w:rPr>
        <w:t>四</w:t>
      </w:r>
      <w:r>
        <w:rPr>
          <w:rFonts w:hint="eastAsia" w:ascii="仿宋_GB2312" w:eastAsia="仿宋_GB2312" w:cs="仿宋_GB2312"/>
          <w:sz w:val="28"/>
          <w:szCs w:val="28"/>
        </w:rPr>
        <w:t>部分 附表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_Toc26370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一、收入支出决算总表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_Toc13591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二、收入决算表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pPr>
        <w:pStyle w:val="55"/>
        <w:pageBreakBefore w:val="0"/>
        <w:tabs>
          <w:tab w:val="right" w:leader="dot" w:pos="8306"/>
        </w:tabs>
        <w:kinsoku/>
        <w:wordWrap/>
        <w:overflowPunct/>
        <w:topLinePunct w:val="0"/>
        <w:bidi w:val="0"/>
        <w:spacing w:line="576" w:lineRule="exact"/>
        <w:textAlignment w:val="auto"/>
        <w:rPr>
          <w:rFonts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_Toc16600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三、支出决算表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_Toc26630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四、财政拨款收入支出决算总表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_Toc19934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五、财政拨款支出决算明细表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_Toc6686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六、一般公共预算财政拨款支出决算表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_Toc19514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七、一般公共预算财政拨款支出决算明细表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_Toc191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八、一般公共预算财政拨款基本支出决算表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_Toc5204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九、一般公共预算财政拨款项目支出决算表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_Toc20756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十、政府性基金预算财政拨款收入支出决算表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_Toc21387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十一、国有资本经营预算财政拨款收入支出决算表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_Toc1140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十二、国有资本经营预算财政拨款支出决算表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_Toc24957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十三、财政拨款“三公”经费支出决算表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pPr>
        <w:pageBreakBefore w:val="0"/>
        <w:widowControl w:val="0"/>
        <w:kinsoku/>
        <w:wordWrap/>
        <w:overflowPunct/>
        <w:topLinePunct w:val="0"/>
        <w:bidi w:val="0"/>
        <w:spacing w:line="576" w:lineRule="exact"/>
        <w:textAlignment w:val="auto"/>
        <w:rPr>
          <w:rFonts w:hint="eastAsia" w:ascii="仿宋_GB2312" w:eastAsia="仿宋_GB2312" w:cs="仿宋_GB2312"/>
          <w:sz w:val="24"/>
          <w:szCs w:val="24"/>
        </w:rPr>
      </w:pPr>
      <w:r>
        <w:rPr>
          <w:rFonts w:hint="eastAsia" w:ascii="仿宋_GB2312" w:eastAsia="仿宋_GB2312" w:cs="仿宋_GB2312"/>
          <w:sz w:val="28"/>
          <w:szCs w:val="28"/>
        </w:rPr>
        <w:fldChar w:fldCharType="end"/>
      </w:r>
    </w:p>
    <w:p>
      <w:pPr>
        <w:pStyle w:val="2"/>
        <w:jc w:val="both"/>
        <w:rPr>
          <w:rFonts w:hint="eastAsia" w:ascii="黑体" w:eastAsia="黑体"/>
          <w:b w:val="0"/>
        </w:rPr>
      </w:pPr>
    </w:p>
    <w:p>
      <w:pPr>
        <w:rPr>
          <w:rFonts w:hint="eastAsia"/>
        </w:rPr>
      </w:pPr>
    </w:p>
    <w:p>
      <w:pPr>
        <w:pStyle w:val="2"/>
        <w:jc w:val="center"/>
        <w:rPr>
          <w:rStyle w:val="25"/>
          <w:rFonts w:hint="eastAsia" w:ascii="黑体" w:eastAsia="黑体"/>
          <w:b w:val="0"/>
          <w:bCs w:val="0"/>
        </w:rPr>
      </w:pPr>
      <w:r>
        <w:rPr>
          <w:rFonts w:hint="eastAsia" w:ascii="黑体" w:eastAsia="黑体"/>
          <w:b w:val="0"/>
        </w:rPr>
        <w:t xml:space="preserve">第一部分 </w:t>
      </w:r>
      <w:r>
        <w:rPr>
          <w:rStyle w:val="25"/>
          <w:rFonts w:hint="eastAsia" w:ascii="黑体" w:eastAsia="黑体"/>
          <w:b w:val="0"/>
          <w:bCs w:val="0"/>
        </w:rPr>
        <w:t>单位概况</w:t>
      </w:r>
      <w:bookmarkEnd w:id="0"/>
      <w:bookmarkEnd w:id="1"/>
    </w:p>
    <w:p>
      <w:pPr>
        <w:rPr>
          <w:rFonts w:hint="eastAsia" w:ascii="黑体" w:eastAsia="黑体" w:cs="黑体"/>
          <w:sz w:val="32"/>
          <w:szCs w:val="32"/>
          <w:lang w:eastAsia="zh-CN"/>
        </w:rPr>
      </w:pPr>
      <w:r>
        <w:rPr>
          <w:rFonts w:hint="eastAsia" w:ascii="仿宋_GB2312" w:eastAsia="仿宋_GB2312" w:cs="仿宋_GB2312"/>
          <w:sz w:val="32"/>
          <w:szCs w:val="32"/>
          <w:lang w:val="en-US" w:eastAsia="zh-CN"/>
        </w:rPr>
        <w:t xml:space="preserve">   </w:t>
      </w:r>
      <w:r>
        <w:rPr>
          <w:rFonts w:hint="eastAsia" w:ascii="黑体" w:eastAsia="黑体" w:cs="黑体"/>
          <w:sz w:val="32"/>
          <w:szCs w:val="32"/>
          <w:lang w:val="en-US" w:eastAsia="zh-CN"/>
        </w:rPr>
        <w:t xml:space="preserve"> </w:t>
      </w:r>
      <w:r>
        <w:rPr>
          <w:rFonts w:hint="eastAsia" w:ascii="黑体" w:eastAsia="黑体" w:cs="黑体"/>
          <w:sz w:val="32"/>
          <w:szCs w:val="32"/>
        </w:rPr>
        <w:t>一、主要</w:t>
      </w:r>
      <w:r>
        <w:rPr>
          <w:rFonts w:hint="eastAsia" w:ascii="黑体" w:eastAsia="黑体" w:cs="黑体"/>
          <w:sz w:val="32"/>
          <w:szCs w:val="32"/>
          <w:lang w:eastAsia="zh-CN"/>
        </w:rPr>
        <w:t>职责</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楷体_GB2312" w:eastAsia="楷体_GB2312" w:cs="楷体_GB2312"/>
          <w:b/>
          <w:bCs/>
          <w:sz w:val="32"/>
          <w:szCs w:val="32"/>
        </w:rPr>
        <w:t>（一）主要职能</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1.起草有关信访工作的规范性文件草案。制定信访问题排查化解、风险评估等制度并组织实施，提出改进和加强信访工作的意见和建议。负责本部门依法行政工作。</w:t>
      </w:r>
    </w:p>
    <w:p>
      <w:pPr>
        <w:rPr>
          <w:rFonts w:hint="eastAsia" w:ascii="仿宋_GB2312" w:eastAsia="仿宋_GB2312" w:cs="仿宋_GB2312"/>
          <w:sz w:val="32"/>
          <w:szCs w:val="32"/>
        </w:rPr>
      </w:pPr>
      <w:r>
        <w:rPr>
          <w:rFonts w:hint="eastAsia" w:ascii="仿宋_GB2312" w:eastAsia="仿宋_GB2312" w:cs="仿宋_GB2312"/>
          <w:sz w:val="32"/>
          <w:szCs w:val="32"/>
        </w:rPr>
        <w:t xml:space="preserve">    2.负责向县委、县人民政府反映来信来电来访中提出的重要建议、意见和问题，综合研判信访信息，开展调查研究，提出相关建议。</w:t>
      </w:r>
    </w:p>
    <w:p>
      <w:pPr>
        <w:rPr>
          <w:rFonts w:hint="eastAsia" w:ascii="仿宋_GB2312" w:eastAsia="仿宋_GB2312" w:cs="仿宋_GB2312"/>
          <w:sz w:val="32"/>
          <w:szCs w:val="32"/>
        </w:rPr>
      </w:pPr>
      <w:r>
        <w:rPr>
          <w:rFonts w:hint="eastAsia" w:ascii="仿宋_GB2312" w:eastAsia="仿宋_GB2312" w:cs="仿宋_GB2312"/>
          <w:sz w:val="32"/>
          <w:szCs w:val="32"/>
        </w:rPr>
        <w:t xml:space="preserve">    3.综合协调指导全县信访工作，推动建立健全信访工作的协调配合机制。督促检查县直各部门（单位）和乡镇信访工作，总结推广信访工作先进经验，协调信访工作宣传和信息发布。</w:t>
      </w:r>
    </w:p>
    <w:p>
      <w:pPr>
        <w:rPr>
          <w:rFonts w:hint="eastAsia" w:ascii="仿宋_GB2312" w:eastAsia="仿宋_GB2312" w:cs="仿宋_GB2312"/>
          <w:sz w:val="32"/>
          <w:szCs w:val="32"/>
        </w:rPr>
      </w:pPr>
      <w:r>
        <w:rPr>
          <w:rFonts w:hint="eastAsia" w:ascii="仿宋_GB2312" w:eastAsia="仿宋_GB2312" w:cs="仿宋_GB2312"/>
          <w:sz w:val="32"/>
          <w:szCs w:val="32"/>
        </w:rPr>
        <w:t xml:space="preserve">    4.负责处理县内外群众、境外人士、法人及其他组织通过信访渠道给县委、县人民政府及领导同志的来信来电，接待来访。</w:t>
      </w:r>
    </w:p>
    <w:p>
      <w:pPr>
        <w:rPr>
          <w:rFonts w:hint="eastAsia" w:ascii="仿宋_GB2312" w:eastAsia="仿宋_GB2312" w:cs="仿宋_GB2312"/>
          <w:sz w:val="32"/>
          <w:szCs w:val="32"/>
        </w:rPr>
      </w:pPr>
      <w:r>
        <w:rPr>
          <w:rFonts w:hint="eastAsia" w:ascii="仿宋_GB2312" w:eastAsia="仿宋_GB2312" w:cs="仿宋_GB2312"/>
          <w:sz w:val="32"/>
          <w:szCs w:val="32"/>
        </w:rPr>
        <w:t xml:space="preserve">    5.承担协调处理群众进京到省去州来县集体上访和非正常上访的责任，综合协调处理跨地区、跨部门的重要信访问题。</w:t>
      </w:r>
    </w:p>
    <w:p>
      <w:pPr>
        <w:rPr>
          <w:rFonts w:hint="eastAsia" w:ascii="仿宋_GB2312" w:eastAsia="仿宋_GB2312" w:cs="仿宋_GB2312"/>
          <w:sz w:val="32"/>
          <w:szCs w:val="32"/>
        </w:rPr>
      </w:pPr>
      <w:r>
        <w:rPr>
          <w:rFonts w:hint="eastAsia" w:ascii="仿宋_GB2312" w:eastAsia="仿宋_GB2312" w:cs="仿宋_GB2312"/>
          <w:sz w:val="32"/>
          <w:szCs w:val="32"/>
        </w:rPr>
        <w:t xml:space="preserve">    6.负责落实国家、省、州、县领导批示交办信访事项，受理、交办、转办（送）群众来信、来电、来访、网上信访提出的信访事项，督促检查重要信访事项的处理和落实。</w:t>
      </w:r>
    </w:p>
    <w:p>
      <w:pPr>
        <w:rPr>
          <w:rFonts w:hint="eastAsia" w:ascii="仿宋_GB2312" w:eastAsia="仿宋_GB2312" w:cs="仿宋_GB2312"/>
          <w:sz w:val="32"/>
          <w:szCs w:val="32"/>
        </w:rPr>
      </w:pPr>
      <w:r>
        <w:rPr>
          <w:rFonts w:hint="eastAsia" w:ascii="仿宋_GB2312" w:eastAsia="仿宋_GB2312" w:cs="仿宋_GB2312"/>
          <w:sz w:val="32"/>
          <w:szCs w:val="32"/>
        </w:rPr>
        <w:t xml:space="preserve">    7.加强对信访问题排查化解和社情民意汇集分析，重点开展法律法规政策宣传和思想教育疏导，将信访工作的重点由事后处理转移到事前排查化解，增强信访工作的预见性和针对性。</w:t>
      </w:r>
    </w:p>
    <w:p>
      <w:pPr>
        <w:rPr>
          <w:rFonts w:hint="eastAsia" w:ascii="仿宋_GB2312" w:eastAsia="仿宋_GB2312" w:cs="仿宋_GB2312"/>
          <w:sz w:val="32"/>
          <w:szCs w:val="32"/>
        </w:rPr>
      </w:pPr>
      <w:r>
        <w:rPr>
          <w:rFonts w:hint="eastAsia" w:ascii="仿宋_GB2312" w:eastAsia="仿宋_GB2312" w:cs="仿宋_GB2312"/>
          <w:sz w:val="32"/>
          <w:szCs w:val="32"/>
        </w:rPr>
        <w:t xml:space="preserve">    8.加强对重大信访事项的督查督办，完善信访诉求表达方式，进一步畅通信访渠道，确保信访工作决策部署得到贯彻落实，推动群众信访问题得到妥善解决。</w:t>
      </w:r>
    </w:p>
    <w:p>
      <w:pPr>
        <w:rPr>
          <w:rFonts w:hint="eastAsia" w:ascii="仿宋_GB2312" w:eastAsia="仿宋_GB2312" w:cs="仿宋_GB2312"/>
          <w:sz w:val="32"/>
          <w:szCs w:val="32"/>
        </w:rPr>
      </w:pPr>
      <w:r>
        <w:rPr>
          <w:rFonts w:hint="eastAsia" w:ascii="仿宋_GB2312" w:eastAsia="仿宋_GB2312" w:cs="仿宋_GB2312"/>
          <w:sz w:val="32"/>
          <w:szCs w:val="32"/>
        </w:rPr>
        <w:t xml:space="preserve">    9.建立和完善信访信息汇集分析机制，指导信访信息系统建设和应用。</w:t>
      </w:r>
    </w:p>
    <w:p>
      <w:pPr>
        <w:rPr>
          <w:rFonts w:hint="eastAsia" w:ascii="仿宋_GB2312" w:eastAsia="仿宋_GB2312" w:cs="仿宋_GB2312"/>
          <w:sz w:val="32"/>
          <w:szCs w:val="32"/>
        </w:rPr>
      </w:pPr>
      <w:r>
        <w:rPr>
          <w:rFonts w:hint="eastAsia" w:ascii="仿宋_GB2312" w:eastAsia="仿宋_GB2312" w:cs="仿宋_GB2312"/>
          <w:sz w:val="32"/>
          <w:szCs w:val="32"/>
        </w:rPr>
        <w:t xml:space="preserve">    10.开展网上信访工作，探索“互联网+信访”新模式，推动信访信息化建设。</w:t>
      </w:r>
    </w:p>
    <w:p>
      <w:pPr>
        <w:rPr>
          <w:rFonts w:hint="eastAsia" w:ascii="仿宋_GB2312" w:eastAsia="仿宋_GB2312" w:cs="仿宋_GB2312"/>
          <w:sz w:val="32"/>
          <w:szCs w:val="32"/>
        </w:rPr>
      </w:pPr>
      <w:r>
        <w:rPr>
          <w:rFonts w:hint="eastAsia" w:ascii="仿宋_GB2312" w:eastAsia="仿宋_GB2312" w:cs="仿宋_GB2312"/>
          <w:sz w:val="32"/>
          <w:szCs w:val="32"/>
        </w:rPr>
        <w:t xml:space="preserve">    11.承担县信访工作联席会议、县人民政府信访事项复查复核委员会日常工作，督促落实有关事项。</w:t>
      </w:r>
    </w:p>
    <w:p>
      <w:pPr>
        <w:rPr>
          <w:rFonts w:hint="eastAsia" w:ascii="仿宋_GB2312" w:eastAsia="仿宋_GB2312" w:cs="仿宋_GB2312"/>
          <w:sz w:val="32"/>
          <w:szCs w:val="32"/>
        </w:rPr>
      </w:pPr>
      <w:r>
        <w:rPr>
          <w:rFonts w:hint="eastAsia" w:ascii="仿宋_GB2312" w:eastAsia="仿宋_GB2312" w:cs="仿宋_GB2312"/>
          <w:sz w:val="32"/>
          <w:szCs w:val="32"/>
        </w:rPr>
        <w:t xml:space="preserve">    12.完成县委、县人民政府交办的其他任务。</w:t>
      </w:r>
    </w:p>
    <w:p>
      <w:pPr>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hint="eastAsia" w:ascii="楷体_GB2312" w:eastAsia="楷体_GB2312" w:cs="楷体_GB2312"/>
          <w:b/>
          <w:bCs/>
          <w:sz w:val="32"/>
          <w:szCs w:val="32"/>
        </w:rPr>
        <w:t>（二）20</w:t>
      </w:r>
      <w:r>
        <w:rPr>
          <w:rFonts w:hint="eastAsia" w:ascii="楷体_GB2312" w:eastAsia="楷体_GB2312" w:cs="楷体_GB2312"/>
          <w:b/>
          <w:bCs/>
          <w:sz w:val="32"/>
          <w:szCs w:val="32"/>
          <w:lang w:val="en-US" w:eastAsia="zh-CN"/>
        </w:rPr>
        <w:t>22</w:t>
      </w:r>
      <w:r>
        <w:rPr>
          <w:rFonts w:hint="eastAsia" w:ascii="楷体_GB2312" w:eastAsia="楷体_GB2312" w:cs="楷体_GB2312"/>
          <w:b/>
          <w:bCs/>
          <w:sz w:val="32"/>
          <w:szCs w:val="32"/>
        </w:rPr>
        <w:t>年重点工作完成情况</w:t>
      </w:r>
    </w:p>
    <w:p>
      <w:pPr>
        <w:spacing w:line="560" w:lineRule="exact"/>
        <w:ind w:firstLine="640" w:firstLineChars="200"/>
        <w:rPr>
          <w:rFonts w:hint="eastAsia" w:ascii="仿宋_GB2312" w:eastAsia="仿宋_GB2312"/>
          <w:sz w:val="32"/>
          <w:szCs w:val="32"/>
        </w:rPr>
      </w:pPr>
      <w:r>
        <w:rPr>
          <w:rFonts w:hint="eastAsia" w:ascii="黑体" w:eastAsia="黑体"/>
          <w:sz w:val="32"/>
          <w:szCs w:val="32"/>
          <w:lang w:val="en-US" w:eastAsia="zh-CN"/>
        </w:rPr>
        <w:t>1.</w:t>
      </w:r>
      <w:r>
        <w:rPr>
          <w:rFonts w:hint="eastAsia" w:ascii="黑体" w:eastAsia="黑体"/>
          <w:sz w:val="32"/>
          <w:szCs w:val="32"/>
        </w:rPr>
        <w:t>统筹安排，学习宣传贯彻《信访工作条例》。</w:t>
      </w:r>
      <w:r>
        <w:rPr>
          <w:rFonts w:hint="eastAsia" w:ascii="仿宋_GB2312" w:eastAsia="仿宋_GB2312"/>
          <w:sz w:val="32"/>
          <w:szCs w:val="32"/>
        </w:rPr>
        <w:t>全面部署学习宣传方案，与县委宣传部、县司法局联合印发《茂县学习宣传贯彻&lt;信访工作条例&gt;实施方案》，明确学习宣传重点、工作任务、工作要求等措施。组织开展集中宣传活动2次，发放《信访工作条例手册》1500本，宣传卡册3000册，切实推动中央、省、州、县关于学习宣传贯彻《信访工作条例》相关工作要求落地见效。</w:t>
      </w:r>
    </w:p>
    <w:p>
      <w:pPr>
        <w:spacing w:line="560" w:lineRule="exact"/>
        <w:ind w:firstLine="640" w:firstLineChars="200"/>
        <w:rPr>
          <w:rFonts w:hint="eastAsia" w:ascii="仿宋_GB2312" w:eastAsia="仿宋_GB2312"/>
          <w:sz w:val="32"/>
          <w:szCs w:val="32"/>
        </w:rPr>
      </w:pPr>
      <w:r>
        <w:rPr>
          <w:rFonts w:hint="eastAsia" w:ascii="黑体" w:eastAsia="黑体"/>
          <w:sz w:val="32"/>
          <w:szCs w:val="32"/>
          <w:lang w:val="en-US" w:eastAsia="zh-CN"/>
        </w:rPr>
        <w:t>2.</w:t>
      </w:r>
      <w:r>
        <w:rPr>
          <w:rFonts w:hint="eastAsia" w:ascii="黑体" w:eastAsia="黑体"/>
          <w:sz w:val="32"/>
          <w:szCs w:val="32"/>
        </w:rPr>
        <w:t>全面攻坚，按时完成“治重化积”任务。</w:t>
      </w:r>
      <w:r>
        <w:rPr>
          <w:rFonts w:hint="eastAsia" w:ascii="仿宋_GB2312" w:eastAsia="仿宋_GB2312"/>
          <w:sz w:val="32"/>
          <w:szCs w:val="32"/>
        </w:rPr>
        <w:t>对表中央和省信访工作联席会议部署，对中央交办第二批3件重复信访积案，严格落实“五个一”要求，制定一人一策化解方案，全部按期上报结案。截止5月，中央省交办我县的16件重复信访积案全部办结，办结率100%，解决了一批信访积案难案钉子案。</w:t>
      </w:r>
    </w:p>
    <w:p>
      <w:pPr>
        <w:spacing w:line="560" w:lineRule="exact"/>
        <w:ind w:firstLine="640" w:firstLineChars="200"/>
        <w:rPr>
          <w:rFonts w:hint="eastAsia" w:ascii="仿宋_GB2312" w:eastAsia="仿宋_GB2312"/>
          <w:sz w:val="32"/>
          <w:szCs w:val="32"/>
        </w:rPr>
      </w:pPr>
      <w:r>
        <w:rPr>
          <w:rFonts w:hint="eastAsia" w:ascii="黑体" w:eastAsia="黑体"/>
          <w:sz w:val="32"/>
          <w:szCs w:val="32"/>
          <w:lang w:val="en-US" w:eastAsia="zh-CN"/>
        </w:rPr>
        <w:t>3.</w:t>
      </w:r>
      <w:r>
        <w:rPr>
          <w:rFonts w:hint="eastAsia" w:ascii="黑体" w:eastAsia="黑体"/>
          <w:sz w:val="32"/>
          <w:szCs w:val="32"/>
        </w:rPr>
        <w:t>畅通渠道，压实初信初访首办责任。</w:t>
      </w:r>
      <w:r>
        <w:rPr>
          <w:rFonts w:hint="eastAsia" w:ascii="仿宋_GB2312" w:eastAsia="仿宋_GB2312"/>
          <w:sz w:val="32"/>
          <w:szCs w:val="32"/>
        </w:rPr>
        <w:t>一是进一步规范和畅通网上信访渠道，严格执行国家、省、州信访事项网上办理工作规定，第一时间办理各类网上信访事项，按期办结回复293件，解决了一批群众“急难愁盼怨”的问题。“三率”工作得到进一步加强，信访部门、责任部门受理率、按期办结率100%，群众满意率100%，信访公信力不断增强。二是压实初信初访首办工作责任制，印发《关于进一步加强初信初访首办责任制的意见》《关于进一步落实信访事项办理三到位一处理的实施意见》。积极推进县委书记季度研判信访事项会议制度，协商研究重点信访问题6件。2022年，接待来访156批，567人次，95%信访事项在初信初访环节得到妥善解决。三是扎实开展领导干部接访下访。坚持定期接访与重大敏感时期接访相结合，重大节会期间坚持县级党政领导每日接访，有效防止信转访、网转访、就地访转越级访。2022年，县级领导接访22批，解决问题20件。</w:t>
      </w:r>
    </w:p>
    <w:p>
      <w:pPr>
        <w:spacing w:line="560" w:lineRule="exact"/>
        <w:ind w:firstLine="640" w:firstLineChars="200"/>
        <w:rPr>
          <w:rFonts w:hint="eastAsia" w:ascii="仿宋_GB2312" w:eastAsia="仿宋_GB2312"/>
          <w:sz w:val="32"/>
          <w:szCs w:val="32"/>
        </w:rPr>
      </w:pPr>
      <w:r>
        <w:rPr>
          <w:rFonts w:hint="eastAsia" w:ascii="黑体" w:eastAsia="黑体"/>
          <w:sz w:val="32"/>
          <w:szCs w:val="32"/>
          <w:lang w:val="en-US" w:eastAsia="zh-CN"/>
        </w:rPr>
        <w:t>4.</w:t>
      </w:r>
      <w:r>
        <w:rPr>
          <w:rFonts w:hint="eastAsia" w:ascii="黑体" w:eastAsia="黑体"/>
          <w:sz w:val="32"/>
          <w:szCs w:val="32"/>
        </w:rPr>
        <w:t>访源治理，深入排查化解信访矛盾纠纷。</w:t>
      </w:r>
      <w:r>
        <w:rPr>
          <w:rFonts w:hint="eastAsia" w:ascii="仿宋_GB2312" w:eastAsia="仿宋_GB2312"/>
          <w:sz w:val="32"/>
          <w:szCs w:val="32"/>
        </w:rPr>
        <w:t>一是推进疑难信访案件“百日攻坚”专项行动，召开专题动员会议，压紧压实接领导干部包案责任、属地化解责任等，坚持“三到位一处理”原则，全力推动信访积案工作。梳理排查交办的28件疑难信访案件，办结19件，实现了“减存量、防增量”目标。二是紧盯劳动社保、城乡建设、企业改制等信访问题高发领域，全方位摸排矛盾纠纷，化解矛盾纠纷35件，化解34件，切实将一批信访矛盾纠纷化解在当地、解决在基层。二是抓好信访风险隐患排查，对24件涉访矛盾纠纷隐患，建立台</w:t>
      </w:r>
      <w:r>
        <w:rPr>
          <w:rFonts w:hint="eastAsia" w:ascii="仿宋_GB2312" w:eastAsia="仿宋_GB2312"/>
          <w:sz w:val="32"/>
          <w:szCs w:val="32"/>
          <w:lang w:eastAsia="zh-CN"/>
        </w:rPr>
        <w:t>账</w:t>
      </w:r>
      <w:r>
        <w:rPr>
          <w:rFonts w:hint="eastAsia" w:ascii="仿宋_GB2312" w:eastAsia="仿宋_GB2312"/>
          <w:sz w:val="32"/>
          <w:szCs w:val="32"/>
        </w:rPr>
        <w:t>，明确化解稳控责任，跟踪督办推动化解。开展涉访重点人员排查，落实稳控责任，严防发生极端行为。</w:t>
      </w:r>
    </w:p>
    <w:p>
      <w:pPr>
        <w:spacing w:line="560" w:lineRule="exact"/>
        <w:ind w:firstLine="640" w:firstLineChars="200"/>
        <w:rPr>
          <w:rFonts w:hint="eastAsia" w:ascii="仿宋_GB2312" w:eastAsia="仿宋_GB2312"/>
          <w:sz w:val="32"/>
          <w:szCs w:val="32"/>
        </w:rPr>
      </w:pPr>
      <w:r>
        <w:rPr>
          <w:rFonts w:hint="eastAsia" w:ascii="黑体" w:eastAsia="黑体"/>
          <w:sz w:val="32"/>
          <w:szCs w:val="32"/>
          <w:lang w:val="en-US" w:eastAsia="zh-CN"/>
        </w:rPr>
        <w:t>5.</w:t>
      </w:r>
      <w:r>
        <w:rPr>
          <w:rFonts w:hint="eastAsia" w:ascii="黑体" w:eastAsia="黑体"/>
          <w:sz w:val="32"/>
          <w:szCs w:val="32"/>
        </w:rPr>
        <w:t>服务大局，积极营造良好信访环境。</w:t>
      </w:r>
      <w:r>
        <w:rPr>
          <w:rFonts w:hint="eastAsia" w:ascii="仿宋_GB2312" w:eastAsia="仿宋_GB2312"/>
          <w:sz w:val="32"/>
          <w:szCs w:val="32"/>
        </w:rPr>
        <w:t>一是深入推进信访联席会议机制向基层延伸，完成11镇信访工作联席会议机制创建全覆盖，初步构建起信访联治、矛盾联调、工作联动的基层信访工作新格局。二是联合县委政法委、法院、检察院、司法局等五部门出台《关于依法打击违法信访行为的通告》，广泛宣传，积极引导群众依法逐级走访，维护正常的信访秩序。三是以做好党的二十大信访稳定工作为主线，统筹安排完成各级“两会”、冬奥会、冬残奥会、省第十二次党代会、党的二十大信访安全保障工作任务，实现群众进京到省“零非访”“零登记”和“四个不发生”的工作目标。</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二、机构设置</w:t>
      </w:r>
    </w:p>
    <w:p>
      <w:pPr>
        <w:ind w:firstLine="640"/>
        <w:rPr>
          <w:rFonts w:hint="eastAsia" w:ascii="仿宋_GB2312" w:eastAsia="仿宋_GB2312" w:cs="仿宋_GB2312"/>
          <w:sz w:val="32"/>
          <w:szCs w:val="32"/>
        </w:rPr>
      </w:pPr>
      <w:r>
        <w:rPr>
          <w:rFonts w:hint="eastAsia" w:ascii="仿宋_GB2312" w:eastAsia="仿宋_GB2312" w:cs="仿宋_GB2312"/>
          <w:sz w:val="32"/>
          <w:szCs w:val="32"/>
        </w:rPr>
        <w:t>茂县信访局</w:t>
      </w:r>
      <w:r>
        <w:rPr>
          <w:rFonts w:hint="eastAsia" w:ascii="仿宋_GB2312" w:eastAsia="仿宋_GB2312" w:cs="仿宋_GB2312"/>
          <w:sz w:val="32"/>
          <w:szCs w:val="32"/>
          <w:lang w:eastAsia="zh-CN"/>
        </w:rPr>
        <w:t>本级</w:t>
      </w:r>
      <w:r>
        <w:rPr>
          <w:rFonts w:hint="eastAsia" w:ascii="仿宋_GB2312" w:eastAsia="仿宋_GB2312" w:cs="仿宋_GB2312"/>
          <w:sz w:val="32"/>
          <w:szCs w:val="32"/>
        </w:rPr>
        <w:t>下属二级单位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个，其中行政单位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个，参照公务员法管理的事业单位0个，其他事业单位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w:t>
      </w:r>
      <w:bookmarkStart w:id="13" w:name="_Toc15377204"/>
      <w:bookmarkStart w:id="14" w:name="_Toc15396602"/>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both"/>
        <w:rPr>
          <w:rStyle w:val="25"/>
          <w:rFonts w:hint="eastAsia" w:ascii="黑体" w:eastAsia="黑体"/>
          <w:b w:val="0"/>
          <w:bCs w:val="0"/>
          <w:lang w:val="en-US" w:eastAsia="zh-CN"/>
        </w:rPr>
      </w:pPr>
    </w:p>
    <w:p>
      <w:pPr>
        <w:widowControl/>
        <w:jc w:val="center"/>
        <w:rPr>
          <w:rStyle w:val="25"/>
          <w:rFonts w:ascii="黑体" w:eastAsia="黑体"/>
          <w:b w:val="0"/>
          <w:bCs w:val="0"/>
        </w:rPr>
      </w:pPr>
      <w:r>
        <w:rPr>
          <w:rStyle w:val="25"/>
          <w:rFonts w:hint="eastAsia" w:ascii="黑体" w:eastAsia="黑体"/>
          <w:b w:val="0"/>
          <w:bCs w:val="0"/>
        </w:rPr>
        <w:t>第二部分 20</w:t>
      </w:r>
      <w:r>
        <w:rPr>
          <w:rStyle w:val="25"/>
          <w:rFonts w:hint="eastAsia" w:ascii="黑体" w:eastAsia="黑体"/>
          <w:b w:val="0"/>
          <w:bCs w:val="0"/>
          <w:lang w:val="en-US" w:eastAsia="zh-CN"/>
        </w:rPr>
        <w:t>22</w:t>
      </w:r>
      <w:r>
        <w:rPr>
          <w:rStyle w:val="25"/>
          <w:rFonts w:hint="eastAsia" w:ascii="黑体" w:eastAsia="黑体"/>
          <w:b w:val="0"/>
          <w:bCs w:val="0"/>
        </w:rPr>
        <w:t>年度</w:t>
      </w:r>
      <w:r>
        <w:rPr>
          <w:rStyle w:val="25"/>
          <w:rFonts w:hint="eastAsia" w:ascii="黑体" w:eastAsia="黑体"/>
          <w:b w:val="0"/>
          <w:bCs w:val="0"/>
          <w:lang w:eastAsia="zh-CN"/>
        </w:rPr>
        <w:t>单位</w:t>
      </w:r>
      <w:r>
        <w:rPr>
          <w:rStyle w:val="25"/>
          <w:rFonts w:hint="eastAsia" w:ascii="黑体" w:eastAsia="黑体"/>
          <w:b w:val="0"/>
          <w:bCs w:val="0"/>
        </w:rPr>
        <w:t>决算情况说明</w:t>
      </w:r>
      <w:bookmarkEnd w:id="13"/>
      <w:bookmarkEnd w:id="14"/>
    </w:p>
    <w:p>
      <w:pPr>
        <w:jc w:val="center"/>
      </w:pPr>
    </w:p>
    <w:p>
      <w:pPr>
        <w:pStyle w:val="31"/>
        <w:spacing w:line="600" w:lineRule="exact"/>
        <w:ind w:left="0" w:firstLine="640" w:firstLineChars="200"/>
        <w:outlineLvl w:val="1"/>
        <w:rPr>
          <w:rStyle w:val="26"/>
          <w:rFonts w:ascii="黑体" w:eastAsia="黑体"/>
          <w:b w:val="0"/>
        </w:rPr>
      </w:pPr>
      <w:bookmarkStart w:id="15" w:name="_Toc15396603"/>
      <w:bookmarkStart w:id="16" w:name="_Toc15377205"/>
      <w:r>
        <w:rPr>
          <w:rFonts w:hint="eastAsia" w:ascii="黑体" w:eastAsia="黑体"/>
          <w:color w:val="000000"/>
          <w:sz w:val="32"/>
          <w:szCs w:val="32"/>
          <w:lang w:eastAsia="zh-CN"/>
        </w:rPr>
        <w:t>一、</w:t>
      </w:r>
      <w:r>
        <w:rPr>
          <w:rFonts w:hint="eastAsia" w:ascii="黑体" w:eastAsia="黑体"/>
          <w:color w:val="000000"/>
          <w:sz w:val="32"/>
          <w:szCs w:val="32"/>
        </w:rPr>
        <w:t>收</w:t>
      </w:r>
      <w:r>
        <w:rPr>
          <w:rStyle w:val="26"/>
          <w:rFonts w:hint="eastAsia" w:ascii="黑体" w:eastAsia="黑体"/>
          <w:b w:val="0"/>
        </w:rPr>
        <w:t>入支出决算总体情况说明</w:t>
      </w:r>
      <w:bookmarkEnd w:id="15"/>
      <w:bookmarkEnd w:id="16"/>
    </w:p>
    <w:p>
      <w:pPr>
        <w:spacing w:line="600" w:lineRule="exact"/>
        <w:ind w:firstLine="640" w:firstLineChars="200"/>
        <w:rPr>
          <w:rFonts w:hint="eastAsia" w:ascii="仿宋" w:eastAsia="仿宋"/>
          <w:color w:val="000000"/>
          <w:sz w:val="32"/>
          <w:szCs w:val="32"/>
          <w:lang w:eastAsia="zh-CN"/>
        </w:rPr>
      </w:pPr>
      <w:r>
        <w:rPr>
          <w:rFonts w:hint="eastAsia"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年度收</w:t>
      </w:r>
      <w:r>
        <w:rPr>
          <w:rFonts w:hint="eastAsia" w:ascii="仿宋" w:eastAsia="仿宋"/>
          <w:color w:val="000000"/>
          <w:sz w:val="32"/>
          <w:szCs w:val="32"/>
          <w:lang w:eastAsia="zh-CN"/>
        </w:rPr>
        <w:t>、支</w:t>
      </w:r>
      <w:r>
        <w:rPr>
          <w:rFonts w:hint="eastAsia" w:ascii="仿宋" w:eastAsia="仿宋"/>
          <w:color w:val="000000"/>
          <w:sz w:val="32"/>
          <w:szCs w:val="32"/>
        </w:rPr>
        <w:t>总计</w:t>
      </w:r>
      <w:r>
        <w:rPr>
          <w:rFonts w:hint="eastAsia" w:ascii="仿宋" w:eastAsia="仿宋"/>
          <w:color w:val="000000"/>
          <w:sz w:val="32"/>
          <w:szCs w:val="32"/>
          <w:lang w:val="en-US" w:eastAsia="zh-CN"/>
        </w:rPr>
        <w:t>155.39</w:t>
      </w:r>
      <w:r>
        <w:rPr>
          <w:rFonts w:hint="eastAsia" w:ascii="仿宋" w:eastAsia="仿宋"/>
          <w:color w:val="000000"/>
          <w:sz w:val="32"/>
          <w:szCs w:val="32"/>
        </w:rPr>
        <w:t>万元。与20</w:t>
      </w:r>
      <w:r>
        <w:rPr>
          <w:rFonts w:hint="eastAsia" w:ascii="仿宋" w:eastAsia="仿宋"/>
          <w:color w:val="000000"/>
          <w:sz w:val="32"/>
          <w:szCs w:val="32"/>
          <w:lang w:val="en-US" w:eastAsia="zh-CN"/>
        </w:rPr>
        <w:t>21</w:t>
      </w:r>
      <w:r>
        <w:rPr>
          <w:rFonts w:hint="eastAsia" w:ascii="仿宋" w:eastAsia="仿宋"/>
          <w:color w:val="000000"/>
          <w:sz w:val="32"/>
          <w:szCs w:val="32"/>
        </w:rPr>
        <w:t>年相比，收</w:t>
      </w:r>
      <w:r>
        <w:rPr>
          <w:rFonts w:hint="eastAsia" w:ascii="仿宋" w:eastAsia="仿宋"/>
          <w:color w:val="000000"/>
          <w:sz w:val="32"/>
          <w:szCs w:val="32"/>
          <w:lang w:eastAsia="zh-CN"/>
        </w:rPr>
        <w:t>入总计减少</w:t>
      </w:r>
      <w:r>
        <w:rPr>
          <w:rFonts w:hint="eastAsia" w:ascii="仿宋" w:eastAsia="仿宋"/>
          <w:color w:val="000000"/>
          <w:sz w:val="32"/>
          <w:szCs w:val="32"/>
          <w:lang w:val="en-US" w:eastAsia="zh-CN"/>
        </w:rPr>
        <w:t>5.04</w:t>
      </w:r>
      <w:r>
        <w:rPr>
          <w:rFonts w:hint="eastAsia" w:ascii="仿宋" w:eastAsia="仿宋"/>
          <w:color w:val="000000"/>
          <w:sz w:val="32"/>
          <w:szCs w:val="32"/>
        </w:rPr>
        <w:t>万元</w:t>
      </w:r>
      <w:r>
        <w:rPr>
          <w:rFonts w:hint="eastAsia" w:ascii="仿宋" w:eastAsia="仿宋"/>
          <w:color w:val="000000"/>
          <w:sz w:val="32"/>
          <w:szCs w:val="32"/>
          <w:lang w:eastAsia="zh-CN"/>
        </w:rPr>
        <w:t>，下降</w:t>
      </w:r>
      <w:r>
        <w:rPr>
          <w:rFonts w:hint="eastAsia" w:ascii="仿宋" w:eastAsia="仿宋"/>
          <w:color w:val="000000"/>
          <w:sz w:val="32"/>
          <w:szCs w:val="32"/>
          <w:lang w:val="en-US" w:eastAsia="zh-CN"/>
        </w:rPr>
        <w:t>3.14</w:t>
      </w:r>
      <w:r>
        <w:rPr>
          <w:rFonts w:ascii="仿宋" w:eastAsia="仿宋"/>
          <w:color w:val="000000"/>
          <w:sz w:val="32"/>
          <w:szCs w:val="32"/>
        </w:rPr>
        <w:t>%</w:t>
      </w:r>
      <w:r>
        <w:rPr>
          <w:rFonts w:hint="eastAsia" w:ascii="仿宋" w:eastAsia="仿宋"/>
          <w:color w:val="000000"/>
          <w:sz w:val="32"/>
          <w:szCs w:val="32"/>
          <w:lang w:eastAsia="zh-CN"/>
        </w:rPr>
        <w:t>；</w:t>
      </w:r>
      <w:r>
        <w:rPr>
          <w:rFonts w:hint="eastAsia" w:ascii="仿宋" w:eastAsia="仿宋"/>
          <w:color w:val="000000"/>
          <w:sz w:val="32"/>
          <w:szCs w:val="32"/>
        </w:rPr>
        <w:t>支</w:t>
      </w:r>
      <w:r>
        <w:rPr>
          <w:rFonts w:hint="eastAsia" w:ascii="仿宋" w:eastAsia="仿宋"/>
          <w:color w:val="000000"/>
          <w:sz w:val="32"/>
          <w:szCs w:val="32"/>
          <w:lang w:eastAsia="zh-CN"/>
        </w:rPr>
        <w:t>出</w:t>
      </w:r>
      <w:r>
        <w:rPr>
          <w:rFonts w:hint="eastAsia" w:ascii="仿宋" w:eastAsia="仿宋"/>
          <w:color w:val="000000"/>
          <w:sz w:val="32"/>
          <w:szCs w:val="32"/>
        </w:rPr>
        <w:t>总计</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5.48</w:t>
      </w:r>
      <w:r>
        <w:rPr>
          <w:rFonts w:hint="eastAsia" w:ascii="仿宋" w:eastAsia="仿宋"/>
          <w:color w:val="000000"/>
          <w:sz w:val="32"/>
          <w:szCs w:val="32"/>
        </w:rPr>
        <w:t>万元，</w:t>
      </w:r>
      <w:r>
        <w:rPr>
          <w:rFonts w:hint="eastAsia" w:ascii="仿宋" w:eastAsia="仿宋"/>
          <w:color w:val="000000"/>
          <w:sz w:val="32"/>
          <w:szCs w:val="32"/>
          <w:lang w:eastAsia="zh-CN"/>
        </w:rPr>
        <w:t>下降</w:t>
      </w:r>
      <w:r>
        <w:rPr>
          <w:rFonts w:hint="eastAsia" w:ascii="仿宋" w:eastAsia="仿宋"/>
          <w:color w:val="000000"/>
          <w:sz w:val="32"/>
          <w:szCs w:val="32"/>
          <w:lang w:val="en-US" w:eastAsia="zh-CN"/>
        </w:rPr>
        <w:t>3.53</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人员结构调整。</w:t>
      </w:r>
    </w:p>
    <w:p>
      <w:pPr>
        <w:spacing w:line="600" w:lineRule="exact"/>
        <w:ind w:firstLine="640" w:firstLineChars="200"/>
        <w:rPr>
          <w:rFonts w:hint="eastAsia" w:ascii="仿宋" w:eastAsia="仿宋"/>
          <w:color w:val="000000"/>
          <w:sz w:val="32"/>
          <w:szCs w:val="32"/>
          <w:lang w:eastAsia="zh-CN"/>
        </w:rPr>
      </w:pPr>
      <w:r>
        <w:rPr>
          <w:rFonts w:hint="eastAsia" w:ascii="仿宋_GB2312" w:eastAsia="仿宋_GB2312"/>
          <w:color w:val="000000"/>
          <w:sz w:val="32"/>
          <w:szCs w:val="32"/>
        </w:rPr>
        <w:pict>
          <v:shape id="_x0000_s1026" o:spid="_x0000_s1026" o:spt="75" alt="image1" type="#_x0000_t75" style="position:absolute;left:0pt;margin-left:40.1pt;margin-top:20.75pt;height:197.35pt;width:341.75pt;mso-wrap-distance-bottom:0pt;mso-wrap-distance-left:9pt;mso-wrap-distance-right:9pt;mso-wrap-distance-top:0pt;z-index:251659264;mso-width-relative:page;mso-height-relative:page;" o:ole="t" filled="f" o:preferrelative="t" stroked="f" coordsize="21600,21600">
            <v:path/>
            <v:fill on="f" focussize="0,0"/>
            <v:stroke on="f" color="#000000"/>
            <v:imagedata r:id="rId9" o:title="image1"/>
            <o:lock v:ext="edit" aspectratio="t"/>
            <w10:wrap type="square"/>
          </v:shape>
          <o:OLEObject Type="Embed" ProgID="Package" ShapeID="_x0000_s1026" DrawAspect="Content" ObjectID="_1468075725" r:id="rId8">
            <o:LockedField>false</o:LockedField>
          </o:OLEObject>
        </w:pict>
      </w: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Style w:val="26"/>
          <w:rFonts w:ascii="黑体" w:eastAsia="黑体"/>
          <w:b w:val="0"/>
        </w:rPr>
      </w:pPr>
      <w:bookmarkStart w:id="17" w:name="_Toc15396604"/>
      <w:bookmarkStart w:id="18" w:name="_Toc15377206"/>
    </w:p>
    <w:p>
      <w:pPr>
        <w:pStyle w:val="31"/>
        <w:spacing w:line="600" w:lineRule="exact"/>
        <w:ind w:left="0" w:firstLine="640" w:firstLineChars="200"/>
        <w:outlineLvl w:val="1"/>
        <w:rPr>
          <w:rStyle w:val="26"/>
          <w:rFonts w:ascii="黑体" w:eastAsia="黑体"/>
          <w:b w:val="0"/>
        </w:rPr>
      </w:pPr>
      <w:r>
        <w:rPr>
          <w:rFonts w:hint="eastAsia" w:ascii="黑体" w:eastAsia="黑体"/>
          <w:color w:val="000000"/>
          <w:sz w:val="32"/>
          <w:szCs w:val="32"/>
          <w:lang w:eastAsia="zh-CN"/>
        </w:rPr>
        <w:t>二、</w:t>
      </w:r>
      <w:r>
        <w:rPr>
          <w:rFonts w:hint="eastAsia" w:ascii="黑体" w:eastAsia="黑体"/>
          <w:color w:val="000000"/>
          <w:sz w:val="32"/>
          <w:szCs w:val="32"/>
        </w:rPr>
        <w:t>收</w:t>
      </w:r>
      <w:r>
        <w:rPr>
          <w:rStyle w:val="26"/>
          <w:rFonts w:hint="eastAsia" w:ascii="黑体" w:eastAsia="黑体"/>
          <w:b w:val="0"/>
        </w:rPr>
        <w:t>入决算情况说明</w:t>
      </w:r>
      <w:bookmarkEnd w:id="17"/>
      <w:bookmarkEnd w:id="18"/>
    </w:p>
    <w:p>
      <w:pPr>
        <w:spacing w:line="600" w:lineRule="exact"/>
        <w:ind w:firstLine="640" w:firstLineChars="200"/>
        <w:outlineLvl w:val="1"/>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年本年收入合计</w:t>
      </w:r>
      <w:r>
        <w:rPr>
          <w:rFonts w:hint="eastAsia" w:ascii="仿宋" w:eastAsia="仿宋"/>
          <w:color w:val="000000"/>
          <w:sz w:val="32"/>
          <w:szCs w:val="32"/>
          <w:lang w:val="en-US" w:eastAsia="zh-CN"/>
        </w:rPr>
        <w:t>155.39</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155.39</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pStyle w:val="31"/>
        <w:spacing w:line="600" w:lineRule="exact"/>
        <w:outlineLvl w:val="1"/>
        <w:rPr>
          <w:rFonts w:hint="eastAsia" w:ascii="黑体" w:eastAsia="黑体"/>
          <w:color w:val="000000"/>
          <w:sz w:val="32"/>
          <w:szCs w:val="32"/>
          <w:lang w:val="en-US" w:eastAsia="zh-CN"/>
        </w:rPr>
      </w:pPr>
      <w:bookmarkStart w:id="19" w:name="_Toc15396605"/>
      <w:bookmarkStart w:id="20" w:name="_Toc15377207"/>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241300</wp:posOffset>
            </wp:positionH>
            <wp:positionV relativeFrom="paragraph">
              <wp:posOffset>90805</wp:posOffset>
            </wp:positionV>
            <wp:extent cx="5038090" cy="2072005"/>
            <wp:effectExtent l="0" t="0" r="13" b="32"/>
            <wp:wrapSquare wrapText="bothSides"/>
            <wp:docPr id="3" name="图片 1" descr="0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1_副本"/>
                    <pic:cNvPicPr>
                      <a:picLocks noChangeAspect="1"/>
                    </pic:cNvPicPr>
                  </pic:nvPicPr>
                  <pic:blipFill>
                    <a:blip r:embed="rId10"/>
                    <a:stretch>
                      <a:fillRect/>
                    </a:stretch>
                  </pic:blipFill>
                  <pic:spPr>
                    <a:xfrm>
                      <a:off x="0" y="0"/>
                      <a:ext cx="5038090" cy="2072004"/>
                    </a:xfrm>
                    <a:prstGeom prst="rect">
                      <a:avLst/>
                    </a:prstGeom>
                    <a:noFill/>
                    <a:ln w="9525" cap="flat" cmpd="sng">
                      <a:noFill/>
                      <a:prstDash val="solid"/>
                      <a:round/>
                    </a:ln>
                  </pic:spPr>
                </pic:pic>
              </a:graphicData>
            </a:graphic>
          </wp:anchor>
        </w:drawing>
      </w:r>
    </w:p>
    <w:p>
      <w:pPr>
        <w:pStyle w:val="31"/>
        <w:spacing w:line="600" w:lineRule="exact"/>
        <w:ind w:left="638" w:leftChars="304" w:firstLine="0" w:firstLineChars="0"/>
        <w:outlineLvl w:val="1"/>
        <w:rPr>
          <w:rStyle w:val="26"/>
          <w:rFonts w:ascii="黑体" w:eastAsia="黑体"/>
          <w:b w:val="0"/>
        </w:rPr>
      </w:pPr>
      <w:r>
        <w:rPr>
          <w:rFonts w:hint="eastAsia" w:ascii="黑体" w:eastAsia="黑体"/>
          <w:color w:val="000000"/>
          <w:sz w:val="32"/>
          <w:szCs w:val="32"/>
          <w:lang w:eastAsia="zh-CN"/>
        </w:rPr>
        <w:t>三、</w:t>
      </w:r>
      <w:r>
        <w:rPr>
          <w:rFonts w:hint="eastAsia" w:ascii="黑体" w:eastAsia="黑体"/>
          <w:color w:val="000000"/>
          <w:sz w:val="32"/>
          <w:szCs w:val="32"/>
        </w:rPr>
        <w:t>支</w:t>
      </w:r>
      <w:r>
        <w:rPr>
          <w:rStyle w:val="26"/>
          <w:rFonts w:hint="eastAsia" w:ascii="黑体" w:eastAsia="黑体"/>
          <w:b w:val="0"/>
        </w:rPr>
        <w:t>出决算情况说明</w:t>
      </w:r>
      <w:bookmarkEnd w:id="19"/>
      <w:bookmarkEnd w:id="20"/>
    </w:p>
    <w:p>
      <w:pPr>
        <w:spacing w:line="600" w:lineRule="exact"/>
        <w:ind w:firstLine="640" w:firstLineChars="200"/>
        <w:outlineLvl w:val="1"/>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年支出合计</w:t>
      </w:r>
      <w:r>
        <w:rPr>
          <w:rFonts w:hint="eastAsia" w:ascii="仿宋" w:eastAsia="仿宋"/>
          <w:color w:val="000000"/>
          <w:sz w:val="32"/>
          <w:szCs w:val="32"/>
          <w:lang w:val="en-US" w:eastAsia="zh-CN"/>
        </w:rPr>
        <w:t>155.39</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其中：基本支出</w:t>
      </w:r>
      <w:r>
        <w:rPr>
          <w:rFonts w:hint="eastAsia" w:ascii="仿宋" w:eastAsia="仿宋"/>
          <w:color w:val="000000"/>
          <w:sz w:val="32"/>
          <w:szCs w:val="32"/>
          <w:lang w:val="en-US" w:eastAsia="zh-CN"/>
        </w:rPr>
        <w:t>145.19</w:t>
      </w:r>
      <w:r>
        <w:rPr>
          <w:rFonts w:hint="eastAsia" w:ascii="仿宋" w:eastAsia="仿宋"/>
          <w:color w:val="000000"/>
          <w:sz w:val="32"/>
          <w:szCs w:val="32"/>
        </w:rPr>
        <w:t>万元，占</w:t>
      </w:r>
      <w:r>
        <w:rPr>
          <w:rFonts w:hint="eastAsia" w:ascii="仿宋" w:eastAsia="仿宋"/>
          <w:color w:val="000000"/>
          <w:sz w:val="32"/>
          <w:szCs w:val="32"/>
          <w:lang w:val="en-US" w:eastAsia="zh-CN"/>
        </w:rPr>
        <w:t>93.44</w:t>
      </w:r>
      <w:r>
        <w:rPr>
          <w:rFonts w:ascii="仿宋" w:eastAsia="仿宋"/>
          <w:color w:val="000000"/>
          <w:sz w:val="32"/>
          <w:szCs w:val="32"/>
        </w:rPr>
        <w:t>%</w:t>
      </w:r>
      <w:r>
        <w:rPr>
          <w:rFonts w:hint="eastAsia" w:ascii="仿宋" w:eastAsia="仿宋"/>
          <w:color w:val="000000"/>
          <w:sz w:val="32"/>
          <w:szCs w:val="32"/>
        </w:rPr>
        <w:t>；项目支出</w:t>
      </w:r>
      <w:r>
        <w:rPr>
          <w:rFonts w:hint="eastAsia" w:ascii="仿宋" w:eastAsia="仿宋"/>
          <w:color w:val="000000"/>
          <w:sz w:val="32"/>
          <w:szCs w:val="32"/>
          <w:lang w:val="en-US" w:eastAsia="zh-CN"/>
        </w:rPr>
        <w:t>10.20</w:t>
      </w:r>
      <w:r>
        <w:rPr>
          <w:rFonts w:hint="eastAsia" w:ascii="仿宋" w:eastAsia="仿宋"/>
          <w:color w:val="000000"/>
          <w:sz w:val="32"/>
          <w:szCs w:val="32"/>
        </w:rPr>
        <w:t>万元，占</w:t>
      </w:r>
      <w:r>
        <w:rPr>
          <w:rFonts w:hint="eastAsia" w:ascii="仿宋" w:eastAsia="仿宋"/>
          <w:color w:val="000000"/>
          <w:sz w:val="32"/>
          <w:szCs w:val="32"/>
          <w:lang w:val="en-US" w:eastAsia="zh-CN"/>
        </w:rPr>
        <w:t>6.56</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outlineLvl w:val="1"/>
        <w:rPr>
          <w:rFonts w:hint="eastAsia" w:ascii="仿宋" w:eastAsia="仿宋"/>
          <w:color w:val="000000"/>
          <w:sz w:val="32"/>
          <w:szCs w:val="32"/>
          <w:lang w:eastAsia="zh-CN"/>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464185</wp:posOffset>
            </wp:positionH>
            <wp:positionV relativeFrom="paragraph">
              <wp:posOffset>144145</wp:posOffset>
            </wp:positionV>
            <wp:extent cx="4576445" cy="1674495"/>
            <wp:effectExtent l="0" t="0" r="39" b="26"/>
            <wp:wrapSquare wrapText="bothSides"/>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Fonts w:hint="eastAsia" w:ascii="仿宋" w:eastAsia="仿宋"/>
          <w:color w:val="000000"/>
          <w:sz w:val="32"/>
          <w:szCs w:val="32"/>
        </w:rPr>
      </w:pPr>
    </w:p>
    <w:p>
      <w:pPr>
        <w:spacing w:line="600" w:lineRule="exact"/>
        <w:ind w:firstLine="640" w:firstLineChars="200"/>
        <w:outlineLvl w:val="1"/>
        <w:rPr>
          <w:rFonts w:hint="eastAsia" w:ascii="仿宋" w:eastAsia="仿宋"/>
          <w:color w:val="000000"/>
          <w:sz w:val="32"/>
          <w:szCs w:val="32"/>
        </w:rPr>
      </w:pPr>
    </w:p>
    <w:p>
      <w:pPr>
        <w:spacing w:line="240" w:lineRule="auto"/>
        <w:ind w:firstLine="0"/>
        <w:jc w:val="center"/>
        <w:outlineLvl w:val="1"/>
        <w:rPr>
          <w:rFonts w:hint="eastAsia" w:ascii="仿宋" w:eastAsia="仿宋"/>
          <w:color w:val="000000"/>
          <w:sz w:val="32"/>
          <w:szCs w:val="32"/>
        </w:rPr>
      </w:pPr>
    </w:p>
    <w:p>
      <w:pPr>
        <w:spacing w:line="600" w:lineRule="exact"/>
        <w:outlineLvl w:val="1"/>
        <w:rPr>
          <w:rFonts w:ascii="黑体" w:eastAsia="黑体"/>
          <w:color w:val="000000"/>
          <w:sz w:val="32"/>
          <w:szCs w:val="32"/>
        </w:rPr>
      </w:pPr>
      <w:bookmarkStart w:id="21" w:name="_Toc15396606"/>
      <w:bookmarkStart w:id="22" w:name="_Toc15377208"/>
    </w:p>
    <w:p>
      <w:pPr>
        <w:spacing w:line="600" w:lineRule="exact"/>
        <w:ind w:firstLine="640" w:firstLineChars="200"/>
        <w:outlineLvl w:val="1"/>
        <w:rPr>
          <w:rStyle w:val="26"/>
          <w:rFonts w:ascii="黑体" w:eastAsia="黑体"/>
          <w:b w:val="0"/>
        </w:rPr>
      </w:pPr>
      <w:r>
        <w:rPr>
          <w:rFonts w:hint="eastAsia" w:ascii="黑体" w:eastAsia="黑体"/>
          <w:color w:val="000000"/>
          <w:sz w:val="32"/>
          <w:szCs w:val="32"/>
        </w:rPr>
        <w:t>四、财</w:t>
      </w:r>
      <w:r>
        <w:rPr>
          <w:rStyle w:val="26"/>
          <w:rFonts w:hint="eastAsia" w:ascii="黑体" w:eastAsia="黑体"/>
          <w:b w:val="0"/>
        </w:rPr>
        <w:t>政拨款收入支出决算总体情况说明</w:t>
      </w:r>
      <w:bookmarkEnd w:id="21"/>
      <w:bookmarkEnd w:id="22"/>
    </w:p>
    <w:p>
      <w:pPr>
        <w:spacing w:line="600" w:lineRule="exact"/>
        <w:ind w:firstLine="640" w:firstLineChars="200"/>
        <w:rPr>
          <w:rFonts w:ascii="仿宋" w:eastAsia="仿宋"/>
          <w:color w:val="000000"/>
          <w:sz w:val="32"/>
          <w:szCs w:val="32"/>
          <w:lang w:val="en-US"/>
        </w:rPr>
      </w:pPr>
      <w:r>
        <w:rPr>
          <w:rFonts w:hint="eastAsia"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年度</w:t>
      </w:r>
      <w:r>
        <w:rPr>
          <w:rFonts w:hint="eastAsia" w:ascii="仿宋" w:eastAsia="仿宋"/>
          <w:color w:val="000000"/>
          <w:sz w:val="32"/>
          <w:szCs w:val="32"/>
          <w:lang w:eastAsia="zh-CN"/>
        </w:rPr>
        <w:t>财政拨款</w:t>
      </w:r>
      <w:r>
        <w:rPr>
          <w:rFonts w:hint="eastAsia" w:ascii="仿宋" w:eastAsia="仿宋"/>
          <w:color w:val="000000"/>
          <w:sz w:val="32"/>
          <w:szCs w:val="32"/>
        </w:rPr>
        <w:t>收</w:t>
      </w:r>
      <w:r>
        <w:rPr>
          <w:rFonts w:hint="eastAsia" w:ascii="仿宋" w:eastAsia="仿宋"/>
          <w:color w:val="000000"/>
          <w:sz w:val="32"/>
          <w:szCs w:val="32"/>
          <w:lang w:eastAsia="zh-CN"/>
        </w:rPr>
        <w:t>、支</w:t>
      </w:r>
      <w:r>
        <w:rPr>
          <w:rFonts w:hint="eastAsia" w:ascii="仿宋" w:eastAsia="仿宋"/>
          <w:color w:val="000000"/>
          <w:sz w:val="32"/>
          <w:szCs w:val="32"/>
        </w:rPr>
        <w:t>总计</w:t>
      </w:r>
      <w:r>
        <w:rPr>
          <w:rFonts w:hint="eastAsia" w:ascii="仿宋" w:eastAsia="仿宋"/>
          <w:color w:val="000000"/>
          <w:sz w:val="32"/>
          <w:szCs w:val="32"/>
          <w:lang w:val="en-US" w:eastAsia="zh-CN"/>
        </w:rPr>
        <w:t>155.39</w:t>
      </w:r>
      <w:r>
        <w:rPr>
          <w:rFonts w:hint="eastAsia" w:ascii="仿宋" w:eastAsia="仿宋"/>
          <w:color w:val="000000"/>
          <w:sz w:val="32"/>
          <w:szCs w:val="32"/>
        </w:rPr>
        <w:t>万元。与</w:t>
      </w: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年相比，财政拨款收</w:t>
      </w:r>
      <w:r>
        <w:rPr>
          <w:rFonts w:hint="eastAsia" w:ascii="仿宋" w:eastAsia="仿宋"/>
          <w:color w:val="000000"/>
          <w:sz w:val="32"/>
          <w:szCs w:val="32"/>
          <w:lang w:eastAsia="zh-CN"/>
        </w:rPr>
        <w:t>入总计减少</w:t>
      </w:r>
      <w:r>
        <w:rPr>
          <w:rFonts w:hint="eastAsia" w:ascii="仿宋" w:eastAsia="仿宋"/>
          <w:color w:val="000000"/>
          <w:sz w:val="32"/>
          <w:szCs w:val="32"/>
          <w:lang w:val="en-US" w:eastAsia="zh-CN"/>
        </w:rPr>
        <w:t>5.04万元</w:t>
      </w:r>
      <w:r>
        <w:rPr>
          <w:rFonts w:hint="eastAsia" w:ascii="仿宋" w:eastAsia="仿宋"/>
          <w:color w:val="000000"/>
          <w:sz w:val="32"/>
          <w:szCs w:val="32"/>
          <w:lang w:eastAsia="zh-CN"/>
        </w:rPr>
        <w:t>，下降</w:t>
      </w:r>
      <w:r>
        <w:rPr>
          <w:rFonts w:hint="eastAsia" w:ascii="仿宋" w:eastAsia="仿宋"/>
          <w:color w:val="000000"/>
          <w:sz w:val="32"/>
          <w:szCs w:val="32"/>
          <w:lang w:val="en-US" w:eastAsia="zh-CN"/>
        </w:rPr>
        <w:t>3.14</w:t>
      </w:r>
      <w:r>
        <w:rPr>
          <w:rFonts w:ascii="仿宋" w:eastAsia="仿宋"/>
          <w:color w:val="000000"/>
          <w:sz w:val="32"/>
          <w:szCs w:val="32"/>
        </w:rPr>
        <w:t>%</w:t>
      </w:r>
      <w:r>
        <w:rPr>
          <w:rFonts w:hint="eastAsia" w:ascii="仿宋" w:eastAsia="仿宋"/>
          <w:color w:val="000000"/>
          <w:sz w:val="32"/>
          <w:szCs w:val="32"/>
          <w:lang w:eastAsia="zh-CN"/>
        </w:rPr>
        <w:t>；</w:t>
      </w:r>
      <w:r>
        <w:rPr>
          <w:rFonts w:hint="eastAsia" w:ascii="仿宋" w:eastAsia="仿宋"/>
          <w:color w:val="000000"/>
          <w:sz w:val="32"/>
          <w:szCs w:val="32"/>
        </w:rPr>
        <w:t>支</w:t>
      </w:r>
      <w:r>
        <w:rPr>
          <w:rFonts w:hint="eastAsia" w:ascii="仿宋" w:eastAsia="仿宋"/>
          <w:color w:val="000000"/>
          <w:sz w:val="32"/>
          <w:szCs w:val="32"/>
          <w:lang w:eastAsia="zh-CN"/>
        </w:rPr>
        <w:t>出</w:t>
      </w:r>
      <w:r>
        <w:rPr>
          <w:rFonts w:hint="eastAsia" w:ascii="仿宋" w:eastAsia="仿宋"/>
          <w:color w:val="000000"/>
          <w:sz w:val="32"/>
          <w:szCs w:val="32"/>
        </w:rPr>
        <w:t>总计</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5.48</w:t>
      </w:r>
      <w:r>
        <w:rPr>
          <w:rFonts w:hint="eastAsia" w:ascii="仿宋" w:eastAsia="仿宋"/>
          <w:color w:val="000000"/>
          <w:sz w:val="32"/>
          <w:szCs w:val="32"/>
        </w:rPr>
        <w:t>万元，</w:t>
      </w:r>
      <w:r>
        <w:rPr>
          <w:rFonts w:hint="eastAsia" w:ascii="仿宋" w:eastAsia="仿宋"/>
          <w:color w:val="000000"/>
          <w:sz w:val="32"/>
          <w:szCs w:val="32"/>
          <w:lang w:eastAsia="zh-CN"/>
        </w:rPr>
        <w:t>下降</w:t>
      </w:r>
      <w:r>
        <w:rPr>
          <w:rFonts w:hint="eastAsia" w:ascii="仿宋" w:eastAsia="仿宋"/>
          <w:color w:val="000000"/>
          <w:sz w:val="32"/>
          <w:szCs w:val="32"/>
          <w:lang w:val="en-US" w:eastAsia="zh-CN"/>
        </w:rPr>
        <w:t>3.53</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人员结构调整。</w:t>
      </w:r>
    </w:p>
    <w:p>
      <w:pPr>
        <w:spacing w:line="600" w:lineRule="exact"/>
        <w:rPr>
          <w:rFonts w:ascii="仿宋" w:eastAsia="仿宋"/>
          <w:b/>
          <w:color w:val="00B050"/>
          <w:sz w:val="32"/>
          <w:szCs w:val="32"/>
        </w:rPr>
      </w:pPr>
      <w:r>
        <w:rPr>
          <w:rFonts w:hint="eastAsia" w:ascii="仿宋_GB2312" w:eastAsia="仿宋_GB2312"/>
          <w:color w:val="000000"/>
          <w:sz w:val="32"/>
          <w:szCs w:val="32"/>
        </w:rPr>
        <w:pict>
          <v:shape id="_x0000_s1027" o:spid="_x0000_s1027" o:spt="75" alt="image3" type="#_x0000_t75" style="position:absolute;left:0pt;margin-left:41.35pt;margin-top:10.95pt;height:176.75pt;width:369pt;mso-wrap-distance-bottom:0pt;mso-wrap-distance-left:9pt;mso-wrap-distance-right:9pt;mso-wrap-distance-top:0pt;z-index:251659264;mso-width-relative:page;mso-height-relative:page;" o:ole="t" filled="f" o:preferrelative="t" stroked="f" coordsize="21600,21600">
            <v:path/>
            <v:fill on="f" focussize="0,0"/>
            <v:stroke on="f" color="#000000"/>
            <v:imagedata r:id="rId13" o:title="image3"/>
            <o:lock v:ext="edit" aspectratio="t"/>
            <w10:wrap type="square"/>
          </v:shape>
          <o:OLEObject Type="Embed" ProgID="Package" ShapeID="_x0000_s1027" DrawAspect="Content" ObjectID="_1468075726" r:id="rId12">
            <o:LockedField>false</o:LockedField>
          </o:OLEObject>
        </w:pict>
      </w:r>
    </w:p>
    <w:p>
      <w:pPr>
        <w:spacing w:line="600" w:lineRule="exact"/>
        <w:ind w:firstLine="640" w:firstLineChars="200"/>
        <w:outlineLvl w:val="1"/>
        <w:rPr>
          <w:rStyle w:val="26"/>
          <w:rFonts w:ascii="黑体" w:eastAsia="黑体"/>
          <w:b w:val="0"/>
        </w:rPr>
      </w:pPr>
      <w:bookmarkStart w:id="23" w:name="_Toc15377209"/>
      <w:bookmarkStart w:id="24" w:name="_Toc15396607"/>
      <w:r>
        <w:rPr>
          <w:rFonts w:hint="eastAsia" w:ascii="黑体" w:eastAsia="黑体"/>
          <w:color w:val="000000"/>
          <w:sz w:val="32"/>
          <w:szCs w:val="32"/>
        </w:rPr>
        <w:t>五、</w:t>
      </w:r>
      <w:r>
        <w:rPr>
          <w:rFonts w:hint="eastAsia" w:ascii="黑体" w:eastAsia="黑体"/>
          <w:b/>
          <w:color w:val="000000"/>
          <w:sz w:val="32"/>
          <w:szCs w:val="32"/>
        </w:rPr>
        <w:t>一</w:t>
      </w:r>
      <w:r>
        <w:rPr>
          <w:rStyle w:val="26"/>
          <w:rFonts w:hint="eastAsia" w:ascii="黑体" w:eastAsia="黑体"/>
          <w:b w:val="0"/>
        </w:rPr>
        <w:t>般公共预算财政拨款支出决算情况说明</w:t>
      </w:r>
      <w:bookmarkEnd w:id="23"/>
      <w:bookmarkEnd w:id="24"/>
    </w:p>
    <w:p>
      <w:pPr>
        <w:spacing w:line="600" w:lineRule="exact"/>
        <w:ind w:firstLine="643" w:firstLineChars="200"/>
        <w:outlineLvl w:val="2"/>
        <w:rPr>
          <w:rFonts w:ascii="仿宋" w:eastAsia="仿宋"/>
          <w:b/>
          <w:color w:val="000000"/>
          <w:sz w:val="32"/>
          <w:szCs w:val="32"/>
        </w:rPr>
      </w:pPr>
      <w:bookmarkStart w:id="25" w:name="_Toc15377210"/>
      <w:r>
        <w:rPr>
          <w:rFonts w:hint="eastAsia" w:ascii="仿宋" w:eastAsia="仿宋"/>
          <w:b/>
          <w:color w:val="000000"/>
          <w:sz w:val="32"/>
          <w:szCs w:val="32"/>
        </w:rPr>
        <w:t>（一）一般公共预算财政拨款支出决算总体情况</w:t>
      </w:r>
      <w:bookmarkEnd w:id="25"/>
    </w:p>
    <w:p>
      <w:pPr>
        <w:spacing w:line="600" w:lineRule="exact"/>
        <w:ind w:firstLine="640" w:firstLineChars="200"/>
        <w:rPr>
          <w:rFonts w:hint="eastAsia" w:ascii="仿宋" w:eastAsia="仿宋"/>
          <w:b/>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155.39</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年相比，一般公共预算财政拨款</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5.48</w:t>
      </w:r>
      <w:r>
        <w:rPr>
          <w:rFonts w:hint="eastAsia" w:ascii="仿宋" w:eastAsia="仿宋"/>
          <w:color w:val="000000"/>
          <w:sz w:val="32"/>
          <w:szCs w:val="32"/>
        </w:rPr>
        <w:t>万元，</w:t>
      </w:r>
      <w:r>
        <w:rPr>
          <w:rFonts w:hint="eastAsia" w:ascii="仿宋" w:eastAsia="仿宋"/>
          <w:color w:val="000000"/>
          <w:sz w:val="32"/>
          <w:szCs w:val="32"/>
          <w:lang w:eastAsia="zh-CN"/>
        </w:rPr>
        <w:t>下降</w:t>
      </w:r>
      <w:r>
        <w:rPr>
          <w:rFonts w:hint="eastAsia" w:ascii="仿宋" w:eastAsia="仿宋"/>
          <w:color w:val="000000"/>
          <w:sz w:val="32"/>
          <w:szCs w:val="32"/>
          <w:lang w:val="en-US" w:eastAsia="zh-CN"/>
        </w:rPr>
        <w:t>3.53</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人员结构调整。</w:t>
      </w:r>
      <w:bookmarkStart w:id="26" w:name="_Toc15377211"/>
    </w:p>
    <w:p>
      <w:pPr>
        <w:spacing w:line="600" w:lineRule="exact"/>
        <w:ind w:firstLine="640" w:firstLineChars="200"/>
        <w:outlineLvl w:val="2"/>
        <w:rPr>
          <w:rFonts w:hint="eastAsia" w:ascii="仿宋" w:eastAsia="仿宋"/>
          <w:b/>
          <w:color w:val="000000"/>
          <w:sz w:val="32"/>
          <w:szCs w:val="32"/>
        </w:rPr>
      </w:pPr>
      <w:r>
        <w:rPr>
          <w:rFonts w:hint="eastAsia" w:ascii="仿宋_GB2312" w:eastAsia="仿宋_GB2312"/>
          <w:color w:val="000000"/>
          <w:sz w:val="32"/>
          <w:szCs w:val="32"/>
        </w:rPr>
        <w:pict>
          <v:shape id="_x0000_s1028" o:spid="_x0000_s1028" o:spt="75" alt="image4" type="#_x0000_t75" style="position:absolute;left:0pt;margin-left:35pt;margin-top:4.4pt;height:160.1pt;width:345.1pt;mso-wrap-distance-left:9pt;mso-wrap-distance-right:9pt;z-index:251659264;mso-width-relative:page;mso-height-relative:page;" o:ole="t" filled="f" o:preferrelative="t" stroked="f" coordsize="21600,21600" wrapcoords="21592 -2 0 0 0 21599 21592 21601 8 21601 21600 21599 21600 0 8 -2 21592 -2">
            <v:path/>
            <v:fill on="f" focussize="0,0"/>
            <v:stroke on="f" color="#000000"/>
            <v:imagedata r:id="rId15" o:title="image4"/>
            <o:lock v:ext="edit" aspectratio="t"/>
            <w10:wrap type="tight"/>
          </v:shape>
          <o:OLEObject Type="Embed" ProgID="Package" ShapeID="_x0000_s1028" DrawAspect="Content" ObjectID="_1468075727" r:id="rId14">
            <o:LockedField>false</o:LockedField>
          </o:OLEObject>
        </w:pict>
      </w: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（二）一般公共预算财政拨款支出决算结构情况</w:t>
      </w:r>
      <w:bookmarkEnd w:id="26"/>
    </w:p>
    <w:p>
      <w:pPr>
        <w:spacing w:line="600" w:lineRule="exact"/>
        <w:ind w:firstLine="640" w:firstLineChars="200"/>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155.39</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121.42</w:t>
      </w:r>
      <w:r>
        <w:rPr>
          <w:rFonts w:hint="eastAsia" w:ascii="仿宋" w:eastAsia="仿宋"/>
          <w:color w:val="000000"/>
          <w:sz w:val="32"/>
          <w:szCs w:val="32"/>
        </w:rPr>
        <w:t>万元，占</w:t>
      </w:r>
      <w:r>
        <w:rPr>
          <w:rFonts w:hint="eastAsia" w:ascii="仿宋" w:eastAsia="仿宋"/>
          <w:color w:val="000000"/>
          <w:sz w:val="32"/>
          <w:szCs w:val="32"/>
          <w:lang w:val="en-US" w:eastAsia="zh-CN"/>
        </w:rPr>
        <w:t>78.14</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hint="eastAsia" w:ascii="仿宋" w:eastAsia="仿宋"/>
          <w:color w:val="000000"/>
          <w:sz w:val="32"/>
          <w:szCs w:val="32"/>
          <w:lang w:val="en-US" w:eastAsia="zh-CN"/>
        </w:rPr>
        <w:t>16.54</w:t>
      </w:r>
      <w:r>
        <w:rPr>
          <w:rFonts w:hint="eastAsia" w:ascii="仿宋" w:eastAsia="仿宋"/>
          <w:color w:val="000000"/>
          <w:sz w:val="32"/>
          <w:szCs w:val="32"/>
        </w:rPr>
        <w:t>万元，占</w:t>
      </w:r>
      <w:r>
        <w:rPr>
          <w:rFonts w:hint="eastAsia" w:ascii="仿宋" w:eastAsia="仿宋"/>
          <w:color w:val="000000"/>
          <w:sz w:val="32"/>
          <w:szCs w:val="32"/>
          <w:lang w:val="en-US" w:eastAsia="zh-CN"/>
        </w:rPr>
        <w:t>10.64</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w:t>
      </w:r>
      <w:r>
        <w:rPr>
          <w:rFonts w:hint="eastAsia" w:ascii="仿宋" w:eastAsia="仿宋"/>
          <w:b/>
          <w:bCs/>
          <w:color w:val="000000"/>
          <w:sz w:val="32"/>
          <w:szCs w:val="32"/>
          <w:lang w:val="en-US" w:eastAsia="zh-CN"/>
        </w:rPr>
        <w:t>(类)</w:t>
      </w:r>
      <w:r>
        <w:rPr>
          <w:rFonts w:hint="eastAsia" w:ascii="仿宋" w:eastAsia="仿宋"/>
          <w:b/>
          <w:bCs/>
          <w:color w:val="000000"/>
          <w:sz w:val="32"/>
          <w:szCs w:val="32"/>
        </w:rPr>
        <w:t>支出</w:t>
      </w:r>
      <w:r>
        <w:rPr>
          <w:rFonts w:hint="eastAsia" w:ascii="仿宋" w:eastAsia="仿宋"/>
          <w:color w:val="000000"/>
          <w:sz w:val="32"/>
          <w:szCs w:val="32"/>
          <w:lang w:val="en-US" w:eastAsia="zh-CN"/>
        </w:rPr>
        <w:t>6.90</w:t>
      </w:r>
      <w:r>
        <w:rPr>
          <w:rFonts w:hint="eastAsia" w:ascii="仿宋" w:eastAsia="仿宋"/>
          <w:color w:val="000000"/>
          <w:sz w:val="32"/>
          <w:szCs w:val="32"/>
        </w:rPr>
        <w:t>万元，占</w:t>
      </w:r>
      <w:r>
        <w:rPr>
          <w:rFonts w:hint="eastAsia" w:ascii="仿宋" w:eastAsia="仿宋"/>
          <w:color w:val="000000"/>
          <w:sz w:val="32"/>
          <w:szCs w:val="32"/>
          <w:lang w:val="en-US" w:eastAsia="zh-CN"/>
        </w:rPr>
        <w:t>4.44</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住房保障</w:t>
      </w:r>
      <w:r>
        <w:rPr>
          <w:rFonts w:hint="eastAsia" w:ascii="仿宋" w:eastAsia="仿宋"/>
          <w:b/>
          <w:bCs/>
          <w:color w:val="000000"/>
          <w:sz w:val="32"/>
          <w:szCs w:val="32"/>
          <w:lang w:eastAsia="zh-CN"/>
        </w:rPr>
        <w:t>（类）</w:t>
      </w:r>
      <w:r>
        <w:rPr>
          <w:rFonts w:hint="eastAsia" w:ascii="仿宋" w:eastAsia="仿宋"/>
          <w:color w:val="000000"/>
          <w:sz w:val="32"/>
          <w:szCs w:val="32"/>
        </w:rPr>
        <w:t>支出</w:t>
      </w:r>
      <w:r>
        <w:rPr>
          <w:rFonts w:hint="eastAsia" w:ascii="仿宋" w:eastAsia="仿宋"/>
          <w:color w:val="000000"/>
          <w:sz w:val="32"/>
          <w:szCs w:val="32"/>
          <w:lang w:val="en-US" w:eastAsia="zh-CN"/>
        </w:rPr>
        <w:t>9.34</w:t>
      </w:r>
      <w:r>
        <w:rPr>
          <w:rFonts w:hint="eastAsia" w:ascii="仿宋" w:eastAsia="仿宋"/>
          <w:color w:val="000000"/>
          <w:sz w:val="32"/>
          <w:szCs w:val="32"/>
        </w:rPr>
        <w:t>万元，占</w:t>
      </w:r>
      <w:r>
        <w:rPr>
          <w:rFonts w:hint="eastAsia" w:ascii="仿宋" w:eastAsia="仿宋"/>
          <w:color w:val="000000"/>
          <w:sz w:val="32"/>
          <w:szCs w:val="32"/>
          <w:lang w:val="en-US" w:eastAsia="zh-CN"/>
        </w:rPr>
        <w:t>6.01</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lang w:eastAsia="zh-CN"/>
        </w:rPr>
        <w:t>农林水（类）支出</w:t>
      </w:r>
      <w:r>
        <w:rPr>
          <w:rFonts w:hint="eastAsia" w:ascii="仿宋" w:eastAsia="仿宋"/>
          <w:color w:val="000000"/>
          <w:sz w:val="32"/>
          <w:szCs w:val="32"/>
          <w:lang w:val="en-US" w:eastAsia="zh-CN"/>
        </w:rPr>
        <w:t>1.20</w:t>
      </w:r>
      <w:r>
        <w:rPr>
          <w:rFonts w:hint="eastAsia" w:ascii="仿宋" w:eastAsia="仿宋"/>
          <w:color w:val="000000"/>
          <w:sz w:val="32"/>
          <w:szCs w:val="32"/>
          <w:lang w:eastAsia="zh-CN"/>
        </w:rPr>
        <w:t>万元，占</w:t>
      </w:r>
      <w:r>
        <w:rPr>
          <w:rFonts w:hint="eastAsia" w:ascii="仿宋" w:eastAsia="仿宋"/>
          <w:color w:val="000000"/>
          <w:sz w:val="32"/>
          <w:szCs w:val="32"/>
          <w:lang w:val="en-US" w:eastAsia="zh-CN"/>
        </w:rPr>
        <w:t>0.77</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outlineLvl w:val="2"/>
        <w:rPr>
          <w:rFonts w:hint="eastAsia" w:ascii="仿宋" w:eastAsia="仿宋"/>
          <w:b/>
          <w:color w:val="000000"/>
          <w:sz w:val="32"/>
          <w:szCs w:val="32"/>
        </w:rPr>
      </w:pPr>
      <w:bookmarkStart w:id="27" w:name="_Toc15377212"/>
      <w:r>
        <w:rPr>
          <w:rFonts w:hint="eastAsia" w:ascii="仿宋_GB2312" w:eastAsia="仿宋_GB2312"/>
          <w:color w:val="000000"/>
          <w:sz w:val="32"/>
          <w:szCs w:val="32"/>
        </w:rPr>
        <w:pict>
          <v:shape id="_x0000_s1029" o:spid="_x0000_s1029" o:spt="75" alt="image5" type="#_x0000_t75" style="position:absolute;left:0pt;margin-left:44.75pt;margin-top:16.35pt;height:175.25pt;width:348.5pt;mso-wrap-distance-bottom:0pt;mso-wrap-distance-left:9pt;mso-wrap-distance-right:9pt;mso-wrap-distance-top:0pt;z-index:251659264;mso-width-relative:page;mso-height-relative:page;" o:ole="t" filled="f" o:preferrelative="t" stroked="f" coordsize="21600,21600">
            <v:path/>
            <v:fill on="f" focussize="0,0"/>
            <v:stroke on="f" color="#000000"/>
            <v:imagedata r:id="rId17" o:title="image5"/>
            <o:lock v:ext="edit" aspectratio="t"/>
            <w10:wrap type="square"/>
          </v:shape>
          <o:OLEObject Type="Embed" ProgID="Package" ShapeID="_x0000_s1029" DrawAspect="Content" ObjectID="_1468075728" r:id="rId16">
            <o:LockedField>false</o:LockedField>
          </o:OLEObject>
        </w:pict>
      </w: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（三）一般公共预算财政拨款支出决算具体情况</w:t>
      </w:r>
      <w:bookmarkEnd w:id="27"/>
    </w:p>
    <w:p>
      <w:pPr>
        <w:spacing w:line="600" w:lineRule="exact"/>
        <w:ind w:firstLine="640" w:firstLineChars="200"/>
        <w:rPr>
          <w:rStyle w:val="15"/>
          <w:rFonts w:hint="eastAsia" w:ascii="仿宋" w:eastAsia="仿宋"/>
          <w:b w:val="0"/>
          <w:bCs/>
          <w:color w:val="000000"/>
          <w:sz w:val="32"/>
          <w:szCs w:val="32"/>
        </w:rPr>
      </w:pPr>
      <w:bookmarkStart w:id="28" w:name="_Toc15377444"/>
      <w:bookmarkStart w:id="29" w:name="_Toc15377213"/>
      <w:bookmarkStart w:id="30" w:name="_Toc15378460"/>
      <w:r>
        <w:rPr>
          <w:rFonts w:hint="eastAsia" w:ascii="仿宋" w:eastAsia="仿宋"/>
          <w:b w:val="0"/>
          <w:bCs/>
          <w:color w:val="000000"/>
          <w:sz w:val="32"/>
          <w:szCs w:val="32"/>
        </w:rPr>
        <w:t>20</w:t>
      </w:r>
      <w:r>
        <w:rPr>
          <w:rFonts w:hint="eastAsia" w:ascii="仿宋" w:eastAsia="仿宋"/>
          <w:b w:val="0"/>
          <w:bCs/>
          <w:color w:val="000000"/>
          <w:sz w:val="32"/>
          <w:szCs w:val="32"/>
          <w:lang w:val="en-US" w:eastAsia="zh-CN"/>
        </w:rPr>
        <w:t>22</w:t>
      </w:r>
      <w:r>
        <w:rPr>
          <w:rFonts w:hint="eastAsia" w:ascii="仿宋" w:eastAsia="仿宋"/>
          <w:b w:val="0"/>
          <w:bCs/>
          <w:color w:val="000000"/>
          <w:sz w:val="32"/>
          <w:szCs w:val="32"/>
        </w:rPr>
        <w:t>年</w:t>
      </w:r>
      <w:r>
        <w:rPr>
          <w:rFonts w:hint="eastAsia" w:ascii="仿宋" w:eastAsia="仿宋"/>
          <w:b w:val="0"/>
          <w:bCs/>
          <w:color w:val="000000"/>
          <w:sz w:val="32"/>
          <w:szCs w:val="32"/>
          <w:lang w:eastAsia="zh-CN"/>
        </w:rPr>
        <w:t>一</w:t>
      </w:r>
      <w:r>
        <w:rPr>
          <w:rFonts w:hint="eastAsia" w:ascii="仿宋" w:eastAsia="仿宋"/>
          <w:b w:val="0"/>
          <w:bCs/>
          <w:color w:val="000000"/>
          <w:sz w:val="32"/>
          <w:szCs w:val="32"/>
        </w:rPr>
        <w:t>般公共预算支出决算数为</w:t>
      </w:r>
      <w:r>
        <w:rPr>
          <w:rFonts w:hint="eastAsia" w:ascii="仿宋" w:eastAsia="仿宋"/>
          <w:b w:val="0"/>
          <w:bCs/>
          <w:color w:val="000000"/>
          <w:sz w:val="32"/>
          <w:szCs w:val="32"/>
          <w:lang w:val="en-US" w:eastAsia="zh-CN"/>
        </w:rPr>
        <w:t>155.39万元</w:t>
      </w:r>
      <w:r>
        <w:rPr>
          <w:rFonts w:hint="eastAsia" w:ascii="仿宋_GB2312" w:eastAsia="仿宋_GB2312" w:cs="仿宋_GB2312"/>
          <w:sz w:val="32"/>
          <w:szCs w:val="32"/>
          <w:lang w:val="en-US" w:eastAsia="zh-CN"/>
        </w:rPr>
        <w:t>。</w:t>
      </w:r>
      <w:r>
        <w:rPr>
          <w:rStyle w:val="15"/>
          <w:rFonts w:hint="eastAsia" w:ascii="仿宋" w:eastAsia="仿宋"/>
          <w:b w:val="0"/>
          <w:bCs/>
          <w:color w:val="000000"/>
          <w:sz w:val="32"/>
          <w:szCs w:val="32"/>
        </w:rPr>
        <w:t>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。其中：</w:t>
      </w:r>
      <w:bookmarkEnd w:id="28"/>
      <w:bookmarkEnd w:id="29"/>
      <w:bookmarkEnd w:id="30"/>
    </w:p>
    <w:p>
      <w:pPr>
        <w:spacing w:line="600" w:lineRule="exact"/>
        <w:ind w:left="0"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1.</w:t>
      </w:r>
      <w:r>
        <w:rPr>
          <w:rStyle w:val="15"/>
          <w:rFonts w:hint="eastAsia" w:ascii="仿宋" w:eastAsia="仿宋"/>
          <w:bCs/>
          <w:color w:val="000000"/>
          <w:sz w:val="32"/>
          <w:szCs w:val="32"/>
        </w:rPr>
        <w:t>一般公共服务（</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政府办公厅（室）及相关机构事务）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行政运行</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112.42</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left="0"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2.</w:t>
      </w:r>
      <w:r>
        <w:rPr>
          <w:rStyle w:val="15"/>
          <w:rFonts w:hint="eastAsia" w:ascii="仿宋" w:eastAsia="仿宋"/>
          <w:bCs/>
          <w:color w:val="000000"/>
          <w:sz w:val="32"/>
          <w:szCs w:val="32"/>
        </w:rPr>
        <w:t>一般公共服务（</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政府办公厅（室）及相关机构事务）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一般行政管理事务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3.00</w:t>
      </w:r>
      <w:r>
        <w:rPr>
          <w:rStyle w:val="15"/>
          <w:rFonts w:hint="eastAsia" w:ascii="仿宋" w:eastAsia="仿宋"/>
          <w:b w:val="0"/>
          <w:bCs/>
          <w:color w:val="000000"/>
          <w:sz w:val="32"/>
          <w:szCs w:val="32"/>
        </w:rPr>
        <w:t>万元</w:t>
      </w:r>
      <w:r>
        <w:rPr>
          <w:rFonts w:hint="eastAsia" w:ascii="仿宋_GB2312" w:eastAsia="仿宋_GB2312" w:cs="仿宋_GB2312"/>
          <w:sz w:val="32"/>
          <w:szCs w:val="32"/>
          <w:lang w:val="en-US" w:eastAsia="zh-CN"/>
        </w:rPr>
        <w:t>。</w:t>
      </w:r>
      <w:r>
        <w:rPr>
          <w:rStyle w:val="15"/>
          <w:rFonts w:hint="eastAsia" w:ascii="仿宋" w:eastAsia="仿宋"/>
          <w:b w:val="0"/>
          <w:bCs/>
          <w:color w:val="000000"/>
          <w:sz w:val="32"/>
          <w:szCs w:val="32"/>
        </w:rPr>
        <w:t>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left="0"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3.</w:t>
      </w:r>
      <w:r>
        <w:rPr>
          <w:rStyle w:val="15"/>
          <w:rFonts w:hint="eastAsia" w:ascii="仿宋" w:eastAsia="仿宋"/>
          <w:bCs/>
          <w:color w:val="000000"/>
          <w:sz w:val="32"/>
          <w:szCs w:val="32"/>
        </w:rPr>
        <w:t>一般公共服务（</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政府办公厅（室）及相关机构事务）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信访事务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6.00</w:t>
      </w:r>
      <w:r>
        <w:rPr>
          <w:rStyle w:val="15"/>
          <w:rFonts w:hint="eastAsia" w:ascii="仿宋" w:eastAsia="仿宋"/>
          <w:b w:val="0"/>
          <w:bCs/>
          <w:color w:val="000000"/>
          <w:sz w:val="32"/>
          <w:szCs w:val="32"/>
        </w:rPr>
        <w:t>万元</w:t>
      </w:r>
      <w:r>
        <w:rPr>
          <w:rFonts w:hint="eastAsia" w:ascii="仿宋_GB2312" w:eastAsia="仿宋_GB2312" w:cs="仿宋_GB2312"/>
          <w:sz w:val="32"/>
          <w:szCs w:val="32"/>
          <w:lang w:val="en-US" w:eastAsia="zh-CN"/>
        </w:rPr>
        <w:t>。</w:t>
      </w:r>
      <w:r>
        <w:rPr>
          <w:rStyle w:val="15"/>
          <w:rFonts w:hint="eastAsia" w:ascii="仿宋" w:eastAsia="仿宋"/>
          <w:b w:val="0"/>
          <w:bCs/>
          <w:color w:val="000000"/>
          <w:sz w:val="32"/>
          <w:szCs w:val="32"/>
        </w:rPr>
        <w:t>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4</w:t>
      </w:r>
      <w:r>
        <w:rPr>
          <w:rStyle w:val="15"/>
          <w:rFonts w:ascii="仿宋" w:eastAsia="仿宋"/>
          <w:bCs/>
          <w:color w:val="000000"/>
          <w:sz w:val="32"/>
          <w:szCs w:val="32"/>
        </w:rPr>
        <w:t>.</w:t>
      </w:r>
      <w:r>
        <w:rPr>
          <w:rStyle w:val="15"/>
          <w:rFonts w:hint="eastAsia" w:ascii="仿宋" w:eastAsia="仿宋"/>
          <w:bCs/>
          <w:color w:val="000000"/>
          <w:sz w:val="32"/>
          <w:szCs w:val="32"/>
        </w:rPr>
        <w:t>社会保障和就业（</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行政事业单位离退休</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机关事业单位基本养老保险缴费支出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11.02</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5</w:t>
      </w:r>
      <w:r>
        <w:rPr>
          <w:rStyle w:val="15"/>
          <w:rFonts w:ascii="仿宋" w:eastAsia="仿宋"/>
          <w:bCs/>
          <w:color w:val="000000"/>
          <w:sz w:val="32"/>
          <w:szCs w:val="32"/>
        </w:rPr>
        <w:t>.</w:t>
      </w:r>
      <w:r>
        <w:rPr>
          <w:rStyle w:val="15"/>
          <w:rFonts w:hint="eastAsia" w:ascii="仿宋" w:eastAsia="仿宋"/>
          <w:bCs/>
          <w:color w:val="000000"/>
          <w:sz w:val="32"/>
          <w:szCs w:val="32"/>
        </w:rPr>
        <w:t>社会保障和就业（</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行政事业单位离退休</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机关事业单位职业年金缴费支出（</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lang w:eastAsia="zh-CN"/>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5.51</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rPr>
          <w:rStyle w:val="15"/>
          <w:rFonts w:hint="eastAsia" w:ascii="仿宋" w:eastAsia="仿宋"/>
          <w:b w:val="0"/>
          <w:bCs/>
          <w:color w:val="000000"/>
          <w:sz w:val="32"/>
          <w:szCs w:val="32"/>
        </w:rPr>
      </w:pPr>
      <w:r>
        <w:rPr>
          <w:rFonts w:hint="eastAsia" w:ascii="仿宋" w:eastAsia="仿宋"/>
          <w:b/>
          <w:bCs/>
          <w:color w:val="000000"/>
          <w:sz w:val="32"/>
          <w:szCs w:val="32"/>
          <w:lang w:val="en-US" w:eastAsia="zh-CN"/>
        </w:rPr>
        <w:t xml:space="preserve">    6.</w:t>
      </w:r>
      <w:r>
        <w:rPr>
          <w:rFonts w:hint="eastAsia" w:ascii="仿宋" w:eastAsia="仿宋"/>
          <w:b/>
          <w:bCs/>
          <w:color w:val="000000"/>
          <w:sz w:val="32"/>
          <w:szCs w:val="32"/>
        </w:rPr>
        <w:t>卫生健康</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行政事业单位医疗</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行政单位医疗</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6.90</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 xml:space="preserve">    7.</w:t>
      </w:r>
      <w:r>
        <w:rPr>
          <w:rStyle w:val="15"/>
          <w:rFonts w:hint="eastAsia" w:ascii="仿宋" w:eastAsia="仿宋"/>
          <w:bCs/>
          <w:color w:val="000000"/>
          <w:sz w:val="32"/>
          <w:szCs w:val="32"/>
          <w:lang w:eastAsia="zh-CN"/>
        </w:rPr>
        <w:t>住房保障支出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住房改革支出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住房公积金</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9.34</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firstLine="643" w:firstLineChars="200"/>
        <w:rPr>
          <w:rStyle w:val="15"/>
          <w:rFonts w:ascii="仿宋" w:eastAsia="仿宋"/>
          <w:b w:val="0"/>
          <w:bCs/>
          <w:color w:val="000000"/>
          <w:sz w:val="32"/>
          <w:szCs w:val="32"/>
          <w:lang w:val="en-US" w:eastAsia="zh-CN"/>
        </w:rPr>
      </w:pPr>
      <w:r>
        <w:rPr>
          <w:rStyle w:val="15"/>
          <w:rFonts w:hint="eastAsia" w:ascii="仿宋" w:eastAsia="仿宋"/>
          <w:bCs/>
          <w:color w:val="000000"/>
          <w:sz w:val="32"/>
          <w:szCs w:val="32"/>
          <w:lang w:val="en-US" w:eastAsia="zh-CN"/>
        </w:rPr>
        <w:t>8.农林水支出（类）巩固脱贫衔接乡村振兴（款）其他巩固脱贫衔接乡村振兴支出（项）：</w:t>
      </w:r>
      <w:r>
        <w:rPr>
          <w:rStyle w:val="15"/>
          <w:rFonts w:hint="eastAsia" w:ascii="仿宋" w:eastAsia="仿宋"/>
          <w:b w:val="0"/>
          <w:bCs/>
          <w:color w:val="000000"/>
          <w:sz w:val="32"/>
          <w:szCs w:val="32"/>
          <w:lang w:val="en-US" w:eastAsia="zh-CN"/>
        </w:rPr>
        <w:t>支出决算为1.20万元，完成预算100%。</w:t>
      </w:r>
    </w:p>
    <w:p>
      <w:pPr>
        <w:tabs>
          <w:tab w:val="right" w:pos="8306"/>
        </w:tabs>
        <w:spacing w:line="600" w:lineRule="exact"/>
        <w:ind w:firstLine="640" w:firstLineChars="200"/>
        <w:outlineLvl w:val="1"/>
        <w:rPr>
          <w:rStyle w:val="26"/>
        </w:rPr>
      </w:pPr>
      <w:bookmarkStart w:id="31" w:name="_Toc15396608"/>
      <w:bookmarkStart w:id="32" w:name="_Toc15377214"/>
      <w:r>
        <w:rPr>
          <w:rFonts w:hint="eastAsia" w:ascii="黑体" w:eastAsia="黑体"/>
          <w:color w:val="000000"/>
          <w:sz w:val="32"/>
          <w:szCs w:val="32"/>
        </w:rPr>
        <w:t>六</w:t>
      </w:r>
      <w:r>
        <w:rPr>
          <w:rFonts w:hint="eastAsia" w:ascii="黑体" w:eastAsia="黑体"/>
          <w:b/>
          <w:color w:val="000000"/>
          <w:sz w:val="32"/>
          <w:szCs w:val="32"/>
        </w:rPr>
        <w:t>、一</w:t>
      </w:r>
      <w:r>
        <w:rPr>
          <w:rStyle w:val="26"/>
          <w:rFonts w:hint="eastAsia" w:ascii="黑体" w:eastAsia="黑体"/>
          <w:b w:val="0"/>
        </w:rPr>
        <w:t>般公共预算财政拨款基本支出决算情况说明</w:t>
      </w:r>
      <w:bookmarkEnd w:id="31"/>
      <w:bookmarkEnd w:id="32"/>
      <w:r>
        <w:rPr>
          <w:rStyle w:val="26"/>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145.19</w:t>
      </w:r>
      <w:r>
        <w:rPr>
          <w:rFonts w:hint="eastAsia" w:ascii="仿宋" w:eastAsia="仿宋"/>
          <w:color w:val="000000"/>
          <w:sz w:val="32"/>
          <w:szCs w:val="32"/>
        </w:rPr>
        <w:t>万元，其中：</w:t>
      </w:r>
    </w:p>
    <w:p>
      <w:pPr>
        <w:spacing w:line="600" w:lineRule="exact"/>
        <w:ind w:firstLine="645"/>
        <w:rPr>
          <w:rFonts w:hint="eastAsia" w:ascii="仿宋" w:eastAsia="仿宋"/>
          <w:color w:val="000000"/>
          <w:sz w:val="32"/>
          <w:szCs w:val="32"/>
        </w:rPr>
      </w:pPr>
      <w:r>
        <w:rPr>
          <w:rFonts w:hint="eastAsia" w:ascii="仿宋" w:eastAsia="仿宋"/>
          <w:b/>
          <w:bCs/>
          <w:color w:val="000000"/>
          <w:sz w:val="32"/>
          <w:szCs w:val="32"/>
        </w:rPr>
        <w:t>人员经费</w:t>
      </w:r>
      <w:r>
        <w:rPr>
          <w:rFonts w:hint="eastAsia" w:ascii="仿宋" w:eastAsia="仿宋"/>
          <w:b/>
          <w:bCs/>
          <w:color w:val="000000"/>
          <w:sz w:val="32"/>
          <w:szCs w:val="32"/>
          <w:lang w:val="en-US" w:eastAsia="zh-CN"/>
        </w:rPr>
        <w:t>131.70</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主要包括：基本工资、津贴补贴、奖金、绩效工资、机关事业单位基本养老保险缴费、职业年金缴费、</w:t>
      </w:r>
      <w:r>
        <w:rPr>
          <w:rFonts w:hint="eastAsia" w:ascii="仿宋" w:eastAsia="仿宋"/>
          <w:color w:val="000000"/>
          <w:sz w:val="32"/>
          <w:szCs w:val="32"/>
          <w:lang w:eastAsia="zh-CN"/>
        </w:rPr>
        <w:t>职工基本医疗保险缴费、</w:t>
      </w:r>
      <w:r>
        <w:rPr>
          <w:rFonts w:hint="eastAsia" w:ascii="仿宋" w:eastAsia="仿宋"/>
          <w:color w:val="000000"/>
          <w:sz w:val="32"/>
          <w:szCs w:val="32"/>
        </w:rPr>
        <w:t>其他社会保障缴费、住房公积金、</w:t>
      </w:r>
      <w:r>
        <w:rPr>
          <w:rFonts w:hint="eastAsia" w:ascii="仿宋" w:eastAsia="仿宋"/>
          <w:color w:val="000000"/>
          <w:sz w:val="32"/>
          <w:szCs w:val="32"/>
          <w:lang w:eastAsia="zh-CN"/>
        </w:rPr>
        <w:t>医疗费、其他对个人和家庭的补助支出等</w:t>
      </w:r>
      <w:r>
        <w:rPr>
          <w:rFonts w:hint="eastAsia" w:ascii="仿宋" w:eastAsia="仿宋"/>
          <w:color w:val="000000"/>
          <w:sz w:val="32"/>
          <w:szCs w:val="32"/>
        </w:rPr>
        <w:t>。</w:t>
      </w:r>
    </w:p>
    <w:p>
      <w:pPr>
        <w:spacing w:line="600" w:lineRule="exact"/>
        <w:ind w:firstLine="645"/>
        <w:rPr>
          <w:rFonts w:ascii="仿宋" w:eastAsia="仿宋"/>
          <w:color w:val="000000"/>
          <w:sz w:val="32"/>
          <w:szCs w:val="32"/>
        </w:rPr>
      </w:pPr>
      <w:r>
        <w:rPr>
          <w:rFonts w:hint="eastAsia" w:ascii="仿宋" w:eastAsia="仿宋"/>
          <w:b/>
          <w:bCs/>
          <w:color w:val="000000"/>
          <w:sz w:val="32"/>
          <w:szCs w:val="32"/>
        </w:rPr>
        <w:t>日常公用经费</w:t>
      </w:r>
      <w:r>
        <w:rPr>
          <w:rFonts w:hint="eastAsia" w:ascii="仿宋" w:eastAsia="仿宋"/>
          <w:b/>
          <w:bCs/>
          <w:color w:val="000000"/>
          <w:sz w:val="32"/>
          <w:szCs w:val="32"/>
          <w:lang w:val="en-US" w:eastAsia="zh-CN"/>
        </w:rPr>
        <w:t>13.49</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主要包括：办公费、印刷费、电费、邮电费、差旅费、维修（护）费、租赁费、培训费、公务接待费、劳务费、公务用车运行维护费、其他交通费。</w:t>
      </w:r>
    </w:p>
    <w:p>
      <w:pPr>
        <w:spacing w:line="600" w:lineRule="exact"/>
        <w:ind w:firstLine="640"/>
        <w:outlineLvl w:val="1"/>
        <w:rPr>
          <w:rStyle w:val="26"/>
          <w:rFonts w:ascii="黑体" w:eastAsia="黑体"/>
          <w:b w:val="0"/>
        </w:rPr>
      </w:pPr>
      <w:bookmarkStart w:id="33" w:name="_Toc15396609"/>
      <w:bookmarkStart w:id="34" w:name="_Toc15377215"/>
      <w:r>
        <w:rPr>
          <w:rFonts w:hint="eastAsia" w:ascii="黑体" w:eastAsia="黑体"/>
          <w:color w:val="000000"/>
          <w:sz w:val="32"/>
          <w:szCs w:val="32"/>
        </w:rPr>
        <w:t>七、</w:t>
      </w:r>
      <w:r>
        <w:rPr>
          <w:rStyle w:val="26"/>
          <w:rFonts w:hint="eastAsia" w:ascii="黑体" w:eastAsia="黑体"/>
        </w:rPr>
        <w:t>“</w:t>
      </w:r>
      <w:r>
        <w:rPr>
          <w:rStyle w:val="26"/>
          <w:rFonts w:hint="eastAsia" w:ascii="黑体" w:eastAsia="黑体"/>
          <w:b w:val="0"/>
        </w:rPr>
        <w:t>三公”经费财政拨款支出决算情况说明</w:t>
      </w:r>
      <w:bookmarkEnd w:id="33"/>
      <w:bookmarkEnd w:id="34"/>
    </w:p>
    <w:p>
      <w:pPr>
        <w:spacing w:line="600" w:lineRule="exact"/>
        <w:ind w:firstLine="640"/>
        <w:outlineLvl w:val="2"/>
        <w:rPr>
          <w:rFonts w:ascii="仿宋" w:eastAsia="仿宋"/>
          <w:b/>
          <w:color w:val="000000"/>
          <w:sz w:val="32"/>
          <w:szCs w:val="32"/>
        </w:rPr>
      </w:pPr>
      <w:bookmarkStart w:id="35" w:name="_Toc15377216"/>
      <w:r>
        <w:rPr>
          <w:rFonts w:hint="eastAsia" w:ascii="仿宋" w:eastAsia="仿宋"/>
          <w:b/>
          <w:color w:val="000000"/>
          <w:sz w:val="32"/>
          <w:szCs w:val="32"/>
        </w:rPr>
        <w:t>（一）“三公”经费财政拨款支出决算总体情况说明</w:t>
      </w:r>
      <w:bookmarkEnd w:id="35"/>
    </w:p>
    <w:p>
      <w:pPr>
        <w:spacing w:line="600" w:lineRule="exact"/>
        <w:ind w:firstLine="640"/>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1.82</w:t>
      </w:r>
      <w:r>
        <w:rPr>
          <w:rFonts w:hint="eastAsia" w:ascii="仿宋" w:eastAsia="仿宋"/>
          <w:color w:val="000000"/>
          <w:sz w:val="32"/>
          <w:szCs w:val="32"/>
        </w:rPr>
        <w:t>万元，完成预算</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outlineLvl w:val="2"/>
        <w:rPr>
          <w:rFonts w:ascii="仿宋" w:eastAsia="仿宋"/>
          <w:b/>
          <w:color w:val="000000"/>
          <w:sz w:val="32"/>
          <w:szCs w:val="32"/>
        </w:rPr>
      </w:pPr>
      <w:bookmarkStart w:id="36" w:name="_Toc15377217"/>
      <w:r>
        <w:rPr>
          <w:rFonts w:hint="eastAsia" w:ascii="仿宋" w:eastAsia="仿宋"/>
          <w:b/>
          <w:color w:val="000000"/>
          <w:sz w:val="32"/>
          <w:szCs w:val="32"/>
        </w:rPr>
        <w:t>（二）“三公”经费财政拨款支出决算具体情况说明</w:t>
      </w:r>
      <w:bookmarkEnd w:id="36"/>
    </w:p>
    <w:p>
      <w:pPr>
        <w:spacing w:line="600" w:lineRule="exact"/>
        <w:ind w:firstLine="640"/>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年“三公”经费财政拨款支出决算</w:t>
      </w:r>
      <w:r>
        <w:rPr>
          <w:rFonts w:hint="eastAsia" w:ascii="仿宋" w:eastAsia="仿宋"/>
          <w:color w:val="000000"/>
          <w:sz w:val="32"/>
          <w:szCs w:val="32"/>
          <w:lang w:eastAsia="zh-CN"/>
        </w:rPr>
        <w:t>数</w:t>
      </w:r>
      <w:r>
        <w:rPr>
          <w:rFonts w:hint="eastAsia" w:ascii="仿宋" w:eastAsia="仿宋"/>
          <w:color w:val="000000"/>
          <w:sz w:val="32"/>
          <w:szCs w:val="32"/>
        </w:rPr>
        <w:t>，因公出国（境）费支出决算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万元；公务用车购置</w:t>
      </w:r>
      <w:r>
        <w:rPr>
          <w:rFonts w:hint="eastAsia" w:ascii="仿宋" w:eastAsia="仿宋"/>
          <w:color w:val="000000"/>
          <w:sz w:val="32"/>
          <w:szCs w:val="32"/>
          <w:lang w:eastAsia="zh-CN"/>
        </w:rPr>
        <w:t>费</w:t>
      </w:r>
      <w:r>
        <w:rPr>
          <w:rFonts w:hint="eastAsia" w:ascii="仿宋" w:eastAsia="仿宋"/>
          <w:color w:val="000000"/>
          <w:sz w:val="32"/>
          <w:szCs w:val="32"/>
          <w:lang w:val="en-US" w:eastAsia="zh-CN"/>
        </w:rPr>
        <w:t>0万元；</w:t>
      </w:r>
      <w:r>
        <w:rPr>
          <w:rFonts w:hint="eastAsia" w:ascii="仿宋" w:eastAsia="仿宋"/>
          <w:color w:val="000000"/>
          <w:sz w:val="32"/>
          <w:szCs w:val="32"/>
          <w:lang w:eastAsia="zh-CN"/>
        </w:rPr>
        <w:t>公务用车</w:t>
      </w:r>
      <w:r>
        <w:rPr>
          <w:rFonts w:hint="eastAsia" w:ascii="仿宋" w:eastAsia="仿宋"/>
          <w:color w:val="000000"/>
          <w:sz w:val="32"/>
          <w:szCs w:val="32"/>
        </w:rPr>
        <w:t>运行维护费支出决算</w:t>
      </w:r>
      <w:r>
        <w:rPr>
          <w:rFonts w:hint="eastAsia" w:ascii="仿宋" w:eastAsia="仿宋"/>
          <w:color w:val="000000"/>
          <w:sz w:val="32"/>
          <w:szCs w:val="32"/>
          <w:lang w:val="en-US" w:eastAsia="zh-CN"/>
        </w:rPr>
        <w:t>1.75</w:t>
      </w:r>
      <w:r>
        <w:rPr>
          <w:rFonts w:hint="eastAsia" w:ascii="仿宋" w:eastAsia="仿宋"/>
          <w:color w:val="000000"/>
          <w:sz w:val="32"/>
          <w:szCs w:val="32"/>
        </w:rPr>
        <w:t>万元，占</w:t>
      </w:r>
      <w:r>
        <w:rPr>
          <w:rFonts w:hint="eastAsia" w:ascii="仿宋" w:eastAsia="仿宋"/>
          <w:color w:val="000000"/>
          <w:sz w:val="32"/>
          <w:szCs w:val="32"/>
          <w:lang w:val="en-US" w:eastAsia="zh-CN"/>
        </w:rPr>
        <w:t>96.15</w:t>
      </w:r>
      <w:r>
        <w:rPr>
          <w:rFonts w:ascii="仿宋" w:eastAsia="仿宋"/>
          <w:color w:val="000000"/>
          <w:sz w:val="32"/>
          <w:szCs w:val="32"/>
        </w:rPr>
        <w:t>%</w:t>
      </w:r>
      <w:r>
        <w:rPr>
          <w:rFonts w:hint="eastAsia" w:ascii="仿宋" w:eastAsia="仿宋"/>
          <w:color w:val="000000"/>
          <w:sz w:val="32"/>
          <w:szCs w:val="32"/>
        </w:rPr>
        <w:t>；公务接待费支出决算</w:t>
      </w:r>
      <w:r>
        <w:rPr>
          <w:rFonts w:hint="eastAsia" w:ascii="仿宋" w:eastAsia="仿宋"/>
          <w:color w:val="000000"/>
          <w:sz w:val="32"/>
          <w:szCs w:val="32"/>
          <w:lang w:val="en-US" w:eastAsia="zh-CN"/>
        </w:rPr>
        <w:t>0.07</w:t>
      </w:r>
      <w:r>
        <w:rPr>
          <w:rFonts w:hint="eastAsia" w:ascii="仿宋" w:eastAsia="仿宋"/>
          <w:color w:val="000000"/>
          <w:sz w:val="32"/>
          <w:szCs w:val="32"/>
        </w:rPr>
        <w:t>万元，占</w:t>
      </w:r>
      <w:r>
        <w:rPr>
          <w:rFonts w:hint="eastAsia" w:ascii="仿宋" w:eastAsia="仿宋"/>
          <w:color w:val="000000"/>
          <w:sz w:val="32"/>
          <w:szCs w:val="32"/>
          <w:lang w:val="en-US" w:eastAsia="zh-CN"/>
        </w:rPr>
        <w:t>3.85</w:t>
      </w:r>
      <w:r>
        <w:rPr>
          <w:rFonts w:ascii="仿宋" w:eastAsia="仿宋"/>
          <w:color w:val="000000"/>
          <w:sz w:val="32"/>
          <w:szCs w:val="32"/>
        </w:rPr>
        <w:t>%</w:t>
      </w:r>
      <w:r>
        <w:rPr>
          <w:rFonts w:hint="eastAsia" w:ascii="仿宋" w:eastAsia="仿宋"/>
          <w:color w:val="000000"/>
          <w:sz w:val="32"/>
          <w:szCs w:val="32"/>
        </w:rPr>
        <w:t>。具体情况如下：</w:t>
      </w:r>
    </w:p>
    <w:p>
      <w:pPr>
        <w:spacing w:line="600" w:lineRule="exact"/>
        <w:ind w:left="638" w:leftChars="304" w:firstLine="329" w:firstLineChars="103"/>
        <w:rPr>
          <w:rFonts w:hint="eastAsia" w:ascii="仿宋_GB2312" w:eastAsia="仿宋_GB2312" w:cs="仿宋_GB2312"/>
          <w:b/>
          <w:bCs w:val="0"/>
          <w:color w:val="000000"/>
          <w:kern w:val="2"/>
          <w:sz w:val="32"/>
          <w:szCs w:val="32"/>
          <w:lang w:val="en-US" w:eastAsia="zh-CN"/>
        </w:rPr>
      </w:pPr>
      <w:r>
        <w:rPr>
          <w:rFonts w:hint="eastAsia" w:ascii="仿宋_GB2312" w:eastAsia="仿宋_GB2312"/>
          <w:color w:val="000000"/>
          <w:sz w:val="32"/>
          <w:szCs w:val="32"/>
        </w:rPr>
        <w:pict>
          <v:shape id="_x0000_s1030" o:spid="_x0000_s1030" o:spt="75" alt="image6" type="#_x0000_t75" style="position:absolute;left:0pt;margin-left:25.25pt;margin-top:9.05pt;height:171.8pt;width:428.65pt;mso-wrap-distance-bottom:0pt;mso-wrap-distance-left:9pt;mso-wrap-distance-right:9pt;mso-wrap-distance-top:0pt;z-index:251659264;mso-width-relative:page;mso-height-relative:page;" o:ole="t" filled="f" o:preferrelative="t" stroked="f" coordsize="21600,21600">
            <v:path/>
            <v:fill on="f" focussize="0,0"/>
            <v:stroke on="f"/>
            <v:imagedata r:id="rId19" o:title=""/>
            <o:lock v:ext="edit" aspectratio="t"/>
            <w10:wrap type="square"/>
          </v:shape>
          <o:OLEObject Type="Embed" ProgID="Package" ShapeID="_x0000_s1030" DrawAspect="Content" ObjectID="_1468075729" r:id="rId18">
            <o:LockedField>false</o:LockedField>
          </o:OLEObject>
        </w:pict>
      </w:r>
      <w:r>
        <w:rPr>
          <w:rFonts w:hint="eastAsia" w:ascii="仿宋_GB2312" w:eastAsia="仿宋_GB2312"/>
          <w:b/>
          <w:color w:val="000000"/>
          <w:sz w:val="32"/>
          <w:szCs w:val="32"/>
          <w:lang w:val="en-US" w:eastAsia="zh-CN"/>
        </w:rPr>
        <w:t xml:space="preserve">                                                                                                               </w:t>
      </w:r>
      <w:bookmarkStart w:id="75" w:name="_GoBack"/>
      <w:bookmarkEnd w:id="75"/>
      <w:r>
        <w:rPr>
          <w:rFonts w:hint="eastAsia" w:ascii="仿宋_GB2312" w:eastAsia="仿宋_GB2312" w:cs="仿宋_GB2312"/>
          <w:b/>
          <w:bCs w:val="0"/>
          <w:color w:val="000000"/>
          <w:kern w:val="2"/>
          <w:sz w:val="32"/>
          <w:szCs w:val="32"/>
          <w:lang w:val="en-US" w:eastAsia="zh-CN"/>
        </w:rPr>
        <w:t xml:space="preserve">                            </w:t>
      </w:r>
    </w:p>
    <w:p>
      <w:pPr>
        <w:spacing w:line="600" w:lineRule="exact"/>
        <w:ind w:firstLine="643" w:firstLineChars="200"/>
        <w:rPr>
          <w:rFonts w:ascii="仿宋_GB2312" w:eastAsia="仿宋_GB2312"/>
          <w:b/>
          <w:color w:val="000000"/>
          <w:sz w:val="32"/>
          <w:szCs w:val="32"/>
        </w:rPr>
      </w:pPr>
      <w:r>
        <w:rPr>
          <w:rFonts w:hint="eastAsia" w:ascii="仿宋_GB2312" w:eastAsia="仿宋_GB2312"/>
          <w:b/>
          <w:bCs w:val="0"/>
          <w:color w:val="000000"/>
          <w:sz w:val="32"/>
          <w:szCs w:val="32"/>
          <w:lang w:val="en-US" w:eastAsia="zh-CN"/>
        </w:rPr>
        <w:t>1</w:t>
      </w:r>
      <w:r>
        <w:rPr>
          <w:rFonts w:ascii="仿宋_GB2312" w:eastAsia="仿宋_GB2312"/>
          <w:b/>
          <w:bCs w:val="0"/>
          <w:color w:val="000000"/>
          <w:sz w:val="32"/>
          <w:szCs w:val="32"/>
        </w:rPr>
        <w:t>.</w:t>
      </w:r>
      <w:r>
        <w:rPr>
          <w:rFonts w:hint="eastAsia" w:ascii="仿宋_GB2312" w:eastAsia="仿宋_GB2312" w:cs="仿宋_GB2312"/>
          <w:b/>
          <w:bCs w:val="0"/>
          <w:color w:val="000000"/>
          <w:kern w:val="2"/>
          <w:sz w:val="32"/>
          <w:szCs w:val="32"/>
          <w:lang w:val="en-US" w:eastAsia="zh-CN"/>
        </w:rPr>
        <w:t>因公出国（境）经费支出0万元，</w:t>
      </w:r>
      <w:r>
        <w:rPr>
          <w:rFonts w:hint="eastAsia" w:ascii="仿宋_GB2312" w:eastAsia="仿宋_GB2312" w:cs="仿宋_GB2312"/>
          <w:b w:val="0"/>
          <w:bCs/>
          <w:color w:val="000000"/>
          <w:kern w:val="2"/>
          <w:sz w:val="32"/>
          <w:szCs w:val="32"/>
          <w:lang w:val="en-US" w:eastAsia="zh-CN"/>
        </w:rPr>
        <w:t>同</w:t>
      </w:r>
      <w:r>
        <w:rPr>
          <w:rFonts w:hint="eastAsia" w:ascii="仿宋_GB2312" w:eastAsia="仿宋_GB2312"/>
          <w:b w:val="0"/>
          <w:bCs/>
          <w:color w:val="000000"/>
          <w:sz w:val="32"/>
          <w:szCs w:val="32"/>
        </w:rPr>
        <w:t>比</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无变化，</w:t>
      </w:r>
      <w:r>
        <w:rPr>
          <w:rFonts w:hint="eastAsia" w:ascii="仿宋_GB2312" w:eastAsia="仿宋_GB2312" w:cs="仿宋_GB2312"/>
          <w:color w:val="000000"/>
          <w:kern w:val="2"/>
          <w:sz w:val="32"/>
          <w:szCs w:val="32"/>
          <w:lang w:val="en-US" w:eastAsia="zh-CN"/>
        </w:rPr>
        <w:t>全年安排因公出国（境）团组0次，出国（境）0人。</w:t>
      </w:r>
      <w:r>
        <w:rPr>
          <w:rFonts w:hint="eastAsia" w:ascii="仿宋_GB2312" w:eastAsia="仿宋_GB2312"/>
          <w:b/>
          <w:color w:val="000000"/>
          <w:sz w:val="32"/>
          <w:szCs w:val="32"/>
          <w:lang w:val="en-US" w:eastAsia="zh-CN"/>
        </w:rPr>
        <w:t xml:space="preserve">                                                       </w:t>
      </w:r>
    </w:p>
    <w:p>
      <w:pPr>
        <w:spacing w:line="600" w:lineRule="exact"/>
        <w:ind w:firstLine="640"/>
        <w:rPr>
          <w:rFonts w:hint="eastAsia" w:ascii="仿宋_GB2312" w:eastAsia="仿宋_GB2312"/>
          <w:b/>
          <w:color w:val="000000"/>
          <w:sz w:val="32"/>
          <w:szCs w:val="32"/>
          <w:lang w:eastAsia="zh-CN"/>
        </w:rPr>
      </w:pPr>
      <w:r>
        <w:rPr>
          <w:rFonts w:ascii="仿宋_GB2312" w:eastAsia="仿宋_GB2312"/>
          <w:b/>
          <w:bCs w:val="0"/>
          <w:color w:val="000000"/>
          <w:sz w:val="32"/>
          <w:szCs w:val="32"/>
        </w:rPr>
        <w:t>2.</w:t>
      </w:r>
      <w:r>
        <w:rPr>
          <w:rFonts w:hint="eastAsia" w:ascii="仿宋_GB2312" w:eastAsia="仿宋_GB2312"/>
          <w:b/>
          <w:bCs w:val="0"/>
          <w:color w:val="000000"/>
          <w:sz w:val="32"/>
          <w:szCs w:val="32"/>
        </w:rPr>
        <w:t>公务用车购置运行维护费支出</w:t>
      </w:r>
      <w:r>
        <w:rPr>
          <w:rFonts w:hint="eastAsia" w:ascii="仿宋_GB2312" w:eastAsia="仿宋_GB2312"/>
          <w:b/>
          <w:bCs w:val="0"/>
          <w:color w:val="000000"/>
          <w:sz w:val="32"/>
          <w:szCs w:val="32"/>
          <w:lang w:val="en-US" w:eastAsia="zh-CN"/>
        </w:rPr>
        <w:t>1.75</w:t>
      </w:r>
      <w:r>
        <w:rPr>
          <w:rFonts w:hint="eastAsia" w:ascii="仿宋_GB2312" w:eastAsia="仿宋_GB2312"/>
          <w:b/>
          <w:bCs w:val="0"/>
          <w:color w:val="000000"/>
          <w:sz w:val="32"/>
          <w:szCs w:val="32"/>
        </w:rPr>
        <w:t>万元,</w:t>
      </w:r>
      <w:r>
        <w:rPr>
          <w:rStyle w:val="15"/>
          <w:rFonts w:hint="eastAsia" w:ascii="仿宋" w:eastAsia="仿宋"/>
          <w:b/>
          <w:bCs w:val="0"/>
          <w:color w:val="000000"/>
          <w:sz w:val="32"/>
          <w:szCs w:val="32"/>
        </w:rPr>
        <w:t>完成预算</w:t>
      </w:r>
      <w:r>
        <w:rPr>
          <w:rStyle w:val="15"/>
          <w:rFonts w:hint="eastAsia" w:ascii="仿宋" w:eastAsia="仿宋"/>
          <w:b/>
          <w:bCs w:val="0"/>
          <w:color w:val="000000"/>
          <w:sz w:val="32"/>
          <w:szCs w:val="32"/>
          <w:lang w:val="en-US" w:eastAsia="zh-CN"/>
        </w:rPr>
        <w:t>100</w:t>
      </w:r>
      <w:r>
        <w:rPr>
          <w:rStyle w:val="15"/>
          <w:rFonts w:ascii="仿宋" w:eastAsia="仿宋"/>
          <w:b/>
          <w:bCs w:val="0"/>
          <w:color w:val="000000"/>
          <w:sz w:val="32"/>
          <w:szCs w:val="32"/>
        </w:rPr>
        <w:t>%</w:t>
      </w:r>
      <w:r>
        <w:rPr>
          <w:rStyle w:val="15"/>
          <w:rFonts w:hint="eastAsia" w:ascii="仿宋" w:eastAsia="仿宋"/>
          <w:b/>
          <w:bCs w:val="0"/>
          <w:color w:val="000000"/>
          <w:sz w:val="32"/>
          <w:szCs w:val="32"/>
        </w:rPr>
        <w:t>。</w:t>
      </w:r>
      <w:r>
        <w:rPr>
          <w:rFonts w:hint="eastAsia" w:ascii="仿宋_GB2312" w:eastAsia="仿宋_GB2312"/>
          <w:color w:val="000000"/>
          <w:sz w:val="32"/>
          <w:szCs w:val="32"/>
        </w:rPr>
        <w:t>公务用车购置运行维护费支出决算比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0.09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增长</w:t>
      </w:r>
      <w:r>
        <w:rPr>
          <w:rFonts w:hint="eastAsia" w:ascii="仿宋_GB2312" w:eastAsia="仿宋_GB2312"/>
          <w:color w:val="000000"/>
          <w:sz w:val="32"/>
          <w:szCs w:val="32"/>
          <w:lang w:val="en-US" w:eastAsia="zh-CN"/>
        </w:rPr>
        <w:t>5.42</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出差下乡增加。</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val="0"/>
          <w:bCs/>
          <w:color w:val="000000"/>
          <w:sz w:val="32"/>
          <w:szCs w:val="32"/>
        </w:rPr>
        <w:t>公务用车购置支出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w:t>
      </w:r>
      <w:r>
        <w:rPr>
          <w:rFonts w:hint="eastAsia" w:ascii="仿宋_GB2312" w:eastAsia="仿宋_GB2312"/>
          <w:color w:val="000000"/>
          <w:sz w:val="32"/>
          <w:szCs w:val="32"/>
        </w:rPr>
        <w:t>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0万</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val="0"/>
          <w:bCs/>
          <w:color w:val="000000"/>
          <w:sz w:val="32"/>
          <w:szCs w:val="32"/>
        </w:rPr>
        <w:t>公务用车运行维护费支出</w:t>
      </w:r>
      <w:r>
        <w:rPr>
          <w:rFonts w:hint="eastAsia" w:ascii="仿宋_GB2312" w:eastAsia="仿宋_GB2312"/>
          <w:b w:val="0"/>
          <w:bCs/>
          <w:color w:val="000000"/>
          <w:sz w:val="32"/>
          <w:szCs w:val="32"/>
          <w:lang w:val="en-US" w:eastAsia="zh-CN"/>
        </w:rPr>
        <w:t>1.75</w:t>
      </w:r>
      <w:r>
        <w:rPr>
          <w:rFonts w:hint="eastAsia" w:ascii="仿宋_GB2312" w:eastAsia="仿宋_GB2312"/>
          <w:b w:val="0"/>
          <w:bCs/>
          <w:color w:val="000000"/>
          <w:sz w:val="32"/>
          <w:szCs w:val="32"/>
        </w:rPr>
        <w:t>万元。</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矛盾纠纷排查化解、协调处理信访事项、维稳</w:t>
      </w:r>
      <w:r>
        <w:rPr>
          <w:rFonts w:hint="eastAsia" w:ascii="仿宋_GB2312" w:eastAsia="仿宋_GB2312"/>
          <w:color w:val="000000"/>
          <w:sz w:val="32"/>
          <w:szCs w:val="32"/>
        </w:rPr>
        <w:t>等所需的公务用车燃料费、维修费、过路过桥费、保险费等支出。</w:t>
      </w:r>
    </w:p>
    <w:p>
      <w:pPr>
        <w:rPr>
          <w:rFonts w:hint="eastAsia" w:ascii="仿宋_GB2312" w:eastAsia="仿宋_GB2312" w:cs="仿宋_GB2312"/>
          <w:sz w:val="32"/>
          <w:szCs w:val="32"/>
        </w:rPr>
      </w:pPr>
      <w:bookmarkStart w:id="37" w:name="_Toc15396612"/>
      <w:bookmarkStart w:id="38" w:name="_Toc15377221"/>
      <w:r>
        <w:rPr>
          <w:rFonts w:hint="eastAsia" w:ascii="仿宋_GB2312" w:eastAsia="仿宋_GB2312" w:cs="仿宋_GB2312"/>
          <w:sz w:val="32"/>
          <w:szCs w:val="32"/>
          <w:lang w:val="en-US" w:eastAsia="zh-CN"/>
        </w:rPr>
        <w:t xml:space="preserve">    </w:t>
      </w:r>
      <w:r>
        <w:rPr>
          <w:rFonts w:hint="eastAsia" w:ascii="仿宋_GB2312" w:eastAsia="仿宋_GB2312" w:cs="仿宋_GB2312"/>
          <w:b/>
          <w:bCs/>
          <w:sz w:val="32"/>
          <w:szCs w:val="32"/>
        </w:rPr>
        <w:t>3.公务接待费支出</w:t>
      </w:r>
      <w:r>
        <w:rPr>
          <w:rFonts w:hint="eastAsia" w:ascii="仿宋_GB2312" w:eastAsia="仿宋_GB2312" w:cs="仿宋_GB2312"/>
          <w:b/>
          <w:bCs/>
          <w:sz w:val="32"/>
          <w:szCs w:val="32"/>
          <w:lang w:val="en-US" w:eastAsia="zh-CN"/>
        </w:rPr>
        <w:t>0.07</w:t>
      </w:r>
      <w:r>
        <w:rPr>
          <w:rFonts w:hint="eastAsia" w:ascii="仿宋_GB2312" w:eastAsia="仿宋_GB2312" w:cs="仿宋_GB2312"/>
          <w:b/>
          <w:bCs/>
          <w:sz w:val="32"/>
          <w:szCs w:val="32"/>
        </w:rPr>
        <w:t>万元，完成预算</w:t>
      </w:r>
      <w:r>
        <w:rPr>
          <w:rFonts w:hint="eastAsia" w:ascii="仿宋_GB2312" w:eastAsia="仿宋_GB2312" w:cs="仿宋_GB2312"/>
          <w:b/>
          <w:bCs/>
          <w:sz w:val="32"/>
          <w:szCs w:val="32"/>
          <w:lang w:val="en-US" w:eastAsia="zh-CN"/>
        </w:rPr>
        <w:t>100</w:t>
      </w:r>
      <w:r>
        <w:rPr>
          <w:rFonts w:hint="eastAsia" w:ascii="仿宋_GB2312" w:eastAsia="仿宋_GB2312" w:cs="仿宋_GB2312"/>
          <w:b/>
          <w:bCs/>
          <w:sz w:val="32"/>
          <w:szCs w:val="32"/>
        </w:rPr>
        <w:t>%。</w:t>
      </w:r>
      <w:r>
        <w:rPr>
          <w:rFonts w:hint="eastAsia" w:ascii="仿宋_GB2312" w:eastAsia="仿宋_GB2312" w:cs="仿宋_GB2312"/>
          <w:sz w:val="32"/>
          <w:szCs w:val="32"/>
        </w:rPr>
        <w:t>公务接待费支出决算比20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年减少</w:t>
      </w:r>
      <w:r>
        <w:rPr>
          <w:rFonts w:hint="eastAsia" w:ascii="仿宋_GB2312" w:eastAsia="仿宋_GB2312" w:cs="仿宋_GB2312"/>
          <w:sz w:val="32"/>
          <w:szCs w:val="32"/>
          <w:lang w:val="en-US" w:eastAsia="zh-CN"/>
        </w:rPr>
        <w:t>0.10</w:t>
      </w:r>
      <w:r>
        <w:rPr>
          <w:rFonts w:hint="eastAsia" w:ascii="仿宋_GB2312" w:eastAsia="仿宋_GB2312" w:cs="仿宋_GB2312"/>
          <w:sz w:val="32"/>
          <w:szCs w:val="32"/>
        </w:rPr>
        <w:t>万元，下降</w:t>
      </w:r>
      <w:r>
        <w:rPr>
          <w:rFonts w:hint="eastAsia" w:ascii="仿宋_GB2312" w:eastAsia="仿宋_GB2312" w:cs="仿宋_GB2312"/>
          <w:sz w:val="32"/>
          <w:szCs w:val="32"/>
          <w:lang w:val="en-US" w:eastAsia="zh-CN"/>
        </w:rPr>
        <w:t>58.82</w:t>
      </w:r>
      <w:r>
        <w:rPr>
          <w:rFonts w:hint="eastAsia" w:ascii="仿宋_GB2312" w:eastAsia="仿宋_GB2312" w:cs="仿宋_GB2312"/>
          <w:sz w:val="32"/>
          <w:szCs w:val="32"/>
        </w:rPr>
        <w:t>%。主要原因是进一步落实</w:t>
      </w:r>
      <w:r>
        <w:rPr>
          <w:rFonts w:hint="eastAsia" w:ascii="仿宋_GB2312" w:eastAsia="仿宋_GB2312" w:cs="仿宋_GB2312"/>
          <w:sz w:val="32"/>
          <w:szCs w:val="32"/>
          <w:lang w:eastAsia="zh-CN"/>
        </w:rPr>
        <w:t>中央</w:t>
      </w:r>
      <w:r>
        <w:rPr>
          <w:rFonts w:hint="eastAsia" w:ascii="仿宋_GB2312" w:eastAsia="仿宋_GB2312" w:cs="仿宋_GB2312"/>
          <w:sz w:val="32"/>
          <w:szCs w:val="32"/>
        </w:rPr>
        <w:t>“八项规定”要求，严格控制接待标准，厉行节约，减少公务接待支出。其中：</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国内公务接待支出</w:t>
      </w:r>
      <w:r>
        <w:rPr>
          <w:rFonts w:hint="eastAsia" w:ascii="仿宋_GB2312" w:eastAsia="仿宋_GB2312" w:cs="仿宋_GB2312"/>
          <w:sz w:val="32"/>
          <w:szCs w:val="32"/>
          <w:lang w:val="en-US" w:eastAsia="zh-CN"/>
        </w:rPr>
        <w:t>0.07</w:t>
      </w:r>
      <w:r>
        <w:rPr>
          <w:rFonts w:hint="eastAsia" w:ascii="仿宋_GB2312" w:eastAsia="仿宋_GB2312" w:cs="仿宋_GB2312"/>
          <w:sz w:val="32"/>
          <w:szCs w:val="32"/>
        </w:rPr>
        <w:t>万元，主要用于执行公务、开展业务活动开支</w:t>
      </w:r>
      <w:r>
        <w:rPr>
          <w:rFonts w:hint="eastAsia" w:ascii="仿宋_GB2312" w:eastAsia="仿宋_GB2312" w:cs="仿宋_GB2312"/>
          <w:sz w:val="32"/>
          <w:szCs w:val="32"/>
          <w:lang w:eastAsia="zh-CN"/>
        </w:rPr>
        <w:t>的</w:t>
      </w:r>
      <w:r>
        <w:rPr>
          <w:rFonts w:hint="eastAsia" w:ascii="仿宋_GB2312" w:eastAsia="仿宋_GB2312" w:cs="仿宋_GB2312"/>
          <w:sz w:val="32"/>
          <w:szCs w:val="32"/>
        </w:rPr>
        <w:t>餐费。国内公务接待</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批次，</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人次（不包括陪同人员），共计支出</w:t>
      </w:r>
      <w:r>
        <w:rPr>
          <w:rFonts w:hint="eastAsia" w:ascii="仿宋_GB2312" w:eastAsia="仿宋_GB2312" w:cs="仿宋_GB2312"/>
          <w:sz w:val="32"/>
          <w:szCs w:val="32"/>
          <w:lang w:val="en-US" w:eastAsia="zh-CN"/>
        </w:rPr>
        <w:t>0.07</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，接待上级部门调研、督查、业务指导等。</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外事接待支出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万元，外事接待0批次，0人</w:t>
      </w:r>
      <w:r>
        <w:rPr>
          <w:rFonts w:hint="eastAsia" w:ascii="仿宋_GB2312" w:eastAsia="仿宋_GB2312" w:cs="仿宋_GB2312"/>
          <w:sz w:val="32"/>
          <w:szCs w:val="32"/>
          <w:lang w:eastAsia="zh-CN"/>
        </w:rPr>
        <w:t>次</w:t>
      </w:r>
      <w:r>
        <w:rPr>
          <w:rFonts w:hint="eastAsia" w:ascii="仿宋_GB2312" w:eastAsia="仿宋_GB2312" w:cs="仿宋_GB2312"/>
          <w:sz w:val="32"/>
          <w:szCs w:val="32"/>
        </w:rPr>
        <w:t>，共计支出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八、政府性基金预算支出决算情况说明</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年政府性基金预算拨款支出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pPr>
        <w:rPr>
          <w:rFonts w:hint="eastAsia" w:ascii="黑体" w:eastAsia="黑体" w:cs="黑体"/>
          <w:b w:val="0"/>
          <w:bCs w:val="0"/>
          <w:sz w:val="32"/>
          <w:szCs w:val="32"/>
        </w:rPr>
      </w:pPr>
      <w:r>
        <w:rPr>
          <w:rFonts w:hint="eastAsia" w:ascii="仿宋_GB2312" w:eastAsia="仿宋_GB2312" w:cs="仿宋_GB2312"/>
          <w:sz w:val="32"/>
          <w:szCs w:val="32"/>
          <w:lang w:val="en-US" w:eastAsia="zh-CN"/>
        </w:rPr>
        <w:t xml:space="preserve">    </w:t>
      </w:r>
      <w:r>
        <w:rPr>
          <w:rFonts w:hint="eastAsia" w:ascii="黑体" w:eastAsia="黑体" w:cs="黑体"/>
          <w:b w:val="0"/>
          <w:bCs w:val="0"/>
          <w:sz w:val="32"/>
          <w:szCs w:val="32"/>
        </w:rPr>
        <w:t>九、国有资本经营预算支出决算情况说明</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年国有资本经营预算拨款支出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pPr>
        <w:spacing w:line="600" w:lineRule="exact"/>
        <w:ind w:firstLine="640" w:firstLineChars="200"/>
        <w:outlineLvl w:val="1"/>
        <w:rPr>
          <w:rStyle w:val="26"/>
          <w:rFonts w:ascii="黑体" w:eastAsia="黑体"/>
        </w:rPr>
      </w:pPr>
      <w:r>
        <w:rPr>
          <w:rFonts w:hint="eastAsia" w:ascii="黑体" w:eastAsia="黑体"/>
          <w:color w:val="000000"/>
          <w:sz w:val="32"/>
          <w:szCs w:val="32"/>
        </w:rPr>
        <w:t>十</w:t>
      </w:r>
      <w:r>
        <w:rPr>
          <w:rStyle w:val="26"/>
          <w:rFonts w:hint="eastAsia" w:ascii="黑体" w:eastAsia="黑体"/>
        </w:rPr>
        <w:t>、</w:t>
      </w:r>
      <w:r>
        <w:rPr>
          <w:rStyle w:val="26"/>
          <w:rFonts w:hint="eastAsia" w:ascii="黑体" w:eastAsia="黑体"/>
          <w:b w:val="0"/>
        </w:rPr>
        <w:t>其他重要事项的情况说明</w:t>
      </w:r>
      <w:bookmarkEnd w:id="37"/>
      <w:bookmarkEnd w:id="38"/>
    </w:p>
    <w:p>
      <w:pPr>
        <w:spacing w:line="600" w:lineRule="exact"/>
        <w:ind w:firstLine="643" w:firstLineChars="200"/>
        <w:outlineLvl w:val="2"/>
        <w:rPr>
          <w:rFonts w:hint="eastAsia" w:ascii="楷体_GB2312" w:eastAsia="楷体_GB2312" w:cs="楷体_GB2312"/>
          <w:color w:val="000000"/>
          <w:sz w:val="32"/>
          <w:szCs w:val="32"/>
        </w:rPr>
      </w:pPr>
      <w:bookmarkStart w:id="39" w:name="_Toc15377222"/>
      <w:r>
        <w:rPr>
          <w:rFonts w:hint="eastAsia" w:ascii="楷体_GB2312" w:eastAsia="楷体_GB2312" w:cs="楷体_GB2312"/>
          <w:b/>
          <w:color w:val="000000"/>
          <w:sz w:val="32"/>
          <w:szCs w:val="32"/>
        </w:rPr>
        <w:t>（一）机关运行经费支出情况</w:t>
      </w:r>
      <w:bookmarkEnd w:id="39"/>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四川省阿坝州茂县信访局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13.49</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0.47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3.37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开展勤俭节约，创建节约型机关。</w:t>
      </w:r>
    </w:p>
    <w:p>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bookmarkStart w:id="40" w:name="_Toc15377223"/>
      <w:r>
        <w:rPr>
          <w:rFonts w:hint="eastAsia" w:ascii="楷体_GB2312" w:eastAsia="楷体_GB2312" w:cs="楷体_GB2312"/>
          <w:b/>
          <w:color w:val="000000"/>
          <w:sz w:val="32"/>
          <w:szCs w:val="32"/>
        </w:rPr>
        <w:t>（二）政府采购支出情况</w:t>
      </w:r>
      <w:bookmarkEnd w:id="4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信访局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bookmarkStart w:id="41" w:name="_Toc15377224"/>
      <w:r>
        <w:rPr>
          <w:rFonts w:hint="eastAsia" w:ascii="楷体_GB2312" w:eastAsia="楷体_GB2312" w:cs="楷体_GB2312"/>
          <w:b/>
          <w:color w:val="000000"/>
          <w:sz w:val="32"/>
          <w:szCs w:val="32"/>
        </w:rPr>
        <w:t>（三）国有资产占有使用情况</w:t>
      </w:r>
      <w:bookmarkEnd w:id="41"/>
    </w:p>
    <w:p>
      <w:pPr>
        <w:autoSpaceDE w:val="0"/>
        <w:autoSpaceDN w:val="0"/>
        <w:adjustRightInd w:val="0"/>
        <w:spacing w:line="60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信访局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 xml:space="preserve"> </w:t>
      </w:r>
    </w:p>
    <w:p>
      <w:pPr>
        <w:autoSpaceDE w:val="0"/>
        <w:autoSpaceDN w:val="0"/>
        <w:adjustRightInd w:val="0"/>
        <w:spacing w:line="600" w:lineRule="exact"/>
        <w:ind w:firstLine="643" w:firstLineChars="200"/>
        <w:jc w:val="left"/>
        <w:rPr>
          <w:rFonts w:hint="eastAsia" w:ascii="仿宋" w:eastAsia="仿宋"/>
          <w:b/>
          <w:bCs/>
          <w:color w:val="000000"/>
          <w:sz w:val="32"/>
          <w:szCs w:val="32"/>
        </w:rPr>
      </w:pPr>
      <w:r>
        <w:rPr>
          <w:rFonts w:hint="eastAsia" w:ascii="楷体_GB2312" w:eastAsia="楷体_GB2312" w:cs="楷体_GB2312"/>
          <w:b/>
          <w:bCs/>
          <w:color w:val="000000"/>
          <w:sz w:val="32"/>
          <w:szCs w:val="32"/>
          <w:lang w:val="en-US" w:eastAsia="zh-CN"/>
        </w:rPr>
        <w:t>（四）</w:t>
      </w:r>
      <w:r>
        <w:rPr>
          <w:rFonts w:hint="eastAsia" w:ascii="楷体_GB2312" w:eastAsia="楷体_GB2312" w:cs="楷体_GB2312"/>
          <w:b/>
          <w:bCs/>
          <w:color w:val="000000"/>
          <w:sz w:val="32"/>
          <w:szCs w:val="32"/>
        </w:rPr>
        <w:t>预算绩效管理情况</w:t>
      </w:r>
    </w:p>
    <w:p>
      <w:pPr>
        <w:widowControl/>
        <w:adjustRightInd w:val="0"/>
        <w:snapToGrid w:val="0"/>
        <w:spacing w:line="580" w:lineRule="exact"/>
        <w:ind w:firstLine="640" w:firstLineChars="200"/>
        <w:contextualSpacing/>
        <w:jc w:val="left"/>
        <w:rPr>
          <w:rFonts w:hint="eastAsia" w:ascii="黑体" w:eastAsia="黑体"/>
          <w:color w:val="000000"/>
          <w:sz w:val="44"/>
          <w:szCs w:val="44"/>
          <w:lang w:eastAsia="zh-CN"/>
        </w:rPr>
      </w:pPr>
      <w:bookmarkStart w:id="42" w:name="_Toc15377225"/>
      <w:bookmarkStart w:id="43" w:name="_Toc15396613"/>
      <w:r>
        <w:rPr>
          <w:rFonts w:hint="eastAsia" w:ascii="仿宋_GB2312" w:hAnsi="宋体" w:eastAsia="仿宋_GB2312" w:cs="宋体"/>
          <w:color w:val="000000"/>
          <w:kern w:val="0"/>
          <w:sz w:val="32"/>
          <w:szCs w:val="32"/>
          <w:shd w:val="clear" w:color="auto" w:fill="FFFFFF"/>
          <w:lang w:val="zh-CN"/>
        </w:rPr>
        <w:t>我局高度重视财政资金的支出绩效管理，在资金预算、审批、执行、支付等方面做到了层层把关，按照省、州、县财政局下发各项文件规定执行，严格执行财政支出管理制度，控制一般性支出，严把预算支出管理，厉行节约，进一步降低了行政运行成本。根据</w:t>
      </w:r>
      <w:r>
        <w:rPr>
          <w:rFonts w:hint="eastAsia" w:ascii="仿宋_GB2312" w:hAnsi="宋体" w:eastAsia="仿宋_GB2312" w:cs="宋体"/>
          <w:color w:val="000000"/>
          <w:kern w:val="0"/>
          <w:sz w:val="32"/>
          <w:szCs w:val="32"/>
          <w:shd w:val="clear" w:color="auto" w:fill="FFFFFF"/>
          <w:lang w:val="en-US" w:eastAsia="zh-CN"/>
        </w:rPr>
        <w:t>2022年度县级</w:t>
      </w:r>
      <w:r>
        <w:rPr>
          <w:rFonts w:hint="eastAsia" w:ascii="仿宋_GB2312" w:hAnsi="宋体" w:eastAsia="仿宋_GB2312" w:cs="宋体"/>
          <w:color w:val="000000"/>
          <w:kern w:val="0"/>
          <w:sz w:val="32"/>
          <w:szCs w:val="32"/>
          <w:shd w:val="clear" w:color="auto" w:fill="FFFFFF"/>
          <w:lang w:val="zh-CN"/>
        </w:rPr>
        <w:t>部门整体支出绩效评价指标体系，自评综合得分</w:t>
      </w:r>
      <w:r>
        <w:rPr>
          <w:rFonts w:hint="eastAsia" w:ascii="仿宋_GB2312" w:hAnsi="宋体" w:eastAsia="仿宋_GB2312" w:cs="宋体"/>
          <w:color w:val="000000"/>
          <w:kern w:val="0"/>
          <w:sz w:val="32"/>
          <w:szCs w:val="32"/>
          <w:shd w:val="clear" w:color="auto" w:fill="FFFFFF"/>
          <w:lang w:val="en-US" w:eastAsia="zh-CN"/>
        </w:rPr>
        <w:t>89.85分。</w:t>
      </w: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Style w:val="25"/>
          <w:rFonts w:ascii="黑体" w:eastAsia="黑体"/>
          <w:b w:val="0"/>
        </w:rPr>
      </w:pPr>
      <w:r>
        <w:rPr>
          <w:rFonts w:hint="eastAsia" w:ascii="黑体" w:eastAsia="黑体"/>
          <w:color w:val="000000"/>
          <w:sz w:val="44"/>
          <w:szCs w:val="44"/>
          <w:lang w:eastAsia="zh-CN"/>
        </w:rPr>
        <w:t>第三部分</w:t>
      </w:r>
      <w:r>
        <w:rPr>
          <w:rFonts w:hint="eastAsia" w:ascii="黑体" w:eastAsia="黑体"/>
          <w:color w:val="000000"/>
          <w:sz w:val="44"/>
          <w:szCs w:val="44"/>
          <w:lang w:val="en-US" w:eastAsia="zh-CN"/>
        </w:rPr>
        <w:t xml:space="preserve"> </w:t>
      </w:r>
      <w:r>
        <w:rPr>
          <w:rFonts w:hint="eastAsia" w:ascii="黑体" w:eastAsia="黑体"/>
          <w:color w:val="000000"/>
          <w:sz w:val="44"/>
          <w:szCs w:val="44"/>
        </w:rPr>
        <w:t>名</w:t>
      </w:r>
      <w:r>
        <w:rPr>
          <w:rStyle w:val="25"/>
          <w:rFonts w:hint="eastAsia" w:ascii="黑体" w:eastAsia="黑体"/>
          <w:b w:val="0"/>
        </w:rPr>
        <w:t>词解释</w:t>
      </w:r>
      <w:bookmarkEnd w:id="42"/>
      <w:bookmarkEnd w:id="43"/>
    </w:p>
    <w:p>
      <w:pPr>
        <w:spacing w:line="600" w:lineRule="exact"/>
        <w:jc w:val="left"/>
        <w:rPr>
          <w:rFonts w:ascii="宋体"/>
          <w:b/>
          <w:color w:val="000000"/>
          <w:sz w:val="44"/>
          <w:szCs w:val="44"/>
        </w:rPr>
      </w:pPr>
    </w:p>
    <w:p>
      <w:pPr>
        <w:pStyle w:val="3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0"/>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30"/>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一般行政运行支出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一般行政管理事务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指一般行政管理事务支出。</w:t>
      </w:r>
    </w:p>
    <w:p>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指事业运行支出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10.社会保障和就业（类）行政事业单位离退休（款）机关事业单位基本养老保险缴费支出（项）:指机关事业单位基本养老保险缴费支出</w:t>
      </w:r>
    </w:p>
    <w:p>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指机关事业单位职业年金缴费支出</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指行政单位医疗支出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事业单位医疗（</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指事业单位医疗支出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指住房公积金支出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住房补贴</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指住房补贴支出</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农林水（类）</w:t>
      </w:r>
      <w:r>
        <w:rPr>
          <w:rFonts w:hint="eastAsia" w:ascii="仿宋_GB2312" w:eastAsia="仿宋_GB2312"/>
          <w:color w:val="000000"/>
          <w:sz w:val="32"/>
          <w:szCs w:val="32"/>
          <w:lang w:eastAsia="zh-CN"/>
        </w:rPr>
        <w:t>农林水</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扶贫</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其他扶贫支出</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Style w:val="30"/>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640" w:firstLineChars="200"/>
        <w:jc w:val="both"/>
        <w:rPr>
          <w:rFonts w:ascii="仿宋_GB2312" w:eastAsia="仿宋_GB2312" w:cs="黑体"/>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0"/>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eastAsia="黑体"/>
          <w:color w:val="000000"/>
          <w:sz w:val="44"/>
          <w:szCs w:val="44"/>
        </w:rPr>
      </w:pPr>
      <w:bookmarkStart w:id="44" w:name="_Toc15396614"/>
      <w:bookmarkStart w:id="45" w:name="_Toc15377226"/>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bookmarkEnd w:id="44"/>
    <w:p>
      <w:pPr>
        <w:spacing w:line="600" w:lineRule="exact"/>
        <w:jc w:val="both"/>
        <w:outlineLvl w:val="0"/>
        <w:rPr>
          <w:rFonts w:hint="eastAsia" w:ascii="黑体" w:eastAsia="黑体"/>
          <w:color w:val="000000"/>
          <w:sz w:val="44"/>
          <w:szCs w:val="44"/>
        </w:rPr>
      </w:pPr>
      <w:bookmarkStart w:id="46" w:name="_Toc15396618"/>
    </w:p>
    <w:bookmarkEnd w:id="45"/>
    <w:bookmarkEnd w:id="46"/>
    <w:p>
      <w:pPr>
        <w:pageBreakBefore w:val="0"/>
        <w:widowControl w:val="0"/>
        <w:kinsoku/>
        <w:wordWrap/>
        <w:overflowPunct/>
        <w:topLinePunct w:val="0"/>
        <w:bidi w:val="0"/>
        <w:spacing w:line="576" w:lineRule="exact"/>
        <w:jc w:val="center"/>
        <w:textAlignment w:val="auto"/>
        <w:outlineLvl w:val="0"/>
        <w:rPr>
          <w:rFonts w:hint="eastAsia" w:ascii="黑体" w:eastAsia="黑体" w:cs="Times New Roman"/>
          <w:color w:val="000000"/>
          <w:sz w:val="44"/>
          <w:szCs w:val="44"/>
        </w:rPr>
      </w:pPr>
      <w:bookmarkStart w:id="47" w:name="_Toc6196"/>
      <w:bookmarkStart w:id="48" w:name="_Toc9504"/>
      <w:r>
        <w:rPr>
          <w:rFonts w:hint="eastAsia" w:ascii="黑体" w:eastAsia="黑体" w:cs="Times New Roman"/>
          <w:color w:val="000000"/>
          <w:sz w:val="44"/>
          <w:szCs w:val="44"/>
        </w:rPr>
        <w:t>第</w:t>
      </w:r>
      <w:r>
        <w:rPr>
          <w:rFonts w:hint="eastAsia" w:ascii="黑体" w:eastAsia="黑体" w:cs="Times New Roman"/>
          <w:color w:val="000000"/>
          <w:sz w:val="44"/>
          <w:szCs w:val="44"/>
          <w:lang w:eastAsia="zh-CN"/>
        </w:rPr>
        <w:t>四</w:t>
      </w:r>
      <w:r>
        <w:rPr>
          <w:rFonts w:hint="eastAsia" w:ascii="黑体" w:eastAsia="黑体" w:cs="Times New Roman"/>
          <w:color w:val="000000"/>
          <w:sz w:val="44"/>
          <w:szCs w:val="44"/>
        </w:rPr>
        <w:t>部分 附表</w:t>
      </w:r>
      <w:bookmarkEnd w:id="47"/>
      <w:bookmarkEnd w:id="48"/>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9" w:name="_Toc26370"/>
      <w:bookmarkStart w:id="50" w:name="_Toc12986"/>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r>
        <w:rPr>
          <w:rFonts w:hint="eastAsia" w:ascii="仿宋" w:eastAsia="仿宋" w:cs="Times New Roman"/>
          <w:b w:val="0"/>
          <w:color w:val="000000"/>
          <w:kern w:val="2"/>
          <w:sz w:val="32"/>
          <w:szCs w:val="32"/>
          <w:lang w:bidi="ar-SA"/>
        </w:rPr>
        <w:t>一、收入支出决算总表</w:t>
      </w:r>
      <w:bookmarkEnd w:id="49"/>
      <w:bookmarkEnd w:id="50"/>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1" w:name="_Toc13591"/>
      <w:bookmarkStart w:id="52" w:name="_Toc13062"/>
      <w:r>
        <w:rPr>
          <w:rFonts w:hint="eastAsia" w:ascii="仿宋" w:eastAsia="仿宋" w:cs="Times New Roman"/>
          <w:b w:val="0"/>
          <w:color w:val="000000"/>
          <w:kern w:val="2"/>
          <w:sz w:val="32"/>
          <w:szCs w:val="32"/>
          <w:lang w:bidi="ar-SA"/>
        </w:rPr>
        <w:t>二、收入决算表</w:t>
      </w:r>
      <w:bookmarkEnd w:id="51"/>
      <w:bookmarkEnd w:id="52"/>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3" w:name="_Toc16600"/>
      <w:bookmarkStart w:id="54" w:name="_Toc29688"/>
      <w:r>
        <w:rPr>
          <w:rFonts w:hint="eastAsia" w:ascii="仿宋" w:eastAsia="仿宋" w:cs="Times New Roman"/>
          <w:b w:val="0"/>
          <w:color w:val="000000"/>
          <w:kern w:val="2"/>
          <w:sz w:val="32"/>
          <w:szCs w:val="32"/>
          <w:lang w:bidi="ar-SA"/>
        </w:rPr>
        <w:t>三、支出决算表</w:t>
      </w:r>
      <w:bookmarkEnd w:id="53"/>
      <w:bookmarkEnd w:id="54"/>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5" w:name="_Toc26630"/>
      <w:bookmarkStart w:id="56" w:name="_Toc5964"/>
      <w:r>
        <w:rPr>
          <w:rFonts w:hint="eastAsia" w:ascii="仿宋" w:eastAsia="仿宋" w:cs="Times New Roman"/>
          <w:b w:val="0"/>
          <w:color w:val="000000"/>
          <w:kern w:val="2"/>
          <w:sz w:val="32"/>
          <w:szCs w:val="32"/>
          <w:lang w:bidi="ar-SA"/>
        </w:rPr>
        <w:t>四、财政拨款收入支出决算总表</w:t>
      </w:r>
      <w:bookmarkEnd w:id="55"/>
      <w:bookmarkEnd w:id="56"/>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7" w:name="_Toc19934"/>
      <w:bookmarkStart w:id="58" w:name="_Toc14273"/>
      <w:r>
        <w:rPr>
          <w:rFonts w:hint="eastAsia" w:ascii="仿宋" w:eastAsia="仿宋" w:cs="Times New Roman"/>
          <w:b w:val="0"/>
          <w:color w:val="000000"/>
          <w:kern w:val="2"/>
          <w:sz w:val="32"/>
          <w:szCs w:val="32"/>
          <w:lang w:bidi="ar-SA"/>
        </w:rPr>
        <w:t>五、财政拨款支出决算明细表</w:t>
      </w:r>
      <w:bookmarkEnd w:id="57"/>
      <w:bookmarkEnd w:id="58"/>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9" w:name="_Toc16449"/>
      <w:bookmarkStart w:id="60" w:name="_Toc6686"/>
      <w:r>
        <w:rPr>
          <w:rFonts w:hint="eastAsia" w:ascii="仿宋" w:eastAsia="仿宋" w:cs="Times New Roman"/>
          <w:b w:val="0"/>
          <w:color w:val="000000"/>
          <w:kern w:val="2"/>
          <w:sz w:val="32"/>
          <w:szCs w:val="32"/>
          <w:lang w:bidi="ar-SA"/>
        </w:rPr>
        <w:t>六、一般公共预算财政拨款支出决算表</w:t>
      </w:r>
      <w:bookmarkEnd w:id="59"/>
      <w:bookmarkEnd w:id="60"/>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1" w:name="_Toc19514"/>
      <w:bookmarkStart w:id="62" w:name="_Toc3478"/>
      <w:r>
        <w:rPr>
          <w:rFonts w:hint="eastAsia" w:ascii="仿宋" w:eastAsia="仿宋" w:cs="Times New Roman"/>
          <w:b w:val="0"/>
          <w:color w:val="000000"/>
          <w:kern w:val="2"/>
          <w:sz w:val="32"/>
          <w:szCs w:val="32"/>
          <w:lang w:bidi="ar-SA"/>
        </w:rPr>
        <w:t>七、一般公共预算财政拨款支出决算明细表</w:t>
      </w:r>
      <w:bookmarkEnd w:id="61"/>
      <w:bookmarkEnd w:id="62"/>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3" w:name="_Toc191"/>
      <w:bookmarkStart w:id="64" w:name="_Toc17352"/>
      <w:r>
        <w:rPr>
          <w:rFonts w:hint="eastAsia" w:ascii="仿宋" w:eastAsia="仿宋" w:cs="Times New Roman"/>
          <w:b w:val="0"/>
          <w:color w:val="000000"/>
          <w:kern w:val="2"/>
          <w:sz w:val="32"/>
          <w:szCs w:val="32"/>
          <w:lang w:bidi="ar-SA"/>
        </w:rPr>
        <w:t>八、一般公共预算财政拨款基本支出决算表</w:t>
      </w:r>
      <w:bookmarkEnd w:id="63"/>
      <w:bookmarkEnd w:id="64"/>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5" w:name="_Toc3726"/>
      <w:bookmarkStart w:id="66" w:name="_Toc5204"/>
      <w:r>
        <w:rPr>
          <w:rFonts w:hint="eastAsia" w:ascii="仿宋" w:eastAsia="仿宋" w:cs="Times New Roman"/>
          <w:b w:val="0"/>
          <w:color w:val="000000"/>
          <w:kern w:val="2"/>
          <w:sz w:val="32"/>
          <w:szCs w:val="32"/>
          <w:lang w:bidi="ar-SA"/>
        </w:rPr>
        <w:t>九、一般公共预算财政拨款项目支出决算表</w:t>
      </w:r>
      <w:bookmarkEnd w:id="65"/>
      <w:bookmarkEnd w:id="66"/>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7" w:name="_Toc20056"/>
      <w:bookmarkStart w:id="68" w:name="_Toc20756"/>
      <w:r>
        <w:rPr>
          <w:rFonts w:hint="eastAsia" w:ascii="仿宋" w:eastAsia="仿宋" w:cs="Times New Roman"/>
          <w:b w:val="0"/>
          <w:color w:val="000000"/>
          <w:kern w:val="2"/>
          <w:sz w:val="32"/>
          <w:szCs w:val="32"/>
          <w:lang w:bidi="ar-SA"/>
        </w:rPr>
        <w:t>十、政府性基金预算财政拨款收入支出决算表</w:t>
      </w:r>
      <w:bookmarkEnd w:id="67"/>
      <w:bookmarkEnd w:id="68"/>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9" w:name="_Toc21387"/>
      <w:bookmarkStart w:id="70" w:name="_Toc13849"/>
      <w:r>
        <w:rPr>
          <w:rFonts w:hint="eastAsia" w:ascii="仿宋" w:eastAsia="仿宋" w:cs="Times New Roman"/>
          <w:b w:val="0"/>
          <w:color w:val="000000"/>
          <w:kern w:val="2"/>
          <w:sz w:val="32"/>
          <w:szCs w:val="32"/>
          <w:lang w:bidi="ar-SA"/>
        </w:rPr>
        <w:t>十一、国有资本经营预算财政拨款收入支出决算表</w:t>
      </w:r>
      <w:bookmarkEnd w:id="69"/>
      <w:bookmarkEnd w:id="70"/>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71" w:name="_Toc13099"/>
      <w:bookmarkStart w:id="72" w:name="_Toc1140"/>
      <w:r>
        <w:rPr>
          <w:rFonts w:hint="eastAsia" w:ascii="仿宋" w:eastAsia="仿宋" w:cs="Times New Roman"/>
          <w:b w:val="0"/>
          <w:color w:val="000000"/>
          <w:kern w:val="2"/>
          <w:sz w:val="32"/>
          <w:szCs w:val="32"/>
          <w:lang w:bidi="ar-SA"/>
        </w:rPr>
        <w:t>十二、国有资本经营预算财政拨款支出决算表</w:t>
      </w:r>
      <w:bookmarkEnd w:id="71"/>
      <w:bookmarkEnd w:id="72"/>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73" w:name="_Toc24957"/>
      <w:bookmarkStart w:id="74" w:name="_Toc25065"/>
      <w:r>
        <w:rPr>
          <w:rFonts w:hint="eastAsia" w:ascii="仿宋" w:eastAsia="仿宋" w:cs="Times New Roman"/>
          <w:b w:val="0"/>
          <w:color w:val="000000"/>
          <w:kern w:val="2"/>
          <w:sz w:val="32"/>
          <w:szCs w:val="32"/>
          <w:lang w:bidi="ar-SA"/>
        </w:rPr>
        <w:t>十三、财政拨款“三公”经费支出决算表</w:t>
      </w:r>
      <w:bookmarkEnd w:id="73"/>
      <w:bookmarkEnd w:id="74"/>
    </w:p>
    <w:p>
      <w:pPr>
        <w:bidi w:val="0"/>
        <w:rPr>
          <w:lang w:val="en-US" w:eastAsia="zh-CN"/>
        </w:rPr>
      </w:pPr>
    </w:p>
    <w:p>
      <w:pPr>
        <w:bidi w:val="0"/>
        <w:rPr>
          <w:lang w:val="en-US" w:eastAsia="zh-CN"/>
        </w:rPr>
      </w:pPr>
    </w:p>
    <w:p>
      <w:pPr>
        <w:bidi w:val="0"/>
        <w:rPr>
          <w:lang w:val="en-US" w:eastAsia="zh-CN"/>
        </w:rPr>
      </w:pPr>
    </w:p>
    <w:p>
      <w:pPr>
        <w:bidi w:val="0"/>
        <w:rPr>
          <w:lang w:val="en-US" w:eastAsia="zh-CN"/>
        </w:rPr>
      </w:pPr>
    </w:p>
    <w:sectPr>
      <w:headerReference r:id="rId4" w:type="first"/>
      <w:headerReference r:id="rId3" w:type="default"/>
      <w:footerReference r:id="rId5" w:type="default"/>
      <w:footerReference r:id="rId6" w:type="even"/>
      <w:pgSz w:w="11906" w:h="16838"/>
      <w:pgMar w:top="1440" w:right="1576" w:bottom="1440" w:left="1576" w:header="851" w:footer="992" w:gutter="0"/>
      <w:pgNumType w:fmt="numberInDash" w:start="0"/>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w:altName w:val="Lucida Sans Unicode"/>
    <w:panose1 w:val="00000000000000000000"/>
    <w:charset w:val="01"/>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top w:val="none" w:color="auto" w:sz="0" w:space="0"/>
        <w:left w:val="none" w:color="auto" w:sz="0" w:space="0"/>
        <w:bottom w:val="none" w:color="auto" w:sz="0" w:space="0"/>
        <w:right w:val="none" w:color="auto" w:sz="0" w:space="0"/>
      </w:pBdr>
      <w:tabs>
        <w:tab w:val="center" w:pos="4220"/>
      </w:tabs>
      <w:rPr>
        <w:b/>
        <w:sz w:val="28"/>
      </w:rPr>
    </w:pPr>
    <w:r>
      <w:rPr>
        <w:rStyle w:val="16"/>
        <w:b/>
        <w:sz w:val="28"/>
      </w:rPr>
      <w:fldChar w:fldCharType="begin"/>
    </w:r>
    <w:r>
      <w:rPr>
        <w:rStyle w:val="16"/>
        <w:b/>
        <w:sz w:val="28"/>
      </w:rPr>
      <w:instrText xml:space="preserve">Page</w:instrText>
    </w:r>
    <w:r>
      <w:rPr>
        <w:rStyle w:val="16"/>
        <w:b/>
        <w:sz w:val="28"/>
      </w:rPr>
      <w:fldChar w:fldCharType="separate"/>
    </w:r>
    <w:r>
      <w:rPr>
        <w:rStyle w:val="16"/>
        <w:rFonts w:hint="eastAsia"/>
        <w:b/>
        <w:sz w:val="28"/>
      </w:rPr>
      <w:t>— 1 —</w:t>
    </w:r>
    <w:r>
      <w:rPr>
        <w:rStyle w:val="16"/>
        <w:b/>
        <w:sz w:val="28"/>
      </w:rPr>
      <w:fldChar w:fldCharType="end"/>
    </w:r>
  </w:p>
  <w:p>
    <w:pPr>
      <w:pStyle w:val="8"/>
      <w:tabs>
        <w:tab w:val="center" w:pos="4220"/>
        <w:tab w:val="clear" w:pos="4153"/>
        <w:tab w:val="clear" w:pos="8306"/>
      </w:tabs>
      <w:ind w:right="360"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top w:val="none" w:color="auto" w:sz="0" w:space="0"/>
        <w:left w:val="none" w:color="auto" w:sz="0" w:space="0"/>
        <w:bottom w:val="none" w:color="auto" w:sz="0" w:space="0"/>
        <w:right w:val="none" w:color="auto" w:sz="0" w:space="0"/>
      </w:pBdr>
    </w:pPr>
    <w:r>
      <w:rPr>
        <w:rStyle w:val="16"/>
      </w:rPr>
      <w:fldChar w:fldCharType="begin"/>
    </w:r>
    <w:r>
      <w:rPr>
        <w:rStyle w:val="16"/>
      </w:rPr>
      <w:instrText xml:space="preserve">Page</w:instrText>
    </w:r>
    <w:r>
      <w:rPr>
        <w:rStyle w:val="16"/>
      </w:rPr>
      <w:fldChar w:fldCharType="separate"/>
    </w:r>
    <w:r>
      <w:rPr>
        <w:rStyle w:val="16"/>
      </w:rPr>
      <w:t>0</w:t>
    </w:r>
    <w:r>
      <w:rPr>
        <w:rStyle w:val="16"/>
      </w:rPr>
      <w:fldChar w:fldCharType="end"/>
    </w:r>
  </w:p>
  <w:p>
    <w:pPr>
      <w:pStyle w:val="8"/>
      <w:framePr w:wrap="around" w:vAnchor="text" w:hAnchor="margin" w:xAlign="right" w:y="1"/>
      <w:pBdr>
        <w:top w:val="none" w:color="auto" w:sz="0" w:space="0"/>
        <w:left w:val="none" w:color="auto" w:sz="0" w:space="0"/>
        <w:bottom w:val="none" w:color="auto" w:sz="0" w:space="0"/>
        <w:right w:val="none" w:color="auto" w:sz="0" w:space="0"/>
      </w:pBdr>
      <w:ind w:right="360" w:firstLine="360"/>
    </w:pPr>
    <w:r>
      <w:rPr>
        <w:rStyle w:val="16"/>
      </w:rPr>
      <w:fldChar w:fldCharType="begin"/>
    </w:r>
    <w:r>
      <w:rPr>
        <w:rStyle w:val="16"/>
      </w:rPr>
      <w:instrText xml:space="preserve">Page</w:instrText>
    </w:r>
    <w:r>
      <w:rPr>
        <w:rStyle w:val="16"/>
      </w:rPr>
      <w:fldChar w:fldCharType="separate"/>
    </w:r>
    <w:r>
      <w:rPr>
        <w:rStyle w:val="16"/>
        <w:rFonts w:hint="eastAsia"/>
      </w:rPr>
      <w:t>— 1 —</w:t>
    </w:r>
    <w:r>
      <w:rPr>
        <w:rStyle w:val="16"/>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OTYyMTRjMzQ2YzRlYzkxODQ0OTRjNTBhMjgyYWQifQ=="/>
  </w:docVars>
  <w:rsids>
    <w:rsidRoot w:val="00000000"/>
    <w:rsid w:val="0CA534EF"/>
    <w:rsid w:val="0FAB4813"/>
    <w:rsid w:val="0FC64EF0"/>
    <w:rsid w:val="1CB763CB"/>
    <w:rsid w:val="283C7D9D"/>
    <w:rsid w:val="289B6C0E"/>
    <w:rsid w:val="2A7A723E"/>
    <w:rsid w:val="2E612427"/>
    <w:rsid w:val="30740B8E"/>
    <w:rsid w:val="32EF1E88"/>
    <w:rsid w:val="34F160E8"/>
    <w:rsid w:val="431E79AD"/>
    <w:rsid w:val="440469A6"/>
    <w:rsid w:val="6BE04F09"/>
    <w:rsid w:val="6DDE6F4D"/>
    <w:rsid w:val="73AD1C57"/>
    <w:rsid w:val="76DC40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oc 2"/>
    <w:basedOn w:val="1"/>
    <w:next w:val="1"/>
    <w:qFormat/>
    <w:uiPriority w:val="0"/>
    <w:pPr>
      <w:tabs>
        <w:tab w:val="right" w:leader="dot" w:pos="8296"/>
      </w:tabs>
      <w:ind w:left="20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r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uiPriority w:val="0"/>
    <w:rPr>
      <w:color w:val="000000"/>
      <w:u w:val="none"/>
    </w:rPr>
  </w:style>
  <w:style w:type="character" w:styleId="18">
    <w:name w:val="Emphasis"/>
    <w:basedOn w:val="14"/>
    <w:qFormat/>
    <w:uiPriority w:val="0"/>
  </w:style>
  <w:style w:type="character" w:styleId="19">
    <w:name w:val="HTML Definition"/>
    <w:basedOn w:val="14"/>
    <w:qFormat/>
    <w:uiPriority w:val="0"/>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uiPriority w:val="0"/>
    <w:rPr>
      <w:color w:val="0000FF"/>
      <w:u w:val="single"/>
    </w:rPr>
  </w:style>
  <w:style w:type="character" w:styleId="23">
    <w:name w:val="HTML Code"/>
    <w:basedOn w:val="14"/>
    <w:uiPriority w:val="0"/>
    <w:rPr>
      <w:rFonts w:ascii="Courier New" w:hAnsi="Courier New"/>
      <w:sz w:val="20"/>
      <w:u w:val="single"/>
    </w:rPr>
  </w:style>
  <w:style w:type="character" w:styleId="24">
    <w:name w:val="HTML Cite"/>
    <w:basedOn w:val="14"/>
    <w:qFormat/>
    <w:uiPriority w:val="0"/>
  </w:style>
  <w:style w:type="character" w:customStyle="1" w:styleId="25">
    <w:name w:val="heading 1 Char"/>
    <w:basedOn w:val="14"/>
    <w:link w:val="2"/>
    <w:uiPriority w:val="0"/>
    <w:rPr>
      <w:rFonts w:ascii="Times New Roman" w:hAnsi="Times New Roman" w:eastAsia="宋体" w:cs="Times New Roman"/>
      <w:b/>
      <w:bCs/>
      <w:kern w:val="44"/>
      <w:sz w:val="44"/>
      <w:szCs w:val="44"/>
      <w:lang w:val="en-US" w:eastAsia="zh-CN" w:bidi="ar-SA"/>
    </w:rPr>
  </w:style>
  <w:style w:type="character" w:customStyle="1" w:styleId="26">
    <w:name w:val="heading 2 Char"/>
    <w:basedOn w:val="14"/>
    <w:link w:val="3"/>
    <w:uiPriority w:val="0"/>
    <w:rPr>
      <w:rFonts w:ascii="Cambria" w:hAnsi="Cambria" w:eastAsia="宋体" w:cs="Times New Roman"/>
      <w:b/>
      <w:bCs/>
      <w:kern w:val="2"/>
      <w:sz w:val="32"/>
      <w:szCs w:val="32"/>
      <w:lang w:val="en-US" w:eastAsia="zh-CN" w:bidi="ar-SA"/>
    </w:rPr>
  </w:style>
  <w:style w:type="character" w:customStyle="1" w:styleId="27">
    <w:name w:val="Header Char"/>
    <w:basedOn w:val="14"/>
    <w:qFormat/>
    <w:uiPriority w:val="0"/>
    <w:rPr>
      <w:rFonts w:ascii="Times New Roman" w:hAnsi="Times New Roman"/>
      <w:sz w:val="18"/>
      <w:szCs w:val="18"/>
    </w:rPr>
  </w:style>
  <w:style w:type="character" w:customStyle="1" w:styleId="28">
    <w:name w:val="Footer Char"/>
    <w:basedOn w:val="14"/>
    <w:uiPriority w:val="0"/>
    <w:rPr>
      <w:rFonts w:ascii="Times New Roman" w:hAnsi="Times New Roman"/>
      <w:sz w:val="18"/>
      <w:szCs w:val="18"/>
    </w:rPr>
  </w:style>
  <w:style w:type="character" w:customStyle="1" w:styleId="29">
    <w:name w:val="Body Text Char"/>
    <w:basedOn w:val="14"/>
    <w:qFormat/>
    <w:uiPriority w:val="0"/>
    <w:rPr>
      <w:rFonts w:ascii="Times New Roman" w:hAnsi="Times New Roman"/>
      <w:szCs w:val="24"/>
    </w:rPr>
  </w:style>
  <w:style w:type="paragraph" w:customStyle="1" w:styleId="3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1">
    <w:name w:val="List Paragraph"/>
    <w:basedOn w:val="1"/>
    <w:qFormat/>
    <w:uiPriority w:val="0"/>
    <w:pPr>
      <w:ind w:firstLine="200" w:firstLineChars="200"/>
    </w:pPr>
  </w:style>
  <w:style w:type="paragraph" w:customStyle="1" w:styleId="32">
    <w:name w:val="TOC 标题1"/>
    <w:basedOn w:val="2"/>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3">
    <w:name w:val="TOC Heading"/>
    <w:basedOn w:val="2"/>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34">
    <w:name w:val="apple-converted-space"/>
    <w:basedOn w:val="14"/>
    <w:qFormat/>
    <w:uiPriority w:val="0"/>
  </w:style>
  <w:style w:type="paragraph" w:customStyle="1" w:styleId="35">
    <w:name w:val="_Style 32"/>
    <w:basedOn w:val="1"/>
    <w:next w:val="1"/>
    <w:qFormat/>
    <w:uiPriority w:val="0"/>
    <w:pPr>
      <w:pBdr>
        <w:bottom w:val="single" w:color="auto" w:sz="6" w:space="1"/>
      </w:pBdr>
      <w:jc w:val="center"/>
    </w:pPr>
    <w:rPr>
      <w:rFonts w:ascii="Arial" w:hAnsi="Arial" w:eastAsia="宋体"/>
      <w:vanish/>
      <w:sz w:val="16"/>
    </w:rPr>
  </w:style>
  <w:style w:type="paragraph" w:customStyle="1" w:styleId="36">
    <w:name w:val="_Style 33"/>
    <w:basedOn w:val="1"/>
    <w:next w:val="1"/>
    <w:qFormat/>
    <w:uiPriority w:val="0"/>
    <w:pPr>
      <w:pBdr>
        <w:top w:val="single" w:color="auto" w:sz="6" w:space="1"/>
      </w:pBdr>
      <w:jc w:val="center"/>
    </w:pPr>
    <w:rPr>
      <w:rFonts w:ascii="Arial" w:hAnsi="Arial" w:eastAsia="宋体"/>
      <w:vanish/>
      <w:sz w:val="16"/>
    </w:rPr>
  </w:style>
  <w:style w:type="character" w:customStyle="1" w:styleId="37">
    <w:name w:val="hover17"/>
    <w:basedOn w:val="14"/>
    <w:qFormat/>
    <w:uiPriority w:val="0"/>
    <w:rPr>
      <w:color w:val="FFFFFF"/>
    </w:rPr>
  </w:style>
  <w:style w:type="character" w:customStyle="1" w:styleId="38">
    <w:name w:val="active"/>
    <w:basedOn w:val="14"/>
    <w:qFormat/>
    <w:uiPriority w:val="0"/>
    <w:rPr>
      <w:color w:val="FFFFFF"/>
    </w:rPr>
  </w:style>
  <w:style w:type="character" w:customStyle="1" w:styleId="39">
    <w:name w:val="page_next"/>
    <w:basedOn w:val="14"/>
    <w:qFormat/>
    <w:uiPriority w:val="0"/>
  </w:style>
  <w:style w:type="character" w:customStyle="1" w:styleId="40">
    <w:name w:val="page_prev"/>
    <w:basedOn w:val="14"/>
    <w:qFormat/>
    <w:uiPriority w:val="0"/>
  </w:style>
  <w:style w:type="character" w:customStyle="1" w:styleId="41">
    <w:name w:val="white"/>
    <w:basedOn w:val="14"/>
    <w:qFormat/>
    <w:uiPriority w:val="0"/>
    <w:rPr>
      <w:rFonts w:ascii="黑体" w:eastAsia="黑体" w:cs="黑体"/>
    </w:rPr>
  </w:style>
  <w:style w:type="character" w:customStyle="1" w:styleId="42">
    <w:name w:val="hover15"/>
    <w:basedOn w:val="14"/>
    <w:qFormat/>
    <w:uiPriority w:val="0"/>
    <w:rPr>
      <w:color w:val="FFFFFF"/>
    </w:rPr>
  </w:style>
  <w:style w:type="character" w:customStyle="1" w:styleId="43">
    <w:name w:val="15"/>
    <w:basedOn w:val="14"/>
    <w:qFormat/>
    <w:uiPriority w:val="0"/>
    <w:rPr>
      <w:rFonts w:ascii="Calibri" w:hAnsi="Calibri" w:cs="Calibri"/>
      <w:b/>
    </w:rPr>
  </w:style>
  <w:style w:type="paragraph" w:customStyle="1" w:styleId="44">
    <w:name w:val="_Style 48"/>
    <w:basedOn w:val="1"/>
    <w:next w:val="1"/>
    <w:qFormat/>
    <w:uiPriority w:val="0"/>
    <w:pPr>
      <w:pBdr>
        <w:bottom w:val="single" w:color="auto" w:sz="6" w:space="1"/>
      </w:pBdr>
      <w:jc w:val="center"/>
    </w:pPr>
    <w:rPr>
      <w:rFonts w:ascii="Arial" w:hAnsi="Arial" w:eastAsia="宋体"/>
      <w:vanish/>
      <w:sz w:val="16"/>
    </w:rPr>
  </w:style>
  <w:style w:type="paragraph" w:customStyle="1" w:styleId="45">
    <w:name w:val="_Style 49"/>
    <w:basedOn w:val="1"/>
    <w:next w:val="1"/>
    <w:qFormat/>
    <w:uiPriority w:val="0"/>
    <w:pPr>
      <w:pBdr>
        <w:top w:val="single" w:color="auto" w:sz="6" w:space="1"/>
      </w:pBdr>
      <w:jc w:val="center"/>
    </w:pPr>
    <w:rPr>
      <w:rFonts w:ascii="Arial" w:hAnsi="Arial" w:eastAsia="宋体"/>
      <w:vanish/>
      <w:sz w:val="16"/>
    </w:rPr>
  </w:style>
  <w:style w:type="character" w:customStyle="1" w:styleId="46">
    <w:name w:val="first-child1"/>
    <w:basedOn w:val="14"/>
    <w:qFormat/>
    <w:uiPriority w:val="0"/>
  </w:style>
  <w:style w:type="character" w:customStyle="1" w:styleId="47">
    <w:name w:val="layui-layer-tabnow"/>
    <w:basedOn w:val="14"/>
    <w:qFormat/>
    <w:uiPriority w:val="0"/>
    <w:rPr>
      <w:bdr w:val="single" w:color="CCCCCC" w:sz="6" w:space="0"/>
      <w:shd w:val="clear" w:color="auto" w:fill="FFFFFF"/>
    </w:rPr>
  </w:style>
  <w:style w:type="character" w:customStyle="1" w:styleId="48">
    <w:name w:val="first-child"/>
    <w:basedOn w:val="14"/>
    <w:qFormat/>
    <w:uiPriority w:val="0"/>
  </w:style>
  <w:style w:type="character" w:customStyle="1" w:styleId="49">
    <w:name w:val="time"/>
    <w:basedOn w:val="14"/>
    <w:qFormat/>
    <w:uiPriority w:val="0"/>
    <w:rPr>
      <w:color w:val="999999"/>
      <w:sz w:val="18"/>
      <w:szCs w:val="18"/>
    </w:rPr>
  </w:style>
  <w:style w:type="character" w:customStyle="1" w:styleId="50">
    <w:name w:val="time1"/>
    <w:basedOn w:val="14"/>
    <w:qFormat/>
    <w:uiPriority w:val="0"/>
    <w:rPr>
      <w:shd w:val="clear" w:color="auto" w:fill="F5F7FB"/>
    </w:rPr>
  </w:style>
  <w:style w:type="character" w:customStyle="1" w:styleId="51">
    <w:name w:val="time2"/>
    <w:basedOn w:val="14"/>
    <w:qFormat/>
    <w:uiPriority w:val="0"/>
    <w:rPr>
      <w:color w:val="888888"/>
    </w:rPr>
  </w:style>
  <w:style w:type="character" w:customStyle="1" w:styleId="52">
    <w:name w:val="time3"/>
    <w:basedOn w:val="14"/>
    <w:qFormat/>
    <w:uiPriority w:val="0"/>
    <w:rPr>
      <w:color w:val="888888"/>
    </w:rPr>
  </w:style>
  <w:style w:type="character" w:customStyle="1" w:styleId="53">
    <w:name w:val="time4"/>
    <w:basedOn w:val="14"/>
    <w:qFormat/>
    <w:uiPriority w:val="0"/>
    <w:rPr>
      <w:color w:val="888888"/>
    </w:rPr>
  </w:style>
  <w:style w:type="paragraph" w:customStyle="1" w:styleId="54">
    <w:name w:val="WPSOffice手动目录 1"/>
    <w:qFormat/>
    <w:uiPriority w:val="0"/>
    <w:rPr>
      <w:rFonts w:ascii="Times New Roman" w:hAnsi="Times New Roman" w:eastAsia="宋体" w:cs="Times New Roman"/>
      <w:sz w:val="20"/>
      <w:szCs w:val="20"/>
      <w:lang w:val="en-US" w:eastAsia="zh-CN" w:bidi="ar-SA"/>
    </w:rPr>
  </w:style>
  <w:style w:type="paragraph" w:customStyle="1" w:styleId="55">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customStyle="1" w:styleId="56">
    <w:name w:val="WPSOffice手动目录 3"/>
    <w:qFormat/>
    <w:uiPriority w:val="0"/>
    <w:pPr>
      <w:ind w:left="400" w:leftChars="400"/>
    </w:pPr>
    <w:rPr>
      <w:rFonts w:ascii="Times New Roman" w:hAnsi="Times New Roman"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5.bin"/><Relationship Id="rId17" Type="http://schemas.openxmlformats.org/officeDocument/2006/relationships/image" Target="media/image5.emf"/><Relationship Id="rId16" Type="http://schemas.openxmlformats.org/officeDocument/2006/relationships/oleObject" Target="embeddings/oleObject4.bin"/><Relationship Id="rId15" Type="http://schemas.openxmlformats.org/officeDocument/2006/relationships/image" Target="media/image4.emf"/><Relationship Id="rId14" Type="http://schemas.openxmlformats.org/officeDocument/2006/relationships/oleObject" Target="embeddings/oleObject3.bin"/><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chart" Target="charts/chart1.xml"/><Relationship Id="rId10" Type="http://schemas.openxmlformats.org/officeDocument/2006/relationships/image" Target="media/image2.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支出</a:t>
            </a:r>
            <a:endParaRPr lang="zh-CN"/>
          </a:p>
        </c:rich>
      </c:tx>
      <c:layout/>
      <c:overlay val="0"/>
      <c:spPr>
        <a:noFill/>
        <a:ln>
          <a:noFill/>
        </a:ln>
      </c:spPr>
    </c:title>
    <c:autoTitleDeleted val="0"/>
    <c:plotArea>
      <c:layout/>
      <c:pieChart>
        <c:varyColors val="1"/>
        <c:ser>
          <c:idx val="0"/>
          <c:order val="0"/>
          <c:tx>
            <c:strRef>
              <c:f>'Sheet1'!$B$1</c:f>
              <c:strCache>
                <c:ptCount val="1"/>
                <c:pt idx="0">
                  <c:v>基本支出</c:v>
                </c:pt>
              </c:strCache>
            </c:strRef>
          </c:tx>
          <c:spPr>
            <a:solidFill>
              <a:srgbClr val="4F81BD"/>
            </a:solidFill>
            <a:ln>
              <a:noFill/>
            </a:ln>
          </c:spPr>
          <c:explosion val="0"/>
          <c:dPt>
            <c:idx val="0"/>
            <c:bubble3D val="0"/>
            <c:explosion val="0"/>
            <c:spPr>
              <a:solidFill>
                <a:srgbClr val="4F81BD"/>
              </a:solidFill>
              <a:ln w="19050">
                <a:solidFill>
                  <a:srgbClr val="FFFFFF"/>
                </a:solidFill>
                <a:prstDash val="solid"/>
              </a:ln>
            </c:spPr>
          </c:dPt>
          <c:dPt>
            <c:idx val="1"/>
            <c:bubble3D val="0"/>
            <c:explosion val="0"/>
            <c:spPr>
              <a:solidFill>
                <a:srgbClr val="C0504D"/>
              </a:solidFill>
              <a:ln w="19050">
                <a:solidFill>
                  <a:srgbClr val="FFFFFF"/>
                </a:solidFill>
                <a:prstDash val="solid"/>
              </a:ln>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93.44%</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6.56%</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0.9344</c:v>
                </c:pt>
                <c:pt idx="1">
                  <c:v>0.0656</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2.xml><?xml version="1.0" encoding="utf-8"?>
<customData xmlns="http://www.yozosoft.com.cn/officeDocument/2016/customData">
  <customProps>
    <docPr/>
    <sectPr pgNumType="\* ArabicDash2"/>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0F596-B437-442A-A532-8ED397237CCF}">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19</Pages>
  <Words>6110</Words>
  <Characters>6602</Characters>
  <Lines>374</Lines>
  <Paragraphs>155</Paragraphs>
  <TotalTime>8</TotalTime>
  <ScaleCrop>false</ScaleCrop>
  <LinksUpToDate>false</LinksUpToDate>
  <CharactersWithSpaces>7055</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2023-09-07T02:21:00Z</cp:lastPrinted>
  <dcterms:modified xsi:type="dcterms:W3CDTF">2024-08-13T07:40:33Z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A89CCA93B5EF493184873443FFD72BB1</vt:lpwstr>
  </property>
</Properties>
</file>