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Pr>
        <w:ind w:firstLine="1100" w:firstLineChars="500"/>
      </w:pPr>
    </w:p>
    <w:p>
      <w:pPr>
        <w:ind w:firstLine="110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widowControl w:val="0"/>
        <w:spacing w:line="600" w:lineRule="exact"/>
        <w:ind w:left="0" w:firstLine="0"/>
        <w:jc w:val="center"/>
        <w:rPr>
          <w:rFonts w:ascii="方正小标宋简体" w:eastAsia="方正小标宋简体"/>
          <w:sz w:val="44"/>
          <w:szCs w:val="44"/>
          <w:lang w:eastAsia="zh-CN"/>
        </w:rPr>
      </w:pPr>
      <w:r>
        <w:rPr>
          <w:rFonts w:hint="eastAsia" w:ascii="方正小标宋简体" w:eastAsia="方正小标宋简体"/>
          <w:sz w:val="44"/>
          <w:szCs w:val="44"/>
        </w:rPr>
        <w:t>茂县</w:t>
      </w:r>
      <w:r>
        <w:rPr>
          <w:rFonts w:hint="eastAsia" w:ascii="方正小标宋简体" w:eastAsia="方正小标宋简体"/>
          <w:sz w:val="44"/>
          <w:szCs w:val="44"/>
          <w:lang w:eastAsia="zh-CN"/>
        </w:rPr>
        <w:t>信访局</w:t>
      </w:r>
    </w:p>
    <w:p>
      <w:pPr>
        <w:widowControl w:val="0"/>
        <w:spacing w:line="600" w:lineRule="exact"/>
        <w:ind w:left="0" w:firstLine="0"/>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0"/>
        <w:jc w:val="center"/>
        <w:rPr>
          <w:rFonts w:hint="eastAsia" w:ascii="宋体"/>
          <w:b/>
          <w:bCs/>
          <w:sz w:val="44"/>
          <w:szCs w:val="44"/>
          <w:lang w:eastAsia="zh-CN"/>
        </w:rPr>
      </w:pPr>
    </w:p>
    <w:p>
      <w:pPr>
        <w:ind w:firstLine="0"/>
        <w:jc w:val="center"/>
        <w:rPr>
          <w:rFonts w:hint="eastAsia" w:ascii="宋体"/>
          <w:b/>
          <w:bCs/>
          <w:sz w:val="44"/>
          <w:szCs w:val="44"/>
          <w:lang w:eastAsia="zh-CN"/>
        </w:rPr>
      </w:pPr>
    </w:p>
    <w:p>
      <w:pPr>
        <w:ind w:firstLine="0"/>
        <w:jc w:val="center"/>
        <w:rPr>
          <w:rFonts w:ascii="宋体"/>
          <w:b/>
          <w:bCs/>
          <w:sz w:val="44"/>
          <w:szCs w:val="44"/>
          <w:lang w:eastAsia="zh-CN"/>
        </w:rPr>
      </w:pPr>
      <w:r>
        <w:rPr>
          <w:rFonts w:hint="eastAsia" w:ascii="宋体"/>
          <w:b/>
          <w:bCs/>
          <w:sz w:val="44"/>
          <w:szCs w:val="44"/>
          <w:lang w:eastAsia="zh-CN"/>
        </w:rPr>
        <w:t>目</w:t>
      </w:r>
      <w:r>
        <w:rPr>
          <w:rFonts w:ascii="宋体"/>
          <w:b/>
          <w:bCs/>
          <w:sz w:val="44"/>
          <w:szCs w:val="44"/>
          <w:lang w:eastAsia="zh-CN"/>
        </w:rPr>
        <w:t xml:space="preserve"> </w:t>
      </w:r>
      <w:r>
        <w:rPr>
          <w:rFonts w:hint="eastAsia" w:ascii="宋体"/>
          <w:b/>
          <w:bCs/>
          <w:sz w:val="44"/>
          <w:szCs w:val="44"/>
          <w:lang w:eastAsia="zh-CN"/>
        </w:rPr>
        <w:t>录</w:t>
      </w:r>
    </w:p>
    <w:p>
      <w:pPr>
        <w:ind w:firstLine="633" w:firstLineChars="198"/>
        <w:rPr>
          <w:rFonts w:ascii="仿宋_GB2312" w:eastAsia="仿宋_GB2312"/>
          <w:bCs/>
          <w:sz w:val="32"/>
          <w:szCs w:val="32"/>
          <w:lang w:eastAsia="zh-CN"/>
        </w:rPr>
      </w:pPr>
    </w:p>
    <w:p>
      <w:pPr>
        <w:ind w:left="0" w:firstLine="640" w:firstLineChars="200"/>
        <w:rPr>
          <w:rFonts w:ascii="仿宋_GB2312" w:eastAsia="仿宋_GB2312"/>
          <w:b/>
          <w:bCs/>
          <w:sz w:val="32"/>
          <w:szCs w:val="32"/>
          <w:lang w:eastAsia="zh-CN"/>
        </w:rPr>
      </w:pPr>
      <w:r>
        <w:rPr>
          <w:rFonts w:hint="eastAsia" w:ascii="仿宋_GB2312" w:eastAsia="仿宋_GB2312"/>
          <w:bCs/>
          <w:sz w:val="32"/>
          <w:szCs w:val="32"/>
          <w:lang w:eastAsia="zh-CN"/>
        </w:rPr>
        <w:t>一、</w:t>
      </w:r>
      <w:r>
        <w:rPr>
          <w:rFonts w:hint="eastAsia" w:ascii="仿宋_GB2312" w:eastAsia="仿宋_GB2312" w:cs="Times New Roman"/>
          <w:sz w:val="32"/>
          <w:szCs w:val="32"/>
          <w:lang w:eastAsia="zh-CN"/>
        </w:rPr>
        <w:t>基本职能及主要工作</w:t>
      </w:r>
    </w:p>
    <w:p>
      <w:pPr>
        <w:ind w:firstLine="480" w:firstLineChars="150"/>
        <w:rPr>
          <w:rFonts w:ascii="仿宋_GB2312" w:eastAsia="仿宋_GB2312"/>
          <w:sz w:val="32"/>
          <w:szCs w:val="32"/>
          <w:lang w:eastAsia="zh-CN"/>
        </w:rPr>
      </w:pPr>
      <w:r>
        <w:rPr>
          <w:rFonts w:hint="eastAsia" w:ascii="仿宋_GB2312" w:eastAsia="仿宋_GB2312"/>
          <w:sz w:val="32"/>
          <w:szCs w:val="32"/>
          <w:lang w:eastAsia="zh-CN"/>
        </w:rPr>
        <w:t>（一）部门职能简介</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年重点工作</w:t>
      </w:r>
    </w:p>
    <w:p>
      <w:pPr>
        <w:tabs>
          <w:tab w:val="left" w:pos="4279"/>
        </w:tabs>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二、部门预算单位构成</w:t>
      </w:r>
    </w:p>
    <w:p>
      <w:pPr>
        <w:ind w:firstLine="0"/>
        <w:rPr>
          <w:rFonts w:ascii="仿宋_GB2312" w:eastAsia="仿宋_GB2312"/>
          <w:sz w:val="32"/>
          <w:szCs w:val="32"/>
          <w:lang w:eastAsia="zh-CN"/>
        </w:rPr>
      </w:pPr>
      <w:r>
        <w:rPr>
          <w:rFonts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三、收支预算情况说明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（一）收入预算情况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（二）支出预算情况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四、财政拨款收支预算情况说明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五、一般公共预算当年拨款情况说明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（一）一般公共预算当年拨款规模变化情况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（二）一般公共预算当年拨款结构情况</w:t>
      </w:r>
    </w:p>
    <w:p>
      <w:pPr>
        <w:ind w:firstLine="0"/>
        <w:rPr>
          <w:rFonts w:ascii="仿宋_GB2312" w:eastAsia="仿宋_GB2312"/>
          <w:sz w:val="32"/>
          <w:szCs w:val="32"/>
          <w:lang w:eastAsia="zh-CN"/>
        </w:rPr>
      </w:pPr>
      <w:r>
        <w:rPr>
          <w:rFonts w:hint="eastAsia" w:ascii="仿宋_GB2312" w:eastAsia="仿宋_GB2312"/>
          <w:sz w:val="32"/>
          <w:szCs w:val="32"/>
          <w:lang w:eastAsia="zh-CN"/>
        </w:rPr>
        <w:t>　　（三）一般公共预算当年拨款具体使用情况</w:t>
      </w:r>
    </w:p>
    <w:p>
      <w:pPr>
        <w:ind w:firstLine="0"/>
        <w:rPr>
          <w:rFonts w:ascii="仿宋_GB2312" w:eastAsia="仿宋_GB2312"/>
          <w:sz w:val="32"/>
          <w:szCs w:val="32"/>
          <w:lang w:eastAsia="zh-CN"/>
        </w:rPr>
      </w:pPr>
      <w:r>
        <w:rPr>
          <w:rFonts w:hint="eastAsia" w:ascii="仿宋_GB2312" w:eastAsia="仿宋_GB2312"/>
          <w:sz w:val="32"/>
          <w:szCs w:val="32"/>
          <w:lang w:eastAsia="zh-CN"/>
        </w:rPr>
        <w:t>　　六、一般公共预算基本支出情况说明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七、“三公”经费财政拨款预算安排情况说明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八、政府性基金预算支出情况说明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九、其他重要事项的情况说明</w:t>
      </w:r>
    </w:p>
    <w:p>
      <w:pPr>
        <w:ind w:firstLine="0"/>
        <w:rPr>
          <w:rFonts w:ascii="仿宋_GB2312" w:eastAsia="仿宋_GB2312"/>
          <w:sz w:val="24"/>
          <w:szCs w:val="24"/>
          <w:lang w:eastAsia="zh-CN"/>
        </w:rPr>
      </w:pPr>
      <w:r>
        <w:rPr>
          <w:rFonts w:hint="eastAsia" w:ascii="仿宋_GB2312" w:eastAsia="仿宋_GB2312"/>
          <w:sz w:val="32"/>
          <w:szCs w:val="32"/>
          <w:lang w:eastAsia="zh-CN"/>
        </w:rPr>
        <w:t>　　十、名词解释</w:t>
      </w:r>
    </w:p>
    <w:p>
      <w:pPr>
        <w:pStyle w:val="2"/>
        <w:ind w:firstLine="0"/>
        <w:rPr>
          <w:rFonts w:ascii="Calibri" w:hAnsi="Calibri"/>
          <w:sz w:val="22"/>
          <w:lang w:eastAsia="zh-CN"/>
        </w:rPr>
      </w:pPr>
    </w:p>
    <w:p>
      <w:pPr>
        <w:ind w:left="0" w:firstLine="0"/>
        <w:rPr>
          <w:lang w:eastAsia="zh-CN"/>
        </w:rPr>
      </w:pPr>
    </w:p>
    <w:p>
      <w:pPr>
        <w:ind w:firstLine="0"/>
        <w:rPr>
          <w:lang w:eastAsia="zh-CN"/>
        </w:rPr>
      </w:pPr>
    </w:p>
    <w:p>
      <w:pPr>
        <w:pStyle w:val="2"/>
        <w:rPr>
          <w:lang w:eastAsia="zh-CN"/>
        </w:rPr>
      </w:pPr>
    </w:p>
    <w:p>
      <w:pPr>
        <w:rPr>
          <w:lang w:eastAsia="zh-CN"/>
        </w:rPr>
      </w:pPr>
    </w:p>
    <w:p>
      <w:pPr>
        <w:spacing w:line="600" w:lineRule="exact"/>
        <w:ind w:firstLine="880" w:firstLineChars="200"/>
        <w:jc w:val="center"/>
        <w:rPr>
          <w:rFonts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茂县信访局</w:t>
      </w:r>
    </w:p>
    <w:p>
      <w:pPr>
        <w:spacing w:line="600" w:lineRule="exact"/>
        <w:ind w:firstLine="880" w:firstLineChars="200"/>
        <w:jc w:val="center"/>
        <w:rPr>
          <w:rFonts w:ascii="方正小标宋简体" w:eastAsia="方正小标宋简体" w:cs="方正小标宋简体"/>
          <w:sz w:val="44"/>
          <w:szCs w:val="44"/>
          <w:lang w:eastAsia="zh-CN"/>
        </w:rPr>
      </w:pPr>
      <w:r>
        <w:rPr>
          <w:rFonts w:ascii="方正小标宋简体" w:eastAsia="方正小标宋简体" w:cs="方正小标宋简体"/>
          <w:sz w:val="44"/>
          <w:szCs w:val="44"/>
          <w:lang w:eastAsia="zh-CN"/>
        </w:rPr>
        <w:t>202</w:t>
      </w:r>
      <w:r>
        <w:rPr>
          <w:rFonts w:hint="eastAsia" w:ascii="方正小标宋简体" w:eastAsia="方正小标宋简体" w:cs="方正小标宋简体"/>
          <w:sz w:val="44"/>
          <w:szCs w:val="44"/>
          <w:lang w:val="en-US" w:eastAsia="zh-CN"/>
        </w:rPr>
        <w:t>4</w:t>
      </w:r>
      <w:r>
        <w:rPr>
          <w:rFonts w:hint="eastAsia" w:ascii="方正小标宋简体" w:eastAsia="方正小标宋简体" w:cs="方正小标宋简体"/>
          <w:sz w:val="44"/>
          <w:szCs w:val="44"/>
          <w:lang w:eastAsia="zh-CN"/>
        </w:rPr>
        <w:t>年部门预算公开说明</w:t>
      </w:r>
    </w:p>
    <w:p>
      <w:pPr>
        <w:ind w:firstLine="640" w:firstLineChars="200"/>
        <w:rPr>
          <w:rFonts w:ascii="黑体" w:eastAsia="黑体"/>
          <w:sz w:val="32"/>
          <w:szCs w:val="32"/>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（一）部门职能简介</w:t>
      </w:r>
    </w:p>
    <w:p>
      <w:pPr>
        <w:rPr>
          <w:rFonts w:ascii="仿宋_GB2312" w:eastAsia="仿宋_GB2312" w:cs="仿宋_GB2312"/>
          <w:sz w:val="32"/>
          <w:szCs w:val="32"/>
        </w:rPr>
      </w:pPr>
      <w:r>
        <w:rPr>
          <w:rFonts w:ascii="仿宋_GB2312" w:eastAsia="仿宋_GB2312" w:cs="仿宋_GB2312"/>
          <w:sz w:val="30"/>
          <w:szCs w:val="30"/>
          <w:lang w:eastAsia="zh-CN"/>
        </w:rPr>
        <w:t xml:space="preserve"> </w:t>
      </w:r>
      <w:r>
        <w:rPr>
          <w:rFonts w:ascii="仿宋_GB2312" w:eastAsia="仿宋_GB2312" w:cs="仿宋_GB2312"/>
          <w:sz w:val="32"/>
          <w:szCs w:val="32"/>
          <w:lang w:eastAsia="zh-CN"/>
        </w:rPr>
        <w:t xml:space="preserve"> </w:t>
      </w:r>
      <w:r>
        <w:rPr>
          <w:rFonts w:ascii="仿宋_GB2312" w:eastAsia="仿宋_GB2312" w:cs="仿宋_GB2312"/>
          <w:sz w:val="32"/>
          <w:szCs w:val="32"/>
        </w:rPr>
        <w:t>1.</w:t>
      </w:r>
      <w:r>
        <w:rPr>
          <w:rFonts w:hint="eastAsia" w:ascii="仿宋_GB2312" w:eastAsia="仿宋_GB2312" w:cs="仿宋_GB2312"/>
          <w:sz w:val="32"/>
          <w:szCs w:val="32"/>
        </w:rPr>
        <w:t>起草有关信访工作的规范性文件草案。制定信访问题排查化解、风险评估等制度并组织实施，提出改进和加强信访工作的意见和建议。负责本部门依法行政工作。</w:t>
      </w:r>
    </w:p>
    <w:p>
      <w:pPr>
        <w:rPr>
          <w:rFonts w:ascii="仿宋_GB2312" w:eastAsia="仿宋_GB2312" w:cs="仿宋_GB2312"/>
          <w:sz w:val="32"/>
          <w:szCs w:val="32"/>
          <w:lang w:eastAsia="zh-CN"/>
        </w:rPr>
      </w:pPr>
      <w:r>
        <w:rPr>
          <w:rFonts w:ascii="仿宋_GB2312" w:eastAsia="仿宋_GB2312" w:cs="仿宋_GB2312"/>
          <w:sz w:val="32"/>
          <w:szCs w:val="32"/>
        </w:rPr>
        <w:t xml:space="preserve"> </w:t>
      </w:r>
      <w:r>
        <w:rPr>
          <w:rFonts w:ascii="仿宋_GB2312" w:eastAsia="仿宋_GB2312" w:cs="仿宋_GB2312"/>
          <w:sz w:val="32"/>
          <w:szCs w:val="32"/>
          <w:lang w:eastAsia="zh-CN"/>
        </w:rPr>
        <w:t xml:space="preserve"> 2.</w:t>
      </w:r>
      <w:r>
        <w:rPr>
          <w:rFonts w:hint="eastAsia" w:ascii="仿宋_GB2312" w:eastAsia="仿宋_GB2312" w:cs="仿宋_GB2312"/>
          <w:sz w:val="32"/>
          <w:szCs w:val="32"/>
          <w:lang w:eastAsia="zh-CN"/>
        </w:rPr>
        <w:t>负责向县委、县人民政府反映来信来电来访中提出的重要建议、意见和问题，综合研判信访信息，开展调查研究，提出相关建议。</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3.</w:t>
      </w:r>
      <w:r>
        <w:rPr>
          <w:rFonts w:hint="eastAsia" w:ascii="仿宋_GB2312" w:eastAsia="仿宋_GB2312" w:cs="仿宋_GB2312"/>
          <w:sz w:val="32"/>
          <w:szCs w:val="32"/>
          <w:lang w:eastAsia="zh-CN"/>
        </w:rPr>
        <w:t>综合协调指导全县信访工作，推动建立健全信访工作的协调配合机制。督促检查县直各部门（单位）和乡镇信访工作，总结推广信访工作先进经验，协调信访工作宣传和信息发布。</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4.</w:t>
      </w:r>
      <w:r>
        <w:rPr>
          <w:rFonts w:hint="eastAsia" w:ascii="仿宋_GB2312" w:eastAsia="仿宋_GB2312" w:cs="仿宋_GB2312"/>
          <w:sz w:val="32"/>
          <w:szCs w:val="32"/>
          <w:lang w:eastAsia="zh-CN"/>
        </w:rPr>
        <w:t>负责处理县内外群众、境外人士、法人及其他组织通过信访渠道给县委、县人民政府及领导同志的来信来电，接待来访。</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5.</w:t>
      </w:r>
      <w:r>
        <w:rPr>
          <w:rFonts w:hint="eastAsia" w:ascii="仿宋_GB2312" w:eastAsia="仿宋_GB2312" w:cs="仿宋_GB2312"/>
          <w:sz w:val="32"/>
          <w:szCs w:val="32"/>
          <w:lang w:eastAsia="zh-CN"/>
        </w:rPr>
        <w:t>承担协调处理群众进京到省去州来县集体上访和非正常上访的责任，综合协调处理跨地区、跨部门的重要信访问题。</w:t>
      </w:r>
    </w:p>
    <w:p>
      <w:pPr>
        <w:widowControl w:val="0"/>
        <w:ind w:firstLine="363"/>
        <w:rPr>
          <w:rFonts w:ascii="仿宋_GB2312" w:eastAsia="仿宋_GB2312" w:cs="仿宋_GB2312"/>
          <w:sz w:val="32"/>
          <w:szCs w:val="32"/>
          <w:lang w:eastAsia="zh-CN"/>
        </w:rPr>
      </w:pPr>
      <w:r>
        <w:rPr>
          <w:rFonts w:ascii="仿宋_GB2312" w:eastAsia="仿宋_GB2312" w:cs="仿宋_GB2312"/>
          <w:sz w:val="32"/>
          <w:szCs w:val="32"/>
          <w:lang w:eastAsia="zh-CN"/>
        </w:rPr>
        <w:t xml:space="preserve">  6.</w:t>
      </w:r>
      <w:r>
        <w:rPr>
          <w:rFonts w:hint="eastAsia" w:ascii="仿宋_GB2312" w:eastAsia="仿宋_GB2312" w:cs="仿宋_GB2312"/>
          <w:sz w:val="32"/>
          <w:szCs w:val="32"/>
          <w:lang w:eastAsia="zh-CN"/>
        </w:rPr>
        <w:t>负责落实国家、省、州、县领导批示交办信访事项，受理、交办、转办（送）群众来信、来电、来访、网上信访提出的信访事项，督促检查重要信访事项的处理和落实。</w:t>
      </w:r>
    </w:p>
    <w:p>
      <w:pPr>
        <w:widowControl w:val="0"/>
        <w:ind w:firstLine="363"/>
        <w:rPr>
          <w:rFonts w:ascii="仿宋_GB2312" w:eastAsia="仿宋_GB2312" w:cs="仿宋_GB2312"/>
          <w:sz w:val="32"/>
          <w:szCs w:val="32"/>
          <w:lang w:eastAsia="zh-CN"/>
        </w:rPr>
      </w:pPr>
      <w:r>
        <w:rPr>
          <w:rFonts w:ascii="仿宋_GB2312" w:eastAsia="仿宋_GB2312" w:cs="仿宋_GB2312"/>
          <w:sz w:val="32"/>
          <w:szCs w:val="32"/>
          <w:lang w:eastAsia="zh-CN"/>
        </w:rPr>
        <w:t xml:space="preserve">  7.</w:t>
      </w:r>
      <w:r>
        <w:rPr>
          <w:rFonts w:hint="eastAsia" w:ascii="仿宋_GB2312" w:eastAsia="仿宋_GB2312" w:cs="仿宋_GB2312"/>
          <w:sz w:val="32"/>
          <w:szCs w:val="32"/>
          <w:lang w:eastAsia="zh-CN"/>
        </w:rPr>
        <w:t>加强对信访问题排查化解和社情民意汇集分析，重点开展法律法规政策宣传和思想教育疏导，将信访工作的重点由事后处理转移到事前排查化解，增强信访工作的预见性和针对性。</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8.</w:t>
      </w:r>
      <w:r>
        <w:rPr>
          <w:rFonts w:hint="eastAsia" w:ascii="仿宋_GB2312" w:eastAsia="仿宋_GB2312" w:cs="仿宋_GB2312"/>
          <w:sz w:val="32"/>
          <w:szCs w:val="32"/>
          <w:lang w:eastAsia="zh-CN"/>
        </w:rPr>
        <w:t>加强对重大信访事项的督查督办，完善信访诉求表达方式，进一步畅通信访渠道，确保信访工作决策部署得到贯彻落实，推动群众信访问题得到妥善解决。</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9.</w:t>
      </w:r>
      <w:r>
        <w:rPr>
          <w:rFonts w:hint="eastAsia" w:ascii="仿宋_GB2312" w:eastAsia="仿宋_GB2312" w:cs="仿宋_GB2312"/>
          <w:sz w:val="32"/>
          <w:szCs w:val="32"/>
          <w:lang w:eastAsia="zh-CN"/>
        </w:rPr>
        <w:t>建立和完善信访信息汇集分析机制，指导信访信息系统建设和应用。</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10.</w:t>
      </w:r>
      <w:r>
        <w:rPr>
          <w:rFonts w:hint="eastAsia" w:ascii="仿宋_GB2312" w:eastAsia="仿宋_GB2312" w:cs="仿宋_GB2312"/>
          <w:sz w:val="32"/>
          <w:szCs w:val="32"/>
          <w:lang w:eastAsia="zh-CN"/>
        </w:rPr>
        <w:t>开展网上信访工作，探索“互联网</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信访”新模式，推动信访信息化建设。</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11.</w:t>
      </w:r>
      <w:r>
        <w:rPr>
          <w:rFonts w:hint="eastAsia" w:ascii="仿宋_GB2312" w:eastAsia="仿宋_GB2312" w:cs="仿宋_GB2312"/>
          <w:sz w:val="32"/>
          <w:szCs w:val="32"/>
          <w:lang w:eastAsia="zh-CN"/>
        </w:rPr>
        <w:t>承担县信访工作联席会议、县人民政府信访事项复查复核委员会日常工作，督促落实有关事项。</w:t>
      </w:r>
    </w:p>
    <w:p>
      <w:pPr>
        <w:rPr>
          <w:sz w:val="32"/>
          <w:szCs w:val="32"/>
          <w:lang w:eastAsia="zh-CN"/>
        </w:rPr>
      </w:pPr>
      <w:r>
        <w:rPr>
          <w:rFonts w:ascii="仿宋_GB2312" w:eastAsia="仿宋_GB2312" w:cs="仿宋_GB2312"/>
          <w:sz w:val="32"/>
          <w:szCs w:val="32"/>
          <w:lang w:eastAsia="zh-CN"/>
        </w:rPr>
        <w:t xml:space="preserve">  12.</w:t>
      </w:r>
      <w:r>
        <w:rPr>
          <w:rFonts w:hint="eastAsia" w:ascii="仿宋_GB2312" w:eastAsia="仿宋_GB2312" w:cs="仿宋_GB2312"/>
          <w:sz w:val="32"/>
          <w:szCs w:val="32"/>
          <w:lang w:eastAsia="zh-CN"/>
        </w:rPr>
        <w:t>完成县委、县人民政府交办的其他任务。</w:t>
      </w:r>
    </w:p>
    <w:p>
      <w:pPr>
        <w:widowControl w:val="0"/>
        <w:spacing w:line="576"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w:t>
      </w:r>
      <w:r>
        <w:rPr>
          <w:rFonts w:ascii="楷体_GB2312" w:eastAsia="楷体_GB2312" w:cs="楷体_GB2312"/>
          <w:b/>
          <w:bCs/>
          <w:kern w:val="2"/>
          <w:sz w:val="32"/>
          <w:szCs w:val="32"/>
          <w:lang w:eastAsia="zh-CN"/>
        </w:rPr>
        <w:t>202</w:t>
      </w:r>
      <w:r>
        <w:rPr>
          <w:rFonts w:hint="eastAsia" w:ascii="楷体_GB2312" w:eastAsia="楷体_GB2312" w:cs="楷体_GB2312"/>
          <w:b/>
          <w:bCs/>
          <w:kern w:val="2"/>
          <w:sz w:val="32"/>
          <w:szCs w:val="32"/>
          <w:lang w:val="en-US" w:eastAsia="zh-CN"/>
        </w:rPr>
        <w:t>4</w:t>
      </w:r>
      <w:r>
        <w:rPr>
          <w:rFonts w:hint="eastAsia" w:ascii="楷体_GB2312" w:eastAsia="楷体_GB2312" w:cs="楷体_GB2312"/>
          <w:b/>
          <w:bCs/>
          <w:kern w:val="2"/>
          <w:sz w:val="32"/>
          <w:szCs w:val="32"/>
          <w:lang w:eastAsia="zh-CN"/>
        </w:rPr>
        <w:t>年重点工作</w:t>
      </w:r>
    </w:p>
    <w:p>
      <w:pPr>
        <w:spacing w:line="560" w:lineRule="exact"/>
        <w:ind w:firstLine="629"/>
        <w:rPr>
          <w:rFonts w:hint="eastAsia" w:ascii="仿宋_GB2312" w:eastAsia="仿宋_GB2312"/>
          <w:sz w:val="32"/>
          <w:szCs w:val="32"/>
        </w:rPr>
      </w:pPr>
      <w:r>
        <w:rPr>
          <w:rFonts w:hint="eastAsia" w:ascii="楷体_GB2312" w:eastAsia="楷体_GB2312"/>
          <w:b/>
          <w:bCs/>
          <w:sz w:val="32"/>
          <w:szCs w:val="32"/>
        </w:rPr>
        <w:t>（一）完善工作机制，推动初信初访办理提质增效。</w:t>
      </w:r>
      <w:r>
        <w:rPr>
          <w:rFonts w:hint="eastAsia" w:ascii="仿宋_GB2312" w:eastAsia="仿宋_GB2312"/>
          <w:sz w:val="32"/>
          <w:szCs w:val="32"/>
        </w:rPr>
        <w:t>坚持压紧压实责任单位和责任领导矛盾化解责任，进一步缩短事项受理、办理时限，及时有效推动解决群众“急难愁盼”问题。一是分级包案，明确责任。对职能范围内的初次信访事项，责任单位逐一明确三级责任领导，分层级化解矛盾解决问题。二是提级办理，高效化解。对受理后无法第一时间办结的初次信访事项，按照具体情况分别由不同层级责任领导牵头推动化解。三是加强研判，分级施策。初次信访事项提级办理后，重新研判事项缘由，重新制定化解方案，按照“三到位一处理”原则推动问题化解。</w:t>
      </w:r>
    </w:p>
    <w:p>
      <w:pPr>
        <w:spacing w:line="560" w:lineRule="exact"/>
        <w:ind w:firstLine="629"/>
        <w:rPr>
          <w:rFonts w:hint="eastAsia" w:ascii="仿宋_GB2312" w:eastAsia="仿宋_GB2312"/>
          <w:sz w:val="32"/>
          <w:szCs w:val="32"/>
        </w:rPr>
      </w:pPr>
      <w:r>
        <w:rPr>
          <w:rFonts w:hint="eastAsia" w:ascii="楷体_GB2312" w:eastAsia="楷体_GB2312"/>
          <w:b/>
          <w:bCs/>
          <w:sz w:val="32"/>
          <w:szCs w:val="32"/>
        </w:rPr>
        <w:t>（二）持续攻坚克难，实现重点信访案件控增减存。</w:t>
      </w:r>
      <w:r>
        <w:rPr>
          <w:rFonts w:hint="eastAsia" w:ascii="仿宋_GB2312" w:eastAsia="仿宋_GB2312"/>
          <w:sz w:val="32"/>
          <w:szCs w:val="32"/>
        </w:rPr>
        <w:t>一是定期梳理，建立台账。坚持“属地管理、分级负责”，“谁主管、谁负责”，建立健全动态台</w:t>
      </w:r>
      <w:r>
        <w:rPr>
          <w:rFonts w:ascii="仿宋_GB2312" w:eastAsia="仿宋_GB2312"/>
          <w:sz w:val="32"/>
          <w:szCs w:val="32"/>
        </w:rPr>
        <w:t>账</w:t>
      </w:r>
      <w:r>
        <w:rPr>
          <w:rFonts w:hint="eastAsia" w:ascii="仿宋_GB2312" w:eastAsia="仿宋_GB2312"/>
          <w:sz w:val="32"/>
          <w:szCs w:val="32"/>
        </w:rPr>
        <w:t>，对同类型诉求或群体的并案处理。二是关注重点，主动出击。重点聚焦周期性、苗头性的问题隐患，做足预警预判，提前制定预案，做到“发现在早、处置在小”。三是依法引导，严守底线。深入推进依法分类处理信访诉求工作，将法治关口前移，积极发挥访调对接、多元参与在推动解决信访问题上的作用，对违法信访行为坚决依法打击。</w:t>
      </w:r>
    </w:p>
    <w:p>
      <w:pPr>
        <w:ind w:firstLine="640" w:firstLineChars="200"/>
        <w:rPr>
          <w:rFonts w:ascii="黑体" w:eastAsia="黑体"/>
          <w:sz w:val="32"/>
          <w:szCs w:val="32"/>
          <w:lang w:eastAsia="zh-CN"/>
        </w:rPr>
      </w:pPr>
      <w:r>
        <w:rPr>
          <w:rFonts w:hint="eastAsia" w:ascii="黑体" w:eastAsia="黑体"/>
          <w:sz w:val="32"/>
          <w:szCs w:val="32"/>
          <w:lang w:eastAsia="zh-CN"/>
        </w:rPr>
        <w:t>二、部门预算单位构成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茂县信访局属一级预算单位，下属二级预算单位</w:t>
      </w:r>
      <w:r>
        <w:rPr>
          <w:rFonts w:ascii="仿宋_GB2312" w:eastAsia="仿宋_GB2312"/>
          <w:sz w:val="32"/>
          <w:szCs w:val="32"/>
          <w:lang w:eastAsia="zh-CN"/>
        </w:rPr>
        <w:t>1</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1</w:t>
      </w:r>
      <w:r>
        <w:rPr>
          <w:rFonts w:hint="eastAsia" w:ascii="仿宋_GB2312" w:eastAsia="仿宋_GB2312"/>
          <w:sz w:val="32"/>
          <w:szCs w:val="32"/>
          <w:lang w:eastAsia="zh-CN"/>
        </w:rPr>
        <w:t>个。其他事业单位是：茂县信访接待中心。</w:t>
      </w:r>
    </w:p>
    <w:p>
      <w:pPr>
        <w:spacing w:line="560" w:lineRule="exact"/>
        <w:ind w:firstLine="640" w:firstLineChars="200"/>
        <w:rPr>
          <w:rFonts w:ascii="仿宋_GB2312" w:eastAsia="仿宋_GB2312"/>
          <w:sz w:val="32"/>
          <w:szCs w:val="32"/>
          <w:lang w:eastAsia="zh-CN"/>
        </w:rPr>
      </w:pPr>
      <w:r>
        <w:rPr>
          <w:rFonts w:hint="eastAsia"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按照综合预算的原则，茂县信访局所有收入和支出均纳入部门预算管理。收入包括</w:t>
      </w:r>
      <w:r>
        <w:rPr>
          <w:rFonts w:ascii="仿宋_GB2312" w:eastAsia="仿宋_GB2312"/>
          <w:sz w:val="32"/>
          <w:szCs w:val="32"/>
          <w:lang w:eastAsia="zh-CN"/>
        </w:rPr>
        <w:t>:</w:t>
      </w:r>
      <w:r>
        <w:rPr>
          <w:rFonts w:hint="eastAsia" w:ascii="仿宋_GB2312" w:eastAsia="仿宋_GB2312"/>
          <w:sz w:val="32"/>
          <w:szCs w:val="32"/>
          <w:lang w:eastAsia="zh-CN"/>
        </w:rPr>
        <w:t>一般公共预算拨款收入</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元;支出包括</w:t>
      </w:r>
      <w:r>
        <w:rPr>
          <w:rFonts w:ascii="仿宋_GB2312" w:eastAsia="仿宋_GB2312"/>
          <w:sz w:val="32"/>
          <w:szCs w:val="32"/>
          <w:lang w:eastAsia="zh-CN"/>
        </w:rPr>
        <w:t>:</w:t>
      </w:r>
      <w:r>
        <w:rPr>
          <w:rFonts w:hint="eastAsia" w:ascii="仿宋_GB2312" w:eastAsia="仿宋_GB2312"/>
          <w:sz w:val="32"/>
          <w:szCs w:val="32"/>
          <w:lang w:eastAsia="zh-CN"/>
        </w:rPr>
        <w:t>一般公共服务支出1</w:t>
      </w:r>
      <w:r>
        <w:rPr>
          <w:rFonts w:hint="eastAsia" w:ascii="仿宋_GB2312" w:eastAsia="仿宋_GB2312"/>
          <w:sz w:val="32"/>
          <w:szCs w:val="32"/>
          <w:lang w:val="en-US" w:eastAsia="zh-CN"/>
        </w:rPr>
        <w:t>,920,312</w:t>
      </w:r>
      <w:r>
        <w:rPr>
          <w:rFonts w:hint="eastAsia" w:ascii="仿宋_GB2312" w:eastAsia="仿宋_GB2312"/>
          <w:sz w:val="32"/>
          <w:szCs w:val="32"/>
          <w:lang w:eastAsia="zh-CN"/>
        </w:rPr>
        <w:t>.</w:t>
      </w:r>
      <w:r>
        <w:rPr>
          <w:rFonts w:hint="eastAsia" w:ascii="仿宋_GB2312" w:eastAsia="仿宋_GB2312"/>
          <w:sz w:val="32"/>
          <w:szCs w:val="32"/>
          <w:lang w:val="en-US" w:eastAsia="zh-CN"/>
        </w:rPr>
        <w:t>44</w:t>
      </w:r>
      <w:r>
        <w:rPr>
          <w:rFonts w:hint="eastAsia" w:ascii="仿宋_GB2312" w:eastAsia="仿宋_GB2312"/>
          <w:sz w:val="32"/>
          <w:szCs w:val="32"/>
          <w:lang w:eastAsia="zh-CN"/>
        </w:rPr>
        <w:t>元，社会保障和就业支出</w:t>
      </w:r>
      <w:r>
        <w:rPr>
          <w:rFonts w:hint="eastAsia" w:ascii="仿宋_GB2312" w:eastAsia="仿宋_GB2312"/>
          <w:sz w:val="32"/>
          <w:szCs w:val="32"/>
          <w:lang w:val="en-US" w:eastAsia="zh-CN"/>
        </w:rPr>
        <w:t>272,360</w:t>
      </w:r>
      <w:r>
        <w:rPr>
          <w:rFonts w:hint="eastAsia" w:ascii="仿宋_GB2312" w:eastAsia="仿宋_GB2312"/>
          <w:sz w:val="32"/>
          <w:szCs w:val="32"/>
          <w:lang w:eastAsia="zh-CN"/>
        </w:rPr>
        <w:t>.6</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148,823.06</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193,332.00</w:t>
      </w:r>
      <w:r>
        <w:rPr>
          <w:rFonts w:hint="eastAsia" w:ascii="仿宋_GB2312" w:eastAsia="仿宋_GB2312"/>
          <w:sz w:val="32"/>
          <w:szCs w:val="32"/>
          <w:lang w:eastAsia="zh-CN"/>
        </w:rPr>
        <w:t>元；茂县信访局</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年收支总预算</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年收支预算总数增加</w:t>
      </w:r>
      <w:r>
        <w:rPr>
          <w:rFonts w:hint="eastAsia" w:ascii="仿宋_GB2312" w:eastAsia="仿宋_GB2312"/>
          <w:sz w:val="32"/>
          <w:szCs w:val="32"/>
          <w:lang w:val="en-US" w:eastAsia="zh-CN"/>
        </w:rPr>
        <w:t>71,863.35</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人员工资、保险正常增长</w:t>
      </w:r>
      <w:r>
        <w:rPr>
          <w:rFonts w:hint="eastAsia" w:ascii="仿宋_GB2312" w:eastAsia="仿宋_GB2312"/>
          <w:sz w:val="32"/>
          <w:szCs w:val="32"/>
          <w:lang w:eastAsia="zh-CN"/>
        </w:rPr>
        <w:t>。</w:t>
      </w:r>
    </w:p>
    <w:p>
      <w:pPr>
        <w:spacing w:line="560" w:lineRule="exact"/>
        <w:ind w:firstLine="642" w:firstLineChars="200"/>
        <w:jc w:val="both"/>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（一）收入预算情况</w:t>
      </w:r>
    </w:p>
    <w:p>
      <w:pPr>
        <w:ind w:firstLine="640" w:firstLineChars="200"/>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年收入预算</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元；一般公共预算拨款收入</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pPr>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（二）支出预算情况</w:t>
      </w:r>
    </w:p>
    <w:p>
      <w:pPr>
        <w:ind w:firstLine="0"/>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年支出预算</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元，其中：基本支出</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r>
        <w:rPr>
          <w:rFonts w:hint="eastAsia" w:ascii="仿宋_GB2312" w:eastAsia="仿宋_GB2312"/>
          <w:sz w:val="32"/>
          <w:szCs w:val="32"/>
          <w:lang w:eastAsia="zh-CN"/>
        </w:rPr>
        <w:t>。</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四、财政拨款收支预算情况说明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年财政拨款收支总预算</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年收支预算总数增加</w:t>
      </w:r>
      <w:r>
        <w:rPr>
          <w:rFonts w:hint="eastAsia" w:ascii="仿宋_GB2312" w:eastAsia="仿宋_GB2312"/>
          <w:sz w:val="32"/>
          <w:szCs w:val="32"/>
          <w:lang w:val="en-US" w:eastAsia="zh-CN"/>
        </w:rPr>
        <w:t>71,863.35</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人员工资、保险正常增长</w:t>
      </w:r>
      <w:r>
        <w:rPr>
          <w:rFonts w:hint="eastAsia" w:ascii="仿宋_GB2312" w:eastAsia="仿宋_GB2312"/>
          <w:sz w:val="32"/>
          <w:szCs w:val="32"/>
          <w:lang w:eastAsia="zh-CN"/>
        </w:rPr>
        <w:t>。</w:t>
      </w:r>
    </w:p>
    <w:p>
      <w:pPr>
        <w:spacing w:line="560" w:lineRule="exact"/>
        <w:ind w:left="0" w:firstLine="640" w:firstLineChars="200"/>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支出包括：一般公共服务支出1</w:t>
      </w:r>
      <w:r>
        <w:rPr>
          <w:rFonts w:hint="eastAsia" w:ascii="仿宋_GB2312" w:eastAsia="仿宋_GB2312"/>
          <w:sz w:val="32"/>
          <w:szCs w:val="32"/>
          <w:lang w:val="en-US" w:eastAsia="zh-CN"/>
        </w:rPr>
        <w:t>,920,312</w:t>
      </w:r>
      <w:r>
        <w:rPr>
          <w:rFonts w:hint="eastAsia" w:ascii="仿宋_GB2312" w:eastAsia="仿宋_GB2312"/>
          <w:sz w:val="32"/>
          <w:szCs w:val="32"/>
          <w:lang w:eastAsia="zh-CN"/>
        </w:rPr>
        <w:t>.</w:t>
      </w:r>
      <w:r>
        <w:rPr>
          <w:rFonts w:hint="eastAsia" w:ascii="仿宋_GB2312" w:eastAsia="仿宋_GB2312"/>
          <w:sz w:val="32"/>
          <w:szCs w:val="32"/>
          <w:lang w:val="en-US" w:eastAsia="zh-CN"/>
        </w:rPr>
        <w:t>44</w:t>
      </w:r>
      <w:r>
        <w:rPr>
          <w:rFonts w:hint="eastAsia" w:ascii="仿宋_GB2312" w:eastAsia="仿宋_GB2312"/>
          <w:sz w:val="32"/>
          <w:szCs w:val="32"/>
          <w:lang w:eastAsia="zh-CN"/>
        </w:rPr>
        <w:t>元，社会保障和就业支出</w:t>
      </w:r>
      <w:r>
        <w:rPr>
          <w:rFonts w:hint="eastAsia" w:ascii="仿宋_GB2312" w:eastAsia="仿宋_GB2312"/>
          <w:sz w:val="32"/>
          <w:szCs w:val="32"/>
          <w:lang w:val="en-US" w:eastAsia="zh-CN"/>
        </w:rPr>
        <w:t>272,360</w:t>
      </w:r>
      <w:r>
        <w:rPr>
          <w:rFonts w:hint="eastAsia" w:ascii="仿宋_GB2312" w:eastAsia="仿宋_GB2312"/>
          <w:sz w:val="32"/>
          <w:szCs w:val="32"/>
          <w:lang w:eastAsia="zh-CN"/>
        </w:rPr>
        <w:t>.6</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148,823.06</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193,332.00</w:t>
      </w:r>
      <w:r>
        <w:rPr>
          <w:rFonts w:hint="eastAsia"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五、一般公共预算当年拨款情况说明</w:t>
      </w:r>
    </w:p>
    <w:p>
      <w:pPr>
        <w:ind w:firstLine="0"/>
        <w:rPr>
          <w:rFonts w:ascii="楷体_GB2312" w:eastAsia="楷体_GB2312" w:cs="楷体_GB2312"/>
          <w:b/>
          <w:bCs/>
          <w:kern w:val="2"/>
          <w:sz w:val="32"/>
          <w:szCs w:val="32"/>
          <w:lang w:eastAsia="zh-CN"/>
        </w:rPr>
      </w:pPr>
      <w:r>
        <w:rPr>
          <w:rFonts w:hint="eastAsia"/>
          <w:lang w:eastAsia="zh-CN"/>
        </w:rPr>
        <w:t>　　</w:t>
      </w:r>
      <w:r>
        <w:rPr>
          <w:rFonts w:hint="eastAsia" w:ascii="楷体_GB2312" w:eastAsia="楷体_GB2312" w:cs="楷体_GB2312"/>
          <w:b/>
          <w:bCs/>
          <w:kern w:val="2"/>
          <w:sz w:val="32"/>
          <w:szCs w:val="32"/>
          <w:lang w:eastAsia="zh-CN"/>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年一般公共预算当年拨款</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年预算总数增加</w:t>
      </w:r>
      <w:r>
        <w:rPr>
          <w:rFonts w:hint="eastAsia" w:ascii="仿宋_GB2312" w:eastAsia="仿宋_GB2312"/>
          <w:sz w:val="32"/>
          <w:szCs w:val="32"/>
          <w:lang w:val="en-US" w:eastAsia="zh-CN"/>
        </w:rPr>
        <w:t>71,863.35</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人员工资、保险正常增长</w:t>
      </w:r>
      <w:r>
        <w:rPr>
          <w:rFonts w:hint="eastAsia" w:ascii="仿宋_GB2312" w:eastAsia="仿宋_GB2312"/>
          <w:sz w:val="32"/>
          <w:szCs w:val="32"/>
          <w:lang w:eastAsia="zh-CN"/>
        </w:rPr>
        <w:t>。</w:t>
      </w:r>
    </w:p>
    <w:p>
      <w:pPr>
        <w:ind w:firstLine="0"/>
        <w:rPr>
          <w:lang w:eastAsia="zh-CN"/>
        </w:rPr>
      </w:pPr>
      <w:r>
        <w:rPr>
          <w:rFonts w:hint="eastAsia"/>
          <w:lang w:eastAsia="zh-CN"/>
        </w:rPr>
        <w:t>　　</w:t>
      </w:r>
      <w:r>
        <w:rPr>
          <w:rFonts w:hint="eastAsia" w:ascii="楷体_GB2312" w:eastAsia="楷体_GB2312" w:cs="楷体_GB2312"/>
          <w:b/>
          <w:bCs/>
          <w:kern w:val="2"/>
          <w:sz w:val="32"/>
          <w:szCs w:val="32"/>
          <w:lang w:eastAsia="zh-CN"/>
        </w:rPr>
        <w:t>（二）一般公共预算当年拨款结构情况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一般公共服务支出1</w:t>
      </w:r>
      <w:r>
        <w:rPr>
          <w:rFonts w:hint="eastAsia" w:ascii="仿宋_GB2312" w:eastAsia="仿宋_GB2312"/>
          <w:sz w:val="32"/>
          <w:szCs w:val="32"/>
          <w:lang w:val="en-US" w:eastAsia="zh-CN"/>
        </w:rPr>
        <w:t>,920,312</w:t>
      </w:r>
      <w:r>
        <w:rPr>
          <w:rFonts w:hint="eastAsia" w:ascii="仿宋_GB2312" w:eastAsia="仿宋_GB2312"/>
          <w:sz w:val="32"/>
          <w:szCs w:val="32"/>
          <w:lang w:eastAsia="zh-CN"/>
        </w:rPr>
        <w:t>.</w:t>
      </w:r>
      <w:r>
        <w:rPr>
          <w:rFonts w:hint="eastAsia" w:ascii="仿宋_GB2312" w:eastAsia="仿宋_GB2312"/>
          <w:sz w:val="32"/>
          <w:szCs w:val="32"/>
          <w:lang w:val="en-US" w:eastAsia="zh-CN"/>
        </w:rPr>
        <w:t>44</w:t>
      </w:r>
      <w:r>
        <w:rPr>
          <w:rFonts w:hint="eastAsia" w:ascii="仿宋_GB2312" w:eastAsia="仿宋_GB2312"/>
          <w:sz w:val="32"/>
          <w:szCs w:val="32"/>
          <w:lang w:eastAsia="zh-CN"/>
        </w:rPr>
        <w:t>元，占</w:t>
      </w:r>
      <w:r>
        <w:rPr>
          <w:rFonts w:hint="eastAsia" w:ascii="仿宋_GB2312" w:eastAsia="仿宋_GB2312"/>
          <w:sz w:val="32"/>
          <w:szCs w:val="32"/>
          <w:lang w:val="en-US" w:eastAsia="zh-CN"/>
        </w:rPr>
        <w:t>75.76</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272,360</w:t>
      </w:r>
      <w:r>
        <w:rPr>
          <w:rFonts w:hint="eastAsia" w:ascii="仿宋_GB2312" w:eastAsia="仿宋_GB2312"/>
          <w:sz w:val="32"/>
          <w:szCs w:val="32"/>
          <w:lang w:eastAsia="zh-CN"/>
        </w:rPr>
        <w:t>.6</w:t>
      </w:r>
      <w:r>
        <w:rPr>
          <w:rFonts w:hint="eastAsia" w:ascii="仿宋_GB2312" w:eastAsia="仿宋_GB2312"/>
          <w:sz w:val="32"/>
          <w:szCs w:val="32"/>
          <w:lang w:val="en-US" w:eastAsia="zh-CN"/>
        </w:rPr>
        <w:t>0</w:t>
      </w:r>
      <w:r>
        <w:rPr>
          <w:rFonts w:hint="eastAsia" w:ascii="仿宋_GB2312" w:eastAsia="仿宋_GB2312"/>
          <w:sz w:val="32"/>
          <w:szCs w:val="32"/>
          <w:lang w:eastAsia="zh-CN"/>
        </w:rPr>
        <w:t>元，占</w:t>
      </w:r>
      <w:r>
        <w:rPr>
          <w:rFonts w:hint="eastAsia" w:ascii="仿宋_GB2312" w:eastAsia="仿宋_GB2312"/>
          <w:sz w:val="32"/>
          <w:szCs w:val="32"/>
          <w:lang w:val="en-US" w:eastAsia="zh-CN"/>
        </w:rPr>
        <w:t>10.74</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148,823.06</w:t>
      </w:r>
      <w:r>
        <w:rPr>
          <w:rFonts w:hint="eastAsia" w:ascii="仿宋_GB2312" w:eastAsia="仿宋_GB2312"/>
          <w:sz w:val="32"/>
          <w:szCs w:val="32"/>
          <w:lang w:eastAsia="zh-CN"/>
        </w:rPr>
        <w:t>元，占</w:t>
      </w:r>
      <w:r>
        <w:rPr>
          <w:rFonts w:ascii="仿宋_GB2312" w:eastAsia="仿宋_GB2312"/>
          <w:sz w:val="32"/>
          <w:szCs w:val="32"/>
          <w:lang w:eastAsia="zh-CN"/>
        </w:rPr>
        <w:t>5.</w:t>
      </w:r>
      <w:r>
        <w:rPr>
          <w:rFonts w:hint="eastAsia" w:ascii="仿宋_GB2312" w:eastAsia="仿宋_GB2312"/>
          <w:sz w:val="32"/>
          <w:szCs w:val="32"/>
          <w:lang w:val="en-US" w:eastAsia="zh-CN"/>
        </w:rPr>
        <w:t>87</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193,332.00</w:t>
      </w:r>
      <w:r>
        <w:rPr>
          <w:rFonts w:hint="eastAsia" w:ascii="仿宋_GB2312" w:eastAsia="仿宋_GB2312"/>
          <w:sz w:val="32"/>
          <w:szCs w:val="32"/>
          <w:lang w:eastAsia="zh-CN"/>
        </w:rPr>
        <w:t>元，占</w:t>
      </w:r>
      <w:r>
        <w:rPr>
          <w:rFonts w:hint="eastAsia" w:ascii="仿宋_GB2312" w:eastAsia="仿宋_GB2312"/>
          <w:sz w:val="32"/>
          <w:szCs w:val="32"/>
          <w:lang w:val="en-US" w:eastAsia="zh-CN"/>
        </w:rPr>
        <w:t>7.63</w:t>
      </w:r>
      <w:r>
        <w:rPr>
          <w:rFonts w:ascii="仿宋_GB2312" w:eastAsia="仿宋_GB2312"/>
          <w:sz w:val="32"/>
          <w:szCs w:val="32"/>
          <w:lang w:eastAsia="zh-CN"/>
        </w:rPr>
        <w:t>%</w:t>
      </w:r>
      <w:r>
        <w:rPr>
          <w:rFonts w:hint="eastAsia" w:ascii="仿宋_GB2312" w:eastAsia="仿宋_GB2312"/>
          <w:sz w:val="32"/>
          <w:szCs w:val="32"/>
          <w:lang w:eastAsia="zh-CN"/>
        </w:rPr>
        <w:t>。</w:t>
      </w:r>
    </w:p>
    <w:p>
      <w:pPr>
        <w:ind w:firstLine="435"/>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（三）一般公共预算当年拨款具体使用情况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）政府办公厅（室）及相关机构事务（</w:t>
      </w:r>
      <w:r>
        <w:rPr>
          <w:rFonts w:ascii="仿宋_GB2312" w:eastAsia="仿宋_GB2312"/>
          <w:sz w:val="32"/>
          <w:szCs w:val="32"/>
          <w:lang w:eastAsia="zh-CN"/>
        </w:rPr>
        <w:t>03</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1,084,806.04</w:t>
      </w:r>
      <w:r>
        <w:rPr>
          <w:rFonts w:hint="eastAsia" w:ascii="仿宋_GB2312" w:eastAsia="仿宋_GB2312"/>
          <w:sz w:val="32"/>
          <w:szCs w:val="32"/>
          <w:lang w:eastAsia="zh-CN"/>
        </w:rPr>
        <w:t>元，主要用于</w:t>
      </w:r>
      <w:r>
        <w:rPr>
          <w:rFonts w:ascii="仿宋_GB2312" w:eastAsia="仿宋_GB2312"/>
          <w:sz w:val="32"/>
          <w:szCs w:val="32"/>
          <w:lang w:eastAsia="zh-CN"/>
        </w:rPr>
        <w:t xml:space="preserve"> :</w:t>
      </w:r>
      <w:r>
        <w:rPr>
          <w:rFonts w:hint="eastAsia" w:ascii="仿宋_GB2312" w:eastAsia="仿宋_GB2312"/>
          <w:sz w:val="32"/>
          <w:szCs w:val="32"/>
          <w:lang w:eastAsia="zh-CN"/>
        </w:rPr>
        <w:t>行政单位</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）政府办公厅（室）及相关机构事务（</w:t>
      </w:r>
      <w:r>
        <w:rPr>
          <w:rFonts w:ascii="仿宋_GB2312" w:eastAsia="仿宋_GB2312"/>
          <w:sz w:val="32"/>
          <w:szCs w:val="32"/>
          <w:lang w:eastAsia="zh-CN"/>
        </w:rPr>
        <w:t>03</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835,506.40</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事业单位</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年的人员经费和日常公用经费等基本支出。</w:t>
      </w:r>
      <w:r>
        <w:rPr>
          <w:rFonts w:ascii="仿宋_GB2312" w:eastAsia="仿宋_GB2312"/>
          <w:sz w:val="32"/>
          <w:szCs w:val="32"/>
          <w:lang w:eastAsia="zh-CN"/>
        </w:rPr>
        <w:t> </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181,573.75</w:t>
      </w:r>
      <w:r>
        <w:rPr>
          <w:rFonts w:hint="eastAsia"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90,786.85</w:t>
      </w:r>
      <w:r>
        <w:rPr>
          <w:rFonts w:hint="eastAsia"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88,276.34</w:t>
      </w:r>
      <w:r>
        <w:rPr>
          <w:rFonts w:hint="eastAsia"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60,546.72</w:t>
      </w:r>
      <w:r>
        <w:rPr>
          <w:rFonts w:hint="eastAsia" w:ascii="仿宋_GB2312" w:eastAsia="仿宋_GB2312"/>
          <w:sz w:val="32"/>
          <w:szCs w:val="32"/>
          <w:lang w:eastAsia="zh-CN"/>
        </w:rPr>
        <w:t>元，主要用于事业单位缴纳基本医疗保险。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7.</w:t>
      </w:r>
      <w:r>
        <w:rPr>
          <w:rFonts w:hint="eastAsia" w:ascii="仿宋_GB2312" w:eastAsia="仿宋_GB2312"/>
          <w:sz w:val="32"/>
          <w:szCs w:val="32"/>
          <w:lang w:eastAsia="zh-CN"/>
        </w:rPr>
        <w:t>住房保障支出（</w:t>
      </w:r>
      <w:r>
        <w:rPr>
          <w:rFonts w:ascii="仿宋_GB2312" w:eastAsia="仿宋_GB2312"/>
          <w:sz w:val="32"/>
          <w:szCs w:val="32"/>
          <w:lang w:eastAsia="zh-CN"/>
        </w:rPr>
        <w:t>221</w:t>
      </w:r>
      <w:r>
        <w:rPr>
          <w:rFonts w:hint="eastAsia" w:ascii="仿宋_GB2312" w:eastAsia="仿宋_GB2312"/>
          <w:sz w:val="32"/>
          <w:szCs w:val="32"/>
          <w:lang w:eastAsia="zh-CN"/>
        </w:rPr>
        <w:t>）住房改革支出（</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193,332.00</w:t>
      </w:r>
      <w:r>
        <w:rPr>
          <w:rFonts w:hint="eastAsia" w:ascii="仿宋_GB2312" w:eastAsia="仿宋_GB2312"/>
          <w:sz w:val="32"/>
          <w:szCs w:val="32"/>
          <w:lang w:eastAsia="zh-CN"/>
        </w:rPr>
        <w:t>元，主要用于单位为职工缴纳住房公积金。</w:t>
      </w:r>
    </w:p>
    <w:p>
      <w:pPr>
        <w:widowControl w:val="0"/>
        <w:spacing w:line="560" w:lineRule="exact"/>
        <w:ind w:firstLine="640" w:firstLineChars="200"/>
        <w:rPr>
          <w:rFonts w:ascii="黑体" w:eastAsia="黑体"/>
          <w:sz w:val="32"/>
          <w:szCs w:val="32"/>
          <w:lang w:eastAsia="zh-CN"/>
        </w:rPr>
      </w:pPr>
      <w:r>
        <w:rPr>
          <w:rFonts w:hint="eastAsia" w:ascii="黑体" w:eastAsia="黑体"/>
          <w:sz w:val="32"/>
          <w:szCs w:val="32"/>
          <w:lang w:eastAsia="zh-CN"/>
        </w:rPr>
        <w:t>六、一般公共预算基本支出情况说明</w:t>
      </w:r>
    </w:p>
    <w:p>
      <w:pPr>
        <w:widowControl w:val="0"/>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年一般公共预算基本支出</w:t>
      </w:r>
      <w:r>
        <w:rPr>
          <w:rFonts w:hint="eastAsia" w:ascii="仿宋_GB2312" w:eastAsia="仿宋_GB2312"/>
          <w:sz w:val="32"/>
          <w:szCs w:val="32"/>
          <w:lang w:val="en-US" w:eastAsia="zh-CN"/>
        </w:rPr>
        <w:t>2,534,828.10</w:t>
      </w:r>
      <w:r>
        <w:rPr>
          <w:rFonts w:hint="eastAsia" w:ascii="仿宋_GB2312" w:eastAsia="仿宋_GB2312"/>
          <w:sz w:val="32"/>
          <w:szCs w:val="32"/>
          <w:lang w:eastAsia="zh-CN"/>
        </w:rPr>
        <w:t>元，其中：人员经费</w:t>
      </w:r>
      <w:r>
        <w:rPr>
          <w:rFonts w:hint="eastAsia" w:ascii="仿宋_GB2312" w:eastAsia="仿宋_GB2312"/>
          <w:sz w:val="32"/>
          <w:szCs w:val="32"/>
          <w:lang w:val="en-US" w:eastAsia="zh-CN"/>
        </w:rPr>
        <w:t>2,226,078.10</w:t>
      </w:r>
      <w:r>
        <w:rPr>
          <w:rFonts w:hint="eastAsia"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lang w:eastAsia="zh-CN"/>
        </w:rPr>
        <w:t>308,750.00</w:t>
      </w:r>
      <w:r>
        <w:rPr>
          <w:rFonts w:hint="eastAsia" w:ascii="仿宋_GB2312" w:eastAsia="仿宋_GB2312"/>
          <w:sz w:val="32"/>
          <w:szCs w:val="32"/>
          <w:lang w:eastAsia="zh-CN"/>
        </w:rPr>
        <w:t>元，主要包括：办公费、电费、邮电费、差旅费、公务接待费、公务用车运行维护费、会议费、培训费、劳务费、咨询费、其他商品和服务支出。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年“三公”经费财政拨款预算数</w:t>
      </w:r>
      <w:r>
        <w:rPr>
          <w:rFonts w:hint="eastAsia" w:ascii="仿宋_GB2312" w:eastAsia="仿宋_GB2312"/>
          <w:sz w:val="32"/>
          <w:szCs w:val="32"/>
          <w:lang w:val="en-US" w:eastAsia="zh-CN"/>
        </w:rPr>
        <w:t>45</w:t>
      </w:r>
      <w:r>
        <w:rPr>
          <w:rFonts w:ascii="仿宋_GB2312" w:eastAsia="仿宋_GB2312"/>
          <w:sz w:val="32"/>
          <w:szCs w:val="32"/>
          <w:lang w:eastAsia="zh-CN"/>
        </w:rPr>
        <w:t>,</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5</w:t>
      </w:r>
      <w:r>
        <w:rPr>
          <w:rFonts w:ascii="仿宋_GB2312" w:eastAsia="仿宋_GB2312"/>
          <w:sz w:val="32"/>
          <w:szCs w:val="32"/>
          <w:lang w:eastAsia="zh-CN"/>
        </w:rPr>
        <w:t>,</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元，公务用车购置费</w:t>
      </w:r>
      <w:r>
        <w:rPr>
          <w:rFonts w:hint="eastAsia" w:ascii="仿宋_GB2312" w:eastAsia="仿宋_GB2312"/>
          <w:sz w:val="32"/>
          <w:szCs w:val="32"/>
          <w:lang w:val="en-US" w:eastAsia="zh-CN"/>
        </w:rPr>
        <w:t>0元，</w:t>
      </w:r>
      <w:r>
        <w:rPr>
          <w:rFonts w:hint="eastAsia" w:ascii="仿宋_GB2312" w:eastAsia="仿宋_GB2312"/>
          <w:sz w:val="32"/>
          <w:szCs w:val="32"/>
          <w:lang w:eastAsia="zh-CN"/>
        </w:rPr>
        <w:t>公务车运行维护费</w:t>
      </w:r>
      <w:r>
        <w:rPr>
          <w:rFonts w:hint="eastAsia" w:ascii="仿宋_GB2312" w:eastAsia="仿宋_GB2312"/>
          <w:sz w:val="32"/>
          <w:szCs w:val="32"/>
          <w:lang w:val="en-US" w:eastAsia="zh-CN"/>
        </w:rPr>
        <w:t>4</w:t>
      </w:r>
      <w:r>
        <w:rPr>
          <w:rFonts w:ascii="仿宋_GB2312" w:eastAsia="仿宋_GB2312"/>
          <w:sz w:val="32"/>
          <w:szCs w:val="32"/>
          <w:lang w:eastAsia="zh-CN"/>
        </w:rPr>
        <w:t>0,000.00</w:t>
      </w:r>
      <w:r>
        <w:rPr>
          <w:rFonts w:hint="eastAsia"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年无因公出国（境）经费，较</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年预算无变化。</w:t>
      </w:r>
    </w:p>
    <w:p>
      <w:pPr>
        <w:spacing w:line="560" w:lineRule="exact"/>
        <w:ind w:firstLine="640" w:firstLineChars="200"/>
        <w:jc w:val="both"/>
        <w:rPr>
          <w:rFonts w:ascii="仿宋_GB2312" w:eastAsia="仿宋_GB2312"/>
          <w:sz w:val="32"/>
          <w:szCs w:val="32"/>
          <w:lang w:eastAsia="zh-CN"/>
        </w:rPr>
      </w:pPr>
    </w:p>
    <w:p>
      <w:pPr>
        <w:spacing w:line="560" w:lineRule="exact"/>
        <w:ind w:left="0" w:leftChars="0" w:firstLine="640" w:firstLineChars="200"/>
        <w:rPr>
          <w:rFonts w:ascii="仿宋_GB2312" w:eastAsia="仿宋_GB2312"/>
          <w:sz w:val="32"/>
          <w:szCs w:val="32"/>
          <w:lang w:eastAsia="zh-CN"/>
        </w:rPr>
      </w:pP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年公务接待费</w:t>
      </w:r>
      <w:r>
        <w:rPr>
          <w:rFonts w:hint="eastAsia" w:ascii="仿宋_GB2312" w:eastAsia="仿宋_GB2312"/>
          <w:sz w:val="32"/>
          <w:szCs w:val="32"/>
          <w:lang w:val="en-US" w:eastAsia="zh-CN"/>
        </w:rPr>
        <w:t>5</w:t>
      </w:r>
      <w:r>
        <w:rPr>
          <w:rFonts w:ascii="仿宋_GB2312" w:eastAsia="仿宋_GB2312"/>
          <w:sz w:val="32"/>
          <w:szCs w:val="32"/>
          <w:lang w:eastAsia="zh-CN"/>
        </w:rPr>
        <w:t>,</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元。较</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年预算减少</w:t>
      </w:r>
      <w:r>
        <w:rPr>
          <w:rFonts w:hint="eastAsia" w:ascii="仿宋_GB2312" w:eastAsia="仿宋_GB2312"/>
          <w:sz w:val="32"/>
          <w:szCs w:val="32"/>
          <w:lang w:val="en-US" w:eastAsia="zh-CN"/>
        </w:rPr>
        <w:t>16.67</w:t>
      </w:r>
      <w:r>
        <w:rPr>
          <w:rFonts w:ascii="仿宋_GB2312" w:eastAsia="仿宋_GB2312"/>
          <w:sz w:val="32"/>
          <w:szCs w:val="32"/>
          <w:lang w:eastAsia="zh-CN"/>
        </w:rPr>
        <w:t>%</w:t>
      </w:r>
      <w:r>
        <w:rPr>
          <w:rFonts w:hint="eastAsia" w:ascii="仿宋_GB2312" w:eastAsia="仿宋_GB2312"/>
          <w:sz w:val="32"/>
          <w:szCs w:val="32"/>
          <w:lang w:eastAsia="zh-CN"/>
        </w:rPr>
        <w:t>，主要原因是：</w:t>
      </w:r>
      <w:r>
        <w:rPr>
          <w:rFonts w:hint="default" w:ascii="仿宋_GB2312" w:eastAsia="仿宋_GB2312"/>
          <w:sz w:val="32"/>
          <w:szCs w:val="32"/>
          <w:lang w:eastAsia="zh-CN"/>
        </w:rPr>
        <w:t>严格落实中央八项规定精神</w:t>
      </w:r>
      <w:r>
        <w:rPr>
          <w:rFonts w:hint="eastAsia" w:ascii="仿宋_GB2312" w:eastAsia="仿宋_GB2312"/>
          <w:sz w:val="32"/>
          <w:szCs w:val="32"/>
          <w:lang w:eastAsia="zh-CN"/>
        </w:rPr>
        <w:t>，压减公务接待费预算安排。</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年公务用车购置费</w:t>
      </w:r>
      <w:r>
        <w:rPr>
          <w:rFonts w:hint="eastAsia" w:ascii="仿宋_GB2312" w:eastAsia="仿宋_GB2312"/>
          <w:sz w:val="32"/>
          <w:szCs w:val="32"/>
          <w:lang w:val="en-US" w:eastAsia="zh-CN"/>
        </w:rPr>
        <w:t>0元，</w:t>
      </w:r>
      <w:r>
        <w:rPr>
          <w:rFonts w:hint="eastAsia" w:ascii="仿宋_GB2312" w:eastAsia="仿宋_GB2312"/>
          <w:sz w:val="32"/>
          <w:szCs w:val="32"/>
          <w:lang w:eastAsia="zh-CN"/>
        </w:rPr>
        <w:t>较</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年预算无变化</w:t>
      </w:r>
      <w:r>
        <w:rPr>
          <w:rFonts w:hint="eastAsia" w:ascii="仿宋_GB2312" w:eastAsia="仿宋_GB2312"/>
          <w:sz w:val="32"/>
          <w:szCs w:val="32"/>
          <w:lang w:val="en-US" w:eastAsia="zh-CN"/>
        </w:rPr>
        <w:t>；</w:t>
      </w:r>
      <w:r>
        <w:rPr>
          <w:rFonts w:hint="eastAsia" w:ascii="仿宋_GB2312" w:eastAsia="仿宋_GB2312"/>
          <w:sz w:val="32"/>
          <w:szCs w:val="32"/>
          <w:lang w:eastAsia="zh-CN"/>
        </w:rPr>
        <w:t>公务车运行维护费</w:t>
      </w:r>
      <w:r>
        <w:rPr>
          <w:rFonts w:hint="eastAsia" w:ascii="仿宋_GB2312" w:eastAsia="仿宋_GB2312"/>
          <w:sz w:val="32"/>
          <w:szCs w:val="32"/>
          <w:lang w:val="en-US" w:eastAsia="zh-CN"/>
        </w:rPr>
        <w:t>4</w:t>
      </w:r>
      <w:r>
        <w:rPr>
          <w:rFonts w:ascii="仿宋_GB2312" w:eastAsia="仿宋_GB2312"/>
          <w:sz w:val="32"/>
          <w:szCs w:val="32"/>
          <w:lang w:eastAsia="zh-CN"/>
        </w:rPr>
        <w:t>0,000.00</w:t>
      </w:r>
      <w:r>
        <w:rPr>
          <w:rFonts w:hint="eastAsia" w:ascii="仿宋_GB2312" w:eastAsia="仿宋_GB2312"/>
          <w:sz w:val="32"/>
          <w:szCs w:val="32"/>
          <w:lang w:eastAsia="zh-CN"/>
        </w:rPr>
        <w:t>元，较</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年预算增加</w:t>
      </w:r>
      <w:r>
        <w:rPr>
          <w:rFonts w:hint="eastAsia" w:ascii="仿宋_GB2312" w:eastAsia="仿宋_GB2312"/>
          <w:sz w:val="32"/>
          <w:szCs w:val="32"/>
          <w:lang w:val="en-US" w:eastAsia="zh-CN"/>
        </w:rPr>
        <w:t>33.33</w:t>
      </w:r>
      <w:r>
        <w:rPr>
          <w:rFonts w:ascii="仿宋_GB2312" w:eastAsia="仿宋_GB2312"/>
          <w:sz w:val="32"/>
          <w:szCs w:val="32"/>
          <w:lang w:eastAsia="zh-CN"/>
        </w:rPr>
        <w:t>%</w:t>
      </w:r>
      <w:r>
        <w:rPr>
          <w:rFonts w:hint="eastAsia" w:ascii="仿宋_GB2312" w:eastAsia="仿宋_GB2312"/>
          <w:sz w:val="32"/>
          <w:szCs w:val="32"/>
          <w:lang w:eastAsia="zh-CN"/>
        </w:rPr>
        <w:t>，主要原因是：我单位公务用车年限较长，维修费有所增加。</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八、政府性基金预算支出情况说明</w:t>
      </w:r>
    </w:p>
    <w:p>
      <w:pPr>
        <w:ind w:firstLine="0"/>
        <w:rPr>
          <w:lang w:eastAsia="zh-CN"/>
        </w:rPr>
      </w:pPr>
      <w:r>
        <w:rPr>
          <w:rFonts w:hint="eastAsia"/>
          <w:lang w:eastAsia="zh-CN"/>
        </w:rPr>
        <w:t>　</w:t>
      </w:r>
      <w:r>
        <w:rPr>
          <w:lang w:eastAsia="zh-CN"/>
        </w:rPr>
        <w:t xml:space="preserve">    </w:t>
      </w: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年无政府性基金预算拨款安排支出</w:t>
      </w:r>
      <w:r>
        <w:rPr>
          <w:rFonts w:hint="eastAsia"/>
          <w:lang w:eastAsia="zh-CN"/>
        </w:rPr>
        <w:t>。</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九、其他重要事项的情况说明</w:t>
      </w:r>
    </w:p>
    <w:p>
      <w:pPr>
        <w:spacing w:line="560" w:lineRule="exact"/>
        <w:ind w:firstLine="642" w:firstLineChars="200"/>
        <w:rPr>
          <w:rFonts w:ascii="黑体" w:eastAsia="黑体"/>
          <w:b/>
          <w:sz w:val="32"/>
          <w:szCs w:val="32"/>
          <w:lang w:eastAsia="zh-CN"/>
        </w:rPr>
      </w:pPr>
      <w:r>
        <w:rPr>
          <w:rFonts w:hint="eastAsia" w:ascii="楷体_GB2312" w:eastAsia="楷体_GB2312" w:cs="楷体_GB2312"/>
          <w:b/>
          <w:bCs/>
          <w:kern w:val="2"/>
          <w:sz w:val="32"/>
          <w:szCs w:val="32"/>
          <w:lang w:eastAsia="zh-CN"/>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年机关运行经费财政拨款预算为</w:t>
      </w:r>
      <w:r>
        <w:rPr>
          <w:rFonts w:ascii="仿宋_GB2312" w:eastAsia="仿宋_GB2312"/>
          <w:sz w:val="32"/>
          <w:szCs w:val="32"/>
          <w:lang w:eastAsia="zh-CN"/>
        </w:rPr>
        <w:t>308,750.00</w:t>
      </w:r>
      <w:r>
        <w:rPr>
          <w:rFonts w:hint="eastAsia" w:ascii="仿宋_GB2312" w:eastAsia="仿宋_GB2312"/>
          <w:sz w:val="32"/>
          <w:szCs w:val="32"/>
          <w:lang w:eastAsia="zh-CN"/>
        </w:rPr>
        <w:t>元，与</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年预算数持平。</w:t>
      </w:r>
    </w:p>
    <w:p>
      <w:pPr>
        <w:spacing w:line="560"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（二）政府采购情况</w:t>
      </w:r>
    </w:p>
    <w:p>
      <w:pPr>
        <w:spacing w:line="56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年，茂县信访局未安排政府采购预算。</w:t>
      </w:r>
    </w:p>
    <w:p>
      <w:pPr>
        <w:widowControl w:val="0"/>
        <w:numPr>
          <w:ilvl w:val="0"/>
          <w:numId w:val="1"/>
        </w:numPr>
        <w:spacing w:line="560" w:lineRule="exact"/>
        <w:ind w:left="0"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国有资产占有使用情况</w:t>
      </w:r>
    </w:p>
    <w:p>
      <w:pPr>
        <w:widowControl w:val="0"/>
        <w:spacing w:line="560" w:lineRule="exact"/>
        <w:ind w:firstLine="640" w:firstLineChars="200"/>
        <w:rPr>
          <w:lang w:eastAsia="zh-CN"/>
        </w:rPr>
      </w:pPr>
      <w:r>
        <w:rPr>
          <w:rFonts w:hint="eastAsia" w:ascii="仿宋_GB2312" w:eastAsia="仿宋_GB2312"/>
          <w:sz w:val="32"/>
          <w:szCs w:val="32"/>
          <w:lang w:eastAsia="zh-CN"/>
        </w:rPr>
        <w:t>茂县信访局截止</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日，固定资产原值总额</w:t>
      </w:r>
      <w:r>
        <w:rPr>
          <w:rFonts w:ascii="仿宋_GB2312" w:eastAsia="仿宋_GB2312"/>
          <w:sz w:val="32"/>
          <w:szCs w:val="32"/>
          <w:lang w:eastAsia="zh-CN"/>
        </w:rPr>
        <w:t>528,075.00</w:t>
      </w:r>
      <w:r>
        <w:rPr>
          <w:rFonts w:hint="eastAsia" w:ascii="仿宋_GB2312" w:eastAsia="仿宋_GB2312"/>
          <w:sz w:val="32"/>
          <w:szCs w:val="32"/>
          <w:lang w:eastAsia="zh-CN"/>
        </w:rPr>
        <w:t>元，其中：通用设备价值</w:t>
      </w:r>
      <w:r>
        <w:rPr>
          <w:rFonts w:ascii="仿宋_GB2312" w:eastAsia="仿宋_GB2312"/>
          <w:sz w:val="32"/>
          <w:szCs w:val="32"/>
          <w:lang w:eastAsia="zh-CN"/>
        </w:rPr>
        <w:t>165,995.00</w:t>
      </w:r>
      <w:r>
        <w:rPr>
          <w:rFonts w:hint="eastAsia" w:ascii="仿宋_GB2312" w:eastAsia="仿宋_GB2312"/>
          <w:sz w:val="32"/>
          <w:szCs w:val="32"/>
          <w:lang w:eastAsia="zh-CN"/>
        </w:rPr>
        <w:t>元；公务用车</w:t>
      </w:r>
      <w:r>
        <w:rPr>
          <w:rFonts w:ascii="仿宋_GB2312" w:eastAsia="仿宋_GB2312"/>
          <w:sz w:val="32"/>
          <w:szCs w:val="32"/>
          <w:lang w:eastAsia="zh-CN"/>
        </w:rPr>
        <w:t>1</w:t>
      </w:r>
      <w:r>
        <w:rPr>
          <w:rFonts w:hint="eastAsia" w:ascii="仿宋_GB2312" w:eastAsia="仿宋_GB2312"/>
          <w:sz w:val="32"/>
          <w:szCs w:val="32"/>
          <w:lang w:eastAsia="zh-CN"/>
        </w:rPr>
        <w:t>辆，价值</w:t>
      </w:r>
      <w:r>
        <w:rPr>
          <w:rFonts w:ascii="仿宋_GB2312" w:eastAsia="仿宋_GB2312"/>
          <w:sz w:val="32"/>
          <w:szCs w:val="32"/>
          <w:lang w:eastAsia="zh-CN"/>
        </w:rPr>
        <w:t>234,800.00</w:t>
      </w:r>
      <w:r>
        <w:rPr>
          <w:rFonts w:hint="eastAsia" w:ascii="仿宋_GB2312" w:eastAsia="仿宋_GB2312"/>
          <w:sz w:val="32"/>
          <w:szCs w:val="32"/>
          <w:lang w:eastAsia="zh-CN"/>
        </w:rPr>
        <w:t>元；家具、用具、装具及动植物价值</w:t>
      </w:r>
      <w:r>
        <w:rPr>
          <w:rFonts w:ascii="仿宋_GB2312" w:eastAsia="仿宋_GB2312"/>
          <w:sz w:val="32"/>
          <w:szCs w:val="32"/>
          <w:lang w:eastAsia="zh-CN"/>
        </w:rPr>
        <w:t>127,280.00</w:t>
      </w:r>
      <w:r>
        <w:rPr>
          <w:rFonts w:hint="eastAsia" w:ascii="仿宋_GB2312" w:eastAsia="仿宋_GB2312"/>
          <w:sz w:val="32"/>
          <w:szCs w:val="32"/>
          <w:lang w:eastAsia="zh-CN"/>
        </w:rPr>
        <w:t>元。</w:t>
      </w:r>
    </w:p>
    <w:p>
      <w:pPr>
        <w:spacing w:line="560"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（四）绩效目标设置情况</w:t>
      </w:r>
    </w:p>
    <w:p>
      <w:pPr>
        <w:spacing w:line="56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年开展绩效目标管理的项目</w:t>
      </w:r>
      <w:r>
        <w:rPr>
          <w:rFonts w:hint="eastAsia" w:ascii="仿宋_GB2312" w:eastAsia="仿宋_GB2312"/>
          <w:sz w:val="32"/>
          <w:szCs w:val="32"/>
          <w:lang w:val="en-US" w:eastAsia="zh-CN"/>
        </w:rPr>
        <w:t>17个，涉及预算2,534,828.10元，其中：人员类项目16个，涉及预算2,226,078.10元；运转类项目1个，涉及预算</w:t>
      </w:r>
      <w:r>
        <w:rPr>
          <w:rFonts w:ascii="仿宋_GB2312" w:eastAsia="仿宋_GB2312"/>
          <w:sz w:val="32"/>
          <w:szCs w:val="32"/>
          <w:lang w:eastAsia="zh-CN"/>
        </w:rPr>
        <w:t>308,750.00</w:t>
      </w:r>
      <w:r>
        <w:rPr>
          <w:rFonts w:hint="eastAsia" w:ascii="仿宋_GB2312" w:eastAsia="仿宋_GB2312"/>
          <w:sz w:val="32"/>
          <w:szCs w:val="32"/>
          <w:lang w:val="en-US" w:eastAsia="zh-CN"/>
        </w:rPr>
        <w:t>元；特定目标类项目0个，涉及预算0万元</w:t>
      </w:r>
      <w:r>
        <w:rPr>
          <w:rFonts w:hint="eastAsia" w:ascii="仿宋_GB2312" w:eastAsia="仿宋_GB2312"/>
          <w:sz w:val="32"/>
          <w:szCs w:val="32"/>
          <w:lang w:eastAsia="zh-CN"/>
        </w:rPr>
        <w:t>。</w:t>
      </w:r>
    </w:p>
    <w:p>
      <w:pPr>
        <w:numPr>
          <w:ilvl w:val="0"/>
          <w:numId w:val="2"/>
        </w:numPr>
        <w:spacing w:line="560" w:lineRule="exact"/>
        <w:ind w:left="0" w:firstLine="640" w:firstLineChars="200"/>
        <w:rPr>
          <w:rFonts w:ascii="黑体" w:eastAsia="黑体"/>
          <w:sz w:val="32"/>
          <w:szCs w:val="32"/>
          <w:lang w:eastAsia="zh-CN"/>
        </w:rPr>
      </w:pPr>
      <w:r>
        <w:rPr>
          <w:rFonts w:hint="eastAsia" w:ascii="黑体" w:eastAsia="黑体" w:cs="Times New Roman"/>
          <w:sz w:val="32"/>
          <w:szCs w:val="32"/>
          <w:lang w:eastAsia="zh-CN"/>
        </w:rPr>
        <w:t>名词解释</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2"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widowControl w:val="0"/>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widowControl w:val="0"/>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footerReference r:id="rId3" w:type="default"/>
      <w:footerReference r:id="rId4" w:type="even"/>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Arial"/>
        <w:b/>
        <w:sz w:val="24"/>
      </w:rPr>
    </w:pPr>
    <w:r>
      <w:rPr>
        <w:rStyle w:val="12"/>
        <w:rFonts w:cs="Arial"/>
        <w:b/>
        <w:sz w:val="24"/>
      </w:rPr>
      <w:fldChar w:fldCharType="begin"/>
    </w:r>
    <w:r>
      <w:rPr>
        <w:rStyle w:val="12"/>
        <w:rFonts w:cs="Arial"/>
        <w:b/>
        <w:sz w:val="24"/>
      </w:rPr>
      <w:instrText xml:space="preserve">PAGE  </w:instrText>
    </w:r>
    <w:r>
      <w:rPr>
        <w:rStyle w:val="12"/>
        <w:rFonts w:cs="Arial"/>
        <w:b/>
        <w:sz w:val="24"/>
      </w:rPr>
      <w:fldChar w:fldCharType="separate"/>
    </w:r>
    <w:r>
      <w:rPr>
        <w:rStyle w:val="12"/>
        <w:rFonts w:cs="Arial"/>
        <w:b/>
        <w:sz w:val="24"/>
      </w:rPr>
      <w:t>- 3 -</w:t>
    </w:r>
    <w:r>
      <w:rPr>
        <w:rStyle w:val="12"/>
        <w:rFonts w:cs="Arial"/>
        <w:b/>
        <w:sz w:val="24"/>
      </w:rPr>
      <w:fldChar w:fldCharType="end"/>
    </w:r>
  </w:p>
  <w:p>
    <w:pPr>
      <w:pStyle w:val="6"/>
      <w:ind w:right="360" w:firstLine="0"/>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Arial"/>
      </w:rPr>
    </w:pPr>
    <w:r>
      <w:rPr>
        <w:rStyle w:val="12"/>
        <w:rFonts w:cs="Arial"/>
      </w:rPr>
      <w:fldChar w:fldCharType="begin"/>
    </w:r>
    <w:r>
      <w:rPr>
        <w:rStyle w:val="12"/>
        <w:rFonts w:cs="Arial"/>
      </w:rPr>
      <w:instrText xml:space="preserve">PAGE  </w:instrText>
    </w:r>
    <w:r>
      <w:rPr>
        <w:rStyle w:val="12"/>
        <w:rFonts w:cs="Arial"/>
      </w:rPr>
      <w:fldChar w:fldCharType="separate"/>
    </w:r>
    <w:r>
      <w:rPr>
        <w:rStyle w:val="12"/>
        <w:rFonts w:cs="Arial"/>
      </w:rPr>
      <w:t xml:space="preserve"> </w:t>
    </w:r>
    <w:r>
      <w:rPr>
        <w:rStyle w:val="12"/>
        <w:rFonts w:cs="Arial"/>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64743"/>
    <w:multiLevelType w:val="singleLevel"/>
    <w:tmpl w:val="F7E64743"/>
    <w:lvl w:ilvl="0" w:tentative="0">
      <w:start w:val="10"/>
      <w:numFmt w:val="chineseCounting"/>
      <w:suff w:val="nothing"/>
      <w:lvlText w:val="%1、"/>
      <w:lvlJc w:val="left"/>
      <w:pPr>
        <w:ind w:left="0" w:firstLine="0"/>
      </w:pPr>
      <w:rPr>
        <w:rFonts w:hint="eastAsia" w:cs="Times New Roman"/>
      </w:rPr>
    </w:lvl>
  </w:abstractNum>
  <w:abstractNum w:abstractNumId="1">
    <w:nsid w:val="256D95EA"/>
    <w:multiLevelType w:val="singleLevel"/>
    <w:tmpl w:val="256D95EA"/>
    <w:lvl w:ilvl="0" w:tentative="0">
      <w:start w:val="3"/>
      <w:numFmt w:val="chineseCounting"/>
      <w:suff w:val="nothing"/>
      <w:lvlText w:val="（%1）"/>
      <w:lvlJc w:val="left"/>
      <w:pPr>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8700BA7"/>
    <w:rsid w:val="307901BE"/>
    <w:rsid w:val="352630CC"/>
    <w:rsid w:val="429B15D2"/>
    <w:rsid w:val="5534725B"/>
    <w:rsid w:val="557D644E"/>
    <w:rsid w:val="70E71B9D"/>
    <w:rsid w:val="BFA817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kern w:val="0"/>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character" w:styleId="11">
    <w:name w:val="Strong"/>
    <w:basedOn w:val="10"/>
    <w:qFormat/>
    <w:uiPriority w:val="0"/>
    <w:rPr>
      <w:rFonts w:cs="Times New Roman"/>
      <w:b/>
    </w:rPr>
  </w:style>
  <w:style w:type="character" w:styleId="12">
    <w:name w:val="page number"/>
    <w:basedOn w:val="10"/>
    <w:qFormat/>
    <w:uiPriority w:val="0"/>
    <w:rPr>
      <w:rFonts w:cs="Times New Roman"/>
    </w:rPr>
  </w:style>
  <w:style w:type="character" w:styleId="13">
    <w:name w:val="FollowedHyperlink"/>
    <w:basedOn w:val="10"/>
    <w:qFormat/>
    <w:uiPriority w:val="0"/>
    <w:rPr>
      <w:rFonts w:cs="Times New Roman"/>
      <w:color w:val="323232"/>
      <w:u w:val="none"/>
    </w:rPr>
  </w:style>
  <w:style w:type="character" w:styleId="14">
    <w:name w:val="Hyperlink"/>
    <w:basedOn w:val="10"/>
    <w:qFormat/>
    <w:uiPriority w:val="0"/>
    <w:rPr>
      <w:rFonts w:cs="Times New Roman"/>
      <w:color w:val="323232"/>
      <w:u w:val="none"/>
    </w:rPr>
  </w:style>
  <w:style w:type="character" w:customStyle="1" w:styleId="15">
    <w:name w:val="bsharetext"/>
    <w:basedOn w:val="10"/>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11</Pages>
  <Words>3784</Words>
  <Characters>4385</Characters>
  <Lines>236</Lines>
  <Paragraphs>90</Paragraphs>
  <TotalTime>1</TotalTime>
  <ScaleCrop>false</ScaleCrop>
  <LinksUpToDate>false</LinksUpToDate>
  <CharactersWithSpaces>4468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2021-03-26T14:45:00Z</cp:lastPrinted>
  <dcterms:modified xsi:type="dcterms:W3CDTF">2026-05-08T15:36:04Z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9B4E430583034A66B08ED82277A5FF22</vt:lpwstr>
  </property>
</Properties>
</file>