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outlineLvl w:val="0"/>
        <w:rPr>
          <w:rFonts w:ascii="方正小标宋简体" w:eastAsia="方正小标宋简体"/>
          <w:color w:val="000000"/>
          <w:sz w:val="72"/>
          <w:szCs w:val="72"/>
        </w:rPr>
      </w:pPr>
      <w:bookmarkStart w:id="0" w:name="_Toc15396599"/>
      <w:bookmarkStart w:id="1" w:name="_Toc15377196"/>
    </w:p>
    <w:p>
      <w:pPr>
        <w:spacing w:line="600" w:lineRule="exact"/>
        <w:jc w:val="center"/>
        <w:outlineLvl w:val="0"/>
        <w:rPr>
          <w:rFonts w:ascii="方正小标宋简体" w:eastAsia="方正小标宋简体"/>
          <w:color w:val="000000"/>
          <w:sz w:val="72"/>
          <w:szCs w:val="72"/>
        </w:rPr>
      </w:pP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p>
    <w:p>
      <w:pPr>
        <w:pStyle w:val="8"/>
        <w:jc w:val="center"/>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四川省阿坝州茂县信访局</w:t>
      </w:r>
    </w:p>
    <w:p>
      <w:pPr>
        <w:pStyle w:val="8"/>
        <w:jc w:val="center"/>
        <w:rPr>
          <w:rFonts w:hint="default"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单位决算(本级)</w:t>
      </w:r>
    </w:p>
    <w:p>
      <w:pPr>
        <w:widowControl/>
        <w:jc w:val="center"/>
        <w:rPr>
          <w:rFonts w:ascii="方正小标宋简体" w:eastAsia="方正小标宋简体"/>
          <w:color w:val="000000"/>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jc w:val="left"/>
        <w:rPr>
          <w:rFonts w:hint="eastAsia" w:ascii="仿宋_GB2312" w:eastAsia="仿宋_GB2312" w:cs="仿宋_GB2312"/>
          <w:sz w:val="32"/>
          <w:szCs w:val="32"/>
          <w:lang w:eastAsia="zh-CN"/>
        </w:rPr>
      </w:pPr>
    </w:p>
    <w:p>
      <w:pPr>
        <w:autoSpaceDE w:val="0"/>
        <w:autoSpaceDN w:val="0"/>
        <w:adjustRightInd w:val="0"/>
        <w:ind w:firstLine="1280" w:firstLineChars="400"/>
        <w:jc w:val="left"/>
        <w:rPr>
          <w:rFonts w:hint="eastAsia" w:ascii="仿宋_GB2312" w:eastAsia="仿宋_GB2312" w:cs="仿宋_GB2312"/>
          <w:sz w:val="32"/>
          <w:szCs w:val="32"/>
          <w:lang w:eastAsia="zh-CN"/>
        </w:rPr>
      </w:pPr>
    </w:p>
    <w:p>
      <w:pPr>
        <w:autoSpaceDE w:val="0"/>
        <w:autoSpaceDN w:val="0"/>
        <w:adjustRightInd w:val="0"/>
        <w:jc w:val="both"/>
        <w:rPr>
          <w:rFonts w:hint="eastAsia" w:eastAsia="仿宋_GB2312"/>
          <w:sz w:val="32"/>
          <w:szCs w:val="32"/>
          <w:lang w:eastAsia="zh-CN"/>
        </w:rPr>
      </w:pPr>
    </w:p>
    <w:p>
      <w:pPr>
        <w:widowControl/>
        <w:jc w:val="left"/>
        <w:rPr>
          <w:rFonts w:ascii="方正小标宋简体" w:eastAsia="方正小标宋简体"/>
          <w:sz w:val="36"/>
          <w:szCs w:val="36"/>
        </w:rPr>
      </w:pPr>
    </w:p>
    <w:p>
      <w:pPr>
        <w:pageBreakBefore w:val="0"/>
        <w:widowControl/>
        <w:kinsoku/>
        <w:wordWrap/>
        <w:overflowPunct/>
        <w:topLinePunct w:val="0"/>
        <w:bidi w:val="0"/>
        <w:spacing w:line="576" w:lineRule="exact"/>
        <w:jc w:val="center"/>
        <w:textAlignment w:val="auto"/>
        <w:rPr>
          <w:rFonts w:ascii="黑体" w:eastAsia="黑体"/>
          <w:color w:val="000000"/>
          <w:sz w:val="48"/>
          <w:szCs w:val="48"/>
        </w:rPr>
      </w:pPr>
      <w:r>
        <w:rPr>
          <w:rFonts w:ascii="方正小标宋简体" w:eastAsia="方正小标宋简体"/>
          <w:sz w:val="36"/>
          <w:szCs w:val="36"/>
        </w:rPr>
        <w:br w:type="page"/>
      </w:r>
      <w:r>
        <w:rPr>
          <w:rFonts w:hint="eastAsia" w:ascii="黑体" w:eastAsia="黑体"/>
          <w:color w:val="000000"/>
          <w:sz w:val="48"/>
          <w:szCs w:val="48"/>
        </w:rPr>
        <w:t>目录</w:t>
      </w:r>
    </w:p>
    <w:p>
      <w:pPr>
        <w:pStyle w:val="13"/>
        <w:pageBreakBefore w:val="0"/>
        <w:widowControl w:val="0"/>
        <w:kinsoku/>
        <w:wordWrap/>
        <w:overflowPunct/>
        <w:topLinePunct w:val="0"/>
        <w:bidi w:val="0"/>
        <w:spacing w:line="576" w:lineRule="exact"/>
        <w:jc w:val="center"/>
        <w:textAlignment w:val="auto"/>
        <w:rPr>
          <w:rFonts w:hint="eastAsia" w:ascii="仿宋_GB2312" w:eastAsia="仿宋_GB2312" w:cs="仿宋_GB2312"/>
          <w:bCs/>
          <w:sz w:val="28"/>
          <w:szCs w:val="28"/>
        </w:rPr>
      </w:pPr>
      <w:r>
        <w:rPr>
          <w:rFonts w:hint="eastAsia" w:ascii="仿宋_GB2312" w:eastAsia="仿宋_GB2312" w:cs="仿宋_GB2312"/>
          <w:bCs/>
          <w:sz w:val="28"/>
          <w:szCs w:val="28"/>
        </w:rPr>
        <w:t>公开时间：202</w:t>
      </w:r>
      <w:r>
        <w:rPr>
          <w:rFonts w:hint="eastAsia" w:ascii="仿宋_GB2312" w:eastAsia="仿宋_GB2312" w:cs="仿宋_GB2312"/>
          <w:bCs/>
          <w:sz w:val="28"/>
          <w:szCs w:val="28"/>
          <w:lang w:val="en-US" w:eastAsia="zh-CN"/>
        </w:rPr>
        <w:t>4</w:t>
      </w:r>
      <w:r>
        <w:rPr>
          <w:rFonts w:hint="eastAsia" w:ascii="仿宋_GB2312" w:eastAsia="仿宋_GB2312" w:cs="仿宋_GB2312"/>
          <w:bCs/>
          <w:sz w:val="28"/>
          <w:szCs w:val="28"/>
        </w:rPr>
        <w:t>年</w:t>
      </w:r>
      <w:r>
        <w:rPr>
          <w:rFonts w:hint="eastAsia" w:ascii="仿宋_GB2312" w:eastAsia="仿宋_GB2312" w:cs="仿宋_GB2312"/>
          <w:bCs/>
          <w:sz w:val="28"/>
          <w:szCs w:val="28"/>
          <w:lang w:val="en-US" w:eastAsia="zh-CN"/>
        </w:rPr>
        <w:t>9</w:t>
      </w:r>
      <w:r>
        <w:rPr>
          <w:rFonts w:hint="eastAsia" w:ascii="仿宋_GB2312" w:eastAsia="仿宋_GB2312" w:cs="仿宋_GB2312"/>
          <w:bCs/>
          <w:sz w:val="28"/>
          <w:szCs w:val="28"/>
        </w:rPr>
        <w:t>月</w:t>
      </w:r>
      <w:r>
        <w:rPr>
          <w:rFonts w:hint="eastAsia" w:ascii="仿宋_GB2312" w:eastAsia="仿宋_GB2312" w:cs="仿宋_GB2312"/>
          <w:bCs/>
          <w:sz w:val="28"/>
          <w:szCs w:val="28"/>
          <w:lang w:val="en-US" w:eastAsia="zh-CN"/>
        </w:rPr>
        <w:t>25</w:t>
      </w:r>
      <w:r>
        <w:rPr>
          <w:rFonts w:hint="eastAsia" w:ascii="仿宋_GB2312" w:eastAsia="仿宋_GB2312" w:cs="仿宋_GB2312"/>
          <w:bCs/>
          <w:sz w:val="28"/>
          <w:szCs w:val="28"/>
        </w:rPr>
        <w:t>日</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TOC \o "1-3" \h \u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_Toc23324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第一部分 单位概况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_Toc14656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一、主要职责</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_Toc30733 </w:instrText>
      </w:r>
      <w:r>
        <w:rPr>
          <w:rFonts w:hint="eastAsia" w:ascii="仿宋_GB2312" w:eastAsia="仿宋_GB2312" w:cs="仿宋_GB2312"/>
          <w:sz w:val="28"/>
          <w:szCs w:val="28"/>
        </w:rPr>
        <w:fldChar w:fldCharType="separate"/>
      </w:r>
      <w:r>
        <w:rPr>
          <w:rFonts w:hint="eastAsia" w:ascii="仿宋_GB2312" w:eastAsia="仿宋_GB2312" w:cs="仿宋_GB2312"/>
          <w:bCs/>
          <w:sz w:val="28"/>
          <w:szCs w:val="28"/>
        </w:rPr>
        <w:t>（一）主要职能</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3</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_Toc10669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bidi="ar-SA"/>
        </w:rPr>
        <w:t>二、机构设置</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4</w:t>
      </w:r>
      <w:r>
        <w:rPr>
          <w:rFonts w:hint="eastAsia" w:ascii="仿宋_GB2312" w:eastAsia="仿宋_GB2312" w:cs="仿宋_GB2312"/>
          <w:sz w:val="28"/>
          <w:szCs w:val="28"/>
        </w:rPr>
        <w:fldChar w:fldCharType="end"/>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_Toc26951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lang w:bidi="ar-SA"/>
        </w:rPr>
        <w:t>第二部分 202</w:t>
      </w:r>
      <w:r>
        <w:rPr>
          <w:rFonts w:hint="eastAsia" w:ascii="仿宋_GB2312" w:eastAsia="仿宋_GB2312" w:cs="仿宋_GB2312"/>
          <w:sz w:val="28"/>
          <w:szCs w:val="28"/>
          <w:lang w:val="en-US" w:eastAsia="zh-CN" w:bidi="ar-SA"/>
        </w:rPr>
        <w:t>3</w:t>
      </w:r>
      <w:r>
        <w:rPr>
          <w:rFonts w:hint="eastAsia" w:ascii="仿宋_GB2312" w:eastAsia="仿宋_GB2312" w:cs="仿宋_GB2312"/>
          <w:sz w:val="28"/>
          <w:szCs w:val="28"/>
          <w:lang w:bidi="ar-SA"/>
        </w:rPr>
        <w:t>年度单位决算情况说明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_Toc12554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 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_Toc11583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 收入决算情况说明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5</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_Toc18578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 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_Toc26488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 财政拨款收入支出决算总体情况说明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_Toc5657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五、 一般公共预算财政拨款支出决算情况说明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_Toc3691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（一）一般公共预算财政拨款支出决算总体情况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6</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_Toc26183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（二）一般公共预算财政拨款支出决算结构情况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_Toc29675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（三）一般公共预算财政拨款支出决算具体情况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7</w:t>
      </w:r>
      <w:r>
        <w:rPr>
          <w:rFonts w:hint="eastAsia" w:ascii="仿宋_GB2312" w:eastAsia="仿宋_GB2312" w:cs="仿宋_GB2312"/>
          <w:sz w:val="28"/>
          <w:szCs w:val="28"/>
        </w:rPr>
        <w:fldChar w:fldCharType="end"/>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_Toc17476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六、一般公共预算财政拨款基本支出决算情况说明</w:t>
      </w:r>
      <w:r>
        <w:rPr>
          <w:rFonts w:hint="eastAsia" w:ascii="仿宋_GB2312" w:eastAsia="仿宋_GB2312" w:cs="仿宋_GB2312"/>
          <w:sz w:val="28"/>
          <w:szCs w:val="28"/>
        </w:rPr>
        <w:tab/>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8</w:t>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_Toc31902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七、“三公”经费财政拨款支出决算情况说明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_Toc22479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（一）“三公”经费财政拨款支出决算总体情况说明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9</w:t>
      </w:r>
      <w:r>
        <w:rPr>
          <w:rFonts w:hint="eastAsia" w:ascii="仿宋_GB2312" w:eastAsia="仿宋_GB2312" w:cs="仿宋_GB2312"/>
          <w:sz w:val="28"/>
          <w:szCs w:val="28"/>
        </w:rPr>
        <w:fldChar w:fldCharType="end"/>
      </w:r>
    </w:p>
    <w:p>
      <w:pPr>
        <w:pStyle w:val="59"/>
        <w:pageBreakBefore w:val="0"/>
        <w:tabs>
          <w:tab w:val="right" w:leader="dot" w:pos="8306"/>
        </w:tabs>
        <w:kinsoku/>
        <w:wordWrap/>
        <w:overflowPunct/>
        <w:topLinePunct w:val="0"/>
        <w:bidi w:val="0"/>
        <w:spacing w:line="576" w:lineRule="exact"/>
        <w:textAlignment w:val="auto"/>
        <w:rPr>
          <w:rFonts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_Toc30765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（二）“三公”经费财政拨款支出决算具体情况说明</w:t>
      </w:r>
      <w:r>
        <w:rPr>
          <w:rFonts w:hint="eastAsia" w:ascii="仿宋_GB2312" w:eastAsia="仿宋_GB2312" w:cs="仿宋_GB2312"/>
          <w:sz w:val="28"/>
          <w:szCs w:val="28"/>
        </w:rPr>
        <w:tab/>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9</w:t>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_Toc1331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八、政府性基金预算支出决算情况说明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_Toc18417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九、国有资本经营预算支出决算情况说明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_Toc26033 </w:instrText>
      </w:r>
      <w:r>
        <w:rPr>
          <w:rFonts w:hint="eastAsia" w:ascii="仿宋_GB2312" w:eastAsia="仿宋_GB2312" w:cs="仿宋_GB2312"/>
          <w:sz w:val="28"/>
          <w:szCs w:val="28"/>
        </w:rPr>
        <w:fldChar w:fldCharType="separate"/>
      </w:r>
      <w:r>
        <w:rPr>
          <w:rFonts w:hint="eastAsia" w:ascii="仿宋_GB2312" w:eastAsia="仿宋_GB2312" w:cs="仿宋_GB2312"/>
          <w:kern w:val="2"/>
          <w:sz w:val="28"/>
          <w:szCs w:val="28"/>
          <w:lang w:val="en-US" w:eastAsia="zh-CN" w:bidi="ar-SA"/>
        </w:rPr>
        <w:t>十、其他重要事项的情况说明</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_Toc12341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（一）机关运行经费支出情况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0</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_Toc9297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（二）政府采购支出情况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_Toc20536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（三）国有资产占有使用情况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9"/>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_Toc27201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（四）预算绩效管理情况</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1</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_Toc24473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第三部分 名词解释</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2</w:t>
      </w:r>
    </w:p>
    <w:p>
      <w:pPr>
        <w:pStyle w:val="57"/>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r>
        <w:rPr>
          <w:rFonts w:hint="eastAsia" w:ascii="仿宋_GB2312" w:eastAsia="仿宋_GB2312" w:cs="仿宋_GB2312"/>
          <w:sz w:val="28"/>
          <w:szCs w:val="28"/>
        </w:rPr>
        <w:fldChar w:fldCharType="begin"/>
      </w:r>
      <w:r>
        <w:rPr>
          <w:rFonts w:hint="eastAsia" w:ascii="仿宋_GB2312" w:eastAsia="仿宋_GB2312" w:cs="仿宋_GB2312"/>
          <w:sz w:val="28"/>
          <w:szCs w:val="28"/>
        </w:rPr>
        <w:instrText xml:space="preserve"> HYPERLINK \l _Toc9504 </w:instrText>
      </w:r>
      <w:r>
        <w:rPr>
          <w:rFonts w:hint="eastAsia" w:ascii="仿宋_GB2312" w:eastAsia="仿宋_GB2312" w:cs="仿宋_GB2312"/>
          <w:sz w:val="28"/>
          <w:szCs w:val="28"/>
        </w:rPr>
        <w:fldChar w:fldCharType="separate"/>
      </w:r>
      <w:r>
        <w:rPr>
          <w:rFonts w:hint="eastAsia" w:ascii="仿宋_GB2312" w:eastAsia="仿宋_GB2312" w:cs="仿宋_GB2312"/>
          <w:sz w:val="28"/>
          <w:szCs w:val="28"/>
        </w:rPr>
        <w:t>第</w:t>
      </w:r>
      <w:r>
        <w:rPr>
          <w:rFonts w:hint="eastAsia" w:ascii="仿宋_GB2312" w:eastAsia="仿宋_GB2312" w:cs="仿宋_GB2312"/>
          <w:sz w:val="28"/>
          <w:szCs w:val="28"/>
          <w:lang w:eastAsia="zh-CN"/>
        </w:rPr>
        <w:t>四</w:t>
      </w:r>
      <w:r>
        <w:rPr>
          <w:rFonts w:hint="eastAsia" w:ascii="仿宋_GB2312" w:eastAsia="仿宋_GB2312" w:cs="仿宋_GB2312"/>
          <w:sz w:val="28"/>
          <w:szCs w:val="28"/>
        </w:rPr>
        <w:t>部分 附表</w:t>
      </w:r>
      <w:r>
        <w:rPr>
          <w:rFonts w:hint="eastAsia" w:ascii="仿宋_GB2312" w:eastAsia="仿宋_GB2312" w:cs="仿宋_GB2312"/>
          <w:sz w:val="28"/>
          <w:szCs w:val="28"/>
        </w:rPr>
        <w:tab/>
      </w:r>
      <w:r>
        <w:rPr>
          <w:rFonts w:hint="eastAsia" w:ascii="仿宋_GB2312" w:eastAsia="仿宋_GB2312" w:cs="仿宋_GB2312"/>
          <w:sz w:val="28"/>
          <w:szCs w:val="28"/>
          <w:lang w:val="en-US" w:eastAsia="zh-CN"/>
        </w:rPr>
        <w:t>1</w:t>
      </w:r>
      <w:r>
        <w:rPr>
          <w:rFonts w:hint="eastAsia" w:ascii="仿宋_GB2312" w:eastAsia="仿宋_GB2312" w:cs="仿宋_GB2312"/>
          <w:sz w:val="28"/>
          <w:szCs w:val="28"/>
        </w:rPr>
        <w:fldChar w:fldCharType="end"/>
      </w:r>
      <w:r>
        <w:rPr>
          <w:rFonts w:hint="eastAsia" w:ascii="仿宋_GB2312" w:eastAsia="仿宋_GB2312" w:cs="仿宋_GB2312"/>
          <w:sz w:val="28"/>
          <w:szCs w:val="28"/>
          <w:lang w:val="en-US" w:eastAsia="zh-CN"/>
        </w:rPr>
        <w:t>4</w:t>
      </w: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p>
    <w:p>
      <w:pPr>
        <w:pStyle w:val="58"/>
        <w:pageBreakBefore w:val="0"/>
        <w:tabs>
          <w:tab w:val="right" w:leader="dot" w:pos="8306"/>
        </w:tabs>
        <w:kinsoku/>
        <w:wordWrap/>
        <w:overflowPunct/>
        <w:topLinePunct w:val="0"/>
        <w:bidi w:val="0"/>
        <w:spacing w:line="576" w:lineRule="exact"/>
        <w:textAlignment w:val="auto"/>
        <w:rPr>
          <w:rFonts w:hint="eastAsia" w:ascii="仿宋_GB2312" w:eastAsia="仿宋_GB2312" w:cs="仿宋_GB2312"/>
          <w:sz w:val="28"/>
          <w:szCs w:val="28"/>
          <w:lang w:val="en-US" w:eastAsia="zh-CN"/>
        </w:rPr>
      </w:pPr>
      <w:bookmarkStart w:id="61" w:name="_GoBack"/>
      <w:bookmarkEnd w:id="61"/>
    </w:p>
    <w:p>
      <w:pPr>
        <w:pageBreakBefore w:val="0"/>
        <w:widowControl w:val="0"/>
        <w:kinsoku/>
        <w:wordWrap/>
        <w:overflowPunct/>
        <w:topLinePunct w:val="0"/>
        <w:bidi w:val="0"/>
        <w:spacing w:line="576" w:lineRule="exact"/>
        <w:textAlignment w:val="auto"/>
        <w:rPr>
          <w:rFonts w:hint="eastAsia" w:ascii="仿宋_GB2312" w:eastAsia="仿宋_GB2312" w:cs="仿宋_GB2312"/>
          <w:sz w:val="24"/>
          <w:szCs w:val="24"/>
        </w:rPr>
      </w:pPr>
      <w:r>
        <w:rPr>
          <w:rFonts w:hint="eastAsia" w:ascii="仿宋_GB2312" w:eastAsia="仿宋_GB2312" w:cs="仿宋_GB2312"/>
          <w:sz w:val="28"/>
          <w:szCs w:val="28"/>
        </w:rPr>
        <w:fldChar w:fldCharType="end"/>
      </w:r>
    </w:p>
    <w:p>
      <w:pPr>
        <w:pStyle w:val="5"/>
        <w:jc w:val="both"/>
        <w:rPr>
          <w:rFonts w:hint="eastAsia" w:ascii="黑体" w:eastAsia="黑体"/>
          <w:b w:val="0"/>
        </w:rPr>
      </w:pPr>
    </w:p>
    <w:p>
      <w:pPr>
        <w:rPr>
          <w:rFonts w:hint="eastAsia"/>
        </w:rPr>
      </w:pPr>
    </w:p>
    <w:p>
      <w:pPr>
        <w:pStyle w:val="5"/>
        <w:jc w:val="center"/>
        <w:rPr>
          <w:rStyle w:val="28"/>
          <w:rFonts w:hint="eastAsia" w:ascii="黑体" w:eastAsia="黑体"/>
          <w:b w:val="0"/>
          <w:bCs w:val="0"/>
        </w:rPr>
      </w:pPr>
      <w:r>
        <w:rPr>
          <w:rFonts w:hint="eastAsia" w:ascii="黑体" w:eastAsia="黑体"/>
          <w:b w:val="0"/>
        </w:rPr>
        <w:t xml:space="preserve">第一部分 </w:t>
      </w:r>
      <w:r>
        <w:rPr>
          <w:rStyle w:val="28"/>
          <w:rFonts w:hint="eastAsia" w:ascii="黑体" w:eastAsia="黑体"/>
          <w:b w:val="0"/>
          <w:bCs w:val="0"/>
        </w:rPr>
        <w:t>单位概况</w:t>
      </w:r>
      <w:bookmarkEnd w:id="0"/>
      <w:bookmarkEnd w:id="1"/>
    </w:p>
    <w:p>
      <w:pPr>
        <w:rPr>
          <w:rFonts w:hint="eastAsia" w:ascii="黑体" w:eastAsia="黑体" w:cs="黑体"/>
          <w:sz w:val="32"/>
          <w:szCs w:val="32"/>
          <w:lang w:eastAsia="zh-CN"/>
        </w:rPr>
      </w:pPr>
      <w:r>
        <w:rPr>
          <w:rFonts w:hint="eastAsia" w:ascii="仿宋_GB2312" w:eastAsia="仿宋_GB2312" w:cs="仿宋_GB2312"/>
          <w:sz w:val="32"/>
          <w:szCs w:val="32"/>
          <w:lang w:val="en-US" w:eastAsia="zh-CN"/>
        </w:rPr>
        <w:t xml:space="preserve">   </w:t>
      </w:r>
      <w:r>
        <w:rPr>
          <w:rFonts w:hint="eastAsia" w:ascii="黑体" w:eastAsia="黑体" w:cs="黑体"/>
          <w:sz w:val="32"/>
          <w:szCs w:val="32"/>
          <w:lang w:val="en-US" w:eastAsia="zh-CN"/>
        </w:rPr>
        <w:t xml:space="preserve"> </w:t>
      </w:r>
      <w:r>
        <w:rPr>
          <w:rFonts w:hint="eastAsia" w:ascii="黑体" w:eastAsia="黑体" w:cs="黑体"/>
          <w:sz w:val="32"/>
          <w:szCs w:val="32"/>
        </w:rPr>
        <w:t>一、主要</w:t>
      </w:r>
      <w:r>
        <w:rPr>
          <w:rFonts w:hint="eastAsia" w:ascii="黑体" w:eastAsia="黑体" w:cs="黑体"/>
          <w:sz w:val="32"/>
          <w:szCs w:val="32"/>
          <w:lang w:eastAsia="zh-CN"/>
        </w:rPr>
        <w:t>职责</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楷体_GB2312" w:eastAsia="楷体_GB2312" w:cs="楷体_GB2312"/>
          <w:b/>
          <w:bCs/>
          <w:sz w:val="32"/>
          <w:szCs w:val="32"/>
        </w:rPr>
        <w:t>（一）主要职能</w:t>
      </w:r>
    </w:p>
    <w:p>
      <w:pPr>
        <w:rPr>
          <w:rFonts w:hint="eastAsia" w:ascii="仿宋_GB2312" w:eastAsia="仿宋_GB2312" w:cs="仿宋_GB2312"/>
          <w:sz w:val="32"/>
          <w:szCs w:val="32"/>
        </w:rPr>
      </w:pPr>
      <w:r>
        <w:rPr>
          <w:rFonts w:hint="eastAsia" w:ascii="仿宋_GB2312" w:eastAsia="仿宋_GB2312" w:cs="仿宋_GB2312"/>
          <w:sz w:val="32"/>
          <w:szCs w:val="32"/>
          <w:lang w:val="en-US" w:eastAsia="zh-CN"/>
        </w:rPr>
        <w:t xml:space="preserve">    </w:t>
      </w:r>
      <w:r>
        <w:rPr>
          <w:rFonts w:hint="eastAsia" w:ascii="仿宋_GB2312" w:eastAsia="仿宋_GB2312" w:cs="仿宋_GB2312"/>
          <w:sz w:val="32"/>
          <w:szCs w:val="32"/>
        </w:rPr>
        <w:t>1.起草有关信访工作的规范性文件草案。制定信访问题排查化解、风险评估等制度并组织实施，提出改进和加强信访工作的意见和建议。负责本部门依法行政工作。</w:t>
      </w:r>
    </w:p>
    <w:p>
      <w:pPr>
        <w:rPr>
          <w:rFonts w:hint="eastAsia" w:ascii="仿宋_GB2312" w:eastAsia="仿宋_GB2312" w:cs="仿宋_GB2312"/>
          <w:sz w:val="32"/>
          <w:szCs w:val="32"/>
        </w:rPr>
      </w:pPr>
      <w:r>
        <w:rPr>
          <w:rFonts w:hint="eastAsia" w:ascii="仿宋_GB2312" w:eastAsia="仿宋_GB2312" w:cs="仿宋_GB2312"/>
          <w:sz w:val="32"/>
          <w:szCs w:val="32"/>
        </w:rPr>
        <w:t xml:space="preserve">    2.负责向县委、县人民政府反映来信来电来访中提出的重要建议、意见和问题，综合研判信访信息，开展调查研究，提出相关建议。</w:t>
      </w:r>
    </w:p>
    <w:p>
      <w:pPr>
        <w:rPr>
          <w:rFonts w:hint="eastAsia" w:ascii="仿宋_GB2312" w:eastAsia="仿宋_GB2312" w:cs="仿宋_GB2312"/>
          <w:sz w:val="32"/>
          <w:szCs w:val="32"/>
        </w:rPr>
      </w:pPr>
      <w:r>
        <w:rPr>
          <w:rFonts w:hint="eastAsia" w:ascii="仿宋_GB2312" w:eastAsia="仿宋_GB2312" w:cs="仿宋_GB2312"/>
          <w:sz w:val="32"/>
          <w:szCs w:val="32"/>
        </w:rPr>
        <w:t xml:space="preserve">    3.综合协调指导全县信访工作，推动建立健全信访工作的协调配合机制。督促检查县直各部门（单位）和乡镇信访工作，总结推广信访工作先进经验，协调信访工作宣传和信息发布。</w:t>
      </w:r>
    </w:p>
    <w:p>
      <w:pPr>
        <w:rPr>
          <w:rFonts w:hint="eastAsia" w:ascii="仿宋_GB2312" w:eastAsia="仿宋_GB2312" w:cs="仿宋_GB2312"/>
          <w:sz w:val="32"/>
          <w:szCs w:val="32"/>
        </w:rPr>
      </w:pPr>
      <w:r>
        <w:rPr>
          <w:rFonts w:hint="eastAsia" w:ascii="仿宋_GB2312" w:eastAsia="仿宋_GB2312" w:cs="仿宋_GB2312"/>
          <w:sz w:val="32"/>
          <w:szCs w:val="32"/>
        </w:rPr>
        <w:t xml:space="preserve">    4.负责处理县内外群众、境外人士、法人及其他组织通过信访渠道给县委、县人民政府及领导同志的来信来电，接待来访。</w:t>
      </w:r>
    </w:p>
    <w:p>
      <w:pPr>
        <w:rPr>
          <w:rFonts w:hint="eastAsia" w:ascii="仿宋_GB2312" w:eastAsia="仿宋_GB2312" w:cs="仿宋_GB2312"/>
          <w:sz w:val="32"/>
          <w:szCs w:val="32"/>
        </w:rPr>
      </w:pPr>
      <w:r>
        <w:rPr>
          <w:rFonts w:hint="eastAsia" w:ascii="仿宋_GB2312" w:eastAsia="仿宋_GB2312" w:cs="仿宋_GB2312"/>
          <w:sz w:val="32"/>
          <w:szCs w:val="32"/>
        </w:rPr>
        <w:t xml:space="preserve">    5.承担协调处理群众进京到省去州来县集体上访和非正常上访的责任，综合协调处理跨地区、跨部门的重要信访问题。</w:t>
      </w:r>
    </w:p>
    <w:p>
      <w:pPr>
        <w:rPr>
          <w:rFonts w:hint="eastAsia" w:ascii="仿宋_GB2312" w:eastAsia="仿宋_GB2312" w:cs="仿宋_GB2312"/>
          <w:sz w:val="32"/>
          <w:szCs w:val="32"/>
        </w:rPr>
      </w:pPr>
      <w:r>
        <w:rPr>
          <w:rFonts w:hint="eastAsia" w:ascii="仿宋_GB2312" w:eastAsia="仿宋_GB2312" w:cs="仿宋_GB2312"/>
          <w:sz w:val="32"/>
          <w:szCs w:val="32"/>
        </w:rPr>
        <w:t xml:space="preserve">    6.负责落实国家、省、州、县领导批示交办信访事项，受理、交办、转办（送）群众来信、来电、来访、网上信访提出的信访事项，督促检查重要信访事项的处理和落实。</w:t>
      </w:r>
    </w:p>
    <w:p>
      <w:pPr>
        <w:rPr>
          <w:rFonts w:hint="eastAsia" w:ascii="仿宋_GB2312" w:eastAsia="仿宋_GB2312" w:cs="仿宋_GB2312"/>
          <w:sz w:val="32"/>
          <w:szCs w:val="32"/>
        </w:rPr>
      </w:pPr>
      <w:r>
        <w:rPr>
          <w:rFonts w:hint="eastAsia" w:ascii="仿宋_GB2312" w:eastAsia="仿宋_GB2312" w:cs="仿宋_GB2312"/>
          <w:sz w:val="32"/>
          <w:szCs w:val="32"/>
        </w:rPr>
        <w:t xml:space="preserve">    7.加强对信访问题排查化解和社情民意汇集分析，重点开展法律法规政策宣传和思想教育疏导，将信访工作的重点由事后处理转移到事前排查化解，增强信访工作的预见性和针对性。</w:t>
      </w:r>
    </w:p>
    <w:p>
      <w:pPr>
        <w:rPr>
          <w:rFonts w:hint="eastAsia" w:ascii="仿宋_GB2312" w:eastAsia="仿宋_GB2312" w:cs="仿宋_GB2312"/>
          <w:sz w:val="32"/>
          <w:szCs w:val="32"/>
        </w:rPr>
      </w:pPr>
      <w:r>
        <w:rPr>
          <w:rFonts w:hint="eastAsia" w:ascii="仿宋_GB2312" w:eastAsia="仿宋_GB2312" w:cs="仿宋_GB2312"/>
          <w:sz w:val="32"/>
          <w:szCs w:val="32"/>
        </w:rPr>
        <w:t xml:space="preserve">    8.加强对重大信访事项的督查督办，完善信访诉求表达方式，进一步畅通信访渠道，确保信访工作决策部署得到贯彻落实，推动群众信访问题得到妥善解决。</w:t>
      </w:r>
    </w:p>
    <w:p>
      <w:pPr>
        <w:rPr>
          <w:rFonts w:hint="eastAsia" w:ascii="仿宋_GB2312" w:eastAsia="仿宋_GB2312" w:cs="仿宋_GB2312"/>
          <w:sz w:val="32"/>
          <w:szCs w:val="32"/>
        </w:rPr>
      </w:pPr>
      <w:r>
        <w:rPr>
          <w:rFonts w:hint="eastAsia" w:ascii="仿宋_GB2312" w:eastAsia="仿宋_GB2312" w:cs="仿宋_GB2312"/>
          <w:sz w:val="32"/>
          <w:szCs w:val="32"/>
        </w:rPr>
        <w:t xml:space="preserve">    9.建立和完善信访信息汇集分析机制，指导信访信息系统建设和应用。</w:t>
      </w:r>
    </w:p>
    <w:p>
      <w:pPr>
        <w:rPr>
          <w:rFonts w:hint="eastAsia" w:ascii="仿宋_GB2312" w:eastAsia="仿宋_GB2312" w:cs="仿宋_GB2312"/>
          <w:sz w:val="32"/>
          <w:szCs w:val="32"/>
        </w:rPr>
      </w:pPr>
      <w:r>
        <w:rPr>
          <w:rFonts w:hint="eastAsia" w:ascii="仿宋_GB2312" w:eastAsia="仿宋_GB2312" w:cs="仿宋_GB2312"/>
          <w:sz w:val="32"/>
          <w:szCs w:val="32"/>
        </w:rPr>
        <w:t xml:space="preserve">    10.开展网上信访工作，探索“互联网+信访”新模式，推动信访信息化建设。</w:t>
      </w:r>
    </w:p>
    <w:p>
      <w:pPr>
        <w:rPr>
          <w:rFonts w:hint="eastAsia" w:ascii="仿宋_GB2312" w:eastAsia="仿宋_GB2312" w:cs="仿宋_GB2312"/>
          <w:sz w:val="32"/>
          <w:szCs w:val="32"/>
        </w:rPr>
      </w:pPr>
      <w:r>
        <w:rPr>
          <w:rFonts w:hint="eastAsia" w:ascii="仿宋_GB2312" w:eastAsia="仿宋_GB2312" w:cs="仿宋_GB2312"/>
          <w:sz w:val="32"/>
          <w:szCs w:val="32"/>
        </w:rPr>
        <w:t xml:space="preserve">    11.承担县信访工作联席会议、县人民政府信访事项复查复核委员会日常工作，督促落实有关事项。</w:t>
      </w:r>
    </w:p>
    <w:p>
      <w:pPr>
        <w:rPr>
          <w:rFonts w:hint="eastAsia" w:ascii="仿宋_GB2312" w:eastAsia="仿宋_GB2312"/>
          <w:sz w:val="32"/>
          <w:szCs w:val="32"/>
        </w:rPr>
      </w:pPr>
      <w:r>
        <w:rPr>
          <w:rFonts w:hint="eastAsia" w:ascii="仿宋_GB2312" w:eastAsia="仿宋_GB2312" w:cs="仿宋_GB2312"/>
          <w:sz w:val="32"/>
          <w:szCs w:val="32"/>
        </w:rPr>
        <w:t xml:space="preserve">    12.完成县委、县人民政府交办的其他任务。</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二、机构设置</w:t>
      </w:r>
    </w:p>
    <w:p>
      <w:pPr>
        <w:ind w:firstLine="640"/>
        <w:rPr>
          <w:rFonts w:hint="eastAsia" w:ascii="仿宋_GB2312" w:eastAsia="仿宋_GB2312" w:cs="仿宋_GB2312"/>
          <w:sz w:val="32"/>
          <w:szCs w:val="32"/>
        </w:rPr>
      </w:pPr>
      <w:r>
        <w:rPr>
          <w:rFonts w:hint="eastAsia" w:ascii="仿宋_GB2312" w:eastAsia="仿宋_GB2312" w:cs="仿宋_GB2312"/>
          <w:sz w:val="32"/>
          <w:szCs w:val="32"/>
        </w:rPr>
        <w:t>茂县信访局</w:t>
      </w:r>
      <w:r>
        <w:rPr>
          <w:rFonts w:hint="eastAsia" w:ascii="仿宋_GB2312" w:eastAsia="仿宋_GB2312" w:cs="仿宋_GB2312"/>
          <w:sz w:val="32"/>
          <w:szCs w:val="32"/>
          <w:lang w:eastAsia="zh-CN"/>
        </w:rPr>
        <w:t>本级</w:t>
      </w:r>
      <w:r>
        <w:rPr>
          <w:rFonts w:hint="eastAsia" w:ascii="仿宋_GB2312" w:eastAsia="仿宋_GB2312" w:cs="仿宋_GB2312"/>
          <w:sz w:val="32"/>
          <w:szCs w:val="32"/>
        </w:rPr>
        <w:t>下属二级单位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个，其中行政单位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个，参照公务员法管理的事业单位0个，其他事业单位</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个。</w:t>
      </w:r>
      <w:bookmarkStart w:id="2" w:name="_Toc15377204"/>
      <w:bookmarkStart w:id="3" w:name="_Toc15396602"/>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center"/>
        <w:rPr>
          <w:rStyle w:val="28"/>
          <w:rFonts w:hint="eastAsia" w:ascii="黑体" w:eastAsia="黑体"/>
          <w:b w:val="0"/>
          <w:bCs w:val="0"/>
          <w:lang w:val="en-US" w:eastAsia="zh-CN"/>
        </w:rPr>
      </w:pPr>
    </w:p>
    <w:p>
      <w:pPr>
        <w:widowControl/>
        <w:jc w:val="both"/>
        <w:rPr>
          <w:rStyle w:val="28"/>
          <w:rFonts w:hint="eastAsia" w:ascii="黑体" w:eastAsia="黑体"/>
          <w:b w:val="0"/>
          <w:bCs w:val="0"/>
          <w:lang w:val="en-US" w:eastAsia="zh-CN"/>
        </w:rPr>
      </w:pPr>
    </w:p>
    <w:p>
      <w:pPr>
        <w:widowControl/>
        <w:jc w:val="both"/>
        <w:rPr>
          <w:rStyle w:val="28"/>
          <w:rFonts w:hint="eastAsia" w:ascii="黑体" w:eastAsia="黑体"/>
          <w:b w:val="0"/>
          <w:bCs w:val="0"/>
          <w:lang w:val="en-US" w:eastAsia="zh-CN"/>
        </w:rPr>
      </w:pPr>
    </w:p>
    <w:p>
      <w:pPr>
        <w:widowControl/>
        <w:jc w:val="center"/>
        <w:rPr>
          <w:rStyle w:val="28"/>
          <w:rFonts w:ascii="黑体" w:eastAsia="黑体"/>
          <w:b w:val="0"/>
          <w:bCs w:val="0"/>
        </w:rPr>
      </w:pPr>
      <w:r>
        <w:rPr>
          <w:rStyle w:val="28"/>
          <w:rFonts w:hint="eastAsia" w:ascii="黑体" w:eastAsia="黑体"/>
          <w:b w:val="0"/>
          <w:bCs w:val="0"/>
        </w:rPr>
        <w:t>第二部分 20</w:t>
      </w:r>
      <w:r>
        <w:rPr>
          <w:rStyle w:val="28"/>
          <w:rFonts w:hint="eastAsia" w:ascii="黑体" w:eastAsia="黑体"/>
          <w:b w:val="0"/>
          <w:bCs w:val="0"/>
          <w:lang w:val="en-US" w:eastAsia="zh-CN"/>
        </w:rPr>
        <w:t>23</w:t>
      </w:r>
      <w:r>
        <w:rPr>
          <w:rStyle w:val="28"/>
          <w:rFonts w:hint="eastAsia" w:ascii="黑体" w:eastAsia="黑体"/>
          <w:b w:val="0"/>
          <w:bCs w:val="0"/>
        </w:rPr>
        <w:t>年度</w:t>
      </w:r>
      <w:r>
        <w:rPr>
          <w:rStyle w:val="28"/>
          <w:rFonts w:hint="eastAsia" w:ascii="黑体" w:eastAsia="黑体"/>
          <w:b w:val="0"/>
          <w:bCs w:val="0"/>
          <w:lang w:eastAsia="zh-CN"/>
        </w:rPr>
        <w:t>单位</w:t>
      </w:r>
      <w:r>
        <w:rPr>
          <w:rStyle w:val="28"/>
          <w:rFonts w:hint="eastAsia" w:ascii="黑体" w:eastAsia="黑体"/>
          <w:b w:val="0"/>
          <w:bCs w:val="0"/>
        </w:rPr>
        <w:t>决算情况说明</w:t>
      </w:r>
      <w:bookmarkEnd w:id="2"/>
      <w:bookmarkEnd w:id="3"/>
    </w:p>
    <w:p>
      <w:pPr>
        <w:jc w:val="center"/>
      </w:pPr>
    </w:p>
    <w:p>
      <w:pPr>
        <w:pStyle w:val="34"/>
        <w:spacing w:line="600" w:lineRule="exact"/>
        <w:ind w:left="0" w:firstLine="640" w:firstLineChars="200"/>
        <w:outlineLvl w:val="1"/>
        <w:rPr>
          <w:rStyle w:val="29"/>
          <w:rFonts w:ascii="黑体" w:eastAsia="黑体"/>
          <w:b w:val="0"/>
        </w:rPr>
      </w:pPr>
      <w:bookmarkStart w:id="4" w:name="_Toc15396603"/>
      <w:bookmarkStart w:id="5" w:name="_Toc15377205"/>
      <w:r>
        <w:rPr>
          <w:rFonts w:hint="eastAsia" w:ascii="黑体" w:eastAsia="黑体"/>
          <w:color w:val="000000"/>
          <w:sz w:val="32"/>
          <w:szCs w:val="32"/>
          <w:lang w:eastAsia="zh-CN"/>
        </w:rPr>
        <w:t>一、</w:t>
      </w:r>
      <w:r>
        <w:rPr>
          <w:rFonts w:hint="eastAsia" w:ascii="黑体" w:eastAsia="黑体"/>
          <w:color w:val="000000"/>
          <w:sz w:val="32"/>
          <w:szCs w:val="32"/>
        </w:rPr>
        <w:t>收</w:t>
      </w:r>
      <w:r>
        <w:rPr>
          <w:rStyle w:val="29"/>
          <w:rFonts w:hint="eastAsia" w:ascii="黑体" w:eastAsia="黑体"/>
          <w:b w:val="0"/>
        </w:rPr>
        <w:t>入支出决算总体情况说明</w:t>
      </w:r>
      <w:bookmarkEnd w:id="4"/>
      <w:bookmarkEnd w:id="5"/>
    </w:p>
    <w:p>
      <w:pPr>
        <w:spacing w:line="60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年度收</w:t>
      </w:r>
      <w:r>
        <w:rPr>
          <w:rFonts w:hint="eastAsia" w:ascii="仿宋" w:eastAsia="仿宋"/>
          <w:color w:val="000000"/>
          <w:sz w:val="32"/>
          <w:szCs w:val="32"/>
          <w:lang w:eastAsia="zh-CN"/>
        </w:rPr>
        <w:t>、支</w:t>
      </w:r>
      <w:r>
        <w:rPr>
          <w:rFonts w:hint="eastAsia" w:ascii="仿宋" w:eastAsia="仿宋"/>
          <w:color w:val="000000"/>
          <w:sz w:val="32"/>
          <w:szCs w:val="32"/>
        </w:rPr>
        <w:t>总</w:t>
      </w:r>
      <w:r>
        <w:rPr>
          <w:rFonts w:hint="eastAsia" w:ascii="仿宋" w:eastAsia="仿宋"/>
          <w:color w:val="000000"/>
          <w:sz w:val="32"/>
          <w:szCs w:val="32"/>
          <w:lang w:eastAsia="zh-CN"/>
        </w:rPr>
        <w:t>计均为</w:t>
      </w:r>
      <w:r>
        <w:rPr>
          <w:rFonts w:hint="eastAsia" w:ascii="仿宋" w:eastAsia="仿宋"/>
          <w:color w:val="000000"/>
          <w:sz w:val="32"/>
          <w:szCs w:val="32"/>
          <w:lang w:val="en-US" w:eastAsia="zh-CN"/>
        </w:rPr>
        <w:t>163.28</w:t>
      </w:r>
      <w:r>
        <w:rPr>
          <w:rFonts w:hint="eastAsia" w:ascii="仿宋" w:eastAsia="仿宋"/>
          <w:color w:val="000000"/>
          <w:sz w:val="32"/>
          <w:szCs w:val="32"/>
        </w:rPr>
        <w:t>万元。与20</w:t>
      </w:r>
      <w:r>
        <w:rPr>
          <w:rFonts w:hint="eastAsia" w:ascii="仿宋" w:eastAsia="仿宋"/>
          <w:color w:val="000000"/>
          <w:sz w:val="32"/>
          <w:szCs w:val="32"/>
          <w:lang w:val="en-US" w:eastAsia="zh-CN"/>
        </w:rPr>
        <w:t>22</w:t>
      </w:r>
      <w:r>
        <w:rPr>
          <w:rFonts w:hint="eastAsia" w:ascii="仿宋" w:eastAsia="仿宋"/>
          <w:color w:val="000000"/>
          <w:sz w:val="32"/>
          <w:szCs w:val="32"/>
        </w:rPr>
        <w:t>年相比，收</w:t>
      </w:r>
      <w:r>
        <w:rPr>
          <w:rFonts w:hint="eastAsia" w:ascii="仿宋" w:eastAsia="仿宋"/>
          <w:color w:val="000000"/>
          <w:sz w:val="32"/>
          <w:szCs w:val="32"/>
          <w:lang w:eastAsia="zh-CN"/>
        </w:rPr>
        <w:t>支总计各增加</w:t>
      </w:r>
      <w:r>
        <w:rPr>
          <w:rFonts w:hint="eastAsia" w:ascii="仿宋" w:eastAsia="仿宋"/>
          <w:color w:val="000000"/>
          <w:sz w:val="32"/>
          <w:szCs w:val="32"/>
          <w:lang w:val="en-US" w:eastAsia="zh-CN"/>
        </w:rPr>
        <w:t>7.89</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5.08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人员结构调整和工资正常增长。</w:t>
      </w:r>
    </w:p>
    <w:p>
      <w:pPr>
        <w:spacing w:line="600" w:lineRule="exact"/>
        <w:ind w:firstLine="640" w:firstLineChars="200"/>
        <w:rPr>
          <w:rFonts w:hint="eastAsia" w:ascii="仿宋" w:eastAsia="仿宋"/>
          <w:color w:val="000000"/>
          <w:sz w:val="32"/>
          <w:szCs w:val="32"/>
          <w:lang w:eastAsia="zh-CN"/>
        </w:rPr>
      </w:pPr>
      <w:r>
        <w:rPr>
          <w:rFonts w:hint="eastAsia" w:ascii="仿宋_GB2312" w:eastAsia="仿宋_GB2312"/>
          <w:color w:val="000000"/>
          <w:sz w:val="32"/>
          <w:szCs w:val="32"/>
        </w:rPr>
        <w:pict>
          <v:shape id="_x0000_s1026" o:spid="_x0000_s1026" o:spt="75" alt="image1" type="#_x0000_t75" style="position:absolute;left:0pt;margin-left:40.1pt;margin-top:20.75pt;height:197.35pt;width:341.75pt;mso-wrap-distance-bottom:0pt;mso-wrap-distance-left:9pt;mso-wrap-distance-right:9pt;mso-wrap-distance-top:0pt;z-index:251659264;mso-width-relative:page;mso-height-relative:page;" o:ole="t" filled="f" o:preferrelative="t" stroked="f" coordsize="21600,21600">
            <v:path/>
            <v:fill on="f" focussize="0,0"/>
            <v:stroke on="f"/>
            <v:imagedata r:id="rId9" o:title=""/>
            <o:lock v:ext="edit" aspectratio="t"/>
            <w10:wrap type="square"/>
          </v:shape>
          <o:OLEObject Type="Embed" ProgID="Package" ShapeID="_x0000_s1026" DrawAspect="Content" ObjectID="_1468075725" r:id="rId8">
            <o:LockedField>false</o:LockedField>
          </o:OLEObject>
        </w:pict>
      </w:r>
    </w:p>
    <w:p>
      <w:pPr>
        <w:spacing w:line="600" w:lineRule="exact"/>
        <w:ind w:firstLine="640" w:firstLineChars="200"/>
        <w:rPr>
          <w:rFonts w:hint="eastAsia" w:ascii="仿宋" w:eastAsia="仿宋"/>
          <w:color w:val="000000"/>
          <w:sz w:val="32"/>
          <w:szCs w:val="32"/>
          <w:lang w:eastAsia="zh-CN"/>
        </w:rPr>
      </w:pPr>
    </w:p>
    <w:p>
      <w:pPr>
        <w:spacing w:line="600" w:lineRule="exact"/>
        <w:ind w:firstLine="640" w:firstLineChars="200"/>
        <w:rPr>
          <w:rStyle w:val="29"/>
          <w:rFonts w:ascii="黑体" w:eastAsia="黑体"/>
          <w:b w:val="0"/>
        </w:rPr>
      </w:pPr>
      <w:bookmarkStart w:id="6" w:name="_Toc15377206"/>
      <w:bookmarkStart w:id="7" w:name="_Toc15396604"/>
    </w:p>
    <w:p>
      <w:pPr>
        <w:pStyle w:val="34"/>
        <w:spacing w:line="600" w:lineRule="exact"/>
        <w:ind w:left="0" w:firstLine="640" w:firstLineChars="200"/>
        <w:outlineLvl w:val="1"/>
        <w:rPr>
          <w:rStyle w:val="29"/>
          <w:rFonts w:ascii="黑体" w:eastAsia="黑体"/>
          <w:b w:val="0"/>
        </w:rPr>
      </w:pPr>
      <w:r>
        <w:rPr>
          <w:rFonts w:hint="eastAsia" w:ascii="黑体" w:eastAsia="黑体"/>
          <w:color w:val="000000"/>
          <w:sz w:val="32"/>
          <w:szCs w:val="32"/>
          <w:lang w:eastAsia="zh-CN"/>
        </w:rPr>
        <w:t>二、</w:t>
      </w:r>
      <w:r>
        <w:rPr>
          <w:rFonts w:hint="eastAsia" w:ascii="黑体" w:eastAsia="黑体"/>
          <w:color w:val="000000"/>
          <w:sz w:val="32"/>
          <w:szCs w:val="32"/>
        </w:rPr>
        <w:t>收</w:t>
      </w:r>
      <w:r>
        <w:rPr>
          <w:rStyle w:val="29"/>
          <w:rFonts w:hint="eastAsia" w:ascii="黑体" w:eastAsia="黑体"/>
          <w:b w:val="0"/>
        </w:rPr>
        <w:t>入决算情况说明</w:t>
      </w:r>
      <w:bookmarkEnd w:id="6"/>
      <w:bookmarkEnd w:id="7"/>
    </w:p>
    <w:p>
      <w:pPr>
        <w:spacing w:line="600" w:lineRule="exact"/>
        <w:ind w:firstLine="640" w:firstLineChars="200"/>
        <w:outlineLvl w:val="1"/>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年本年收入合计</w:t>
      </w:r>
      <w:r>
        <w:rPr>
          <w:rFonts w:hint="eastAsia" w:ascii="仿宋" w:eastAsia="仿宋"/>
          <w:color w:val="000000"/>
          <w:sz w:val="32"/>
          <w:szCs w:val="32"/>
          <w:lang w:val="en-US" w:eastAsia="zh-CN"/>
        </w:rPr>
        <w:t>163.28</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163.28</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pStyle w:val="34"/>
        <w:spacing w:line="600" w:lineRule="exact"/>
        <w:outlineLvl w:val="1"/>
        <w:rPr>
          <w:rFonts w:hint="eastAsia" w:ascii="黑体" w:eastAsia="黑体"/>
          <w:color w:val="000000"/>
          <w:sz w:val="32"/>
          <w:szCs w:val="32"/>
          <w:lang w:val="en-US" w:eastAsia="zh-CN"/>
        </w:rPr>
      </w:pPr>
      <w:bookmarkStart w:id="8" w:name="_Toc15377207"/>
      <w:bookmarkStart w:id="9" w:name="_Toc15396605"/>
      <w:r>
        <w:rPr>
          <w:rFonts w:ascii="仿宋_GB2312" w:eastAsia="仿宋_GB2312"/>
          <w:color w:val="000000"/>
          <w:sz w:val="32"/>
          <w:szCs w:val="32"/>
        </w:rPr>
        <w:drawing>
          <wp:anchor distT="0" distB="0" distL="114300" distR="114300" simplePos="0" relativeHeight="251659264" behindDoc="0" locked="0" layoutInCell="1" allowOverlap="1">
            <wp:simplePos x="0" y="0"/>
            <wp:positionH relativeFrom="column">
              <wp:posOffset>241300</wp:posOffset>
            </wp:positionH>
            <wp:positionV relativeFrom="paragraph">
              <wp:posOffset>90805</wp:posOffset>
            </wp:positionV>
            <wp:extent cx="5038090" cy="2072005"/>
            <wp:effectExtent l="0" t="0" r="13" b="32"/>
            <wp:wrapSquare wrapText="bothSides"/>
            <wp:docPr id="3" name="图片 1" descr="0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_副本"/>
                    <pic:cNvPicPr>
                      <a:picLocks noChangeAspect="1"/>
                    </pic:cNvPicPr>
                  </pic:nvPicPr>
                  <pic:blipFill>
                    <a:blip r:embed="rId10"/>
                    <a:stretch>
                      <a:fillRect/>
                    </a:stretch>
                  </pic:blipFill>
                  <pic:spPr>
                    <a:xfrm>
                      <a:off x="0" y="0"/>
                      <a:ext cx="5038090" cy="2072004"/>
                    </a:xfrm>
                    <a:prstGeom prst="rect">
                      <a:avLst/>
                    </a:prstGeom>
                    <a:noFill/>
                    <a:ln w="9525" cap="flat" cmpd="sng">
                      <a:noFill/>
                      <a:prstDash val="solid"/>
                      <a:round/>
                    </a:ln>
                  </pic:spPr>
                </pic:pic>
              </a:graphicData>
            </a:graphic>
          </wp:anchor>
        </w:drawing>
      </w:r>
    </w:p>
    <w:p>
      <w:pPr>
        <w:pStyle w:val="34"/>
        <w:spacing w:line="600" w:lineRule="exact"/>
        <w:ind w:left="638" w:leftChars="304" w:firstLine="0" w:firstLineChars="0"/>
        <w:outlineLvl w:val="1"/>
        <w:rPr>
          <w:rStyle w:val="29"/>
          <w:rFonts w:ascii="黑体" w:eastAsia="黑体"/>
          <w:b w:val="0"/>
        </w:rPr>
      </w:pPr>
      <w:r>
        <w:rPr>
          <w:rFonts w:hint="eastAsia" w:ascii="黑体" w:eastAsia="黑体"/>
          <w:color w:val="000000"/>
          <w:sz w:val="32"/>
          <w:szCs w:val="32"/>
          <w:lang w:eastAsia="zh-CN"/>
        </w:rPr>
        <w:t>三、</w:t>
      </w:r>
      <w:r>
        <w:rPr>
          <w:rFonts w:hint="eastAsia" w:ascii="黑体" w:eastAsia="黑体"/>
          <w:color w:val="000000"/>
          <w:sz w:val="32"/>
          <w:szCs w:val="32"/>
        </w:rPr>
        <w:t>支</w:t>
      </w:r>
      <w:r>
        <w:rPr>
          <w:rStyle w:val="29"/>
          <w:rFonts w:hint="eastAsia" w:ascii="黑体" w:eastAsia="黑体"/>
          <w:b w:val="0"/>
        </w:rPr>
        <w:t>出决算情况说明</w:t>
      </w:r>
      <w:bookmarkEnd w:id="8"/>
      <w:bookmarkEnd w:id="9"/>
    </w:p>
    <w:p>
      <w:pPr>
        <w:spacing w:line="600" w:lineRule="exact"/>
        <w:ind w:firstLine="640" w:firstLineChars="200"/>
        <w:outlineLvl w:val="1"/>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年支出合计</w:t>
      </w:r>
      <w:r>
        <w:rPr>
          <w:rFonts w:hint="eastAsia" w:ascii="仿宋" w:eastAsia="仿宋"/>
          <w:color w:val="000000"/>
          <w:sz w:val="32"/>
          <w:szCs w:val="32"/>
          <w:lang w:val="en-US" w:eastAsia="zh-CN"/>
        </w:rPr>
        <w:t>163.28</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其中：基本支出</w:t>
      </w:r>
      <w:r>
        <w:rPr>
          <w:rFonts w:hint="eastAsia" w:ascii="仿宋" w:eastAsia="仿宋"/>
          <w:color w:val="000000"/>
          <w:sz w:val="32"/>
          <w:szCs w:val="32"/>
          <w:lang w:val="en-US" w:eastAsia="zh-CN"/>
        </w:rPr>
        <w:t>159.28</w:t>
      </w:r>
      <w:r>
        <w:rPr>
          <w:rFonts w:hint="eastAsia" w:ascii="仿宋" w:eastAsia="仿宋"/>
          <w:color w:val="000000"/>
          <w:sz w:val="32"/>
          <w:szCs w:val="32"/>
        </w:rPr>
        <w:t>万元，占</w:t>
      </w:r>
      <w:r>
        <w:rPr>
          <w:rFonts w:hint="eastAsia" w:ascii="仿宋" w:eastAsia="仿宋"/>
          <w:color w:val="000000"/>
          <w:sz w:val="32"/>
          <w:szCs w:val="32"/>
          <w:lang w:val="en-US" w:eastAsia="zh-CN"/>
        </w:rPr>
        <w:t>97.55</w:t>
      </w:r>
      <w:r>
        <w:rPr>
          <w:rFonts w:ascii="仿宋" w:eastAsia="仿宋"/>
          <w:color w:val="000000"/>
          <w:sz w:val="32"/>
          <w:szCs w:val="32"/>
        </w:rPr>
        <w:t>%</w:t>
      </w:r>
      <w:r>
        <w:rPr>
          <w:rFonts w:hint="eastAsia" w:ascii="仿宋" w:eastAsia="仿宋"/>
          <w:color w:val="000000"/>
          <w:sz w:val="32"/>
          <w:szCs w:val="32"/>
        </w:rPr>
        <w:t>；项目支出</w:t>
      </w:r>
      <w:r>
        <w:rPr>
          <w:rFonts w:hint="eastAsia" w:ascii="仿宋" w:eastAsia="仿宋"/>
          <w:color w:val="000000"/>
          <w:sz w:val="32"/>
          <w:szCs w:val="32"/>
          <w:lang w:val="en-US" w:eastAsia="zh-CN"/>
        </w:rPr>
        <w:t>4.00</w:t>
      </w:r>
      <w:r>
        <w:rPr>
          <w:rFonts w:hint="eastAsia" w:ascii="仿宋" w:eastAsia="仿宋"/>
          <w:color w:val="000000"/>
          <w:sz w:val="32"/>
          <w:szCs w:val="32"/>
        </w:rPr>
        <w:t>万元，占</w:t>
      </w:r>
      <w:r>
        <w:rPr>
          <w:rFonts w:hint="eastAsia" w:ascii="仿宋" w:eastAsia="仿宋"/>
          <w:color w:val="000000"/>
          <w:sz w:val="32"/>
          <w:szCs w:val="32"/>
          <w:lang w:val="en-US" w:eastAsia="zh-CN"/>
        </w:rPr>
        <w:t>2.45</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1"/>
        <w:rPr>
          <w:rFonts w:hint="eastAsia" w:ascii="仿宋" w:eastAsia="仿宋"/>
          <w:color w:val="000000"/>
          <w:sz w:val="32"/>
          <w:szCs w:val="32"/>
          <w:lang w:eastAsia="zh-CN"/>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464185</wp:posOffset>
            </wp:positionH>
            <wp:positionV relativeFrom="paragraph">
              <wp:posOffset>144145</wp:posOffset>
            </wp:positionV>
            <wp:extent cx="4576445" cy="1674495"/>
            <wp:effectExtent l="0" t="0" r="39" b="26"/>
            <wp:wrapSquare wrapText="bothSides"/>
            <wp:docPr id="6"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firstLineChars="200"/>
        <w:outlineLvl w:val="1"/>
        <w:rPr>
          <w:rFonts w:hint="eastAsia" w:ascii="仿宋" w:eastAsia="仿宋"/>
          <w:color w:val="000000"/>
          <w:sz w:val="32"/>
          <w:szCs w:val="32"/>
        </w:rPr>
      </w:pPr>
    </w:p>
    <w:p>
      <w:pPr>
        <w:spacing w:line="600" w:lineRule="exact"/>
        <w:ind w:firstLine="640" w:firstLineChars="200"/>
        <w:outlineLvl w:val="1"/>
        <w:rPr>
          <w:rFonts w:hint="eastAsia" w:ascii="仿宋" w:eastAsia="仿宋"/>
          <w:color w:val="000000"/>
          <w:sz w:val="32"/>
          <w:szCs w:val="32"/>
        </w:rPr>
      </w:pPr>
    </w:p>
    <w:p>
      <w:pPr>
        <w:spacing w:line="240" w:lineRule="auto"/>
        <w:ind w:firstLine="0"/>
        <w:jc w:val="center"/>
        <w:outlineLvl w:val="1"/>
        <w:rPr>
          <w:rFonts w:hint="eastAsia" w:ascii="仿宋" w:eastAsia="仿宋"/>
          <w:color w:val="000000"/>
          <w:sz w:val="32"/>
          <w:szCs w:val="32"/>
        </w:rPr>
      </w:pPr>
    </w:p>
    <w:p>
      <w:pPr>
        <w:spacing w:line="600" w:lineRule="exact"/>
        <w:outlineLvl w:val="1"/>
        <w:rPr>
          <w:rFonts w:ascii="黑体" w:eastAsia="黑体"/>
          <w:color w:val="000000"/>
          <w:sz w:val="32"/>
          <w:szCs w:val="32"/>
        </w:rPr>
      </w:pPr>
      <w:bookmarkStart w:id="10" w:name="_Toc15396606"/>
      <w:bookmarkStart w:id="11" w:name="_Toc15377208"/>
    </w:p>
    <w:p>
      <w:pPr>
        <w:spacing w:line="600" w:lineRule="exact"/>
        <w:ind w:firstLine="640" w:firstLineChars="200"/>
        <w:outlineLvl w:val="1"/>
        <w:rPr>
          <w:rStyle w:val="29"/>
          <w:rFonts w:ascii="黑体" w:eastAsia="黑体"/>
          <w:b w:val="0"/>
        </w:rPr>
      </w:pPr>
      <w:r>
        <w:rPr>
          <w:rFonts w:hint="eastAsia" w:ascii="黑体" w:eastAsia="黑体"/>
          <w:color w:val="000000"/>
          <w:sz w:val="32"/>
          <w:szCs w:val="32"/>
        </w:rPr>
        <w:t>四、财</w:t>
      </w:r>
      <w:r>
        <w:rPr>
          <w:rStyle w:val="29"/>
          <w:rFonts w:hint="eastAsia" w:ascii="黑体" w:eastAsia="黑体"/>
          <w:b w:val="0"/>
        </w:rPr>
        <w:t>政拨款收入支出决算总体情况说明</w:t>
      </w:r>
      <w:bookmarkEnd w:id="10"/>
      <w:bookmarkEnd w:id="11"/>
    </w:p>
    <w:p>
      <w:pPr>
        <w:spacing w:line="600" w:lineRule="exact"/>
        <w:ind w:firstLine="640" w:firstLineChars="200"/>
        <w:rPr>
          <w:rFonts w:ascii="仿宋" w:eastAsia="仿宋"/>
          <w:color w:val="000000"/>
          <w:sz w:val="32"/>
          <w:szCs w:val="32"/>
          <w:lang w:val="en-US"/>
        </w:rPr>
      </w:pPr>
      <w:r>
        <w:rPr>
          <w:rFonts w:hint="eastAsia"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年度</w:t>
      </w:r>
      <w:r>
        <w:rPr>
          <w:rFonts w:hint="eastAsia" w:ascii="仿宋" w:eastAsia="仿宋"/>
          <w:color w:val="000000"/>
          <w:sz w:val="32"/>
          <w:szCs w:val="32"/>
          <w:lang w:eastAsia="zh-CN"/>
        </w:rPr>
        <w:t>财政拨款</w:t>
      </w:r>
      <w:r>
        <w:rPr>
          <w:rFonts w:hint="eastAsia" w:ascii="仿宋" w:eastAsia="仿宋"/>
          <w:color w:val="000000"/>
          <w:sz w:val="32"/>
          <w:szCs w:val="32"/>
        </w:rPr>
        <w:t>收</w:t>
      </w:r>
      <w:r>
        <w:rPr>
          <w:rFonts w:hint="eastAsia" w:ascii="仿宋" w:eastAsia="仿宋"/>
          <w:color w:val="000000"/>
          <w:sz w:val="32"/>
          <w:szCs w:val="32"/>
          <w:lang w:eastAsia="zh-CN"/>
        </w:rPr>
        <w:t>、支</w:t>
      </w:r>
      <w:r>
        <w:rPr>
          <w:rFonts w:hint="eastAsia" w:ascii="仿宋" w:eastAsia="仿宋"/>
          <w:color w:val="000000"/>
          <w:sz w:val="32"/>
          <w:szCs w:val="32"/>
        </w:rPr>
        <w:t>总计</w:t>
      </w:r>
      <w:r>
        <w:rPr>
          <w:rFonts w:hint="eastAsia" w:ascii="仿宋" w:eastAsia="仿宋"/>
          <w:color w:val="000000"/>
          <w:sz w:val="32"/>
          <w:szCs w:val="32"/>
          <w:lang w:eastAsia="zh-CN"/>
        </w:rPr>
        <w:t>均为</w:t>
      </w:r>
      <w:r>
        <w:rPr>
          <w:rFonts w:hint="eastAsia" w:ascii="仿宋" w:eastAsia="仿宋"/>
          <w:color w:val="000000"/>
          <w:sz w:val="32"/>
          <w:szCs w:val="32"/>
          <w:lang w:val="en-US" w:eastAsia="zh-CN"/>
        </w:rPr>
        <w:t>163.28</w:t>
      </w:r>
      <w:r>
        <w:rPr>
          <w:rFonts w:hint="eastAsia" w:ascii="仿宋" w:eastAsia="仿宋"/>
          <w:color w:val="000000"/>
          <w:sz w:val="32"/>
          <w:szCs w:val="32"/>
        </w:rPr>
        <w:t>万元。与</w:t>
      </w: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年相比，</w:t>
      </w:r>
      <w:r>
        <w:rPr>
          <w:rFonts w:hint="eastAsia" w:ascii="仿宋" w:hAnsi="仿宋" w:eastAsia="仿宋"/>
          <w:color w:val="auto"/>
          <w:sz w:val="32"/>
          <w:szCs w:val="32"/>
          <w:highlight w:val="none"/>
        </w:rPr>
        <w:t>财政拨款收、支总计各增加</w:t>
      </w:r>
      <w:r>
        <w:rPr>
          <w:rFonts w:hint="eastAsia" w:ascii="仿宋" w:hAnsi="仿宋" w:eastAsia="仿宋"/>
          <w:color w:val="auto"/>
          <w:sz w:val="32"/>
          <w:szCs w:val="32"/>
          <w:highlight w:val="none"/>
          <w:lang w:val="en-US" w:eastAsia="zh-CN"/>
        </w:rPr>
        <w:t>7.89</w:t>
      </w:r>
      <w:r>
        <w:rPr>
          <w:rFonts w:hint="eastAsia" w:ascii="仿宋" w:eastAsia="仿宋"/>
          <w:color w:val="000000"/>
          <w:sz w:val="32"/>
          <w:szCs w:val="32"/>
          <w:lang w:val="en-US" w:eastAsia="zh-CN"/>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5.08</w:t>
      </w:r>
      <w:r>
        <w:rPr>
          <w:rFonts w:ascii="仿宋" w:eastAsia="仿宋"/>
          <w:color w:val="000000"/>
          <w:sz w:val="32"/>
          <w:szCs w:val="32"/>
        </w:rPr>
        <w:t>%</w:t>
      </w:r>
      <w:r>
        <w:rPr>
          <w:rFonts w:hint="eastAsia" w:ascii="仿宋" w:eastAsia="仿宋"/>
          <w:color w:val="000000"/>
          <w:sz w:val="32"/>
          <w:szCs w:val="32"/>
        </w:rPr>
        <w:t>。主要变动原因是</w:t>
      </w:r>
      <w:r>
        <w:rPr>
          <w:rFonts w:hint="eastAsia" w:ascii="仿宋" w:eastAsia="仿宋"/>
          <w:color w:val="000000"/>
          <w:sz w:val="32"/>
          <w:szCs w:val="32"/>
          <w:lang w:eastAsia="zh-CN"/>
        </w:rPr>
        <w:t>人员结构调整和工资正常增长。</w:t>
      </w:r>
    </w:p>
    <w:p>
      <w:pPr>
        <w:spacing w:line="600" w:lineRule="exact"/>
        <w:rPr>
          <w:rFonts w:ascii="仿宋" w:eastAsia="仿宋"/>
          <w:b/>
          <w:color w:val="00B050"/>
          <w:sz w:val="32"/>
          <w:szCs w:val="32"/>
        </w:rPr>
      </w:pPr>
      <w:r>
        <w:rPr>
          <w:rFonts w:hint="eastAsia" w:ascii="仿宋_GB2312" w:eastAsia="仿宋_GB2312"/>
          <w:color w:val="000000"/>
          <w:sz w:val="32"/>
          <w:szCs w:val="32"/>
        </w:rPr>
        <w:pict>
          <v:shape id="_x0000_s1027" o:spid="_x0000_s1027" o:spt="75" alt="image3" type="#_x0000_t75" style="position:absolute;left:0pt;margin-left:41.35pt;margin-top:10.95pt;height:176.75pt;width:369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Package" ShapeID="_x0000_s1027" DrawAspect="Content" ObjectID="_1468075726" r:id="rId12">
            <o:LockedField>false</o:LockedField>
          </o:OLEObject>
        </w:pict>
      </w:r>
    </w:p>
    <w:p>
      <w:pPr>
        <w:spacing w:line="600" w:lineRule="exact"/>
        <w:ind w:firstLine="640" w:firstLineChars="200"/>
        <w:outlineLvl w:val="1"/>
        <w:rPr>
          <w:rStyle w:val="29"/>
          <w:rFonts w:ascii="黑体" w:eastAsia="黑体"/>
          <w:b w:val="0"/>
        </w:rPr>
      </w:pPr>
      <w:bookmarkStart w:id="12" w:name="_Toc15396607"/>
      <w:bookmarkStart w:id="13" w:name="_Toc15377209"/>
      <w:r>
        <w:rPr>
          <w:rFonts w:hint="eastAsia" w:ascii="黑体" w:eastAsia="黑体"/>
          <w:color w:val="000000"/>
          <w:sz w:val="32"/>
          <w:szCs w:val="32"/>
        </w:rPr>
        <w:t>五、</w:t>
      </w:r>
      <w:r>
        <w:rPr>
          <w:rFonts w:hint="eastAsia" w:ascii="黑体" w:eastAsia="黑体"/>
          <w:b/>
          <w:color w:val="000000"/>
          <w:sz w:val="32"/>
          <w:szCs w:val="32"/>
        </w:rPr>
        <w:t>一</w:t>
      </w:r>
      <w:r>
        <w:rPr>
          <w:rStyle w:val="29"/>
          <w:rFonts w:hint="eastAsia" w:ascii="黑体" w:eastAsia="黑体"/>
          <w:b w:val="0"/>
        </w:rPr>
        <w:t>般公共预算财政拨款支出决算情况说明</w:t>
      </w:r>
      <w:bookmarkEnd w:id="12"/>
      <w:bookmarkEnd w:id="13"/>
    </w:p>
    <w:p>
      <w:pPr>
        <w:spacing w:line="600" w:lineRule="exact"/>
        <w:ind w:firstLine="642" w:firstLineChars="200"/>
        <w:outlineLvl w:val="2"/>
        <w:rPr>
          <w:rFonts w:ascii="仿宋" w:eastAsia="仿宋"/>
          <w:b/>
          <w:color w:val="000000"/>
          <w:sz w:val="32"/>
          <w:szCs w:val="32"/>
        </w:rPr>
      </w:pPr>
      <w:bookmarkStart w:id="14" w:name="_Toc15377210"/>
      <w:r>
        <w:rPr>
          <w:rFonts w:hint="eastAsia" w:ascii="仿宋" w:eastAsia="仿宋"/>
          <w:b/>
          <w:color w:val="000000"/>
          <w:sz w:val="32"/>
          <w:szCs w:val="32"/>
        </w:rPr>
        <w:t>（一）一般公共预算财政拨款支出决算总体情况</w:t>
      </w:r>
      <w:bookmarkEnd w:id="14"/>
    </w:p>
    <w:p>
      <w:pPr>
        <w:spacing w:line="600" w:lineRule="exact"/>
        <w:ind w:firstLine="640" w:firstLineChars="200"/>
        <w:rPr>
          <w:rFonts w:hint="eastAsia" w:ascii="仿宋" w:eastAsia="仿宋"/>
          <w:b/>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163.28</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ascii="仿宋" w:eastAsia="仿宋"/>
          <w:color w:val="000000"/>
          <w:sz w:val="32"/>
          <w:szCs w:val="32"/>
        </w:rPr>
        <w:t>20</w:t>
      </w:r>
      <w:r>
        <w:rPr>
          <w:rFonts w:hint="eastAsia" w:ascii="仿宋" w:eastAsia="仿宋"/>
          <w:color w:val="000000"/>
          <w:sz w:val="32"/>
          <w:szCs w:val="32"/>
          <w:lang w:val="en-US" w:eastAsia="zh-CN"/>
        </w:rPr>
        <w:t>22</w:t>
      </w:r>
      <w:r>
        <w:rPr>
          <w:rFonts w:hint="eastAsia" w:ascii="仿宋" w:eastAsia="仿宋"/>
          <w:color w:val="000000"/>
          <w:sz w:val="32"/>
          <w:szCs w:val="32"/>
        </w:rPr>
        <w:t>年相比，一般公共预算财政拨款</w:t>
      </w:r>
      <w:r>
        <w:rPr>
          <w:rFonts w:hint="eastAsia" w:ascii="仿宋" w:eastAsia="仿宋"/>
          <w:color w:val="000000"/>
          <w:sz w:val="32"/>
          <w:szCs w:val="32"/>
          <w:lang w:eastAsia="zh-CN"/>
        </w:rPr>
        <w:t>支出增加</w:t>
      </w:r>
      <w:r>
        <w:rPr>
          <w:rFonts w:hint="eastAsia" w:ascii="仿宋" w:eastAsia="仿宋"/>
          <w:color w:val="000000"/>
          <w:sz w:val="32"/>
          <w:szCs w:val="32"/>
          <w:lang w:val="en-US" w:eastAsia="zh-CN"/>
        </w:rPr>
        <w:t>7.89</w:t>
      </w:r>
      <w:r>
        <w:rPr>
          <w:rFonts w:hint="eastAsia" w:ascii="仿宋" w:eastAsia="仿宋"/>
          <w:color w:val="000000"/>
          <w:sz w:val="32"/>
          <w:szCs w:val="32"/>
        </w:rPr>
        <w:t>万元，</w:t>
      </w:r>
      <w:r>
        <w:rPr>
          <w:rFonts w:hint="eastAsia" w:ascii="仿宋" w:eastAsia="仿宋"/>
          <w:color w:val="000000"/>
          <w:sz w:val="32"/>
          <w:szCs w:val="32"/>
          <w:lang w:eastAsia="zh-CN"/>
        </w:rPr>
        <w:t>增长</w:t>
      </w:r>
      <w:r>
        <w:rPr>
          <w:rFonts w:hint="eastAsia" w:ascii="仿宋" w:eastAsia="仿宋"/>
          <w:color w:val="000000"/>
          <w:sz w:val="32"/>
          <w:szCs w:val="32"/>
          <w:lang w:val="en-US" w:eastAsia="zh-CN"/>
        </w:rPr>
        <w:t>5.08</w:t>
      </w:r>
      <w:r>
        <w:rPr>
          <w:rFonts w:ascii="仿宋" w:eastAsia="仿宋"/>
          <w:color w:val="000000"/>
          <w:sz w:val="32"/>
          <w:szCs w:val="32"/>
        </w:rPr>
        <w:t>%</w:t>
      </w:r>
      <w:r>
        <w:rPr>
          <w:rFonts w:hint="eastAsia" w:ascii="仿宋" w:eastAsia="仿宋"/>
          <w:color w:val="000000"/>
          <w:sz w:val="32"/>
          <w:szCs w:val="32"/>
        </w:rPr>
        <w:t>。主要变动原因是</w:t>
      </w:r>
      <w:bookmarkStart w:id="15" w:name="_Toc15377211"/>
      <w:r>
        <w:rPr>
          <w:rFonts w:hint="eastAsia" w:ascii="仿宋" w:eastAsia="仿宋"/>
          <w:color w:val="000000"/>
          <w:sz w:val="32"/>
          <w:szCs w:val="32"/>
          <w:lang w:eastAsia="zh-CN"/>
        </w:rPr>
        <w:t>人员结构调整和工资正常增长。</w:t>
      </w:r>
    </w:p>
    <w:p>
      <w:pPr>
        <w:spacing w:line="600" w:lineRule="exact"/>
        <w:ind w:firstLine="640" w:firstLineChars="200"/>
        <w:outlineLvl w:val="2"/>
        <w:rPr>
          <w:rFonts w:hint="eastAsia" w:ascii="仿宋" w:eastAsia="仿宋"/>
          <w:b/>
          <w:color w:val="000000"/>
          <w:sz w:val="32"/>
          <w:szCs w:val="32"/>
        </w:rPr>
      </w:pPr>
      <w:r>
        <w:rPr>
          <w:rFonts w:hint="eastAsia" w:ascii="仿宋_GB2312" w:eastAsia="仿宋_GB2312"/>
          <w:color w:val="000000"/>
          <w:sz w:val="32"/>
          <w:szCs w:val="32"/>
        </w:rPr>
        <w:pict>
          <v:shape id="_x0000_s1028" o:spid="_x0000_s1028" o:spt="75" alt="image4" type="#_x0000_t75" style="position:absolute;left:0pt;margin-left:35pt;margin-top:4.4pt;height:160.1pt;width:345.1pt;mso-wrap-distance-left:9pt;mso-wrap-distance-right:9pt;z-index:251659264;mso-width-relative:page;mso-height-relative:page;" o:ole="t" filled="f" o:preferrelative="t" stroked="f" coordsize="21600,21600" wrapcoords="21592 -2 0 0 0 21599 21592 21601 8 21601 21600 21599 21600 0 8 -2 21592 -2">
            <v:path/>
            <v:fill on="f" focussize="0,0"/>
            <v:stroke on="f"/>
            <v:imagedata r:id="rId15" o:title=""/>
            <o:lock v:ext="edit" aspectratio="t"/>
            <w10:wrap type="tight"/>
          </v:shape>
          <o:OLEObject Type="Embed" ProgID="Package" ShapeID="_x0000_s1028" DrawAspect="Content" ObjectID="_1468075727" r:id="rId14">
            <o:LockedField>false</o:LockedField>
          </o:OLEObject>
        </w:pict>
      </w: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（二）一般公共预算财政拨款支出决算结构情况</w:t>
      </w:r>
      <w:bookmarkEnd w:id="15"/>
    </w:p>
    <w:p>
      <w:pPr>
        <w:spacing w:line="600" w:lineRule="exact"/>
        <w:ind w:firstLine="640" w:firstLineChars="200"/>
        <w:rPr>
          <w:rFonts w:hint="eastAsia"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年一般公共预算财政拨款支出</w:t>
      </w:r>
      <w:r>
        <w:rPr>
          <w:rFonts w:hint="eastAsia" w:ascii="仿宋" w:eastAsia="仿宋"/>
          <w:color w:val="000000"/>
          <w:sz w:val="32"/>
          <w:szCs w:val="32"/>
          <w:lang w:val="en-US" w:eastAsia="zh-CN"/>
        </w:rPr>
        <w:t>163.28</w:t>
      </w:r>
      <w:r>
        <w:rPr>
          <w:rFonts w:hint="eastAsia" w:ascii="仿宋" w:eastAsia="仿宋"/>
          <w:color w:val="000000"/>
          <w:sz w:val="32"/>
          <w:szCs w:val="32"/>
        </w:rPr>
        <w:t>万元</w:t>
      </w:r>
      <w:r>
        <w:rPr>
          <w:rFonts w:hint="eastAsia" w:ascii="仿宋_GB2312" w:eastAsia="仿宋_GB2312" w:cs="仿宋_GB2312"/>
          <w:sz w:val="32"/>
          <w:szCs w:val="32"/>
          <w:lang w:val="en-US" w:eastAsia="zh-CN"/>
        </w:rPr>
        <w:t>。</w:t>
      </w:r>
      <w:r>
        <w:rPr>
          <w:rFonts w:hint="eastAsia" w:ascii="仿宋" w:eastAsia="仿宋"/>
          <w:color w:val="000000"/>
          <w:sz w:val="32"/>
          <w:szCs w:val="32"/>
        </w:rPr>
        <w:t>主要用于以下方面</w:t>
      </w:r>
      <w:r>
        <w:rPr>
          <w:rFonts w:ascii="仿宋" w:eastAsia="仿宋"/>
          <w:color w:val="000000"/>
          <w:sz w:val="32"/>
          <w:szCs w:val="32"/>
        </w:rPr>
        <w:t>:</w:t>
      </w:r>
      <w:r>
        <w:rPr>
          <w:rFonts w:hint="eastAsia" w:ascii="仿宋" w:eastAsia="仿宋"/>
          <w:b/>
          <w:color w:val="000000"/>
          <w:sz w:val="32"/>
          <w:szCs w:val="32"/>
        </w:rPr>
        <w:t>一般公共服务</w:t>
      </w:r>
      <w:r>
        <w:rPr>
          <w:rFonts w:hint="eastAsia" w:ascii="仿宋" w:eastAsia="仿宋"/>
          <w:b/>
          <w:color w:val="000000"/>
          <w:sz w:val="32"/>
          <w:szCs w:val="32"/>
          <w:lang w:eastAsia="zh-CN"/>
        </w:rPr>
        <w:t>支出</w:t>
      </w:r>
      <w:r>
        <w:rPr>
          <w:rFonts w:hint="eastAsia" w:ascii="仿宋" w:eastAsia="仿宋"/>
          <w:color w:val="000000"/>
          <w:sz w:val="32"/>
          <w:szCs w:val="32"/>
          <w:lang w:val="en-US" w:eastAsia="zh-CN"/>
        </w:rPr>
        <w:t>123.69</w:t>
      </w:r>
      <w:r>
        <w:rPr>
          <w:rFonts w:hint="eastAsia" w:ascii="仿宋" w:eastAsia="仿宋"/>
          <w:color w:val="000000"/>
          <w:sz w:val="32"/>
          <w:szCs w:val="32"/>
        </w:rPr>
        <w:t>万元，占</w:t>
      </w:r>
      <w:r>
        <w:rPr>
          <w:rFonts w:hint="eastAsia" w:ascii="仿宋" w:eastAsia="仿宋"/>
          <w:color w:val="000000"/>
          <w:sz w:val="32"/>
          <w:szCs w:val="32"/>
          <w:lang w:val="en-US" w:eastAsia="zh-CN"/>
        </w:rPr>
        <w:t>75.75</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color w:val="000000"/>
          <w:sz w:val="32"/>
          <w:szCs w:val="32"/>
        </w:rPr>
        <w:t>社会保障和就业</w:t>
      </w:r>
      <w:r>
        <w:rPr>
          <w:rFonts w:hint="eastAsia" w:ascii="仿宋" w:eastAsia="仿宋"/>
          <w:b/>
          <w:color w:val="000000"/>
          <w:sz w:val="32"/>
          <w:szCs w:val="32"/>
          <w:lang w:eastAsia="zh-CN"/>
        </w:rPr>
        <w:t>支出</w:t>
      </w:r>
      <w:r>
        <w:rPr>
          <w:rFonts w:hint="eastAsia" w:ascii="仿宋" w:eastAsia="仿宋"/>
          <w:color w:val="000000"/>
          <w:sz w:val="32"/>
          <w:szCs w:val="32"/>
          <w:lang w:val="en-US" w:eastAsia="zh-CN"/>
        </w:rPr>
        <w:t>20.37</w:t>
      </w:r>
      <w:r>
        <w:rPr>
          <w:rFonts w:hint="eastAsia" w:ascii="仿宋" w:eastAsia="仿宋"/>
          <w:color w:val="000000"/>
          <w:sz w:val="32"/>
          <w:szCs w:val="32"/>
        </w:rPr>
        <w:t>万元，占</w:t>
      </w:r>
      <w:r>
        <w:rPr>
          <w:rFonts w:hint="eastAsia" w:ascii="仿宋" w:eastAsia="仿宋"/>
          <w:color w:val="000000"/>
          <w:sz w:val="32"/>
          <w:szCs w:val="32"/>
          <w:lang w:val="en-US" w:eastAsia="zh-CN"/>
        </w:rPr>
        <w:t>12.48</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卫生健康支出</w:t>
      </w:r>
      <w:r>
        <w:rPr>
          <w:rFonts w:hint="eastAsia" w:ascii="仿宋" w:eastAsia="仿宋"/>
          <w:color w:val="000000"/>
          <w:sz w:val="32"/>
          <w:szCs w:val="32"/>
          <w:lang w:val="en-US" w:eastAsia="zh-CN"/>
        </w:rPr>
        <w:t>8.80</w:t>
      </w:r>
      <w:r>
        <w:rPr>
          <w:rFonts w:hint="eastAsia" w:ascii="仿宋" w:eastAsia="仿宋"/>
          <w:color w:val="000000"/>
          <w:sz w:val="32"/>
          <w:szCs w:val="32"/>
        </w:rPr>
        <w:t>万元，占</w:t>
      </w:r>
      <w:r>
        <w:rPr>
          <w:rFonts w:hint="eastAsia" w:ascii="仿宋" w:eastAsia="仿宋"/>
          <w:color w:val="000000"/>
          <w:sz w:val="32"/>
          <w:szCs w:val="32"/>
          <w:lang w:val="en-US" w:eastAsia="zh-CN"/>
        </w:rPr>
        <w:t>5.39</w:t>
      </w:r>
      <w:r>
        <w:rPr>
          <w:rFonts w:ascii="仿宋" w:eastAsia="仿宋"/>
          <w:color w:val="000000"/>
          <w:sz w:val="32"/>
          <w:szCs w:val="32"/>
        </w:rPr>
        <w:t>%</w:t>
      </w:r>
      <w:r>
        <w:rPr>
          <w:rFonts w:hint="eastAsia" w:ascii="仿宋" w:eastAsia="仿宋"/>
          <w:color w:val="000000"/>
          <w:sz w:val="32"/>
          <w:szCs w:val="32"/>
        </w:rPr>
        <w:t>；</w:t>
      </w:r>
      <w:r>
        <w:rPr>
          <w:rFonts w:hint="eastAsia" w:ascii="仿宋" w:eastAsia="仿宋"/>
          <w:b/>
          <w:bCs/>
          <w:color w:val="000000"/>
          <w:sz w:val="32"/>
          <w:szCs w:val="32"/>
        </w:rPr>
        <w:t>住房保障</w:t>
      </w:r>
      <w:r>
        <w:rPr>
          <w:rFonts w:hint="eastAsia" w:ascii="仿宋" w:eastAsia="仿宋"/>
          <w:b/>
          <w:bCs/>
          <w:color w:val="000000"/>
          <w:sz w:val="32"/>
          <w:szCs w:val="32"/>
          <w:lang w:eastAsia="zh-CN"/>
        </w:rPr>
        <w:t>支出</w:t>
      </w:r>
      <w:r>
        <w:rPr>
          <w:rFonts w:hint="eastAsia" w:ascii="仿宋" w:eastAsia="仿宋"/>
          <w:color w:val="000000"/>
          <w:sz w:val="32"/>
          <w:szCs w:val="32"/>
          <w:lang w:val="en-US" w:eastAsia="zh-CN"/>
        </w:rPr>
        <w:t>10.41</w:t>
      </w:r>
      <w:r>
        <w:rPr>
          <w:rFonts w:hint="eastAsia" w:ascii="仿宋" w:eastAsia="仿宋"/>
          <w:color w:val="000000"/>
          <w:sz w:val="32"/>
          <w:szCs w:val="32"/>
        </w:rPr>
        <w:t>万元，占</w:t>
      </w:r>
      <w:r>
        <w:rPr>
          <w:rFonts w:hint="eastAsia" w:ascii="仿宋" w:eastAsia="仿宋"/>
          <w:color w:val="000000"/>
          <w:sz w:val="32"/>
          <w:szCs w:val="32"/>
          <w:lang w:val="en-US" w:eastAsia="zh-CN"/>
        </w:rPr>
        <w:t>6.38</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firstLineChars="200"/>
        <w:outlineLvl w:val="2"/>
        <w:rPr>
          <w:rFonts w:hint="eastAsia" w:ascii="仿宋" w:eastAsia="仿宋"/>
          <w:b/>
          <w:color w:val="000000"/>
          <w:sz w:val="32"/>
          <w:szCs w:val="32"/>
        </w:rPr>
      </w:pPr>
      <w:bookmarkStart w:id="16" w:name="_Toc15377212"/>
      <w:r>
        <w:rPr>
          <w:rFonts w:hint="eastAsia" w:ascii="仿宋_GB2312" w:eastAsia="仿宋_GB2312"/>
          <w:color w:val="000000"/>
          <w:sz w:val="32"/>
          <w:szCs w:val="32"/>
        </w:rPr>
        <w:pict>
          <v:shape id="_x0000_s1029" o:spid="_x0000_s1029" o:spt="75" alt="image5" type="#_x0000_t75" style="position:absolute;left:0pt;margin-left:44.75pt;margin-top:16.35pt;height:175.25pt;width:348.5pt;mso-wrap-distance-bottom:0pt;mso-wrap-distance-left:9pt;mso-wrap-distance-right:9pt;mso-wrap-distance-top:0pt;z-index:251659264;mso-width-relative:page;mso-height-relative:page;" o:ole="t" filled="f" o:preferrelative="t" stroked="f" coordsize="21600,21600">
            <v:path/>
            <v:fill on="f" focussize="0,0"/>
            <v:stroke on="f"/>
            <v:imagedata r:id="rId17" o:title=""/>
            <o:lock v:ext="edit" aspectratio="t"/>
            <w10:wrap type="square"/>
          </v:shape>
          <o:OLEObject Type="Embed" ProgID="Package" ShapeID="_x0000_s1029" DrawAspect="Content" ObjectID="_1468075728" r:id="rId16">
            <o:LockedField>false</o:LockedField>
          </o:OLEObject>
        </w:pict>
      </w:r>
    </w:p>
    <w:p>
      <w:pPr>
        <w:spacing w:line="600" w:lineRule="exact"/>
        <w:ind w:firstLine="642" w:firstLineChars="200"/>
        <w:outlineLvl w:val="2"/>
        <w:rPr>
          <w:rFonts w:hint="eastAsia" w:ascii="仿宋" w:eastAsia="仿宋"/>
          <w:b/>
          <w:color w:val="000000"/>
          <w:sz w:val="32"/>
          <w:szCs w:val="32"/>
        </w:rPr>
      </w:pPr>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16"/>
    </w:p>
    <w:p>
      <w:pPr>
        <w:spacing w:line="600" w:lineRule="exact"/>
        <w:ind w:firstLine="640" w:firstLineChars="200"/>
        <w:rPr>
          <w:rStyle w:val="18"/>
          <w:rFonts w:hint="eastAsia" w:ascii="仿宋" w:eastAsia="仿宋"/>
          <w:b w:val="0"/>
          <w:bCs/>
          <w:color w:val="000000"/>
          <w:sz w:val="32"/>
          <w:szCs w:val="32"/>
        </w:rPr>
      </w:pPr>
      <w:bookmarkStart w:id="17" w:name="_Toc15377444"/>
      <w:bookmarkStart w:id="18" w:name="_Toc15378460"/>
      <w:bookmarkStart w:id="19" w:name="_Toc15377213"/>
      <w:r>
        <w:rPr>
          <w:rFonts w:hint="eastAsia" w:ascii="仿宋" w:eastAsia="仿宋"/>
          <w:b w:val="0"/>
          <w:bCs/>
          <w:color w:val="000000"/>
          <w:sz w:val="32"/>
          <w:szCs w:val="32"/>
        </w:rPr>
        <w:t>20</w:t>
      </w:r>
      <w:r>
        <w:rPr>
          <w:rFonts w:hint="eastAsia" w:ascii="仿宋" w:eastAsia="仿宋"/>
          <w:b w:val="0"/>
          <w:bCs/>
          <w:color w:val="000000"/>
          <w:sz w:val="32"/>
          <w:szCs w:val="32"/>
          <w:lang w:val="en-US" w:eastAsia="zh-CN"/>
        </w:rPr>
        <w:t>23</w:t>
      </w:r>
      <w:r>
        <w:rPr>
          <w:rFonts w:hint="eastAsia" w:ascii="仿宋" w:eastAsia="仿宋"/>
          <w:b w:val="0"/>
          <w:bCs/>
          <w:color w:val="000000"/>
          <w:sz w:val="32"/>
          <w:szCs w:val="32"/>
        </w:rPr>
        <w:t>年</w:t>
      </w:r>
      <w:r>
        <w:rPr>
          <w:rFonts w:hint="eastAsia" w:ascii="仿宋" w:eastAsia="仿宋"/>
          <w:b w:val="0"/>
          <w:bCs/>
          <w:color w:val="000000"/>
          <w:sz w:val="32"/>
          <w:szCs w:val="32"/>
          <w:lang w:eastAsia="zh-CN"/>
        </w:rPr>
        <w:t>一</w:t>
      </w:r>
      <w:r>
        <w:rPr>
          <w:rFonts w:hint="eastAsia" w:ascii="仿宋" w:eastAsia="仿宋"/>
          <w:b w:val="0"/>
          <w:bCs/>
          <w:color w:val="000000"/>
          <w:sz w:val="32"/>
          <w:szCs w:val="32"/>
        </w:rPr>
        <w:t>般公共预算支出决算数为</w:t>
      </w:r>
      <w:r>
        <w:rPr>
          <w:rFonts w:hint="eastAsia" w:ascii="仿宋" w:eastAsia="仿宋"/>
          <w:b w:val="0"/>
          <w:bCs/>
          <w:color w:val="000000"/>
          <w:sz w:val="32"/>
          <w:szCs w:val="32"/>
          <w:lang w:val="en-US" w:eastAsia="zh-CN"/>
        </w:rPr>
        <w:t>163.28万元</w:t>
      </w:r>
      <w:r>
        <w:rPr>
          <w:rFonts w:hint="eastAsia" w:ascii="仿宋_GB2312" w:eastAsia="仿宋_GB2312" w:cs="仿宋_GB2312"/>
          <w:sz w:val="32"/>
          <w:szCs w:val="32"/>
          <w:lang w:val="en-US" w:eastAsia="zh-CN"/>
        </w:rPr>
        <w:t>。</w:t>
      </w:r>
      <w:r>
        <w:rPr>
          <w:rStyle w:val="18"/>
          <w:rFonts w:hint="eastAsia" w:ascii="仿宋" w:eastAsia="仿宋"/>
          <w:b w:val="0"/>
          <w:bCs/>
          <w:color w:val="000000"/>
          <w:sz w:val="32"/>
          <w:szCs w:val="32"/>
        </w:rPr>
        <w:t>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。其中：</w:t>
      </w:r>
      <w:bookmarkEnd w:id="17"/>
      <w:bookmarkEnd w:id="18"/>
      <w:bookmarkEnd w:id="19"/>
    </w:p>
    <w:p>
      <w:pPr>
        <w:spacing w:line="600" w:lineRule="exact"/>
        <w:ind w:left="0"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1.</w:t>
      </w:r>
      <w:r>
        <w:rPr>
          <w:rStyle w:val="18"/>
          <w:rFonts w:hint="eastAsia" w:ascii="仿宋" w:eastAsia="仿宋"/>
          <w:bCs/>
          <w:color w:val="000000"/>
          <w:sz w:val="32"/>
          <w:szCs w:val="32"/>
        </w:rPr>
        <w:t>一般公共服务（</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政府办公厅（室）及相关机构事务</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行政运行</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119.69</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ind w:left="0"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2.</w:t>
      </w:r>
      <w:r>
        <w:rPr>
          <w:rStyle w:val="18"/>
          <w:rFonts w:hint="eastAsia" w:ascii="仿宋" w:eastAsia="仿宋"/>
          <w:bCs/>
          <w:color w:val="000000"/>
          <w:sz w:val="32"/>
          <w:szCs w:val="32"/>
        </w:rPr>
        <w:t>一般公共服务（</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政府办公厅（室）及相关机构事务</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一般行政管理事务</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4.00</w:t>
      </w:r>
      <w:r>
        <w:rPr>
          <w:rStyle w:val="18"/>
          <w:rFonts w:hint="eastAsia" w:ascii="仿宋" w:eastAsia="仿宋"/>
          <w:b w:val="0"/>
          <w:bCs/>
          <w:color w:val="000000"/>
          <w:sz w:val="32"/>
          <w:szCs w:val="32"/>
        </w:rPr>
        <w:t>万元</w:t>
      </w:r>
      <w:r>
        <w:rPr>
          <w:rStyle w:val="18"/>
          <w:rFonts w:hint="eastAsia" w:ascii="仿宋" w:eastAsia="仿宋"/>
          <w:b w:val="0"/>
          <w:bCs/>
          <w:color w:val="000000"/>
          <w:sz w:val="32"/>
          <w:szCs w:val="32"/>
          <w:lang w:eastAsia="zh-CN"/>
        </w:rPr>
        <w:t>，</w:t>
      </w:r>
      <w:r>
        <w:rPr>
          <w:rStyle w:val="18"/>
          <w:rFonts w:hint="eastAsia" w:ascii="仿宋" w:eastAsia="仿宋"/>
          <w:b w:val="0"/>
          <w:bCs/>
          <w:color w:val="000000"/>
          <w:sz w:val="32"/>
          <w:szCs w:val="32"/>
        </w:rPr>
        <w:t>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ind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3</w:t>
      </w:r>
      <w:r>
        <w:rPr>
          <w:rStyle w:val="18"/>
          <w:rFonts w:ascii="仿宋" w:eastAsia="仿宋"/>
          <w:bCs/>
          <w:color w:val="000000"/>
          <w:sz w:val="32"/>
          <w:szCs w:val="32"/>
        </w:rPr>
        <w:t>.</w:t>
      </w:r>
      <w:r>
        <w:rPr>
          <w:rStyle w:val="18"/>
          <w:rFonts w:hint="eastAsia" w:ascii="仿宋" w:eastAsia="仿宋"/>
          <w:bCs/>
          <w:color w:val="000000"/>
          <w:sz w:val="32"/>
          <w:szCs w:val="32"/>
        </w:rPr>
        <w:t>社会保障和就业（</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行政事业单位养老支出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机关事业单位基本养老保险缴费支出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13.58</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ind w:firstLine="642"/>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4</w:t>
      </w:r>
      <w:r>
        <w:rPr>
          <w:rStyle w:val="18"/>
          <w:rFonts w:ascii="仿宋" w:eastAsia="仿宋"/>
          <w:bCs/>
          <w:color w:val="000000"/>
          <w:sz w:val="32"/>
          <w:szCs w:val="32"/>
        </w:rPr>
        <w:t>.</w:t>
      </w:r>
      <w:r>
        <w:rPr>
          <w:rStyle w:val="18"/>
          <w:rFonts w:hint="eastAsia" w:ascii="仿宋" w:eastAsia="仿宋"/>
          <w:bCs/>
          <w:color w:val="000000"/>
          <w:sz w:val="32"/>
          <w:szCs w:val="32"/>
        </w:rPr>
        <w:t>社会保障和就业（</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行政事业单位养老支出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机关事业单位职业年金缴费支出（</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lang w:eastAsia="zh-CN"/>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6.79</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rPr>
          <w:rStyle w:val="18"/>
          <w:rFonts w:hint="eastAsia" w:ascii="仿宋" w:eastAsia="仿宋"/>
          <w:b w:val="0"/>
          <w:bCs/>
          <w:color w:val="000000"/>
          <w:sz w:val="32"/>
          <w:szCs w:val="32"/>
        </w:rPr>
      </w:pPr>
      <w:r>
        <w:rPr>
          <w:rFonts w:hint="eastAsia" w:ascii="仿宋" w:eastAsia="仿宋"/>
          <w:b/>
          <w:bCs/>
          <w:color w:val="000000"/>
          <w:sz w:val="32"/>
          <w:szCs w:val="32"/>
          <w:lang w:val="en-US" w:eastAsia="zh-CN"/>
        </w:rPr>
        <w:t xml:space="preserve">    5.</w:t>
      </w:r>
      <w:r>
        <w:rPr>
          <w:rFonts w:hint="eastAsia" w:ascii="仿宋" w:eastAsia="仿宋"/>
          <w:b/>
          <w:bCs/>
          <w:color w:val="000000"/>
          <w:sz w:val="32"/>
          <w:szCs w:val="32"/>
        </w:rPr>
        <w:t>卫生健康</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行政事业单位医疗</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行政单位医疗</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8.80</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spacing w:line="600" w:lineRule="exact"/>
        <w:rPr>
          <w:rStyle w:val="18"/>
          <w:rFonts w:hint="eastAsia" w:ascii="仿宋" w:eastAsia="仿宋"/>
          <w:b w:val="0"/>
          <w:bCs/>
          <w:color w:val="000000"/>
          <w:sz w:val="32"/>
          <w:szCs w:val="32"/>
        </w:rPr>
      </w:pPr>
      <w:r>
        <w:rPr>
          <w:rStyle w:val="18"/>
          <w:rFonts w:hint="eastAsia" w:ascii="仿宋" w:eastAsia="仿宋"/>
          <w:bCs/>
          <w:color w:val="000000"/>
          <w:sz w:val="32"/>
          <w:szCs w:val="32"/>
          <w:lang w:val="en-US" w:eastAsia="zh-CN"/>
        </w:rPr>
        <w:t xml:space="preserve">    6.</w:t>
      </w:r>
      <w:r>
        <w:rPr>
          <w:rStyle w:val="18"/>
          <w:rFonts w:hint="eastAsia" w:ascii="仿宋" w:eastAsia="仿宋"/>
          <w:bCs/>
          <w:color w:val="000000"/>
          <w:sz w:val="32"/>
          <w:szCs w:val="32"/>
          <w:lang w:eastAsia="zh-CN"/>
        </w:rPr>
        <w:t>住房保障支出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类</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住房改革支出</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款</w:t>
      </w:r>
      <w:r>
        <w:rPr>
          <w:rStyle w:val="18"/>
          <w:rFonts w:hint="eastAsia" w:ascii="仿宋" w:eastAsia="仿宋"/>
          <w:bCs/>
          <w:color w:val="000000"/>
          <w:sz w:val="32"/>
          <w:szCs w:val="32"/>
        </w:rPr>
        <w:t>）</w:t>
      </w:r>
      <w:r>
        <w:rPr>
          <w:rStyle w:val="18"/>
          <w:rFonts w:hint="eastAsia" w:ascii="仿宋" w:eastAsia="仿宋"/>
          <w:bCs/>
          <w:color w:val="000000"/>
          <w:sz w:val="32"/>
          <w:szCs w:val="32"/>
          <w:lang w:eastAsia="zh-CN"/>
        </w:rPr>
        <w:t>住房公积金</w:t>
      </w:r>
      <w:r>
        <w:rPr>
          <w:rStyle w:val="18"/>
          <w:rFonts w:hint="eastAsia" w:ascii="仿宋" w:eastAsia="仿宋"/>
          <w:bCs/>
          <w:color w:val="000000"/>
          <w:sz w:val="32"/>
          <w:szCs w:val="32"/>
        </w:rPr>
        <w:t>（</w:t>
      </w:r>
      <w:r>
        <w:rPr>
          <w:rStyle w:val="18"/>
          <w:rFonts w:hint="eastAsia" w:ascii="仿宋" w:eastAsia="仿宋"/>
          <w:bCs/>
          <w:color w:val="000000"/>
          <w:sz w:val="32"/>
          <w:szCs w:val="32"/>
          <w:lang w:val="en-US" w:eastAsia="zh-CN"/>
        </w:rPr>
        <w:t>项</w:t>
      </w:r>
      <w:r>
        <w:rPr>
          <w:rStyle w:val="18"/>
          <w:rFonts w:hint="eastAsia" w:ascii="仿宋" w:eastAsia="仿宋"/>
          <w:bCs/>
          <w:color w:val="000000"/>
          <w:sz w:val="32"/>
          <w:szCs w:val="32"/>
        </w:rPr>
        <w:t>）</w:t>
      </w:r>
      <w:r>
        <w:rPr>
          <w:rStyle w:val="18"/>
          <w:rFonts w:ascii="仿宋" w:eastAsia="仿宋"/>
          <w:bCs/>
          <w:color w:val="000000"/>
          <w:sz w:val="32"/>
          <w:szCs w:val="32"/>
        </w:rPr>
        <w:t>:</w:t>
      </w:r>
      <w:r>
        <w:rPr>
          <w:rStyle w:val="18"/>
          <w:rFonts w:ascii="仿宋" w:eastAsia="仿宋"/>
          <w:b w:val="0"/>
          <w:bCs/>
          <w:color w:val="000000"/>
          <w:sz w:val="32"/>
          <w:szCs w:val="32"/>
        </w:rPr>
        <w:t xml:space="preserve"> </w:t>
      </w:r>
      <w:r>
        <w:rPr>
          <w:rStyle w:val="18"/>
          <w:rFonts w:hint="eastAsia" w:ascii="仿宋" w:eastAsia="仿宋"/>
          <w:b w:val="0"/>
          <w:bCs/>
          <w:color w:val="000000"/>
          <w:sz w:val="32"/>
          <w:szCs w:val="32"/>
        </w:rPr>
        <w:t>支出决算为</w:t>
      </w:r>
      <w:r>
        <w:rPr>
          <w:rStyle w:val="18"/>
          <w:rFonts w:hint="eastAsia" w:ascii="仿宋" w:eastAsia="仿宋"/>
          <w:b w:val="0"/>
          <w:bCs/>
          <w:color w:val="000000"/>
          <w:sz w:val="32"/>
          <w:szCs w:val="32"/>
          <w:lang w:val="en-US" w:eastAsia="zh-CN"/>
        </w:rPr>
        <w:t>10.41</w:t>
      </w:r>
      <w:r>
        <w:rPr>
          <w:rStyle w:val="18"/>
          <w:rFonts w:hint="eastAsia" w:ascii="仿宋" w:eastAsia="仿宋"/>
          <w:b w:val="0"/>
          <w:bCs/>
          <w:color w:val="000000"/>
          <w:sz w:val="32"/>
          <w:szCs w:val="32"/>
        </w:rPr>
        <w:t>万元，完成预算</w:t>
      </w:r>
      <w:r>
        <w:rPr>
          <w:rStyle w:val="18"/>
          <w:rFonts w:hint="eastAsia" w:ascii="仿宋" w:eastAsia="仿宋"/>
          <w:b w:val="0"/>
          <w:bCs/>
          <w:color w:val="000000"/>
          <w:sz w:val="32"/>
          <w:szCs w:val="32"/>
          <w:lang w:val="en-US" w:eastAsia="zh-CN"/>
        </w:rPr>
        <w:t>100</w:t>
      </w:r>
      <w:r>
        <w:rPr>
          <w:rStyle w:val="18"/>
          <w:rFonts w:ascii="仿宋" w:eastAsia="仿宋"/>
          <w:b w:val="0"/>
          <w:bCs/>
          <w:color w:val="000000"/>
          <w:sz w:val="32"/>
          <w:szCs w:val="32"/>
        </w:rPr>
        <w:t>%</w:t>
      </w:r>
      <w:r>
        <w:rPr>
          <w:rStyle w:val="18"/>
          <w:rFonts w:hint="eastAsia" w:ascii="仿宋" w:eastAsia="仿宋"/>
          <w:b w:val="0"/>
          <w:bCs/>
          <w:color w:val="000000"/>
          <w:sz w:val="32"/>
          <w:szCs w:val="32"/>
        </w:rPr>
        <w:t>。</w:t>
      </w:r>
    </w:p>
    <w:p>
      <w:pPr>
        <w:tabs>
          <w:tab w:val="right" w:pos="8306"/>
        </w:tabs>
        <w:spacing w:line="600" w:lineRule="exact"/>
        <w:ind w:firstLine="640" w:firstLineChars="200"/>
        <w:outlineLvl w:val="1"/>
        <w:rPr>
          <w:rStyle w:val="29"/>
        </w:rPr>
      </w:pPr>
      <w:bookmarkStart w:id="20" w:name="_Toc15377214"/>
      <w:bookmarkStart w:id="21" w:name="_Toc15396608"/>
      <w:r>
        <w:rPr>
          <w:rFonts w:hint="eastAsia" w:ascii="黑体" w:eastAsia="黑体"/>
          <w:color w:val="000000"/>
          <w:sz w:val="32"/>
          <w:szCs w:val="32"/>
        </w:rPr>
        <w:t>六</w:t>
      </w:r>
      <w:r>
        <w:rPr>
          <w:rFonts w:hint="eastAsia" w:ascii="黑体" w:eastAsia="黑体"/>
          <w:b/>
          <w:color w:val="000000"/>
          <w:sz w:val="32"/>
          <w:szCs w:val="32"/>
        </w:rPr>
        <w:t>、一</w:t>
      </w:r>
      <w:r>
        <w:rPr>
          <w:rStyle w:val="29"/>
          <w:rFonts w:hint="eastAsia" w:ascii="黑体" w:eastAsia="黑体"/>
          <w:b w:val="0"/>
        </w:rPr>
        <w:t>般公共预算财政拨款基本支出决算情况说明</w:t>
      </w:r>
      <w:bookmarkEnd w:id="20"/>
      <w:bookmarkEnd w:id="21"/>
      <w:r>
        <w:rPr>
          <w:rStyle w:val="29"/>
          <w:rFonts w:ascii="黑体" w:eastAsia="黑体"/>
          <w:b w:val="0"/>
        </w:rPr>
        <w:tab/>
      </w:r>
    </w:p>
    <w:p>
      <w:pPr>
        <w:spacing w:line="600" w:lineRule="exact"/>
        <w:ind w:firstLine="645"/>
        <w:rPr>
          <w:rFonts w:ascii="仿宋" w:eastAsia="仿宋"/>
          <w:color w:val="000000"/>
          <w:sz w:val="32"/>
          <w:szCs w:val="32"/>
        </w:rPr>
      </w:pPr>
      <w:r>
        <w:rPr>
          <w:rFonts w:ascii="仿宋" w:eastAsia="仿宋"/>
          <w:color w:val="000000"/>
          <w:sz w:val="32"/>
          <w:szCs w:val="32"/>
        </w:rPr>
        <w:t>20</w:t>
      </w:r>
      <w:r>
        <w:rPr>
          <w:rFonts w:hint="eastAsia" w:ascii="仿宋" w:eastAsia="仿宋"/>
          <w:color w:val="000000"/>
          <w:sz w:val="32"/>
          <w:szCs w:val="32"/>
          <w:lang w:val="en-US" w:eastAsia="zh-CN"/>
        </w:rPr>
        <w:t>23</w:t>
      </w:r>
      <w:r>
        <w:rPr>
          <w:rFonts w:hint="eastAsia" w:ascii="仿宋" w:eastAsia="仿宋"/>
          <w:color w:val="000000"/>
          <w:sz w:val="32"/>
          <w:szCs w:val="32"/>
        </w:rPr>
        <w:t>年一般公共预算财政拨款基本支出</w:t>
      </w:r>
      <w:r>
        <w:rPr>
          <w:rFonts w:hint="eastAsia" w:ascii="仿宋" w:eastAsia="仿宋"/>
          <w:color w:val="000000"/>
          <w:sz w:val="32"/>
          <w:szCs w:val="32"/>
          <w:lang w:val="en-US" w:eastAsia="zh-CN"/>
        </w:rPr>
        <w:t>159.28</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rPr>
      </w:pPr>
      <w:r>
        <w:rPr>
          <w:rFonts w:hint="eastAsia" w:ascii="仿宋" w:eastAsia="仿宋"/>
          <w:b/>
          <w:bCs/>
          <w:color w:val="000000"/>
          <w:sz w:val="32"/>
          <w:szCs w:val="32"/>
        </w:rPr>
        <w:t>人员经费</w:t>
      </w:r>
      <w:r>
        <w:rPr>
          <w:rFonts w:hint="eastAsia" w:ascii="仿宋" w:eastAsia="仿宋"/>
          <w:b/>
          <w:bCs/>
          <w:color w:val="000000"/>
          <w:sz w:val="32"/>
          <w:szCs w:val="32"/>
          <w:lang w:val="en-US" w:eastAsia="zh-CN"/>
        </w:rPr>
        <w:t>144.56</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主要包括：基本工资、津贴补贴、奖金、机关事业单位基本养老保险缴费、职业年金缴费、</w:t>
      </w:r>
      <w:r>
        <w:rPr>
          <w:rFonts w:hint="eastAsia" w:ascii="仿宋" w:eastAsia="仿宋"/>
          <w:color w:val="000000"/>
          <w:sz w:val="32"/>
          <w:szCs w:val="32"/>
          <w:lang w:eastAsia="zh-CN"/>
        </w:rPr>
        <w:t>职工基本医疗保险缴费、</w:t>
      </w:r>
      <w:r>
        <w:rPr>
          <w:rFonts w:hint="eastAsia" w:ascii="仿宋" w:eastAsia="仿宋"/>
          <w:color w:val="000000"/>
          <w:sz w:val="32"/>
          <w:szCs w:val="32"/>
        </w:rPr>
        <w:t>其他社会保障缴费、住房公积金、</w:t>
      </w:r>
      <w:r>
        <w:rPr>
          <w:rFonts w:hint="eastAsia" w:ascii="仿宋" w:eastAsia="仿宋"/>
          <w:color w:val="000000"/>
          <w:sz w:val="32"/>
          <w:szCs w:val="32"/>
          <w:lang w:eastAsia="zh-CN"/>
        </w:rPr>
        <w:t>医疗费、对个人和家庭的补助、生活补助支出</w:t>
      </w:r>
      <w:r>
        <w:rPr>
          <w:rFonts w:hint="eastAsia" w:ascii="仿宋" w:eastAsia="仿宋"/>
          <w:color w:val="000000"/>
          <w:sz w:val="32"/>
          <w:szCs w:val="32"/>
        </w:rPr>
        <w:t>。</w:t>
      </w:r>
    </w:p>
    <w:p>
      <w:pPr>
        <w:spacing w:line="600" w:lineRule="exact"/>
        <w:ind w:firstLine="645"/>
        <w:rPr>
          <w:rFonts w:ascii="仿宋" w:eastAsia="仿宋"/>
          <w:color w:val="000000"/>
          <w:sz w:val="32"/>
          <w:szCs w:val="32"/>
        </w:rPr>
      </w:pPr>
      <w:r>
        <w:rPr>
          <w:rFonts w:hint="eastAsia" w:ascii="仿宋" w:eastAsia="仿宋"/>
          <w:b/>
          <w:bCs/>
          <w:color w:val="000000"/>
          <w:sz w:val="32"/>
          <w:szCs w:val="32"/>
        </w:rPr>
        <w:t>日常公用经费</w:t>
      </w:r>
      <w:r>
        <w:rPr>
          <w:rFonts w:hint="eastAsia" w:ascii="仿宋" w:eastAsia="仿宋"/>
          <w:b/>
          <w:bCs/>
          <w:color w:val="000000"/>
          <w:sz w:val="32"/>
          <w:szCs w:val="32"/>
          <w:lang w:val="en-US" w:eastAsia="zh-CN"/>
        </w:rPr>
        <w:t>14.72</w:t>
      </w:r>
      <w:r>
        <w:rPr>
          <w:rFonts w:hint="eastAsia" w:ascii="仿宋" w:eastAsia="仿宋"/>
          <w:b/>
          <w:bCs/>
          <w:color w:val="000000"/>
          <w:sz w:val="32"/>
          <w:szCs w:val="32"/>
        </w:rPr>
        <w:t>万元</w:t>
      </w:r>
      <w:r>
        <w:rPr>
          <w:rFonts w:hint="eastAsia" w:ascii="仿宋" w:eastAsia="仿宋"/>
          <w:b/>
          <w:bCs/>
          <w:color w:val="000000"/>
          <w:sz w:val="32"/>
          <w:szCs w:val="32"/>
          <w:lang w:eastAsia="zh-CN"/>
        </w:rPr>
        <w:t>。</w:t>
      </w:r>
      <w:r>
        <w:rPr>
          <w:rFonts w:hint="eastAsia" w:ascii="仿宋" w:eastAsia="仿宋"/>
          <w:color w:val="000000"/>
          <w:sz w:val="32"/>
          <w:szCs w:val="32"/>
        </w:rPr>
        <w:t>主要包括：办公费、电费、邮电费、差旅费、公务接待费、公务用车运行维护费。</w:t>
      </w:r>
    </w:p>
    <w:p>
      <w:pPr>
        <w:spacing w:line="600" w:lineRule="exact"/>
        <w:ind w:firstLine="640"/>
        <w:outlineLvl w:val="1"/>
        <w:rPr>
          <w:rStyle w:val="29"/>
          <w:rFonts w:ascii="黑体" w:eastAsia="黑体"/>
          <w:b w:val="0"/>
        </w:rPr>
      </w:pPr>
      <w:bookmarkStart w:id="22" w:name="_Toc15377215"/>
      <w:bookmarkStart w:id="23" w:name="_Toc15396609"/>
      <w:r>
        <w:rPr>
          <w:rFonts w:hint="eastAsia" w:ascii="黑体" w:eastAsia="黑体"/>
          <w:color w:val="000000"/>
          <w:sz w:val="32"/>
          <w:szCs w:val="32"/>
        </w:rPr>
        <w:t>七、</w:t>
      </w:r>
      <w:r>
        <w:rPr>
          <w:rStyle w:val="29"/>
          <w:rFonts w:hint="eastAsia" w:ascii="黑体" w:eastAsia="黑体"/>
        </w:rPr>
        <w:t>“</w:t>
      </w:r>
      <w:r>
        <w:rPr>
          <w:rStyle w:val="29"/>
          <w:rFonts w:hint="eastAsia" w:ascii="黑体" w:eastAsia="黑体"/>
          <w:b w:val="0"/>
        </w:rPr>
        <w:t>三公”经费财政拨款支出决算情况说明</w:t>
      </w:r>
      <w:bookmarkEnd w:id="22"/>
      <w:bookmarkEnd w:id="23"/>
    </w:p>
    <w:p>
      <w:pPr>
        <w:spacing w:line="600" w:lineRule="exact"/>
        <w:ind w:firstLine="640"/>
        <w:outlineLvl w:val="2"/>
        <w:rPr>
          <w:rFonts w:ascii="仿宋" w:eastAsia="仿宋"/>
          <w:b/>
          <w:color w:val="000000"/>
          <w:sz w:val="32"/>
          <w:szCs w:val="32"/>
        </w:rPr>
      </w:pPr>
      <w:bookmarkStart w:id="24" w:name="_Toc15377216"/>
      <w:r>
        <w:rPr>
          <w:rFonts w:hint="eastAsia" w:ascii="仿宋" w:eastAsia="仿宋"/>
          <w:b/>
          <w:color w:val="000000"/>
          <w:sz w:val="32"/>
          <w:szCs w:val="32"/>
        </w:rPr>
        <w:t>（一）“三公”经费财政拨款支出决算总体情况说明</w:t>
      </w:r>
      <w:bookmarkEnd w:id="24"/>
    </w:p>
    <w:p>
      <w:pPr>
        <w:pageBreakBefore w:val="0"/>
        <w:kinsoku/>
        <w:wordWrap/>
        <w:overflowPunct/>
        <w:topLinePunct w:val="0"/>
        <w:bidi w:val="0"/>
        <w:spacing w:line="560" w:lineRule="exact"/>
        <w:ind w:firstLine="640"/>
        <w:textAlignment w:val="auto"/>
        <w:rPr>
          <w:rFonts w:ascii="仿宋" w:hAnsi="仿宋" w:eastAsia="仿宋"/>
          <w:color w:val="auto"/>
          <w:sz w:val="32"/>
          <w:szCs w:val="32"/>
          <w:highlight w:val="none"/>
        </w:rPr>
      </w:pPr>
      <w:bookmarkStart w:id="25" w:name="_Toc15377217"/>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“三公”经费财政拨款支出决算为</w:t>
      </w:r>
      <w:r>
        <w:rPr>
          <w:rFonts w:hint="eastAsia" w:ascii="仿宋" w:hAnsi="仿宋" w:eastAsia="仿宋"/>
          <w:color w:val="auto"/>
          <w:sz w:val="32"/>
          <w:szCs w:val="32"/>
          <w:highlight w:val="none"/>
          <w:lang w:val="en-US" w:eastAsia="zh-CN"/>
        </w:rPr>
        <w:t>2.77</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较上年度增加</w:t>
      </w:r>
      <w:r>
        <w:rPr>
          <w:rFonts w:hint="eastAsia" w:ascii="仿宋" w:hAnsi="仿宋" w:eastAsia="仿宋"/>
          <w:color w:val="auto"/>
          <w:sz w:val="32"/>
          <w:szCs w:val="32"/>
          <w:highlight w:val="none"/>
          <w:lang w:val="en-US" w:eastAsia="zh-CN"/>
        </w:rPr>
        <w:t>0.95万元，增长52.2%。</w:t>
      </w:r>
    </w:p>
    <w:p>
      <w:pPr>
        <w:spacing w:line="600" w:lineRule="exact"/>
        <w:ind w:firstLine="640"/>
        <w:outlineLvl w:val="2"/>
        <w:rPr>
          <w:rFonts w:ascii="仿宋" w:eastAsia="仿宋"/>
          <w:b/>
          <w:color w:val="000000"/>
          <w:sz w:val="32"/>
          <w:szCs w:val="32"/>
        </w:rPr>
      </w:pPr>
      <w:r>
        <w:rPr>
          <w:rFonts w:hint="eastAsia" w:ascii="仿宋" w:eastAsia="仿宋"/>
          <w:b/>
          <w:color w:val="000000"/>
          <w:sz w:val="32"/>
          <w:szCs w:val="32"/>
        </w:rPr>
        <w:t>（二）“三公”经费财政拨款支出决算具体情况说明</w:t>
      </w:r>
      <w:bookmarkEnd w:id="25"/>
    </w:p>
    <w:p>
      <w:pPr>
        <w:pageBreakBefore w:val="0"/>
        <w:kinsoku/>
        <w:wordWrap/>
        <w:overflowPunct/>
        <w:topLinePunct w:val="0"/>
        <w:bidi w:val="0"/>
        <w:spacing w:line="560" w:lineRule="exact"/>
        <w:ind w:firstLine="640"/>
        <w:textAlignment w:val="auto"/>
        <w:rPr>
          <w:rFonts w:hint="eastAsia" w:ascii="仿宋" w:hAnsi="仿宋" w:eastAsia="仿宋"/>
          <w:color w:val="auto"/>
          <w:sz w:val="32"/>
          <w:szCs w:val="32"/>
          <w:highlight w:val="none"/>
        </w:rPr>
      </w:pPr>
      <w:r>
        <w:rPr>
          <w:rFonts w:hint="eastAsia" w:ascii="仿宋_GB2312" w:eastAsia="仿宋_GB2312"/>
          <w:color w:val="000000"/>
          <w:sz w:val="32"/>
          <w:szCs w:val="32"/>
        </w:rPr>
        <w:pict>
          <v:shape id="Object 20" o:spid="_x0000_s1031" o:spt="75" alt="image6" type="#_x0000_t75" style="position:absolute;left:0pt;margin-top:131.45pt;height:150.2pt;width:408.3pt;mso-position-horizontal:center;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Object 20" DrawAspect="Content" ObjectID="_1468075729" r:id="rId18">
            <o:LockedField>false</o:LockedField>
          </o:OLEObject>
        </w:pict>
      </w:r>
      <w:r>
        <w:rPr>
          <w:rFonts w:hint="eastAsia" w:ascii="仿宋" w:hAnsi="仿宋" w:eastAsia="仿宋"/>
          <w:color w:val="auto"/>
          <w:sz w:val="32"/>
          <w:szCs w:val="32"/>
          <w:highlight w:val="none"/>
          <w:lang w:eastAsia="zh-CN"/>
        </w:rPr>
        <w:t>2023</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2.62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94.58</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5.42</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left="638" w:leftChars="304" w:firstLine="330" w:firstLineChars="103"/>
        <w:rPr>
          <w:rFonts w:hint="eastAsia" w:ascii="仿宋_GB2312" w:eastAsia="仿宋_GB2312" w:cs="仿宋_GB2312"/>
          <w:b/>
          <w:bCs w:val="0"/>
          <w:color w:val="000000"/>
          <w:kern w:val="2"/>
          <w:sz w:val="32"/>
          <w:szCs w:val="32"/>
          <w:lang w:val="en-US" w:eastAsia="zh-CN"/>
        </w:rPr>
      </w:pPr>
      <w:r>
        <w:rPr>
          <w:rFonts w:hint="eastAsia" w:ascii="仿宋_GB2312" w:eastAsia="仿宋_GB2312"/>
          <w:b/>
          <w:color w:val="000000"/>
          <w:sz w:val="32"/>
          <w:szCs w:val="32"/>
          <w:lang w:val="en-US" w:eastAsia="zh-CN"/>
        </w:rPr>
        <w:t xml:space="preserve">                                                                                                               </w:t>
      </w:r>
      <w:r>
        <w:rPr>
          <w:rFonts w:hint="eastAsia" w:ascii="仿宋_GB2312" w:eastAsia="仿宋_GB2312" w:cs="仿宋_GB2312"/>
          <w:b/>
          <w:bCs w:val="0"/>
          <w:color w:val="000000"/>
          <w:kern w:val="2"/>
          <w:sz w:val="32"/>
          <w:szCs w:val="32"/>
          <w:lang w:val="en-US" w:eastAsia="zh-CN"/>
        </w:rPr>
        <w:t xml:space="preserve">                            </w:t>
      </w:r>
    </w:p>
    <w:p>
      <w:pPr>
        <w:pageBreakBefore w:val="0"/>
        <w:kinsoku/>
        <w:wordWrap/>
        <w:overflowPunct/>
        <w:topLinePunct w:val="0"/>
        <w:bidi w:val="0"/>
        <w:spacing w:line="560" w:lineRule="exact"/>
        <w:ind w:firstLine="642" w:firstLineChars="200"/>
        <w:textAlignment w:val="auto"/>
        <w:rPr>
          <w:rFonts w:hint="eastAsia" w:ascii="仿宋_GB2312" w:eastAsia="仿宋_GB2312"/>
          <w:color w:val="auto"/>
          <w:sz w:val="32"/>
          <w:szCs w:val="32"/>
          <w:highlight w:val="none"/>
          <w:lang w:eastAsia="zh-CN"/>
        </w:rPr>
      </w:pPr>
      <w:bookmarkStart w:id="26" w:name="_Toc15377221"/>
      <w:bookmarkStart w:id="27" w:name="_Toc15396612"/>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无变化。</w:t>
      </w:r>
    </w:p>
    <w:p>
      <w:pPr>
        <w:pageBreakBefore w:val="0"/>
        <w:kinsoku/>
        <w:wordWrap/>
        <w:overflowPunct/>
        <w:topLinePunct w:val="0"/>
        <w:bidi w:val="0"/>
        <w:spacing w:line="560" w:lineRule="exact"/>
        <w:ind w:firstLine="64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0.87</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49.71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公务车年限较长，维修费用增加</w:t>
      </w:r>
      <w:r>
        <w:rPr>
          <w:rFonts w:hint="eastAsia" w:ascii="仿宋_GB2312" w:eastAsia="仿宋_GB2312"/>
          <w:color w:val="auto"/>
          <w:sz w:val="32"/>
          <w:szCs w:val="32"/>
          <w:highlight w:val="none"/>
        </w:rPr>
        <w:t>。</w:t>
      </w:r>
    </w:p>
    <w:p>
      <w:pPr>
        <w:pageBreakBefore w:val="0"/>
        <w:kinsoku/>
        <w:wordWrap/>
        <w:overflowPunct/>
        <w:topLinePunct w:val="0"/>
        <w:bidi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2.62</w:t>
      </w:r>
      <w:r>
        <w:rPr>
          <w:rFonts w:hint="eastAsia" w:ascii="仿宋_GB2312" w:eastAsia="仿宋_GB2312"/>
          <w:color w:val="auto"/>
          <w:sz w:val="32"/>
          <w:szCs w:val="32"/>
          <w:highlight w:val="none"/>
        </w:rPr>
        <w:t>万元。主要用于</w:t>
      </w:r>
      <w:r>
        <w:rPr>
          <w:rFonts w:hint="eastAsia" w:ascii="仿宋_GB2312" w:eastAsia="仿宋_GB2312"/>
          <w:color w:val="000000"/>
          <w:sz w:val="32"/>
          <w:szCs w:val="32"/>
          <w:lang w:eastAsia="zh-CN"/>
        </w:rPr>
        <w:t>矛盾纠纷排查化解、协调处理信访事项、信访维稳</w:t>
      </w:r>
      <w:r>
        <w:rPr>
          <w:rFonts w:hint="eastAsia" w:ascii="仿宋_GB2312" w:eastAsia="仿宋_GB2312"/>
          <w:color w:val="auto"/>
          <w:sz w:val="32"/>
          <w:szCs w:val="32"/>
          <w:highlight w:val="none"/>
        </w:rPr>
        <w:t>等所需的公务用车燃料费、维修费、过路过桥费、保险费等支出。</w:t>
      </w:r>
    </w:p>
    <w:p>
      <w:pPr>
        <w:pageBreakBefore w:val="0"/>
        <w:kinsoku/>
        <w:wordWrap/>
        <w:overflowPunct/>
        <w:topLinePunct w:val="0"/>
        <w:bidi w:val="0"/>
        <w:spacing w:line="560" w:lineRule="exact"/>
        <w:ind w:firstLine="640"/>
        <w:textAlignment w:val="auto"/>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0.08</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100.14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开展“治重化积”专项行动，上级调研督导次数增加</w:t>
      </w:r>
      <w:r>
        <w:rPr>
          <w:rFonts w:hint="eastAsia" w:ascii="仿宋_GB2312" w:eastAsia="仿宋_GB2312"/>
          <w:color w:val="auto"/>
          <w:sz w:val="32"/>
          <w:szCs w:val="32"/>
          <w:highlight w:val="none"/>
        </w:rPr>
        <w:t>。其中：</w:t>
      </w:r>
    </w:p>
    <w:p>
      <w:pPr>
        <w:pageBreakBefore w:val="0"/>
        <w:kinsoku/>
        <w:wordWrap/>
        <w:overflowPunct/>
        <w:topLinePunct w:val="0"/>
        <w:bidi w:val="0"/>
        <w:spacing w:line="560" w:lineRule="exact"/>
        <w:ind w:firstLine="642" w:firstLineChars="200"/>
        <w:textAlignment w:val="auto"/>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0.15</w:t>
      </w:r>
      <w:r>
        <w:rPr>
          <w:rFonts w:hint="eastAsia" w:ascii="仿宋_GB2312" w:eastAsia="仿宋_GB2312"/>
          <w:color w:val="auto"/>
          <w:sz w:val="32"/>
          <w:szCs w:val="32"/>
          <w:highlight w:val="none"/>
        </w:rPr>
        <w:t>万元，主要用</w:t>
      </w:r>
      <w:r>
        <w:rPr>
          <w:rFonts w:hint="eastAsia" w:ascii="仿宋_GB2312" w:eastAsia="仿宋_GB2312"/>
          <w:color w:val="auto"/>
          <w:sz w:val="32"/>
          <w:szCs w:val="32"/>
          <w:highlight w:val="none"/>
          <w:lang w:eastAsia="zh-CN"/>
        </w:rPr>
        <w:t>于</w:t>
      </w:r>
      <w:r>
        <w:rPr>
          <w:rFonts w:hint="eastAsia" w:ascii="仿宋_GB2312" w:eastAsia="仿宋_GB2312"/>
          <w:color w:val="auto"/>
          <w:sz w:val="32"/>
          <w:szCs w:val="32"/>
          <w:highlight w:val="none"/>
        </w:rPr>
        <w:t>执行开展业务活动开支的餐费。国内公务接待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万元，具体内容包括：</w:t>
      </w:r>
      <w:r>
        <w:rPr>
          <w:rFonts w:hint="eastAsia" w:ascii="仿宋_GB2312" w:eastAsia="仿宋_GB2312" w:cs="仿宋_GB2312"/>
          <w:sz w:val="32"/>
          <w:szCs w:val="32"/>
          <w:lang w:eastAsia="zh-CN"/>
        </w:rPr>
        <w:t>接待上级部门调研、督导、业务指导餐费。</w:t>
      </w:r>
    </w:p>
    <w:p>
      <w:pPr>
        <w:pageBreakBefore w:val="0"/>
        <w:kinsoku/>
        <w:wordWrap/>
        <w:overflowPunct/>
        <w:topLinePunct w:val="0"/>
        <w:bidi w:val="0"/>
        <w:spacing w:line="560" w:lineRule="exact"/>
        <w:ind w:firstLine="642" w:firstLineChars="200"/>
        <w:textAlignment w:val="auto"/>
        <w:rPr>
          <w:rFonts w:ascii="黑体" w:eastAsia="黑体"/>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rPr>
          <w:rFonts w:hint="eastAsia" w:ascii="黑体" w:eastAsia="黑体" w:cs="黑体"/>
          <w:sz w:val="32"/>
          <w:szCs w:val="32"/>
        </w:rPr>
      </w:pPr>
      <w:r>
        <w:rPr>
          <w:rFonts w:hint="eastAsia" w:ascii="仿宋_GB2312" w:eastAsia="仿宋_GB2312" w:cs="仿宋_GB2312"/>
          <w:sz w:val="32"/>
          <w:szCs w:val="32"/>
          <w:lang w:val="en-US" w:eastAsia="zh-CN"/>
        </w:rPr>
        <w:t xml:space="preserve">    </w:t>
      </w:r>
      <w:r>
        <w:rPr>
          <w:rFonts w:hint="eastAsia" w:ascii="黑体" w:eastAsia="黑体" w:cs="黑体"/>
          <w:sz w:val="32"/>
          <w:szCs w:val="32"/>
        </w:rPr>
        <w:t>八、政府性基金预算支出决算情况说明</w:t>
      </w:r>
    </w:p>
    <w:p>
      <w:pPr>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rPr>
          <w:rFonts w:hint="eastAsia" w:ascii="黑体" w:eastAsia="黑体" w:cs="黑体"/>
          <w:b w:val="0"/>
          <w:bCs w:val="0"/>
          <w:sz w:val="32"/>
          <w:szCs w:val="32"/>
        </w:rPr>
      </w:pPr>
      <w:r>
        <w:rPr>
          <w:rFonts w:hint="eastAsia" w:ascii="仿宋_GB2312" w:eastAsia="仿宋_GB2312" w:cs="仿宋_GB2312"/>
          <w:sz w:val="32"/>
          <w:szCs w:val="32"/>
          <w:lang w:val="en-US" w:eastAsia="zh-CN"/>
        </w:rPr>
        <w:t xml:space="preserve">    </w:t>
      </w:r>
      <w:r>
        <w:rPr>
          <w:rFonts w:hint="eastAsia" w:ascii="黑体" w:eastAsia="黑体" w:cs="黑体"/>
          <w:b w:val="0"/>
          <w:bCs w:val="0"/>
          <w:sz w:val="32"/>
          <w:szCs w:val="32"/>
        </w:rPr>
        <w:t>九、国有资本经营预算支出决算情况说明</w:t>
      </w:r>
    </w:p>
    <w:p>
      <w:pPr>
        <w:pageBreakBefore w:val="0"/>
        <w:kinsoku/>
        <w:wordWrap/>
        <w:overflowPunct/>
        <w:topLinePunct w:val="0"/>
        <w:bidi w:val="0"/>
        <w:spacing w:line="560" w:lineRule="exact"/>
        <w:ind w:firstLine="640" w:firstLineChars="200"/>
        <w:textAlignment w:val="auto"/>
        <w:rPr>
          <w:rFonts w:hint="eastAsia" w:ascii="仿宋_GB2312" w:eastAsia="仿宋_GB2312" w:cs="仿宋_GB2312"/>
          <w:sz w:val="32"/>
          <w:szCs w:val="32"/>
        </w:rPr>
      </w:pP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firstLineChars="200"/>
        <w:outlineLvl w:val="1"/>
        <w:rPr>
          <w:rStyle w:val="29"/>
          <w:rFonts w:ascii="黑体" w:eastAsia="黑体"/>
        </w:rPr>
      </w:pPr>
      <w:r>
        <w:rPr>
          <w:rFonts w:hint="eastAsia" w:ascii="黑体" w:eastAsia="黑体"/>
          <w:color w:val="000000"/>
          <w:sz w:val="32"/>
          <w:szCs w:val="32"/>
        </w:rPr>
        <w:t>十</w:t>
      </w:r>
      <w:r>
        <w:rPr>
          <w:rStyle w:val="29"/>
          <w:rFonts w:hint="eastAsia" w:ascii="黑体" w:eastAsia="黑体"/>
        </w:rPr>
        <w:t>、</w:t>
      </w:r>
      <w:r>
        <w:rPr>
          <w:rStyle w:val="29"/>
          <w:rFonts w:hint="eastAsia" w:ascii="黑体" w:eastAsia="黑体"/>
          <w:b w:val="0"/>
        </w:rPr>
        <w:t>其他重要事项的情况说明</w:t>
      </w:r>
      <w:bookmarkEnd w:id="26"/>
      <w:bookmarkEnd w:id="27"/>
    </w:p>
    <w:p>
      <w:pPr>
        <w:spacing w:line="600" w:lineRule="exact"/>
        <w:ind w:firstLine="642" w:firstLineChars="200"/>
        <w:outlineLvl w:val="2"/>
        <w:rPr>
          <w:rFonts w:hint="eastAsia" w:ascii="楷体_GB2312" w:eastAsia="楷体_GB2312" w:cs="楷体_GB2312"/>
          <w:color w:val="000000"/>
          <w:sz w:val="32"/>
          <w:szCs w:val="32"/>
        </w:rPr>
      </w:pPr>
      <w:bookmarkStart w:id="28" w:name="_Toc15377222"/>
      <w:r>
        <w:rPr>
          <w:rFonts w:hint="eastAsia" w:ascii="楷体_GB2312" w:eastAsia="楷体_GB2312" w:cs="楷体_GB2312"/>
          <w:b/>
          <w:color w:val="000000"/>
          <w:sz w:val="32"/>
          <w:szCs w:val="32"/>
        </w:rPr>
        <w:t>（一）机关运行经费支出情况</w:t>
      </w:r>
      <w:bookmarkEnd w:id="28"/>
    </w:p>
    <w:p>
      <w:pPr>
        <w:pageBreakBefore w:val="0"/>
        <w:kinsoku/>
        <w:wordWrap/>
        <w:overflowPunct/>
        <w:topLinePunct w:val="0"/>
        <w:bidi w:val="0"/>
        <w:spacing w:line="560" w:lineRule="exact"/>
        <w:ind w:firstLine="640" w:firstLineChars="200"/>
        <w:textAlignment w:val="auto"/>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w:t>
      </w:r>
      <w:r>
        <w:rPr>
          <w:rFonts w:hint="eastAsia" w:ascii="仿宋_GB2312" w:eastAsia="仿宋_GB2312"/>
          <w:color w:val="000000"/>
          <w:sz w:val="32"/>
          <w:szCs w:val="32"/>
          <w:lang w:eastAsia="zh-CN"/>
        </w:rPr>
        <w:t>茂县信访局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14.72</w:t>
      </w:r>
      <w:r>
        <w:rPr>
          <w:rFonts w:hint="eastAsia" w:ascii="仿宋_GB2312" w:eastAsia="仿宋_GB2312"/>
          <w:color w:val="000000"/>
          <w:sz w:val="32"/>
          <w:szCs w:val="32"/>
        </w:rPr>
        <w:t>万元，比</w:t>
      </w: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1.23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增长</w:t>
      </w:r>
      <w:r>
        <w:rPr>
          <w:rFonts w:hint="eastAsia" w:ascii="仿宋_GB2312" w:eastAsia="仿宋_GB2312"/>
          <w:color w:val="000000"/>
          <w:sz w:val="32"/>
          <w:szCs w:val="32"/>
          <w:lang w:val="en-US" w:eastAsia="zh-CN"/>
        </w:rPr>
        <w:t>9.12</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auto"/>
          <w:sz w:val="32"/>
          <w:szCs w:val="32"/>
          <w:highlight w:val="none"/>
          <w:lang w:eastAsia="zh-CN"/>
        </w:rPr>
        <w:t>工作任务增加。</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000000"/>
          <w:sz w:val="32"/>
          <w:szCs w:val="32"/>
        </w:rPr>
      </w:pPr>
      <w:bookmarkStart w:id="29" w:name="_Toc15377223"/>
      <w:r>
        <w:rPr>
          <w:rFonts w:hint="eastAsia" w:ascii="楷体_GB2312" w:eastAsia="楷体_GB2312" w:cs="楷体_GB2312"/>
          <w:b/>
          <w:color w:val="000000"/>
          <w:sz w:val="32"/>
          <w:szCs w:val="32"/>
        </w:rPr>
        <w:t>（二）政府采购支出情况</w:t>
      </w:r>
      <w:bookmarkEnd w:id="29"/>
    </w:p>
    <w:p>
      <w:pPr>
        <w:pageBreakBefore w:val="0"/>
        <w:kinsoku/>
        <w:wordWrap/>
        <w:overflowPunct/>
        <w:topLinePunct w:val="0"/>
        <w:bidi w:val="0"/>
        <w:spacing w:line="560" w:lineRule="exact"/>
        <w:ind w:firstLine="640" w:firstLineChars="200"/>
        <w:textAlignment w:val="auto"/>
        <w:rPr>
          <w:rFonts w:ascii="仿宋_GB2312" w:eastAsia="仿宋_GB2312"/>
          <w:color w:val="auto"/>
          <w:sz w:val="32"/>
          <w:szCs w:val="32"/>
          <w:highlight w:val="none"/>
        </w:rPr>
      </w:pPr>
      <w:bookmarkStart w:id="30" w:name="_Toc15377224"/>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茂县信访局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hint="eastAsia" w:ascii="楷体_GB2312" w:eastAsia="楷体_GB2312" w:cs="楷体_GB2312"/>
          <w:b/>
          <w:color w:val="000000"/>
          <w:sz w:val="32"/>
          <w:szCs w:val="32"/>
        </w:rPr>
      </w:pPr>
      <w:r>
        <w:rPr>
          <w:rFonts w:hint="eastAsia" w:ascii="楷体_GB2312" w:eastAsia="楷体_GB2312" w:cs="楷体_GB2312"/>
          <w:b/>
          <w:color w:val="000000"/>
          <w:sz w:val="32"/>
          <w:szCs w:val="32"/>
        </w:rPr>
        <w:t>（三）国有资产占有使用情况</w:t>
      </w:r>
      <w:bookmarkEnd w:id="30"/>
    </w:p>
    <w:p>
      <w:pPr>
        <w:pageBreakBefore w:val="0"/>
        <w:kinsoku/>
        <w:wordWrap/>
        <w:overflowPunct/>
        <w:topLinePunct w:val="0"/>
        <w:autoSpaceDE w:val="0"/>
        <w:autoSpaceDN w:val="0"/>
        <w:bidi w:val="0"/>
        <w:adjustRightInd w:val="0"/>
        <w:spacing w:line="560" w:lineRule="exact"/>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hint="eastAsia" w:ascii="仿宋_GB2312" w:eastAsia="仿宋_GB2312"/>
          <w:color w:val="auto"/>
          <w:sz w:val="32"/>
          <w:szCs w:val="32"/>
          <w:highlight w:val="none"/>
          <w:lang w:eastAsia="zh-CN"/>
        </w:rPr>
        <w:t>2023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茂县信访局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万元以上设备</w:t>
      </w:r>
      <w:r>
        <w:rPr>
          <w:rFonts w:hint="eastAsia" w:ascii="仿宋_GB2312" w:eastAsia="仿宋_GB2312"/>
          <w:color w:val="auto"/>
          <w:sz w:val="32"/>
          <w:szCs w:val="32"/>
          <w:highlight w:val="none"/>
          <w:lang w:eastAsia="zh-CN"/>
        </w:rPr>
        <w:t>（不含车辆）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rPr>
          <w:rFonts w:hint="eastAsia" w:ascii="仿宋" w:eastAsia="仿宋"/>
          <w:b/>
          <w:bCs/>
          <w:color w:val="000000"/>
          <w:sz w:val="32"/>
          <w:szCs w:val="32"/>
        </w:rPr>
      </w:pPr>
      <w:r>
        <w:rPr>
          <w:rFonts w:hint="eastAsia" w:ascii="楷体_GB2312" w:eastAsia="楷体_GB2312" w:cs="楷体_GB2312"/>
          <w:b/>
          <w:bCs/>
          <w:color w:val="000000"/>
          <w:sz w:val="32"/>
          <w:szCs w:val="32"/>
          <w:lang w:val="en-US" w:eastAsia="zh-CN"/>
        </w:rPr>
        <w:t>（四）</w:t>
      </w:r>
      <w:r>
        <w:rPr>
          <w:rFonts w:hint="eastAsia" w:ascii="楷体_GB2312" w:eastAsia="楷体_GB2312" w:cs="楷体_GB2312"/>
          <w:b/>
          <w:bCs/>
          <w:color w:val="000000"/>
          <w:sz w:val="32"/>
          <w:szCs w:val="32"/>
        </w:rPr>
        <w:t>预算绩效管理情况</w:t>
      </w:r>
    </w:p>
    <w:p>
      <w:pPr>
        <w:widowControl/>
        <w:adjustRightInd w:val="0"/>
        <w:snapToGrid w:val="0"/>
        <w:spacing w:line="580" w:lineRule="exact"/>
        <w:ind w:firstLine="640" w:firstLineChars="200"/>
        <w:contextualSpacing/>
        <w:jc w:val="left"/>
        <w:rPr>
          <w:rFonts w:hint="eastAsia" w:ascii="黑体" w:eastAsia="黑体"/>
          <w:color w:val="000000"/>
          <w:sz w:val="44"/>
          <w:szCs w:val="44"/>
          <w:lang w:eastAsia="zh-CN"/>
        </w:rPr>
      </w:pPr>
      <w:bookmarkStart w:id="31" w:name="_Toc15377225"/>
      <w:bookmarkStart w:id="32" w:name="_Toc15396613"/>
      <w:r>
        <w:rPr>
          <w:rFonts w:hint="eastAsia" w:ascii="仿宋_GB2312" w:hAnsi="宋体" w:eastAsia="仿宋_GB2312" w:cs="宋体"/>
          <w:color w:val="000000"/>
          <w:kern w:val="0"/>
          <w:sz w:val="32"/>
          <w:szCs w:val="32"/>
          <w:shd w:val="clear" w:color="auto" w:fill="FFFFFF"/>
          <w:lang w:val="zh-CN"/>
        </w:rPr>
        <w:t>茂县信访局高度重视财政资金的支出绩效管理，在资金预算、审批、执行、支付等方面做到了层层把关，按照省、州、县财政局下发各项文件规定执行，严格执行财政支出管理制度，控制一般性支出，严把预算支出管理，厉行节约，进一步降低了行政运行成本。根据</w:t>
      </w:r>
      <w:r>
        <w:rPr>
          <w:rFonts w:hint="eastAsia" w:ascii="仿宋_GB2312" w:hAnsi="宋体" w:eastAsia="仿宋_GB2312" w:cs="宋体"/>
          <w:color w:val="000000"/>
          <w:kern w:val="0"/>
          <w:sz w:val="32"/>
          <w:szCs w:val="32"/>
          <w:shd w:val="clear" w:color="auto" w:fill="FFFFFF"/>
          <w:lang w:val="en-US" w:eastAsia="zh-CN"/>
        </w:rPr>
        <w:t>2023年度县级</w:t>
      </w:r>
      <w:r>
        <w:rPr>
          <w:rFonts w:hint="eastAsia" w:ascii="仿宋_GB2312" w:hAnsi="宋体" w:eastAsia="仿宋_GB2312" w:cs="宋体"/>
          <w:color w:val="000000"/>
          <w:kern w:val="0"/>
          <w:sz w:val="32"/>
          <w:szCs w:val="32"/>
          <w:shd w:val="clear" w:color="auto" w:fill="FFFFFF"/>
          <w:lang w:val="zh-CN"/>
        </w:rPr>
        <w:t>部门整体支出绩效评价指标体系，自评综合得分</w:t>
      </w:r>
      <w:r>
        <w:rPr>
          <w:rFonts w:hint="eastAsia" w:ascii="仿宋_GB2312" w:hAnsi="宋体" w:eastAsia="仿宋_GB2312" w:cs="宋体"/>
          <w:color w:val="000000"/>
          <w:kern w:val="0"/>
          <w:sz w:val="32"/>
          <w:szCs w:val="32"/>
          <w:shd w:val="clear" w:color="auto" w:fill="FFFFFF"/>
          <w:lang w:val="en-US" w:eastAsia="zh-CN"/>
        </w:rPr>
        <w:t>97分。</w:t>
      </w: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center"/>
        <w:outlineLvl w:val="0"/>
        <w:rPr>
          <w:rFonts w:hint="eastAsia" w:ascii="黑体" w:eastAsia="黑体"/>
          <w:color w:val="000000"/>
          <w:sz w:val="44"/>
          <w:szCs w:val="44"/>
          <w:lang w:eastAsia="zh-CN"/>
        </w:rPr>
      </w:pPr>
    </w:p>
    <w:p>
      <w:pPr>
        <w:spacing w:line="600" w:lineRule="exact"/>
        <w:jc w:val="both"/>
        <w:outlineLvl w:val="0"/>
        <w:rPr>
          <w:rFonts w:hint="eastAsia" w:ascii="黑体" w:eastAsia="黑体"/>
          <w:color w:val="000000"/>
          <w:sz w:val="44"/>
          <w:szCs w:val="44"/>
          <w:lang w:eastAsia="zh-CN"/>
        </w:rPr>
      </w:pPr>
    </w:p>
    <w:p>
      <w:pPr>
        <w:spacing w:line="600" w:lineRule="exact"/>
        <w:jc w:val="center"/>
        <w:outlineLvl w:val="0"/>
        <w:rPr>
          <w:rStyle w:val="28"/>
          <w:rFonts w:ascii="黑体" w:eastAsia="黑体"/>
          <w:b w:val="0"/>
        </w:rPr>
      </w:pPr>
      <w:r>
        <w:rPr>
          <w:rFonts w:hint="eastAsia" w:ascii="黑体" w:eastAsia="黑体"/>
          <w:color w:val="000000"/>
          <w:sz w:val="44"/>
          <w:szCs w:val="44"/>
          <w:lang w:eastAsia="zh-CN"/>
        </w:rPr>
        <w:t>第三部分</w:t>
      </w:r>
      <w:r>
        <w:rPr>
          <w:rFonts w:hint="eastAsia" w:ascii="黑体" w:eastAsia="黑体"/>
          <w:color w:val="000000"/>
          <w:sz w:val="44"/>
          <w:szCs w:val="44"/>
          <w:lang w:val="en-US" w:eastAsia="zh-CN"/>
        </w:rPr>
        <w:t xml:space="preserve"> </w:t>
      </w:r>
      <w:r>
        <w:rPr>
          <w:rFonts w:hint="eastAsia" w:ascii="黑体" w:eastAsia="黑体"/>
          <w:color w:val="000000"/>
          <w:sz w:val="44"/>
          <w:szCs w:val="44"/>
        </w:rPr>
        <w:t>名</w:t>
      </w:r>
      <w:r>
        <w:rPr>
          <w:rStyle w:val="28"/>
          <w:rFonts w:hint="eastAsia" w:ascii="黑体" w:eastAsia="黑体"/>
          <w:b w:val="0"/>
        </w:rPr>
        <w:t>词解释</w:t>
      </w:r>
      <w:bookmarkEnd w:id="31"/>
      <w:bookmarkEnd w:id="32"/>
    </w:p>
    <w:p>
      <w:pPr>
        <w:spacing w:line="600" w:lineRule="exact"/>
        <w:jc w:val="left"/>
        <w:rPr>
          <w:rFonts w:ascii="宋体"/>
          <w:b/>
          <w:color w:val="000000"/>
          <w:sz w:val="44"/>
          <w:szCs w:val="44"/>
        </w:rPr>
      </w:pPr>
    </w:p>
    <w:p>
      <w:pPr>
        <w:pStyle w:val="33"/>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3"/>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3"/>
        <w:pageBreakBefore w:val="0"/>
        <w:kinsoku/>
        <w:wordWrap/>
        <w:overflowPunct/>
        <w:topLinePunct w:val="0"/>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其他收入：指单位取得的除上述收入以外的各项收入。</w:t>
      </w:r>
    </w:p>
    <w:p>
      <w:pPr>
        <w:pStyle w:val="33"/>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3"/>
        <w:pageBreakBefore w:val="0"/>
        <w:kinsoku/>
        <w:wordWrap/>
        <w:overflowPunct/>
        <w:topLinePunct w:val="0"/>
        <w:bidi w:val="0"/>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结余分配：指事业单位按照事业单位会计制度的规定从非财政补助结余中分配的事业基金和职工福利基金等。</w:t>
      </w:r>
    </w:p>
    <w:p>
      <w:pPr>
        <w:pStyle w:val="33"/>
        <w:pageBreakBefore w:val="0"/>
        <w:kinsoku/>
        <w:wordWrap/>
        <w:overflowPunct/>
        <w:topLinePunct w:val="0"/>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年末结转和结余：指单位按有关规定结转到下年或以后年度继续使用的资金。</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（类）</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（款）</w:t>
      </w:r>
      <w:r>
        <w:rPr>
          <w:rFonts w:hint="eastAsia" w:ascii="仿宋_GB2312" w:eastAsia="仿宋_GB2312"/>
          <w:color w:val="000000"/>
          <w:sz w:val="32"/>
          <w:szCs w:val="32"/>
          <w:lang w:eastAsia="zh-CN"/>
        </w:rPr>
        <w:t>行政运行</w:t>
      </w:r>
      <w:r>
        <w:rPr>
          <w:rFonts w:hint="eastAsia" w:ascii="仿宋_GB2312" w:eastAsia="仿宋_GB2312"/>
          <w:color w:val="000000"/>
          <w:sz w:val="32"/>
          <w:szCs w:val="32"/>
        </w:rPr>
        <w:t>（项）：指</w:t>
      </w:r>
      <w:r>
        <w:rPr>
          <w:rFonts w:hint="eastAsia" w:ascii="仿宋_GB2312" w:eastAsia="仿宋_GB2312"/>
          <w:color w:val="000000"/>
          <w:sz w:val="32"/>
          <w:szCs w:val="32"/>
          <w:lang w:eastAsia="zh-CN"/>
        </w:rPr>
        <w:t>一般行政运行支出</w:t>
      </w:r>
      <w:r>
        <w:rPr>
          <w:rFonts w:hint="eastAsia" w:ascii="仿宋_GB2312" w:eastAsia="仿宋_GB2312"/>
          <w:color w:val="000000"/>
          <w:sz w:val="32"/>
          <w:szCs w:val="32"/>
        </w:rPr>
        <w:t>。</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一般行政管理事务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指一般行政管理事务支出。</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一般公共服务</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政府办公厅（室）及相关机构事务</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事业运行</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指事业运行支出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 xml:space="preserve">                                                                                    </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10.社会保障和就业支出（类）行政事业单位养老支出（款）机关事业单位基本养老保险缴费支出（项）:指机关事业单位基本养老保险缴费支出</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.社会保障和就业</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行政事业单位养老支出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机关事业单位职业年金缴费支出（</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指机关事业单位职业年金缴费支出</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卫生健康</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w:t>
      </w:r>
      <w:r>
        <w:rPr>
          <w:rFonts w:hint="eastAsia" w:ascii="仿宋_GB2312" w:eastAsia="仿宋_GB2312"/>
          <w:color w:val="000000"/>
          <w:sz w:val="32"/>
          <w:szCs w:val="32"/>
          <w:lang w:eastAsia="zh-CN"/>
        </w:rPr>
        <w:t>指行政单位医疗支出</w:t>
      </w:r>
      <w:r>
        <w:rPr>
          <w:rFonts w:hint="eastAsia" w:ascii="仿宋_GB2312" w:eastAsia="仿宋_GB2312"/>
          <w:color w:val="000000"/>
          <w:sz w:val="32"/>
          <w:szCs w:val="32"/>
        </w:rPr>
        <w:t>。</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卫生健康</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行政事业单位医疗</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事业单位医疗（</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指事业单位医疗支出</w:t>
      </w:r>
      <w:r>
        <w:rPr>
          <w:rFonts w:hint="eastAsia" w:ascii="仿宋_GB2312" w:eastAsia="仿宋_GB2312"/>
          <w:color w:val="000000"/>
          <w:sz w:val="32"/>
          <w:szCs w:val="32"/>
        </w:rPr>
        <w:t>。</w:t>
      </w:r>
    </w:p>
    <w:p>
      <w:pPr>
        <w:pageBreakBefore w:val="0"/>
        <w:kinsoku/>
        <w:wordWrap/>
        <w:overflowPunct/>
        <w:topLinePunct w:val="0"/>
        <w:bidi w:val="0"/>
        <w:spacing w:line="560" w:lineRule="exact"/>
        <w:ind w:firstLine="640" w:firstLineChars="200"/>
        <w:jc w:val="both"/>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14.</w:t>
      </w:r>
      <w:r>
        <w:rPr>
          <w:rFonts w:hint="eastAsia" w:ascii="仿宋_GB2312" w:eastAsia="仿宋_GB2312"/>
          <w:color w:val="000000"/>
          <w:sz w:val="32"/>
          <w:szCs w:val="32"/>
          <w:lang w:eastAsia="zh-CN"/>
        </w:rPr>
        <w:t>住房保障支出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类</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住房改革支出</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款</w:t>
      </w:r>
      <w:r>
        <w:rPr>
          <w:rFonts w:hint="eastAsia" w:ascii="仿宋_GB2312" w:eastAsia="仿宋_GB2312"/>
          <w:color w:val="000000"/>
          <w:sz w:val="32"/>
          <w:szCs w:val="32"/>
        </w:rPr>
        <w:t>）</w:t>
      </w:r>
      <w:r>
        <w:rPr>
          <w:rFonts w:hint="eastAsia" w:ascii="仿宋_GB2312" w:eastAsia="仿宋_GB2312"/>
          <w:color w:val="000000"/>
          <w:sz w:val="32"/>
          <w:szCs w:val="32"/>
          <w:lang w:eastAsia="zh-CN"/>
        </w:rPr>
        <w:t>住房公积金</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项</w:t>
      </w:r>
      <w:r>
        <w:rPr>
          <w:rFonts w:hint="eastAsia" w:ascii="仿宋_GB2312" w:eastAsia="仿宋_GB2312"/>
          <w:color w:val="000000"/>
          <w:sz w:val="32"/>
          <w:szCs w:val="32"/>
        </w:rPr>
        <w:t xml:space="preserve">）: </w:t>
      </w:r>
      <w:r>
        <w:rPr>
          <w:rFonts w:hint="eastAsia" w:ascii="仿宋_GB2312" w:eastAsia="仿宋_GB2312"/>
          <w:color w:val="000000"/>
          <w:sz w:val="32"/>
          <w:szCs w:val="32"/>
          <w:lang w:eastAsia="zh-CN"/>
        </w:rPr>
        <w:t>指住房公积金支出</w:t>
      </w:r>
      <w:r>
        <w:rPr>
          <w:rFonts w:hint="eastAsia" w:ascii="仿宋_GB2312" w:eastAsia="仿宋_GB2312"/>
          <w:color w:val="000000"/>
          <w:sz w:val="32"/>
          <w:szCs w:val="32"/>
        </w:rPr>
        <w:t>。</w:t>
      </w:r>
    </w:p>
    <w:p>
      <w:pPr>
        <w:pageBreakBefore w:val="0"/>
        <w:kinsoku/>
        <w:wordWrap/>
        <w:overflowPunct/>
        <w:topLinePunct w:val="0"/>
        <w:bidi w:val="0"/>
        <w:spacing w:line="56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lang w:val="en-US" w:eastAsia="zh-CN"/>
        </w:rPr>
        <w:t>15</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Style w:val="33"/>
        <w:pageBreakBefore w:val="0"/>
        <w:kinsoku/>
        <w:wordWrap/>
        <w:overflowPunct/>
        <w:topLinePunct w:val="0"/>
        <w:bidi w:val="0"/>
        <w:spacing w:line="560" w:lineRule="exact"/>
        <w:ind w:firstLine="640" w:firstLineChars="200"/>
        <w:jc w:val="both"/>
        <w:textAlignment w:val="auto"/>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3"/>
        <w:pageBreakBefore w:val="0"/>
        <w:kinsoku/>
        <w:wordWrap/>
        <w:overflowPunct/>
        <w:topLinePunct w:val="0"/>
        <w:bidi w:val="0"/>
        <w:spacing w:line="560" w:lineRule="exact"/>
        <w:ind w:firstLine="640" w:firstLineChars="200"/>
        <w:jc w:val="both"/>
        <w:textAlignment w:val="auto"/>
        <w:rPr>
          <w:rFonts w:ascii="仿宋_GB2312" w:eastAsia="仿宋_GB2312" w:cs="黑体"/>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33"/>
        <w:spacing w:line="560" w:lineRule="exact"/>
        <w:ind w:firstLine="640" w:firstLineChars="200"/>
        <w:rPr>
          <w:rFonts w:ascii="仿宋_GB2312" w:eastAsia="仿宋_GB2312" w:cs="黑体"/>
          <w:sz w:val="32"/>
          <w:szCs w:val="32"/>
        </w:rPr>
      </w:pPr>
    </w:p>
    <w:p>
      <w:pPr>
        <w:pageBreakBefore w:val="0"/>
        <w:widowControl w:val="0"/>
        <w:kinsoku/>
        <w:wordWrap/>
        <w:overflowPunct/>
        <w:topLinePunct w:val="0"/>
        <w:bidi w:val="0"/>
        <w:spacing w:line="576" w:lineRule="exact"/>
        <w:jc w:val="both"/>
        <w:textAlignment w:val="auto"/>
        <w:outlineLvl w:val="0"/>
        <w:rPr>
          <w:rFonts w:hint="eastAsia" w:ascii="黑体" w:eastAsia="黑体" w:cs="Times New Roman"/>
          <w:color w:val="000000"/>
          <w:sz w:val="44"/>
          <w:szCs w:val="44"/>
        </w:rPr>
      </w:pPr>
      <w:bookmarkStart w:id="33" w:name="_Toc9504"/>
      <w:bookmarkStart w:id="34" w:name="_Toc6196"/>
    </w:p>
    <w:p>
      <w:pPr>
        <w:pageBreakBefore w:val="0"/>
        <w:widowControl w:val="0"/>
        <w:kinsoku/>
        <w:wordWrap/>
        <w:overflowPunct/>
        <w:topLinePunct w:val="0"/>
        <w:bidi w:val="0"/>
        <w:spacing w:line="576" w:lineRule="exact"/>
        <w:jc w:val="center"/>
        <w:textAlignment w:val="auto"/>
        <w:outlineLvl w:val="0"/>
        <w:rPr>
          <w:rFonts w:hint="eastAsia" w:ascii="仿宋" w:eastAsia="仿宋" w:cs="Times New Roman"/>
          <w:b w:val="0"/>
          <w:color w:val="000000"/>
          <w:kern w:val="2"/>
          <w:sz w:val="32"/>
          <w:szCs w:val="32"/>
          <w:lang w:bidi="ar-SA"/>
        </w:rPr>
      </w:pPr>
      <w:r>
        <w:rPr>
          <w:rFonts w:hint="eastAsia" w:ascii="黑体" w:eastAsia="黑体" w:cs="Times New Roman"/>
          <w:color w:val="000000"/>
          <w:sz w:val="44"/>
          <w:szCs w:val="44"/>
        </w:rPr>
        <w:t>第</w:t>
      </w:r>
      <w:r>
        <w:rPr>
          <w:rFonts w:hint="eastAsia" w:ascii="黑体" w:eastAsia="黑体" w:cs="Times New Roman"/>
          <w:color w:val="000000"/>
          <w:sz w:val="44"/>
          <w:szCs w:val="44"/>
          <w:lang w:eastAsia="zh-CN"/>
        </w:rPr>
        <w:t>四</w:t>
      </w:r>
      <w:r>
        <w:rPr>
          <w:rFonts w:hint="eastAsia" w:ascii="黑体" w:eastAsia="黑体" w:cs="Times New Roman"/>
          <w:color w:val="000000"/>
          <w:sz w:val="44"/>
          <w:szCs w:val="44"/>
        </w:rPr>
        <w:t>部分 附表</w:t>
      </w:r>
      <w:bookmarkEnd w:id="33"/>
      <w:bookmarkEnd w:id="34"/>
      <w:bookmarkStart w:id="35" w:name="_Toc12986"/>
      <w:bookmarkStart w:id="36" w:name="_Toc26370"/>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r>
        <w:rPr>
          <w:rFonts w:hint="eastAsia" w:ascii="仿宋" w:eastAsia="仿宋" w:cs="Times New Roman"/>
          <w:b w:val="0"/>
          <w:color w:val="000000"/>
          <w:kern w:val="2"/>
          <w:sz w:val="32"/>
          <w:szCs w:val="32"/>
          <w:lang w:bidi="ar-SA"/>
        </w:rPr>
        <w:t>一、收入支出决算总表</w:t>
      </w:r>
      <w:bookmarkEnd w:id="35"/>
      <w:bookmarkEnd w:id="36"/>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37" w:name="_Toc13591"/>
      <w:bookmarkStart w:id="38" w:name="_Toc13062"/>
      <w:r>
        <w:rPr>
          <w:rFonts w:hint="eastAsia" w:ascii="仿宋" w:eastAsia="仿宋" w:cs="Times New Roman"/>
          <w:b w:val="0"/>
          <w:color w:val="000000"/>
          <w:kern w:val="2"/>
          <w:sz w:val="32"/>
          <w:szCs w:val="32"/>
          <w:lang w:bidi="ar-SA"/>
        </w:rPr>
        <w:t>二、收入决算表</w:t>
      </w:r>
      <w:bookmarkEnd w:id="37"/>
      <w:bookmarkEnd w:id="38"/>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39" w:name="_Toc16600"/>
      <w:bookmarkStart w:id="40" w:name="_Toc29688"/>
      <w:r>
        <w:rPr>
          <w:rFonts w:hint="eastAsia" w:ascii="仿宋" w:eastAsia="仿宋" w:cs="Times New Roman"/>
          <w:b w:val="0"/>
          <w:color w:val="000000"/>
          <w:kern w:val="2"/>
          <w:sz w:val="32"/>
          <w:szCs w:val="32"/>
          <w:lang w:bidi="ar-SA"/>
        </w:rPr>
        <w:t>三、支出决算表</w:t>
      </w:r>
      <w:bookmarkEnd w:id="39"/>
      <w:bookmarkEnd w:id="40"/>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1" w:name="_Toc26630"/>
      <w:bookmarkStart w:id="42" w:name="_Toc5964"/>
      <w:r>
        <w:rPr>
          <w:rFonts w:hint="eastAsia" w:ascii="仿宋" w:eastAsia="仿宋" w:cs="Times New Roman"/>
          <w:b w:val="0"/>
          <w:color w:val="000000"/>
          <w:kern w:val="2"/>
          <w:sz w:val="32"/>
          <w:szCs w:val="32"/>
          <w:lang w:bidi="ar-SA"/>
        </w:rPr>
        <w:t>四、财政拨款收入支出决算总表</w:t>
      </w:r>
      <w:bookmarkEnd w:id="41"/>
      <w:bookmarkEnd w:id="42"/>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3" w:name="_Toc19934"/>
      <w:bookmarkStart w:id="44" w:name="_Toc14273"/>
      <w:r>
        <w:rPr>
          <w:rFonts w:hint="eastAsia" w:ascii="仿宋" w:eastAsia="仿宋" w:cs="Times New Roman"/>
          <w:b w:val="0"/>
          <w:color w:val="000000"/>
          <w:kern w:val="2"/>
          <w:sz w:val="32"/>
          <w:szCs w:val="32"/>
          <w:lang w:bidi="ar-SA"/>
        </w:rPr>
        <w:t>五、财政拨款支出决算明细表</w:t>
      </w:r>
      <w:bookmarkEnd w:id="43"/>
      <w:bookmarkEnd w:id="44"/>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5" w:name="_Toc16449"/>
      <w:bookmarkStart w:id="46" w:name="_Toc6686"/>
      <w:r>
        <w:rPr>
          <w:rFonts w:hint="eastAsia" w:ascii="仿宋" w:eastAsia="仿宋" w:cs="Times New Roman"/>
          <w:b w:val="0"/>
          <w:color w:val="000000"/>
          <w:kern w:val="2"/>
          <w:sz w:val="32"/>
          <w:szCs w:val="32"/>
          <w:lang w:bidi="ar-SA"/>
        </w:rPr>
        <w:t>六、一般公共预算财政拨款支出决算表</w:t>
      </w:r>
      <w:bookmarkEnd w:id="45"/>
      <w:bookmarkEnd w:id="46"/>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7" w:name="_Toc3478"/>
      <w:bookmarkStart w:id="48" w:name="_Toc19514"/>
      <w:r>
        <w:rPr>
          <w:rFonts w:hint="eastAsia" w:ascii="仿宋" w:eastAsia="仿宋" w:cs="Times New Roman"/>
          <w:b w:val="0"/>
          <w:color w:val="000000"/>
          <w:kern w:val="2"/>
          <w:sz w:val="32"/>
          <w:szCs w:val="32"/>
          <w:lang w:bidi="ar-SA"/>
        </w:rPr>
        <w:t>七、一般公共预算财政拨款支出决算明细表</w:t>
      </w:r>
      <w:bookmarkEnd w:id="47"/>
      <w:bookmarkEnd w:id="48"/>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49" w:name="_Toc191"/>
      <w:bookmarkStart w:id="50" w:name="_Toc17352"/>
      <w:r>
        <w:rPr>
          <w:rFonts w:hint="eastAsia" w:ascii="仿宋" w:eastAsia="仿宋" w:cs="Times New Roman"/>
          <w:b w:val="0"/>
          <w:color w:val="000000"/>
          <w:kern w:val="2"/>
          <w:sz w:val="32"/>
          <w:szCs w:val="32"/>
          <w:lang w:bidi="ar-SA"/>
        </w:rPr>
        <w:t>八、一般公共预算财政拨款基本支出决算表</w:t>
      </w:r>
      <w:bookmarkEnd w:id="49"/>
      <w:bookmarkEnd w:id="50"/>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1" w:name="_Toc5204"/>
      <w:bookmarkStart w:id="52" w:name="_Toc3726"/>
      <w:r>
        <w:rPr>
          <w:rFonts w:hint="eastAsia" w:ascii="仿宋" w:eastAsia="仿宋" w:cs="Times New Roman"/>
          <w:b w:val="0"/>
          <w:color w:val="000000"/>
          <w:kern w:val="2"/>
          <w:sz w:val="32"/>
          <w:szCs w:val="32"/>
          <w:lang w:bidi="ar-SA"/>
        </w:rPr>
        <w:t>九、一般公共预算财政拨款项目支出决算表</w:t>
      </w:r>
      <w:bookmarkEnd w:id="51"/>
      <w:bookmarkEnd w:id="52"/>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3" w:name="_Toc20756"/>
      <w:bookmarkStart w:id="54" w:name="_Toc20056"/>
      <w:r>
        <w:rPr>
          <w:rFonts w:hint="eastAsia" w:ascii="仿宋" w:eastAsia="仿宋" w:cs="Times New Roman"/>
          <w:b w:val="0"/>
          <w:color w:val="000000"/>
          <w:kern w:val="2"/>
          <w:sz w:val="32"/>
          <w:szCs w:val="32"/>
          <w:lang w:bidi="ar-SA"/>
        </w:rPr>
        <w:t>十、政府性基金预算财政拨款收入支出决算表</w:t>
      </w:r>
      <w:bookmarkEnd w:id="53"/>
      <w:bookmarkEnd w:id="54"/>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5" w:name="_Toc13849"/>
      <w:bookmarkStart w:id="56" w:name="_Toc21387"/>
      <w:r>
        <w:rPr>
          <w:rFonts w:hint="eastAsia" w:ascii="仿宋" w:eastAsia="仿宋" w:cs="Times New Roman"/>
          <w:b w:val="0"/>
          <w:color w:val="000000"/>
          <w:kern w:val="2"/>
          <w:sz w:val="32"/>
          <w:szCs w:val="32"/>
          <w:lang w:bidi="ar-SA"/>
        </w:rPr>
        <w:t>十一、国有资本经营预算财政拨款收入支出决算表</w:t>
      </w:r>
      <w:bookmarkEnd w:id="55"/>
      <w:bookmarkEnd w:id="56"/>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7" w:name="_Toc13099"/>
      <w:bookmarkStart w:id="58" w:name="_Toc1140"/>
      <w:r>
        <w:rPr>
          <w:rFonts w:hint="eastAsia" w:ascii="仿宋" w:eastAsia="仿宋" w:cs="Times New Roman"/>
          <w:b w:val="0"/>
          <w:color w:val="000000"/>
          <w:kern w:val="2"/>
          <w:sz w:val="32"/>
          <w:szCs w:val="32"/>
          <w:lang w:bidi="ar-SA"/>
        </w:rPr>
        <w:t>十二、国有资本经营预算财政拨款支出决算表</w:t>
      </w:r>
      <w:bookmarkEnd w:id="57"/>
      <w:bookmarkEnd w:id="58"/>
    </w:p>
    <w:p>
      <w:pPr>
        <w:pStyle w:val="6"/>
        <w:keepNext/>
        <w:keepLines/>
        <w:pageBreakBefore w:val="0"/>
        <w:widowControl w:val="0"/>
        <w:kinsoku/>
        <w:wordWrap/>
        <w:overflowPunct/>
        <w:topLinePunct w:val="0"/>
        <w:bidi w:val="0"/>
        <w:spacing w:before="260" w:beforeAutospacing="0" w:after="260" w:afterAutospacing="0" w:line="576" w:lineRule="exact"/>
        <w:jc w:val="both"/>
        <w:textAlignment w:val="auto"/>
        <w:outlineLvl w:val="1"/>
        <w:rPr>
          <w:rFonts w:hint="eastAsia" w:ascii="仿宋" w:eastAsia="仿宋" w:cs="Times New Roman"/>
          <w:b w:val="0"/>
          <w:color w:val="000000"/>
          <w:kern w:val="2"/>
          <w:sz w:val="32"/>
          <w:szCs w:val="32"/>
          <w:lang w:bidi="ar-SA"/>
        </w:rPr>
      </w:pPr>
      <w:bookmarkStart w:id="59" w:name="_Toc24957"/>
      <w:bookmarkStart w:id="60" w:name="_Toc25065"/>
      <w:r>
        <w:rPr>
          <w:rFonts w:hint="eastAsia" w:ascii="仿宋" w:eastAsia="仿宋" w:cs="Times New Roman"/>
          <w:b w:val="0"/>
          <w:color w:val="000000"/>
          <w:kern w:val="2"/>
          <w:sz w:val="32"/>
          <w:szCs w:val="32"/>
          <w:lang w:bidi="ar-SA"/>
        </w:rPr>
        <w:t>十三、财政拨款“三公”经费支出决算表</w:t>
      </w:r>
      <w:bookmarkEnd w:id="59"/>
      <w:bookmarkEnd w:id="60"/>
    </w:p>
    <w:p>
      <w:pPr>
        <w:bidi w:val="0"/>
        <w:rPr>
          <w:lang w:val="en-US" w:eastAsia="zh-CN"/>
        </w:rPr>
      </w:pPr>
    </w:p>
    <w:p>
      <w:pPr>
        <w:bidi w:val="0"/>
        <w:rPr>
          <w:lang w:val="en-US" w:eastAsia="zh-CN"/>
        </w:rPr>
      </w:pPr>
    </w:p>
    <w:sectPr>
      <w:headerReference r:id="rId4" w:type="first"/>
      <w:headerReference r:id="rId3" w:type="default"/>
      <w:footerReference r:id="rId5" w:type="default"/>
      <w:footerReference r:id="rId6" w:type="even"/>
      <w:pgSz w:w="11906" w:h="16838"/>
      <w:pgMar w:top="1440" w:right="1576" w:bottom="1440" w:left="1576" w:header="851" w:footer="992" w:gutter="0"/>
      <w:pgNumType w:fmt="numberInDash" w:start="0"/>
      <w:cols w:space="720" w:num="1"/>
      <w:titlePg/>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Lucida Sans">
    <w:altName w:val="仿宋"/>
    <w:panose1 w:val="00000000000000000000"/>
    <w:charset w:val="01"/>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Bdr>
        <w:top w:val="none" w:color="auto" w:sz="0" w:space="0"/>
        <w:left w:val="none" w:color="auto" w:sz="0" w:space="0"/>
        <w:bottom w:val="none" w:color="auto" w:sz="0" w:space="0"/>
        <w:right w:val="none" w:color="auto" w:sz="0" w:space="0"/>
      </w:pBdr>
      <w:tabs>
        <w:tab w:val="center" w:pos="4220"/>
      </w:tabs>
      <w:rPr>
        <w:b/>
        <w:sz w:val="28"/>
      </w:rPr>
    </w:pPr>
    <w:r>
      <w:rPr>
        <w:rStyle w:val="19"/>
        <w:b/>
        <w:sz w:val="28"/>
      </w:rPr>
      <w:fldChar w:fldCharType="begin"/>
    </w:r>
    <w:r>
      <w:rPr>
        <w:rStyle w:val="19"/>
        <w:b/>
        <w:sz w:val="28"/>
      </w:rPr>
      <w:instrText xml:space="preserve">Page</w:instrText>
    </w:r>
    <w:r>
      <w:rPr>
        <w:rStyle w:val="19"/>
        <w:b/>
        <w:sz w:val="28"/>
      </w:rPr>
      <w:fldChar w:fldCharType="separate"/>
    </w:r>
    <w:r>
      <w:rPr>
        <w:rStyle w:val="19"/>
        <w:rFonts w:hint="eastAsia"/>
        <w:b/>
        <w:sz w:val="28"/>
      </w:rPr>
      <w:t>— 1 —</w:t>
    </w:r>
    <w:r>
      <w:rPr>
        <w:rStyle w:val="19"/>
        <w:b/>
        <w:sz w:val="28"/>
      </w:rPr>
      <w:fldChar w:fldCharType="end"/>
    </w:r>
  </w:p>
  <w:p>
    <w:pPr>
      <w:pStyle w:val="11"/>
      <w:tabs>
        <w:tab w:val="center" w:pos="4220"/>
        <w:tab w:val="clear" w:pos="4153"/>
        <w:tab w:val="clear" w:pos="8306"/>
      </w:tabs>
      <w:ind w:right="360" w:firstLine="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
      <w:pBdr>
        <w:top w:val="none" w:color="auto" w:sz="0" w:space="0"/>
        <w:left w:val="none" w:color="auto" w:sz="0" w:space="0"/>
        <w:bottom w:val="none" w:color="auto" w:sz="0" w:space="0"/>
        <w:right w:val="none" w:color="auto" w:sz="0" w:space="0"/>
      </w:pBdr>
    </w:pPr>
    <w:r>
      <w:rPr>
        <w:rStyle w:val="19"/>
      </w:rPr>
      <w:fldChar w:fldCharType="begin"/>
    </w:r>
    <w:r>
      <w:rPr>
        <w:rStyle w:val="19"/>
      </w:rPr>
      <w:instrText xml:space="preserve">Page</w:instrText>
    </w:r>
    <w:r>
      <w:rPr>
        <w:rStyle w:val="19"/>
      </w:rPr>
      <w:fldChar w:fldCharType="separate"/>
    </w:r>
    <w:r>
      <w:rPr>
        <w:rStyle w:val="19"/>
      </w:rPr>
      <w:t>0</w:t>
    </w:r>
    <w:r>
      <w:rPr>
        <w:rStyle w:val="19"/>
      </w:rPr>
      <w:fldChar w:fldCharType="end"/>
    </w:r>
  </w:p>
  <w:p>
    <w:pPr>
      <w:pStyle w:val="11"/>
      <w:framePr w:wrap="around" w:vAnchor="text" w:hAnchor="margin" w:xAlign="right" w:y="1"/>
      <w:pBdr>
        <w:top w:val="none" w:color="auto" w:sz="0" w:space="0"/>
        <w:left w:val="none" w:color="auto" w:sz="0" w:space="0"/>
        <w:bottom w:val="none" w:color="auto" w:sz="0" w:space="0"/>
        <w:right w:val="none" w:color="auto" w:sz="0" w:space="0"/>
      </w:pBdr>
      <w:ind w:right="360" w:firstLine="360"/>
    </w:pPr>
    <w:r>
      <w:rPr>
        <w:rStyle w:val="19"/>
      </w:rPr>
      <w:fldChar w:fldCharType="begin"/>
    </w:r>
    <w:r>
      <w:rPr>
        <w:rStyle w:val="19"/>
      </w:rPr>
      <w:instrText xml:space="preserve">Page</w:instrText>
    </w:r>
    <w:r>
      <w:rPr>
        <w:rStyle w:val="19"/>
      </w:rPr>
      <w:fldChar w:fldCharType="separate"/>
    </w:r>
    <w:r>
      <w:rPr>
        <w:rStyle w:val="19"/>
        <w:rFonts w:hint="eastAsia"/>
      </w:rPr>
      <w:t>— 1 —</w:t>
    </w:r>
    <w:r>
      <w:rPr>
        <w:rStyle w:val="19"/>
      </w:rPr>
      <w:fldChar w:fldCharType="end"/>
    </w:r>
  </w:p>
  <w:p>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3OTYyMTRjMzQ2YzRlYzkxODQ0OTRjNTBhMjgyYWQifQ=="/>
  </w:docVars>
  <w:rsids>
    <w:rsidRoot w:val="00000000"/>
    <w:rsid w:val="010E72CB"/>
    <w:rsid w:val="030E6A10"/>
    <w:rsid w:val="03F6348B"/>
    <w:rsid w:val="05854E9B"/>
    <w:rsid w:val="07780B7B"/>
    <w:rsid w:val="09461CD6"/>
    <w:rsid w:val="09EF4328"/>
    <w:rsid w:val="0C9927BA"/>
    <w:rsid w:val="0CA534EF"/>
    <w:rsid w:val="0FAB4813"/>
    <w:rsid w:val="0FC64EF0"/>
    <w:rsid w:val="11F8610A"/>
    <w:rsid w:val="12907582"/>
    <w:rsid w:val="1CB763CB"/>
    <w:rsid w:val="1CEC7E01"/>
    <w:rsid w:val="1D6A72FB"/>
    <w:rsid w:val="1E5E47E0"/>
    <w:rsid w:val="1F4315DA"/>
    <w:rsid w:val="20841BE6"/>
    <w:rsid w:val="209C728D"/>
    <w:rsid w:val="20AD28F4"/>
    <w:rsid w:val="20B44934"/>
    <w:rsid w:val="217A6C7B"/>
    <w:rsid w:val="22731412"/>
    <w:rsid w:val="283C7D9D"/>
    <w:rsid w:val="289B6C0E"/>
    <w:rsid w:val="28DA5593"/>
    <w:rsid w:val="28E44026"/>
    <w:rsid w:val="2A7A723E"/>
    <w:rsid w:val="2B447F8C"/>
    <w:rsid w:val="2DB3100A"/>
    <w:rsid w:val="2E612427"/>
    <w:rsid w:val="2F494923"/>
    <w:rsid w:val="30740B8E"/>
    <w:rsid w:val="32EF1E88"/>
    <w:rsid w:val="33F203F2"/>
    <w:rsid w:val="342112C0"/>
    <w:rsid w:val="34F160E8"/>
    <w:rsid w:val="359C74CB"/>
    <w:rsid w:val="35E022B4"/>
    <w:rsid w:val="36E942D2"/>
    <w:rsid w:val="380037ED"/>
    <w:rsid w:val="3A7909FE"/>
    <w:rsid w:val="3AF52546"/>
    <w:rsid w:val="3DDF0D0F"/>
    <w:rsid w:val="41595743"/>
    <w:rsid w:val="431E79AD"/>
    <w:rsid w:val="440469A6"/>
    <w:rsid w:val="454D7D6F"/>
    <w:rsid w:val="4652002D"/>
    <w:rsid w:val="4A1F04AA"/>
    <w:rsid w:val="4FCE7CFE"/>
    <w:rsid w:val="52E00CE4"/>
    <w:rsid w:val="555B0286"/>
    <w:rsid w:val="55CC1950"/>
    <w:rsid w:val="56C66CC8"/>
    <w:rsid w:val="5969563F"/>
    <w:rsid w:val="596E1AC6"/>
    <w:rsid w:val="5A712B2E"/>
    <w:rsid w:val="5C2C6147"/>
    <w:rsid w:val="5EA26B50"/>
    <w:rsid w:val="5EAC2CE3"/>
    <w:rsid w:val="5F1E20CE"/>
    <w:rsid w:val="5F615C89"/>
    <w:rsid w:val="6056529D"/>
    <w:rsid w:val="60DF7FBD"/>
    <w:rsid w:val="616D4A65"/>
    <w:rsid w:val="64D92F75"/>
    <w:rsid w:val="69EE6CD8"/>
    <w:rsid w:val="6AD83C99"/>
    <w:rsid w:val="6B5A7319"/>
    <w:rsid w:val="6B874966"/>
    <w:rsid w:val="6BE04F09"/>
    <w:rsid w:val="6DDE6F4D"/>
    <w:rsid w:val="6E8421A4"/>
    <w:rsid w:val="73AD1C57"/>
    <w:rsid w:val="73C4767E"/>
    <w:rsid w:val="755E0069"/>
    <w:rsid w:val="75A3300B"/>
    <w:rsid w:val="76DC406F"/>
    <w:rsid w:val="78C45B73"/>
    <w:rsid w:val="791B013F"/>
    <w:rsid w:val="7CF03F88"/>
    <w:rsid w:val="7EB92052"/>
    <w:rsid w:val="7FED3B30"/>
    <w:rsid w:val="BE37A6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1"/>
    <w:qFormat/>
    <w:uiPriority w:val="0"/>
    <w:pPr>
      <w:keepNext/>
      <w:keepLines/>
      <w:widowControl w:val="0"/>
      <w:spacing w:before="340" w:after="330" w:line="578" w:lineRule="auto"/>
      <w:outlineLvl w:val="0"/>
    </w:pPr>
    <w:rPr>
      <w:b/>
      <w:bCs/>
      <w:kern w:val="44"/>
      <w:sz w:val="44"/>
      <w:szCs w:val="44"/>
    </w:rPr>
  </w:style>
  <w:style w:type="paragraph" w:styleId="6">
    <w:name w:val="heading 2"/>
    <w:basedOn w:val="1"/>
    <w:next w:val="1"/>
    <w:link w:val="29"/>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7">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qFormat/>
    <w:uiPriority w:val="0"/>
    <w:pPr>
      <w:spacing w:before="30" w:beforeLines="30"/>
    </w:pPr>
    <w:rPr>
      <w:rFonts w:ascii="仿宋_GB2312" w:eastAsia="仿宋_GB2312"/>
      <w:kern w:val="0"/>
      <w:sz w:val="30"/>
    </w:rPr>
  </w:style>
  <w:style w:type="paragraph" w:styleId="9">
    <w:name w:val="toc 3"/>
    <w:basedOn w:val="1"/>
    <w:next w:val="1"/>
    <w:qFormat/>
    <w:uiPriority w:val="0"/>
    <w:pPr>
      <w:tabs>
        <w:tab w:val="right" w:leader="dot" w:pos="8296"/>
      </w:tabs>
      <w:ind w:left="400" w:leftChars="400"/>
    </w:p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qFormat/>
    <w:uiPriority w:val="0"/>
    <w:pPr>
      <w:tabs>
        <w:tab w:val="right" w:leader="dot" w:pos="8296"/>
      </w:tabs>
      <w:spacing w:before="93"/>
      <w:jc w:val="center"/>
    </w:pPr>
    <w:rPr>
      <w:rFonts w:ascii="仿宋" w:eastAsia="仿宋"/>
      <w:sz w:val="28"/>
      <w:szCs w:val="28"/>
    </w:rPr>
  </w:style>
  <w:style w:type="paragraph" w:styleId="14">
    <w:name w:val="toc 2"/>
    <w:basedOn w:val="1"/>
    <w:next w:val="1"/>
    <w:qFormat/>
    <w:uiPriority w:val="0"/>
    <w:pPr>
      <w:tabs>
        <w:tab w:val="right" w:leader="dot" w:pos="8296"/>
      </w:tabs>
      <w:ind w:left="20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character" w:styleId="18">
    <w:name w:val="Strong"/>
    <w:basedOn w:val="17"/>
    <w:qFormat/>
    <w:uiPriority w:val="0"/>
    <w:rPr>
      <w:b/>
    </w:rPr>
  </w:style>
  <w:style w:type="character" w:styleId="19">
    <w:name w:val="page number"/>
    <w:basedOn w:val="17"/>
    <w:qFormat/>
    <w:uiPriority w:val="0"/>
  </w:style>
  <w:style w:type="character" w:styleId="20">
    <w:name w:val="FollowedHyperlink"/>
    <w:basedOn w:val="17"/>
    <w:qFormat/>
    <w:uiPriority w:val="0"/>
    <w:rPr>
      <w:color w:val="000000"/>
      <w:u w:val="none"/>
    </w:rPr>
  </w:style>
  <w:style w:type="character" w:styleId="21">
    <w:name w:val="Emphasis"/>
    <w:basedOn w:val="17"/>
    <w:qFormat/>
    <w:uiPriority w:val="0"/>
  </w:style>
  <w:style w:type="character" w:styleId="22">
    <w:name w:val="HTML Definition"/>
    <w:basedOn w:val="17"/>
    <w:qFormat/>
    <w:uiPriority w:val="0"/>
  </w:style>
  <w:style w:type="character" w:styleId="23">
    <w:name w:val="HTML Acronym"/>
    <w:basedOn w:val="17"/>
    <w:qFormat/>
    <w:uiPriority w:val="0"/>
  </w:style>
  <w:style w:type="character" w:styleId="24">
    <w:name w:val="HTML Variable"/>
    <w:basedOn w:val="17"/>
    <w:qFormat/>
    <w:uiPriority w:val="0"/>
  </w:style>
  <w:style w:type="character" w:styleId="25">
    <w:name w:val="Hyperlink"/>
    <w:basedOn w:val="17"/>
    <w:qFormat/>
    <w:uiPriority w:val="0"/>
    <w:rPr>
      <w:color w:val="0000FF"/>
      <w:u w:val="single"/>
    </w:rPr>
  </w:style>
  <w:style w:type="character" w:styleId="26">
    <w:name w:val="HTML Code"/>
    <w:basedOn w:val="17"/>
    <w:qFormat/>
    <w:uiPriority w:val="0"/>
    <w:rPr>
      <w:rFonts w:ascii="Courier New" w:hAnsi="Courier New"/>
      <w:sz w:val="20"/>
      <w:u w:val="single"/>
    </w:rPr>
  </w:style>
  <w:style w:type="character" w:styleId="27">
    <w:name w:val="HTML Cite"/>
    <w:basedOn w:val="17"/>
    <w:qFormat/>
    <w:uiPriority w:val="0"/>
  </w:style>
  <w:style w:type="character" w:customStyle="1" w:styleId="28">
    <w:name w:val="heading 1 Char"/>
    <w:basedOn w:val="17"/>
    <w:link w:val="5"/>
    <w:qFormat/>
    <w:uiPriority w:val="0"/>
    <w:rPr>
      <w:rFonts w:ascii="Times New Roman" w:hAnsi="Times New Roman" w:eastAsia="宋体" w:cs="Times New Roman"/>
      <w:b/>
      <w:bCs/>
      <w:kern w:val="44"/>
      <w:sz w:val="44"/>
      <w:szCs w:val="44"/>
      <w:lang w:val="en-US" w:eastAsia="zh-CN" w:bidi="ar-SA"/>
    </w:rPr>
  </w:style>
  <w:style w:type="character" w:customStyle="1" w:styleId="29">
    <w:name w:val="heading 2 Char"/>
    <w:basedOn w:val="17"/>
    <w:link w:val="6"/>
    <w:qFormat/>
    <w:uiPriority w:val="0"/>
    <w:rPr>
      <w:rFonts w:ascii="Cambria" w:hAnsi="Cambria" w:eastAsia="宋体" w:cs="Times New Roman"/>
      <w:b/>
      <w:bCs/>
      <w:kern w:val="2"/>
      <w:sz w:val="32"/>
      <w:szCs w:val="32"/>
      <w:lang w:val="en-US" w:eastAsia="zh-CN" w:bidi="ar-SA"/>
    </w:rPr>
  </w:style>
  <w:style w:type="character" w:customStyle="1" w:styleId="30">
    <w:name w:val="Header Char"/>
    <w:basedOn w:val="17"/>
    <w:qFormat/>
    <w:uiPriority w:val="0"/>
    <w:rPr>
      <w:rFonts w:ascii="Times New Roman" w:hAnsi="Times New Roman"/>
      <w:sz w:val="18"/>
      <w:szCs w:val="18"/>
    </w:rPr>
  </w:style>
  <w:style w:type="character" w:customStyle="1" w:styleId="31">
    <w:name w:val="Footer Char"/>
    <w:basedOn w:val="17"/>
    <w:qFormat/>
    <w:uiPriority w:val="0"/>
    <w:rPr>
      <w:rFonts w:ascii="Times New Roman" w:hAnsi="Times New Roman"/>
      <w:sz w:val="18"/>
      <w:szCs w:val="18"/>
    </w:rPr>
  </w:style>
  <w:style w:type="character" w:customStyle="1" w:styleId="32">
    <w:name w:val="Body Text Char"/>
    <w:basedOn w:val="17"/>
    <w:qFormat/>
    <w:uiPriority w:val="0"/>
    <w:rPr>
      <w:rFonts w:ascii="Times New Roman" w:hAnsi="Times New Roman"/>
      <w:szCs w:val="24"/>
    </w:rPr>
  </w:style>
  <w:style w:type="paragraph" w:customStyle="1" w:styleId="33">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4">
    <w:name w:val="List Paragraph"/>
    <w:basedOn w:val="1"/>
    <w:qFormat/>
    <w:uiPriority w:val="0"/>
    <w:pPr>
      <w:ind w:firstLine="200" w:firstLineChars="200"/>
    </w:pPr>
  </w:style>
  <w:style w:type="paragraph" w:customStyle="1" w:styleId="35">
    <w:name w:val="TOC 标题1"/>
    <w:basedOn w:val="5"/>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6">
    <w:name w:val="TOC Heading"/>
    <w:basedOn w:val="5"/>
    <w:next w:val="1"/>
    <w:qFormat/>
    <w:uiPriority w:val="0"/>
    <w:pPr>
      <w:keepNext/>
      <w:keepLines/>
      <w:widowControl/>
      <w:spacing w:before="480" w:after="0" w:line="276" w:lineRule="auto"/>
      <w:jc w:val="left"/>
      <w:outlineLvl w:val="9"/>
    </w:pPr>
    <w:rPr>
      <w:rFonts w:ascii="Cambria" w:hAnsi="Cambria" w:eastAsia="宋体" w:cs="Times New Roman"/>
      <w:color w:val="366091"/>
      <w:kern w:val="0"/>
      <w:sz w:val="28"/>
      <w:szCs w:val="28"/>
    </w:rPr>
  </w:style>
  <w:style w:type="character" w:customStyle="1" w:styleId="37">
    <w:name w:val="apple-converted-space"/>
    <w:basedOn w:val="17"/>
    <w:qFormat/>
    <w:uiPriority w:val="0"/>
  </w:style>
  <w:style w:type="paragraph" w:customStyle="1" w:styleId="38">
    <w:name w:val="_Style 32"/>
    <w:basedOn w:val="1"/>
    <w:next w:val="1"/>
    <w:qFormat/>
    <w:uiPriority w:val="0"/>
    <w:pPr>
      <w:pBdr>
        <w:bottom w:val="single" w:color="auto" w:sz="6" w:space="1"/>
      </w:pBdr>
      <w:jc w:val="center"/>
    </w:pPr>
    <w:rPr>
      <w:rFonts w:ascii="Arial" w:hAnsi="Arial" w:eastAsia="宋体"/>
      <w:vanish/>
      <w:sz w:val="16"/>
    </w:rPr>
  </w:style>
  <w:style w:type="paragraph" w:customStyle="1" w:styleId="39">
    <w:name w:val="_Style 33"/>
    <w:basedOn w:val="1"/>
    <w:next w:val="1"/>
    <w:qFormat/>
    <w:uiPriority w:val="0"/>
    <w:pPr>
      <w:pBdr>
        <w:top w:val="single" w:color="auto" w:sz="6" w:space="1"/>
      </w:pBdr>
      <w:jc w:val="center"/>
    </w:pPr>
    <w:rPr>
      <w:rFonts w:ascii="Arial" w:hAnsi="Arial" w:eastAsia="宋体"/>
      <w:vanish/>
      <w:sz w:val="16"/>
    </w:rPr>
  </w:style>
  <w:style w:type="character" w:customStyle="1" w:styleId="40">
    <w:name w:val="hover17"/>
    <w:basedOn w:val="17"/>
    <w:qFormat/>
    <w:uiPriority w:val="0"/>
    <w:rPr>
      <w:color w:val="FFFFFF"/>
    </w:rPr>
  </w:style>
  <w:style w:type="character" w:customStyle="1" w:styleId="41">
    <w:name w:val="active"/>
    <w:basedOn w:val="17"/>
    <w:qFormat/>
    <w:uiPriority w:val="0"/>
    <w:rPr>
      <w:color w:val="FFFFFF"/>
    </w:rPr>
  </w:style>
  <w:style w:type="character" w:customStyle="1" w:styleId="42">
    <w:name w:val="page_next"/>
    <w:basedOn w:val="17"/>
    <w:qFormat/>
    <w:uiPriority w:val="0"/>
  </w:style>
  <w:style w:type="character" w:customStyle="1" w:styleId="43">
    <w:name w:val="page_prev"/>
    <w:basedOn w:val="17"/>
    <w:qFormat/>
    <w:uiPriority w:val="0"/>
  </w:style>
  <w:style w:type="character" w:customStyle="1" w:styleId="44">
    <w:name w:val="white"/>
    <w:basedOn w:val="17"/>
    <w:qFormat/>
    <w:uiPriority w:val="0"/>
    <w:rPr>
      <w:rFonts w:ascii="黑体" w:eastAsia="黑体" w:cs="黑体"/>
    </w:rPr>
  </w:style>
  <w:style w:type="character" w:customStyle="1" w:styleId="45">
    <w:name w:val="hover15"/>
    <w:basedOn w:val="17"/>
    <w:qFormat/>
    <w:uiPriority w:val="0"/>
    <w:rPr>
      <w:color w:val="FFFFFF"/>
    </w:rPr>
  </w:style>
  <w:style w:type="character" w:customStyle="1" w:styleId="46">
    <w:name w:val="15"/>
    <w:basedOn w:val="17"/>
    <w:qFormat/>
    <w:uiPriority w:val="0"/>
    <w:rPr>
      <w:rFonts w:ascii="Calibri" w:hAnsi="Calibri" w:cs="Calibri"/>
      <w:b/>
    </w:rPr>
  </w:style>
  <w:style w:type="paragraph" w:customStyle="1" w:styleId="47">
    <w:name w:val="_Style 48"/>
    <w:basedOn w:val="1"/>
    <w:next w:val="1"/>
    <w:qFormat/>
    <w:uiPriority w:val="0"/>
    <w:pPr>
      <w:pBdr>
        <w:bottom w:val="single" w:color="auto" w:sz="6" w:space="1"/>
      </w:pBdr>
      <w:jc w:val="center"/>
    </w:pPr>
    <w:rPr>
      <w:rFonts w:ascii="Arial" w:hAnsi="Arial" w:eastAsia="宋体"/>
      <w:vanish/>
      <w:sz w:val="16"/>
    </w:rPr>
  </w:style>
  <w:style w:type="paragraph" w:customStyle="1" w:styleId="48">
    <w:name w:val="_Style 49"/>
    <w:basedOn w:val="1"/>
    <w:next w:val="1"/>
    <w:qFormat/>
    <w:uiPriority w:val="0"/>
    <w:pPr>
      <w:pBdr>
        <w:top w:val="single" w:color="auto" w:sz="6" w:space="1"/>
      </w:pBdr>
      <w:jc w:val="center"/>
    </w:pPr>
    <w:rPr>
      <w:rFonts w:ascii="Arial" w:hAnsi="Arial" w:eastAsia="宋体"/>
      <w:vanish/>
      <w:sz w:val="16"/>
    </w:rPr>
  </w:style>
  <w:style w:type="character" w:customStyle="1" w:styleId="49">
    <w:name w:val="first-child1"/>
    <w:basedOn w:val="17"/>
    <w:qFormat/>
    <w:uiPriority w:val="0"/>
  </w:style>
  <w:style w:type="character" w:customStyle="1" w:styleId="50">
    <w:name w:val="layui-layer-tabnow"/>
    <w:basedOn w:val="17"/>
    <w:qFormat/>
    <w:uiPriority w:val="0"/>
    <w:rPr>
      <w:bdr w:val="single" w:color="CCCCCC" w:sz="6" w:space="0"/>
      <w:shd w:val="clear" w:color="auto" w:fill="FFFFFF"/>
    </w:rPr>
  </w:style>
  <w:style w:type="character" w:customStyle="1" w:styleId="51">
    <w:name w:val="first-child"/>
    <w:basedOn w:val="17"/>
    <w:qFormat/>
    <w:uiPriority w:val="0"/>
  </w:style>
  <w:style w:type="character" w:customStyle="1" w:styleId="52">
    <w:name w:val="time"/>
    <w:basedOn w:val="17"/>
    <w:qFormat/>
    <w:uiPriority w:val="0"/>
    <w:rPr>
      <w:color w:val="999999"/>
      <w:sz w:val="18"/>
      <w:szCs w:val="18"/>
    </w:rPr>
  </w:style>
  <w:style w:type="character" w:customStyle="1" w:styleId="53">
    <w:name w:val="time1"/>
    <w:basedOn w:val="17"/>
    <w:qFormat/>
    <w:uiPriority w:val="0"/>
    <w:rPr>
      <w:shd w:val="clear" w:color="auto" w:fill="F5F7FB"/>
    </w:rPr>
  </w:style>
  <w:style w:type="character" w:customStyle="1" w:styleId="54">
    <w:name w:val="time2"/>
    <w:basedOn w:val="17"/>
    <w:qFormat/>
    <w:uiPriority w:val="0"/>
    <w:rPr>
      <w:color w:val="888888"/>
    </w:rPr>
  </w:style>
  <w:style w:type="character" w:customStyle="1" w:styleId="55">
    <w:name w:val="time3"/>
    <w:basedOn w:val="17"/>
    <w:qFormat/>
    <w:uiPriority w:val="0"/>
    <w:rPr>
      <w:color w:val="888888"/>
    </w:rPr>
  </w:style>
  <w:style w:type="character" w:customStyle="1" w:styleId="56">
    <w:name w:val="time4"/>
    <w:basedOn w:val="17"/>
    <w:qFormat/>
    <w:uiPriority w:val="0"/>
    <w:rPr>
      <w:color w:val="888888"/>
    </w:rPr>
  </w:style>
  <w:style w:type="paragraph" w:customStyle="1" w:styleId="57">
    <w:name w:val="WPSOffice手动目录 1"/>
    <w:qFormat/>
    <w:uiPriority w:val="0"/>
    <w:rPr>
      <w:rFonts w:ascii="Times New Roman" w:hAnsi="Times New Roman" w:eastAsia="宋体" w:cs="Times New Roman"/>
      <w:sz w:val="20"/>
      <w:szCs w:val="20"/>
      <w:lang w:val="en-US" w:eastAsia="zh-CN" w:bidi="ar-SA"/>
    </w:rPr>
  </w:style>
  <w:style w:type="paragraph" w:customStyle="1" w:styleId="58">
    <w:name w:val="WPSOffice手动目录 2"/>
    <w:qFormat/>
    <w:uiPriority w:val="0"/>
    <w:pPr>
      <w:ind w:left="200" w:leftChars="200"/>
    </w:pPr>
    <w:rPr>
      <w:rFonts w:ascii="Times New Roman" w:hAnsi="Times New Roman" w:eastAsia="宋体" w:cs="Times New Roman"/>
      <w:sz w:val="20"/>
      <w:szCs w:val="20"/>
      <w:lang w:val="en-US" w:eastAsia="zh-CN" w:bidi="ar-SA"/>
    </w:rPr>
  </w:style>
  <w:style w:type="paragraph" w:customStyle="1" w:styleId="59">
    <w:name w:val="WPSOffice手动目录 3"/>
    <w:qFormat/>
    <w:uiPriority w:val="0"/>
    <w:pPr>
      <w:ind w:left="400" w:leftChars="400"/>
    </w:pPr>
    <w:rPr>
      <w:rFonts w:ascii="Times New Roman" w:hAnsi="Times New Roman" w:eastAsia="宋体" w:cs="Times New Roman"/>
      <w:sz w:val="20"/>
      <w:szCs w:val="20"/>
      <w:lang w:val="en-US" w:eastAsia="zh-CN" w:bidi="ar-SA"/>
    </w:rPr>
  </w:style>
  <w:style w:type="paragraph" w:customStyle="1" w:styleId="6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61">
    <w:name w:val="标题 1 Char"/>
    <w:basedOn w:val="17"/>
    <w:link w:val="5"/>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5.bin"/><Relationship Id="rId17" Type="http://schemas.openxmlformats.org/officeDocument/2006/relationships/image" Target="media/image5.emf"/><Relationship Id="rId16" Type="http://schemas.openxmlformats.org/officeDocument/2006/relationships/oleObject" Target="embeddings/oleObject4.bin"/><Relationship Id="rId15" Type="http://schemas.openxmlformats.org/officeDocument/2006/relationships/image" Target="media/image4.emf"/><Relationship Id="rId14" Type="http://schemas.openxmlformats.org/officeDocument/2006/relationships/oleObject" Target="embeddings/oleObject3.bin"/><Relationship Id="rId13" Type="http://schemas.openxmlformats.org/officeDocument/2006/relationships/image" Target="media/image3.emf"/><Relationship Id="rId12" Type="http://schemas.openxmlformats.org/officeDocument/2006/relationships/oleObject" Target="embeddings/oleObject2.bin"/><Relationship Id="rId11" Type="http://schemas.openxmlformats.org/officeDocument/2006/relationships/chart" Target="charts/chart1.xml"/><Relationship Id="rId10" Type="http://schemas.openxmlformats.org/officeDocument/2006/relationships/image" Target="media/image2.jpe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Times New Roman" panose="02020603050405020304"/>
                <a:ea typeface="宋体" panose="02010600030101010101" charset="-122"/>
                <a:cs typeface="Lucida Sans"/>
              </a:defRPr>
            </a:pPr>
            <a:r>
              <a:rPr lang="zh-CN"/>
              <a:t>支出</a:t>
            </a:r>
            <a:endParaRPr lang="zh-CN"/>
          </a:p>
        </c:rich>
      </c:tx>
      <c:layout/>
      <c:overlay val="0"/>
      <c:spPr>
        <a:noFill/>
        <a:ln>
          <a:noFill/>
        </a:ln>
      </c:spPr>
    </c:title>
    <c:autoTitleDeleted val="0"/>
    <c:plotArea>
      <c:layout/>
      <c:pieChart>
        <c:varyColors val="1"/>
        <c:ser>
          <c:idx val="0"/>
          <c:order val="0"/>
          <c:tx>
            <c:strRef>
              <c:f>'Sheet1'!$B$1</c:f>
              <c:strCache>
                <c:ptCount val="1"/>
                <c:pt idx="0">
                  <c:v>基本支出</c:v>
                </c:pt>
              </c:strCache>
            </c:strRef>
          </c:tx>
          <c:spPr>
            <a:solidFill>
              <a:srgbClr val="4F81BD"/>
            </a:solidFill>
            <a:ln>
              <a:noFill/>
            </a:ln>
          </c:spPr>
          <c:explosion val="0"/>
          <c:dPt>
            <c:idx val="0"/>
            <c:bubble3D val="0"/>
            <c:explosion val="0"/>
            <c:spPr>
              <a:solidFill>
                <a:srgbClr val="4F81BD"/>
              </a:solidFill>
              <a:ln w="19050">
                <a:solidFill>
                  <a:srgbClr val="FFFFFF"/>
                </a:solidFill>
                <a:prstDash val="solid"/>
              </a:ln>
            </c:spPr>
          </c:dPt>
          <c:dPt>
            <c:idx val="1"/>
            <c:bubble3D val="0"/>
            <c:explosion val="0"/>
            <c:spPr>
              <a:solidFill>
                <a:srgbClr val="C0504D"/>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en-US" altLang="zh-CN" sz="900" b="0" i="0" u="none" strike="noStrike" baseline="0">
                        <a:solidFill>
                          <a:srgbClr val="404040"/>
                        </a:solidFill>
                        <a:latin typeface="Times New Roman" panose="02020603050405020304"/>
                        <a:ea typeface="宋体" panose="02010600030101010101" charset="-122"/>
                        <a:cs typeface="Lucida Sans"/>
                      </a:rPr>
                      <a:t>97.55</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r>
                      <a:rPr lang="en-US" altLang="zh-CN" sz="900" b="0" i="0" u="none" strike="noStrike" baseline="0">
                        <a:solidFill>
                          <a:srgbClr val="404040"/>
                        </a:solidFill>
                        <a:latin typeface="Times New Roman" panose="02020603050405020304"/>
                        <a:ea typeface="宋体" panose="02010600030101010101" charset="-122"/>
                        <a:cs typeface="Lucida Sans"/>
                      </a:rPr>
                      <a:t>2.45</a:t>
                    </a:r>
                    <a:r>
                      <a:rPr lang="zh-CN" sz="900" b="0" i="0" u="none" strike="noStrike" baseline="0">
                        <a:solidFill>
                          <a:srgbClr val="404040"/>
                        </a:solidFill>
                        <a:latin typeface="Times New Roman" panose="02020603050405020304"/>
                        <a:ea typeface="宋体" panose="02010600030101010101" charset="-122"/>
                        <a:cs typeface="Lucida Sans"/>
                      </a:rPr>
                      <a:t>%</a:t>
                    </a:r>
                    <a:endParaRPr lang="zh-CN" sz="900" b="0" i="0" u="none" strike="noStrike" baseline="0">
                      <a:solidFill>
                        <a:srgbClr val="404040"/>
                      </a:solidFill>
                      <a:latin typeface="Times New Roman" panose="02020603050405020304"/>
                      <a:ea typeface="宋体" panose="02010600030101010101" charset="-122"/>
                      <a:cs typeface="Lucida Sans"/>
                    </a:endParaRPr>
                  </a:p>
                </c:rich>
              </c:tx>
              <c:numFmt formatCode="General"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Times New Roman" panose="02020603050405020304"/>
                    <a:ea typeface="宋体" panose="02010600030101010101" charset="-122"/>
                    <a:cs typeface="Lucida San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0.9344</c:v>
                </c:pt>
                <c:pt idx="1">
                  <c:v>0.0656</c:v>
                </c:pt>
              </c:numCache>
            </c:numRef>
          </c:val>
        </c:ser>
        <c:dLbls>
          <c:showLegendKey val="0"/>
          <c:showVal val="1"/>
          <c:showCatName val="0"/>
          <c:showSerName val="0"/>
          <c:showPercent val="0"/>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Times New Roman" panose="02020603050405020304"/>
              <a:ea typeface="宋体" panose="02010600030101010101"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Times New Roman" panose="02020603050405020304"/>
          <a:ea typeface="宋体" panose="02010600030101010101"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1"/>
  </customShpExts>
</s:customData>
</file>

<file path=customXml/item2.xml><?xml version="1.0" encoding="utf-8"?>
<customData xmlns="http://www.yozosoft.com.cn/officeDocument/2016/customData">
  <customProps xmlns="http://www.yozosoft.com.cn/officeDocument/2016/customData">
    <docPr xmlns="http://www.yozosoft.com.cn/officeDocument/2016/customData"/>
    <sectPr xmlns="http://www.yozosoft.com.cn/officeDocument/2016/customData" pgNumType="\* ArabicDash2"/>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0F596-B437-442A-A532-8ED397237CCF}">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19</Pages>
  <Words>6110</Words>
  <Characters>6602</Characters>
  <Lines>374</Lines>
  <Paragraphs>155</Paragraphs>
  <TotalTime>0</TotalTime>
  <ScaleCrop>false</ScaleCrop>
  <LinksUpToDate>false</LinksUpToDate>
  <CharactersWithSpaces>7055</CharactersWithSpaces>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2020-08-04T09:49:00Z</dcterms:created>
  <dc:creator>曹颖</dc:creator>
  <cp:lastModifiedBy>user</cp:lastModifiedBy>
  <cp:lastPrinted>2024-09-23T10:54:00Z</cp:lastPrinted>
  <dcterms:modified xsi:type="dcterms:W3CDTF">2024-09-23T17:48:11Z</dcterms:modified>
  <dc:title>四川省***</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A89CCA93B5EF493184873443FFD72BB1</vt:lpwstr>
  </property>
</Properties>
</file>