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2C54"/>
    <w:p w14:paraId="6D02FBB9"/>
    <w:p w14:paraId="501E1E57"/>
    <w:p w14:paraId="4B6CEACD">
      <w:pPr>
        <w:ind w:firstLine="1100" w:firstLineChars="500"/>
      </w:pPr>
    </w:p>
    <w:p w14:paraId="2E86F583">
      <w:pPr>
        <w:ind w:firstLine="1100" w:firstLineChars="500"/>
      </w:pPr>
    </w:p>
    <w:p w14:paraId="4BC8B792">
      <w:pPr>
        <w:ind w:firstLine="1760" w:firstLineChars="400"/>
        <w:rPr>
          <w:rFonts w:ascii="黑体" w:eastAsia="黑体"/>
          <w:sz w:val="44"/>
          <w:szCs w:val="44"/>
        </w:rPr>
      </w:pPr>
    </w:p>
    <w:p w14:paraId="00DE7CE8">
      <w:pPr>
        <w:ind w:firstLine="1760" w:firstLineChars="400"/>
        <w:rPr>
          <w:rFonts w:ascii="黑体" w:eastAsia="黑体"/>
          <w:sz w:val="44"/>
          <w:szCs w:val="44"/>
        </w:rPr>
      </w:pPr>
    </w:p>
    <w:p w14:paraId="0ED3B22C">
      <w:pPr>
        <w:widowControl w:val="0"/>
        <w:spacing w:line="600" w:lineRule="exact"/>
        <w:ind w:left="0" w:firstLine="0"/>
        <w:jc w:val="center"/>
        <w:rPr>
          <w:rFonts w:ascii="方正小标宋简体" w:eastAsia="方正小标宋简体"/>
          <w:sz w:val="44"/>
          <w:szCs w:val="44"/>
          <w:lang w:eastAsia="zh-CN"/>
        </w:rPr>
      </w:pPr>
      <w:r>
        <w:rPr>
          <w:rFonts w:hint="eastAsia" w:ascii="方正小标宋简体" w:eastAsia="方正小标宋简体"/>
          <w:sz w:val="44"/>
          <w:szCs w:val="44"/>
        </w:rPr>
        <w:t>茂县</w:t>
      </w:r>
      <w:r>
        <w:rPr>
          <w:rFonts w:hint="eastAsia" w:ascii="方正小标宋简体" w:eastAsia="方正小标宋简体"/>
          <w:sz w:val="44"/>
          <w:szCs w:val="44"/>
          <w:lang w:eastAsia="zh-CN"/>
        </w:rPr>
        <w:t>信访局</w:t>
      </w:r>
    </w:p>
    <w:p w14:paraId="61B57343">
      <w:pPr>
        <w:widowControl w:val="0"/>
        <w:spacing w:line="600" w:lineRule="exact"/>
        <w:ind w:left="0" w:firstLine="0"/>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年部门预算</w:t>
      </w:r>
    </w:p>
    <w:p w14:paraId="46FA405F">
      <w:pPr>
        <w:ind w:firstLine="1760" w:firstLineChars="400"/>
        <w:rPr>
          <w:rFonts w:ascii="黑体" w:eastAsia="黑体"/>
          <w:sz w:val="44"/>
          <w:szCs w:val="44"/>
        </w:rPr>
      </w:pPr>
    </w:p>
    <w:p w14:paraId="0487D03B">
      <w:pPr>
        <w:ind w:firstLine="1760" w:firstLineChars="400"/>
        <w:rPr>
          <w:rFonts w:ascii="黑体" w:eastAsia="黑体"/>
          <w:sz w:val="44"/>
          <w:szCs w:val="44"/>
        </w:rPr>
      </w:pPr>
    </w:p>
    <w:p w14:paraId="26E284E1">
      <w:pPr>
        <w:ind w:firstLine="1760" w:firstLineChars="400"/>
        <w:rPr>
          <w:rFonts w:ascii="黑体" w:eastAsia="黑体"/>
          <w:sz w:val="44"/>
          <w:szCs w:val="44"/>
        </w:rPr>
      </w:pPr>
    </w:p>
    <w:p w14:paraId="23EDFA31">
      <w:pPr>
        <w:ind w:firstLine="1760" w:firstLineChars="400"/>
        <w:rPr>
          <w:rFonts w:ascii="黑体" w:eastAsia="黑体"/>
          <w:sz w:val="44"/>
          <w:szCs w:val="44"/>
        </w:rPr>
      </w:pPr>
    </w:p>
    <w:p w14:paraId="6C9937D6">
      <w:pPr>
        <w:ind w:firstLine="1760" w:firstLineChars="400"/>
        <w:rPr>
          <w:rFonts w:ascii="黑体" w:eastAsia="黑体"/>
          <w:sz w:val="44"/>
          <w:szCs w:val="44"/>
        </w:rPr>
      </w:pPr>
    </w:p>
    <w:p w14:paraId="30DAB303">
      <w:pPr>
        <w:ind w:firstLine="1760" w:firstLineChars="400"/>
        <w:rPr>
          <w:rFonts w:ascii="黑体" w:eastAsia="黑体"/>
          <w:sz w:val="44"/>
          <w:szCs w:val="44"/>
        </w:rPr>
      </w:pPr>
    </w:p>
    <w:p w14:paraId="563EBD75">
      <w:pPr>
        <w:ind w:firstLine="1760" w:firstLineChars="400"/>
        <w:rPr>
          <w:rFonts w:ascii="黑体" w:eastAsia="黑体"/>
          <w:sz w:val="44"/>
          <w:szCs w:val="44"/>
        </w:rPr>
      </w:pPr>
    </w:p>
    <w:p w14:paraId="4CE79B4E">
      <w:pPr>
        <w:ind w:firstLine="1760" w:firstLineChars="400"/>
        <w:rPr>
          <w:rFonts w:ascii="黑体" w:eastAsia="黑体"/>
          <w:sz w:val="44"/>
          <w:szCs w:val="44"/>
        </w:rPr>
      </w:pPr>
    </w:p>
    <w:p w14:paraId="56C57926">
      <w:pPr>
        <w:ind w:firstLine="1760" w:firstLineChars="400"/>
        <w:rPr>
          <w:rFonts w:ascii="黑体" w:eastAsia="黑体"/>
          <w:sz w:val="44"/>
          <w:szCs w:val="44"/>
        </w:rPr>
      </w:pPr>
    </w:p>
    <w:p w14:paraId="52E93FAB">
      <w:pPr>
        <w:ind w:firstLine="1760" w:firstLineChars="400"/>
        <w:rPr>
          <w:rFonts w:ascii="黑体" w:eastAsia="黑体"/>
          <w:sz w:val="44"/>
          <w:szCs w:val="44"/>
        </w:rPr>
      </w:pPr>
    </w:p>
    <w:p w14:paraId="1B1A8360">
      <w:pPr>
        <w:ind w:firstLine="1760" w:firstLineChars="400"/>
        <w:rPr>
          <w:rFonts w:ascii="黑体" w:eastAsia="黑体"/>
          <w:sz w:val="44"/>
          <w:szCs w:val="44"/>
        </w:rPr>
      </w:pPr>
    </w:p>
    <w:p w14:paraId="0E27BF39">
      <w:pPr>
        <w:ind w:firstLine="1760" w:firstLineChars="400"/>
        <w:rPr>
          <w:rFonts w:ascii="黑体" w:eastAsia="黑体"/>
          <w:sz w:val="44"/>
          <w:szCs w:val="44"/>
        </w:rPr>
      </w:pPr>
    </w:p>
    <w:p w14:paraId="25E70F69">
      <w:pPr>
        <w:rPr>
          <w:rFonts w:ascii="黑体" w:eastAsia="黑体"/>
          <w:sz w:val="44"/>
          <w:szCs w:val="44"/>
        </w:rPr>
      </w:pPr>
    </w:p>
    <w:p w14:paraId="382B2560">
      <w:pPr>
        <w:ind w:firstLine="0"/>
        <w:jc w:val="center"/>
        <w:rPr>
          <w:rFonts w:hint="eastAsia" w:ascii="宋体"/>
          <w:b/>
          <w:bCs/>
          <w:sz w:val="44"/>
          <w:szCs w:val="44"/>
          <w:lang w:eastAsia="zh-CN"/>
        </w:rPr>
      </w:pPr>
    </w:p>
    <w:p w14:paraId="31F93BB5">
      <w:pPr>
        <w:ind w:firstLine="0"/>
        <w:jc w:val="center"/>
        <w:rPr>
          <w:rFonts w:hint="eastAsia" w:ascii="宋体"/>
          <w:b/>
          <w:bCs/>
          <w:sz w:val="44"/>
          <w:szCs w:val="44"/>
          <w:lang w:eastAsia="zh-CN"/>
        </w:rPr>
      </w:pPr>
    </w:p>
    <w:p w14:paraId="6AE84258">
      <w:pPr>
        <w:ind w:firstLine="0"/>
        <w:jc w:val="center"/>
        <w:rPr>
          <w:rFonts w:ascii="宋体"/>
          <w:b/>
          <w:bCs/>
          <w:sz w:val="44"/>
          <w:szCs w:val="44"/>
          <w:lang w:eastAsia="zh-CN"/>
        </w:rPr>
      </w:pPr>
      <w:r>
        <w:rPr>
          <w:rFonts w:hint="eastAsia" w:ascii="宋体"/>
          <w:b/>
          <w:bCs/>
          <w:sz w:val="44"/>
          <w:szCs w:val="44"/>
          <w:lang w:eastAsia="zh-CN"/>
        </w:rPr>
        <w:t>目</w:t>
      </w:r>
      <w:r>
        <w:rPr>
          <w:rFonts w:ascii="宋体"/>
          <w:b/>
          <w:bCs/>
          <w:sz w:val="44"/>
          <w:szCs w:val="44"/>
          <w:lang w:eastAsia="zh-CN"/>
        </w:rPr>
        <w:t xml:space="preserve"> </w:t>
      </w:r>
      <w:r>
        <w:rPr>
          <w:rFonts w:hint="eastAsia" w:ascii="宋体"/>
          <w:b/>
          <w:bCs/>
          <w:sz w:val="44"/>
          <w:szCs w:val="44"/>
          <w:lang w:eastAsia="zh-CN"/>
        </w:rPr>
        <w:t>录</w:t>
      </w:r>
    </w:p>
    <w:p w14:paraId="6F2BFB93">
      <w:pPr>
        <w:ind w:firstLine="633" w:firstLineChars="198"/>
        <w:rPr>
          <w:rFonts w:ascii="仿宋_GB2312" w:eastAsia="仿宋_GB2312"/>
          <w:bCs/>
          <w:sz w:val="32"/>
          <w:szCs w:val="32"/>
          <w:lang w:eastAsia="zh-CN"/>
        </w:rPr>
      </w:pPr>
    </w:p>
    <w:p w14:paraId="4D5BAD6B">
      <w:pPr>
        <w:ind w:left="0" w:firstLine="640" w:firstLineChars="200"/>
        <w:rPr>
          <w:rFonts w:ascii="仿宋_GB2312" w:eastAsia="仿宋_GB2312"/>
          <w:b/>
          <w:bCs/>
          <w:sz w:val="32"/>
          <w:szCs w:val="32"/>
          <w:lang w:eastAsia="zh-CN"/>
        </w:rPr>
      </w:pPr>
      <w:r>
        <w:rPr>
          <w:rFonts w:hint="eastAsia" w:ascii="仿宋_GB2312" w:eastAsia="仿宋_GB2312"/>
          <w:bCs/>
          <w:sz w:val="32"/>
          <w:szCs w:val="32"/>
          <w:lang w:eastAsia="zh-CN"/>
        </w:rPr>
        <w:t>一、</w:t>
      </w:r>
      <w:r>
        <w:rPr>
          <w:rFonts w:hint="eastAsia" w:ascii="仿宋_GB2312" w:eastAsia="仿宋_GB2312" w:cs="Times New Roman"/>
          <w:sz w:val="32"/>
          <w:szCs w:val="32"/>
          <w:lang w:eastAsia="zh-CN"/>
        </w:rPr>
        <w:t>基本职能及主要工作</w:t>
      </w:r>
    </w:p>
    <w:p w14:paraId="649A3946">
      <w:pPr>
        <w:ind w:firstLine="480" w:firstLineChars="150"/>
        <w:rPr>
          <w:rFonts w:ascii="仿宋_GB2312" w:eastAsia="仿宋_GB2312"/>
          <w:sz w:val="32"/>
          <w:szCs w:val="32"/>
          <w:lang w:eastAsia="zh-CN"/>
        </w:rPr>
      </w:pPr>
      <w:r>
        <w:rPr>
          <w:rFonts w:hint="eastAsia" w:ascii="仿宋_GB2312" w:eastAsia="仿宋_GB2312"/>
          <w:sz w:val="32"/>
          <w:szCs w:val="32"/>
          <w:lang w:eastAsia="zh-CN"/>
        </w:rPr>
        <w:t>（一）部门职能简介</w:t>
      </w:r>
    </w:p>
    <w:p w14:paraId="5353B122">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年重点工作</w:t>
      </w:r>
    </w:p>
    <w:p w14:paraId="4135B0D7">
      <w:pPr>
        <w:tabs>
          <w:tab w:val="left" w:pos="4279"/>
        </w:tabs>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二、部门预算单位构成</w:t>
      </w:r>
    </w:p>
    <w:p w14:paraId="609EA5BE">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三、收支预算情况说明</w:t>
      </w:r>
    </w:p>
    <w:p w14:paraId="5ED3DF86">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（一）收入预算情况</w:t>
      </w:r>
    </w:p>
    <w:p w14:paraId="42EBA9B4">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（二）支出预算情况</w:t>
      </w:r>
    </w:p>
    <w:p w14:paraId="6BB262B6">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四、财政拨款收支预算情况说明</w:t>
      </w:r>
    </w:p>
    <w:p w14:paraId="479DC658">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五、一般公共预算当年拨款情况说明</w:t>
      </w:r>
    </w:p>
    <w:p w14:paraId="3363C815">
      <w:pPr>
        <w:ind w:firstLine="0"/>
        <w:rPr>
          <w:rFonts w:ascii="仿宋_GB2312" w:eastAsia="仿宋_GB2312"/>
          <w:sz w:val="32"/>
          <w:szCs w:val="32"/>
          <w:lang w:eastAsia="zh-CN"/>
        </w:rPr>
      </w:pPr>
      <w:r>
        <w:rPr>
          <w:rFonts w:hint="eastAsia" w:ascii="仿宋_GB2312" w:eastAsia="仿宋_GB2312"/>
          <w:sz w:val="32"/>
          <w:szCs w:val="32"/>
          <w:lang w:eastAsia="zh-CN"/>
        </w:rPr>
        <w:t>　　（一）一般公共预算当年拨款规模变化情况</w:t>
      </w:r>
    </w:p>
    <w:p w14:paraId="149A7977">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（二）一般公共预算当年拨款结构情况</w:t>
      </w:r>
    </w:p>
    <w:p w14:paraId="09831EB9">
      <w:pPr>
        <w:ind w:firstLine="0"/>
        <w:rPr>
          <w:rFonts w:ascii="仿宋_GB2312" w:eastAsia="仿宋_GB2312"/>
          <w:sz w:val="32"/>
          <w:szCs w:val="32"/>
          <w:lang w:eastAsia="zh-CN"/>
        </w:rPr>
      </w:pPr>
      <w:r>
        <w:rPr>
          <w:rFonts w:hint="eastAsia" w:ascii="仿宋_GB2312" w:eastAsia="仿宋_GB2312"/>
          <w:sz w:val="32"/>
          <w:szCs w:val="32"/>
          <w:lang w:eastAsia="zh-CN"/>
        </w:rPr>
        <w:t>　　（三）一般公共预算当年拨款具体使用情况</w:t>
      </w:r>
    </w:p>
    <w:p w14:paraId="49335B13">
      <w:pPr>
        <w:ind w:firstLine="0"/>
        <w:rPr>
          <w:rFonts w:ascii="仿宋_GB2312" w:eastAsia="仿宋_GB2312"/>
          <w:sz w:val="32"/>
          <w:szCs w:val="32"/>
          <w:lang w:eastAsia="zh-CN"/>
        </w:rPr>
      </w:pPr>
      <w:r>
        <w:rPr>
          <w:rFonts w:hint="eastAsia" w:ascii="仿宋_GB2312" w:eastAsia="仿宋_GB2312"/>
          <w:sz w:val="32"/>
          <w:szCs w:val="32"/>
          <w:lang w:eastAsia="zh-CN"/>
        </w:rPr>
        <w:t>　　六、一般公共预算基本支出情况说明</w:t>
      </w:r>
    </w:p>
    <w:p w14:paraId="4F940D3C">
      <w:pPr>
        <w:ind w:firstLine="0"/>
        <w:rPr>
          <w:rFonts w:ascii="仿宋_GB2312" w:eastAsia="仿宋_GB2312"/>
          <w:sz w:val="32"/>
          <w:szCs w:val="32"/>
          <w:lang w:eastAsia="zh-CN"/>
        </w:rPr>
      </w:pPr>
      <w:r>
        <w:rPr>
          <w:rFonts w:hint="eastAsia" w:ascii="仿宋_GB2312" w:eastAsia="仿宋_GB2312"/>
          <w:sz w:val="32"/>
          <w:szCs w:val="32"/>
          <w:lang w:eastAsia="zh-CN"/>
        </w:rPr>
        <w:t>　　七、“三公”经费财政拨款预算安排情况说明</w:t>
      </w:r>
    </w:p>
    <w:p w14:paraId="779E30B0">
      <w:pPr>
        <w:ind w:firstLine="0"/>
        <w:rPr>
          <w:rFonts w:ascii="仿宋_GB2312" w:eastAsia="仿宋_GB2312"/>
          <w:sz w:val="32"/>
          <w:szCs w:val="32"/>
          <w:lang w:eastAsia="zh-CN"/>
        </w:rPr>
      </w:pPr>
      <w:r>
        <w:rPr>
          <w:rFonts w:hint="eastAsia" w:ascii="仿宋_GB2312" w:eastAsia="仿宋_GB2312"/>
          <w:sz w:val="32"/>
          <w:szCs w:val="32"/>
          <w:lang w:eastAsia="zh-CN"/>
        </w:rPr>
        <w:t>　　八、政府性基金预算支出情况说明</w:t>
      </w:r>
    </w:p>
    <w:p w14:paraId="7C84E822">
      <w:pPr>
        <w:ind w:firstLine="0"/>
        <w:rPr>
          <w:rFonts w:ascii="仿宋_GB2312" w:eastAsia="仿宋_GB2312"/>
          <w:sz w:val="32"/>
          <w:szCs w:val="32"/>
          <w:lang w:eastAsia="zh-CN"/>
        </w:rPr>
      </w:pPr>
      <w:r>
        <w:rPr>
          <w:rFonts w:hint="eastAsia" w:ascii="仿宋_GB2312" w:eastAsia="仿宋_GB2312"/>
          <w:sz w:val="32"/>
          <w:szCs w:val="32"/>
          <w:lang w:eastAsia="zh-CN"/>
        </w:rPr>
        <w:t>　　九、其他重要事项的情况说明</w:t>
      </w:r>
    </w:p>
    <w:p w14:paraId="0390D02A">
      <w:pPr>
        <w:ind w:firstLine="0"/>
        <w:rPr>
          <w:rFonts w:ascii="仿宋_GB2312" w:eastAsia="仿宋_GB2312"/>
          <w:sz w:val="24"/>
          <w:szCs w:val="24"/>
          <w:lang w:eastAsia="zh-CN"/>
        </w:rPr>
      </w:pPr>
      <w:r>
        <w:rPr>
          <w:rFonts w:hint="eastAsia" w:ascii="仿宋_GB2312" w:eastAsia="仿宋_GB2312"/>
          <w:sz w:val="32"/>
          <w:szCs w:val="32"/>
          <w:lang w:eastAsia="zh-CN"/>
        </w:rPr>
        <w:t>　　十、名词解释</w:t>
      </w:r>
    </w:p>
    <w:p w14:paraId="7DC78558">
      <w:pPr>
        <w:pStyle w:val="5"/>
        <w:ind w:firstLine="0"/>
        <w:rPr>
          <w:rFonts w:ascii="Calibri" w:hAnsi="Calibri"/>
          <w:sz w:val="22"/>
          <w:lang w:eastAsia="zh-CN"/>
        </w:rPr>
      </w:pPr>
    </w:p>
    <w:p w14:paraId="1B5902EA">
      <w:pPr>
        <w:ind w:left="0" w:firstLine="0"/>
        <w:rPr>
          <w:lang w:eastAsia="zh-CN"/>
        </w:rPr>
      </w:pPr>
    </w:p>
    <w:p w14:paraId="2E04A484">
      <w:pPr>
        <w:ind w:firstLine="0"/>
        <w:rPr>
          <w:lang w:eastAsia="zh-CN"/>
        </w:rPr>
      </w:pPr>
    </w:p>
    <w:p w14:paraId="146DBD4E">
      <w:pPr>
        <w:pStyle w:val="5"/>
        <w:rPr>
          <w:lang w:eastAsia="zh-CN"/>
        </w:rPr>
      </w:pPr>
    </w:p>
    <w:p w14:paraId="6A720220">
      <w:pPr>
        <w:rPr>
          <w:lang w:eastAsia="zh-CN"/>
        </w:rPr>
      </w:pPr>
    </w:p>
    <w:p w14:paraId="3ADEF280">
      <w:pPr>
        <w:spacing w:line="600" w:lineRule="exact"/>
        <w:ind w:firstLine="880" w:firstLineChars="200"/>
        <w:jc w:val="center"/>
        <w:rPr>
          <w:rFonts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茂县信访局</w:t>
      </w:r>
    </w:p>
    <w:p w14:paraId="7210F636">
      <w:pPr>
        <w:spacing w:line="600" w:lineRule="exact"/>
        <w:ind w:firstLine="880" w:firstLineChars="200"/>
        <w:jc w:val="center"/>
        <w:rPr>
          <w:rFonts w:ascii="方正小标宋简体" w:eastAsia="方正小标宋简体" w:cs="方正小标宋简体"/>
          <w:sz w:val="44"/>
          <w:szCs w:val="44"/>
          <w:lang w:eastAsia="zh-CN"/>
        </w:rPr>
      </w:pPr>
      <w:r>
        <w:rPr>
          <w:rFonts w:ascii="方正小标宋简体" w:eastAsia="方正小标宋简体" w:cs="方正小标宋简体"/>
          <w:sz w:val="44"/>
          <w:szCs w:val="44"/>
          <w:lang w:eastAsia="zh-CN"/>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lang w:eastAsia="zh-CN"/>
        </w:rPr>
        <w:t>年部门预算公开说明</w:t>
      </w:r>
    </w:p>
    <w:p w14:paraId="077CA862">
      <w:pPr>
        <w:ind w:firstLine="640" w:firstLineChars="200"/>
        <w:rPr>
          <w:rFonts w:ascii="黑体" w:eastAsia="黑体"/>
          <w:sz w:val="32"/>
          <w:szCs w:val="32"/>
          <w:lang w:eastAsia="zh-CN"/>
        </w:rPr>
      </w:pPr>
    </w:p>
    <w:p w14:paraId="216BC13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lang w:eastAsia="zh-CN"/>
        </w:rPr>
      </w:pPr>
      <w:r>
        <w:rPr>
          <w:rFonts w:hint="eastAsia" w:ascii="黑体" w:eastAsia="黑体"/>
          <w:sz w:val="32"/>
          <w:szCs w:val="32"/>
          <w:lang w:eastAsia="zh-CN"/>
        </w:rPr>
        <w:t>一、基本职能及主要工作</w:t>
      </w:r>
    </w:p>
    <w:p w14:paraId="7860769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（一）部门职能简介</w:t>
      </w:r>
    </w:p>
    <w:p w14:paraId="73EA3463">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r>
        <w:rPr>
          <w:rFonts w:ascii="仿宋_GB2312" w:eastAsia="仿宋_GB2312" w:cs="仿宋_GB2312"/>
          <w:sz w:val="30"/>
          <w:szCs w:val="30"/>
          <w:lang w:eastAsia="zh-CN"/>
        </w:rPr>
        <w:t xml:space="preserve"> </w:t>
      </w:r>
      <w:r>
        <w:rPr>
          <w:rFonts w:ascii="仿宋_GB2312" w:eastAsia="仿宋_GB2312" w:cs="仿宋_GB2312"/>
          <w:sz w:val="32"/>
          <w:szCs w:val="32"/>
          <w:lang w:eastAsia="zh-CN"/>
        </w:rPr>
        <w:t xml:space="preserve"> </w:t>
      </w:r>
      <w:r>
        <w:rPr>
          <w:rFonts w:ascii="仿宋_GB2312" w:eastAsia="仿宋_GB2312" w:cs="仿宋_GB2312"/>
          <w:sz w:val="32"/>
          <w:szCs w:val="32"/>
        </w:rPr>
        <w:t>1.</w:t>
      </w:r>
      <w:r>
        <w:rPr>
          <w:rFonts w:hint="eastAsia" w:ascii="仿宋_GB2312" w:eastAsia="仿宋_GB2312" w:cs="仿宋_GB2312"/>
          <w:sz w:val="32"/>
          <w:szCs w:val="32"/>
        </w:rPr>
        <w:t>起草有关信访工作的规范性文件草案。制定信访问题排查化解、风险评估等制度并组织实施，提出改进和加强信访工作的意见和建议。负责本部门依法行政工作。</w:t>
      </w:r>
    </w:p>
    <w:p w14:paraId="7764A3A6">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rPr>
        <w:t xml:space="preserve"> </w:t>
      </w:r>
      <w:r>
        <w:rPr>
          <w:rFonts w:ascii="仿宋_GB2312" w:eastAsia="仿宋_GB2312" w:cs="仿宋_GB2312"/>
          <w:sz w:val="32"/>
          <w:szCs w:val="32"/>
          <w:lang w:eastAsia="zh-CN"/>
        </w:rPr>
        <w:t xml:space="preserve"> 2.</w:t>
      </w:r>
      <w:r>
        <w:rPr>
          <w:rFonts w:hint="eastAsia" w:ascii="仿宋_GB2312" w:eastAsia="仿宋_GB2312" w:cs="仿宋_GB2312"/>
          <w:sz w:val="32"/>
          <w:szCs w:val="32"/>
          <w:lang w:eastAsia="zh-CN"/>
        </w:rPr>
        <w:t>负责向县委、县政府反映来信来电来访中提出的重要建议、意见和问题，综合研判信访信息，开展调查研究，提出相关建议。</w:t>
      </w:r>
    </w:p>
    <w:p w14:paraId="5730B389">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3.</w:t>
      </w:r>
      <w:r>
        <w:rPr>
          <w:rFonts w:hint="eastAsia" w:ascii="仿宋_GB2312" w:eastAsia="仿宋_GB2312" w:cs="仿宋_GB2312"/>
          <w:sz w:val="32"/>
          <w:szCs w:val="32"/>
          <w:lang w:eastAsia="zh-CN"/>
        </w:rPr>
        <w:t>综合协调指导全县信访工作，推动建立健全信访工作的协调配合机制。督促检查县直各部门（单位）和乡镇信访工作，总结推广信访工作先进经验，协调信访工作宣传和信息发布。</w:t>
      </w:r>
    </w:p>
    <w:p w14:paraId="53AEAFB0">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4.</w:t>
      </w:r>
      <w:r>
        <w:rPr>
          <w:rFonts w:hint="eastAsia" w:ascii="仿宋_GB2312" w:eastAsia="仿宋_GB2312" w:cs="仿宋_GB2312"/>
          <w:sz w:val="32"/>
          <w:szCs w:val="32"/>
          <w:lang w:eastAsia="zh-CN"/>
        </w:rPr>
        <w:t>负责处理县内外群众、境外人士、法人及其他组织通过信访渠道给县委、县政府及领导同志的来信来电，接待来访。</w:t>
      </w:r>
    </w:p>
    <w:p w14:paraId="20E17E99">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5.</w:t>
      </w:r>
      <w:r>
        <w:rPr>
          <w:rFonts w:hint="eastAsia" w:ascii="仿宋_GB2312" w:eastAsia="仿宋_GB2312" w:cs="仿宋_GB2312"/>
          <w:sz w:val="32"/>
          <w:szCs w:val="32"/>
          <w:lang w:eastAsia="zh-CN"/>
        </w:rPr>
        <w:t>承担协调处理群众进京到省去州来县集体上访和非正常上访的责任，综合协调处理跨地区、跨部门的重要信访问题。</w:t>
      </w:r>
    </w:p>
    <w:p w14:paraId="13A31648">
      <w:pPr>
        <w:keepNext w:val="0"/>
        <w:keepLines w:val="0"/>
        <w:pageBreakBefore w:val="0"/>
        <w:widowControl w:val="0"/>
        <w:kinsoku/>
        <w:wordWrap/>
        <w:overflowPunct/>
        <w:topLinePunct w:val="0"/>
        <w:autoSpaceDE/>
        <w:autoSpaceDN/>
        <w:bidi w:val="0"/>
        <w:adjustRightInd/>
        <w:snapToGrid/>
        <w:spacing w:line="576" w:lineRule="exact"/>
        <w:ind w:firstLine="363"/>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6.</w:t>
      </w:r>
      <w:r>
        <w:rPr>
          <w:rFonts w:hint="eastAsia" w:ascii="仿宋_GB2312" w:eastAsia="仿宋_GB2312" w:cs="仿宋_GB2312"/>
          <w:sz w:val="32"/>
          <w:szCs w:val="32"/>
          <w:lang w:eastAsia="zh-CN"/>
        </w:rPr>
        <w:t>负责落实国家、省、州、县领导批示交办信访事项，受理、交办、转办（送）群众来信、来电、来访、网上信访提出的信访事项，督促检查重要信访事项的处理和落实。</w:t>
      </w:r>
    </w:p>
    <w:p w14:paraId="57A1C037">
      <w:pPr>
        <w:keepNext w:val="0"/>
        <w:keepLines w:val="0"/>
        <w:pageBreakBefore w:val="0"/>
        <w:widowControl w:val="0"/>
        <w:kinsoku/>
        <w:wordWrap/>
        <w:overflowPunct/>
        <w:topLinePunct w:val="0"/>
        <w:autoSpaceDE/>
        <w:autoSpaceDN/>
        <w:bidi w:val="0"/>
        <w:adjustRightInd/>
        <w:snapToGrid/>
        <w:spacing w:line="576" w:lineRule="exact"/>
        <w:ind w:firstLine="363"/>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7.</w:t>
      </w:r>
      <w:r>
        <w:rPr>
          <w:rFonts w:hint="eastAsia" w:ascii="仿宋_GB2312" w:eastAsia="仿宋_GB2312" w:cs="仿宋_GB2312"/>
          <w:sz w:val="32"/>
          <w:szCs w:val="32"/>
          <w:lang w:eastAsia="zh-CN"/>
        </w:rPr>
        <w:t>加强对信访问题排查化解和社情民意汇集分析，重点开展法律法规政策宣传和思想教育疏导，将信访工作的重点由事后处理转移到事前排查化解，增强信访工作的预见性和针对性。</w:t>
      </w:r>
    </w:p>
    <w:p w14:paraId="35A0DD6E">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8.</w:t>
      </w:r>
      <w:r>
        <w:rPr>
          <w:rFonts w:hint="eastAsia" w:ascii="仿宋_GB2312" w:eastAsia="仿宋_GB2312" w:cs="仿宋_GB2312"/>
          <w:sz w:val="32"/>
          <w:szCs w:val="32"/>
          <w:lang w:eastAsia="zh-CN"/>
        </w:rPr>
        <w:t>加强对重大信访事项的督查督办，完善信访诉求表达方式，进一步畅通信访渠道，确保信访工作决策部署得到贯彻落实，推动群众信访问题得到妥善解决。</w:t>
      </w:r>
    </w:p>
    <w:p w14:paraId="476DB120">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9.</w:t>
      </w:r>
      <w:r>
        <w:rPr>
          <w:rFonts w:hint="eastAsia" w:ascii="仿宋_GB2312" w:eastAsia="仿宋_GB2312" w:cs="仿宋_GB2312"/>
          <w:sz w:val="32"/>
          <w:szCs w:val="32"/>
          <w:lang w:eastAsia="zh-CN"/>
        </w:rPr>
        <w:t>建立和完善信访信息汇集分析机制，指导信访信息系统建设和应用。</w:t>
      </w:r>
    </w:p>
    <w:p w14:paraId="57799E6A">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10.</w:t>
      </w:r>
      <w:r>
        <w:rPr>
          <w:rFonts w:hint="eastAsia" w:ascii="仿宋_GB2312" w:eastAsia="仿宋_GB2312" w:cs="仿宋_GB2312"/>
          <w:sz w:val="32"/>
          <w:szCs w:val="32"/>
          <w:lang w:eastAsia="zh-CN"/>
        </w:rPr>
        <w:t>开展网上信访工作，探索“互联网</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信访”新模式，推动信访信息化建设。</w:t>
      </w:r>
    </w:p>
    <w:p w14:paraId="0D8EF27D">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11.</w:t>
      </w:r>
      <w:r>
        <w:rPr>
          <w:rFonts w:hint="eastAsia" w:ascii="仿宋_GB2312" w:eastAsia="仿宋_GB2312" w:cs="仿宋_GB2312"/>
          <w:sz w:val="32"/>
          <w:szCs w:val="32"/>
          <w:lang w:eastAsia="zh-CN"/>
        </w:rPr>
        <w:t>承担县信访工作联席会议、县政府信访事项复查复核委员会日常工作，督促落实有关事项。</w:t>
      </w:r>
    </w:p>
    <w:p w14:paraId="5A98CB4F">
      <w:pPr>
        <w:keepNext w:val="0"/>
        <w:keepLines w:val="0"/>
        <w:pageBreakBefore w:val="0"/>
        <w:kinsoku/>
        <w:wordWrap/>
        <w:overflowPunct/>
        <w:topLinePunct w:val="0"/>
        <w:autoSpaceDE/>
        <w:autoSpaceDN/>
        <w:bidi w:val="0"/>
        <w:adjustRightInd/>
        <w:snapToGrid/>
        <w:spacing w:line="576" w:lineRule="exact"/>
        <w:textAlignment w:val="auto"/>
        <w:rPr>
          <w:sz w:val="32"/>
          <w:szCs w:val="32"/>
          <w:lang w:eastAsia="zh-CN"/>
        </w:rPr>
      </w:pPr>
      <w:r>
        <w:rPr>
          <w:rFonts w:ascii="仿宋_GB2312" w:eastAsia="仿宋_GB2312" w:cs="仿宋_GB2312"/>
          <w:sz w:val="32"/>
          <w:szCs w:val="32"/>
          <w:lang w:eastAsia="zh-CN"/>
        </w:rPr>
        <w:t xml:space="preserve">  12.</w:t>
      </w:r>
      <w:r>
        <w:rPr>
          <w:rFonts w:hint="eastAsia" w:ascii="仿宋_GB2312" w:eastAsia="仿宋_GB2312" w:cs="仿宋_GB2312"/>
          <w:sz w:val="32"/>
          <w:szCs w:val="32"/>
          <w:lang w:eastAsia="zh-CN"/>
        </w:rPr>
        <w:t>完成县委、县政府交办的其他任务。</w:t>
      </w:r>
    </w:p>
    <w:p w14:paraId="0BD728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w:t>
      </w:r>
      <w:r>
        <w:rPr>
          <w:rFonts w:hint="eastAsia" w:ascii="楷体_GB2312" w:eastAsia="楷体_GB2312" w:cs="楷体_GB2312"/>
          <w:b/>
          <w:bCs/>
          <w:kern w:val="2"/>
          <w:sz w:val="32"/>
          <w:szCs w:val="32"/>
          <w:lang w:val="en-US" w:eastAsia="zh-CN"/>
        </w:rPr>
        <w:t>5</w:t>
      </w:r>
      <w:r>
        <w:rPr>
          <w:rFonts w:hint="eastAsia" w:ascii="楷体_GB2312" w:eastAsia="楷体_GB2312" w:cs="楷体_GB2312"/>
          <w:b/>
          <w:bCs/>
          <w:kern w:val="2"/>
          <w:sz w:val="32"/>
          <w:szCs w:val="32"/>
          <w:lang w:eastAsia="zh-CN"/>
        </w:rPr>
        <w:t>年重点工作</w:t>
      </w:r>
    </w:p>
    <w:p w14:paraId="2A597189">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rPr>
        <w:t>一是全面推进信访工作法治化。</w:t>
      </w:r>
      <w:r>
        <w:rPr>
          <w:rFonts w:hint="eastAsia" w:ascii="仿宋_GB2312" w:eastAsia="仿宋_GB2312"/>
          <w:sz w:val="32"/>
          <w:szCs w:val="32"/>
        </w:rPr>
        <w:t>继续做好《信访工作条例》的学习宣传、释法宣讲工作。全面推广运用信访工作法治化“路线图”和工作指南，推动信访问题程序性和实体性完全解决。</w:t>
      </w:r>
    </w:p>
    <w:p w14:paraId="34B66204">
      <w:pPr>
        <w:keepNext w:val="0"/>
        <w:keepLines w:val="0"/>
        <w:pageBreakBefore w:val="0"/>
        <w:kinsoku/>
        <w:wordWrap/>
        <w:overflowPunct/>
        <w:topLinePunct w:val="0"/>
        <w:autoSpaceDE/>
        <w:autoSpaceDN/>
        <w:bidi w:val="0"/>
        <w:adjustRightInd/>
        <w:snapToGrid/>
        <w:spacing w:line="576" w:lineRule="exact"/>
        <w:ind w:firstLine="581" w:firstLineChars="181"/>
        <w:textAlignment w:val="auto"/>
        <w:rPr>
          <w:rFonts w:hint="eastAsia" w:ascii="仿宋_GB2312" w:eastAsia="仿宋_GB2312"/>
          <w:sz w:val="32"/>
          <w:szCs w:val="32"/>
        </w:rPr>
      </w:pPr>
      <w:r>
        <w:rPr>
          <w:rFonts w:hint="eastAsia" w:ascii="楷体_GB2312" w:eastAsia="楷体_GB2312"/>
          <w:b/>
          <w:bCs/>
          <w:sz w:val="32"/>
          <w:szCs w:val="32"/>
        </w:rPr>
        <w:t>二是建立健全源头防控机制。</w:t>
      </w:r>
      <w:r>
        <w:rPr>
          <w:rFonts w:hint="eastAsia" w:ascii="仿宋_GB2312" w:eastAsia="仿宋_GB2312"/>
          <w:color w:val="auto"/>
          <w:spacing w:val="7"/>
          <w:sz w:val="32"/>
          <w:szCs w:val="32"/>
          <w:shd w:val="clear" w:color="auto" w:fill="FFFFFF"/>
        </w:rPr>
        <w:t>健全完善各级信访联席办统筹协调成员单位的制度机制，加强信访信息分析研判、重大问题协调处理和联合督查，</w:t>
      </w:r>
      <w:r>
        <w:rPr>
          <w:rFonts w:hint="eastAsia" w:ascii="仿宋_GB2312" w:eastAsia="仿宋_GB2312"/>
          <w:sz w:val="32"/>
          <w:szCs w:val="32"/>
        </w:rPr>
        <w:t>对排查出的矛盾纠纷逐一建立台账，落实专人、专班，制定专门化解方案，综合施策，着力化解，最大限度的将矛盾纠纷解决在基层。</w:t>
      </w:r>
    </w:p>
    <w:p w14:paraId="75A8687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rPr>
        <w:t>三是纵深推进化解信访积案。</w:t>
      </w:r>
      <w:r>
        <w:rPr>
          <w:rFonts w:hint="eastAsia" w:ascii="仿宋_GB2312" w:eastAsia="仿宋_GB2312"/>
          <w:sz w:val="32"/>
          <w:szCs w:val="32"/>
        </w:rPr>
        <w:t>对当前排查梳理交办和州交办的信访积案，实行领导包案，压实化解责任。坚持分类化解，细化解决问题、化解矛盾、教育稳控、依法处理等措施，找准化解矛盾、解决问题与群众过高要求之间的结合点、切入点，按照“三到位一处理”解决一批信访问题，以此推动重复信访量大幅下降，重点领域和重点群体突出矛盾明显缓解。</w:t>
      </w:r>
    </w:p>
    <w:p w14:paraId="3117CC97">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宋体"/>
          <w:b/>
          <w:kern w:val="0"/>
          <w:szCs w:val="32"/>
        </w:rPr>
      </w:pPr>
      <w:r>
        <w:rPr>
          <w:rFonts w:hint="eastAsia" w:ascii="楷体_GB2312" w:eastAsia="楷体_GB2312"/>
          <w:b/>
          <w:sz w:val="32"/>
          <w:szCs w:val="32"/>
        </w:rPr>
        <w:t>四是全面稳控越级重点人员。</w:t>
      </w:r>
      <w:r>
        <w:rPr>
          <w:rFonts w:hint="eastAsia" w:ascii="仿宋_GB2312" w:eastAsia="仿宋_GB2312"/>
          <w:sz w:val="32"/>
          <w:szCs w:val="32"/>
        </w:rPr>
        <w:t>对信访重点人员及重点群体，落实责任主体单位明确稳控包案责任、明确专班、采取“一对一”“多对一”、行踪日抽查等举措，对其加强掌控，密切掌握其行踪动向，坚决将其稳控在当地，</w:t>
      </w:r>
      <w:r>
        <w:rPr>
          <w:rFonts w:hint="eastAsia" w:ascii="仿宋_GB2312" w:eastAsia="仿宋_GB2312" w:cs="楷体_GB2312"/>
          <w:color w:val="000000"/>
          <w:spacing w:val="0"/>
          <w:sz w:val="32"/>
          <w:szCs w:val="32"/>
          <w:shd w:val="clear" w:color="auto" w:fill="FFFFFF"/>
          <w:lang w:bidi="ar-SA"/>
        </w:rPr>
        <w:t>确保“不出非法到省进京上访和群众集访、不出网络负面舆情”目标。</w:t>
      </w:r>
    </w:p>
    <w:p w14:paraId="2729E8D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二、部门预算单位构成</w:t>
      </w:r>
    </w:p>
    <w:p w14:paraId="3653BC6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茂县信访局属一级预算单位，下属二级预算单位</w:t>
      </w:r>
      <w:r>
        <w:rPr>
          <w:rFonts w:ascii="仿宋_GB2312" w:eastAsia="仿宋_GB2312"/>
          <w:sz w:val="32"/>
          <w:szCs w:val="32"/>
          <w:lang w:eastAsia="zh-CN"/>
        </w:rPr>
        <w:t>1</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1</w:t>
      </w:r>
      <w:r>
        <w:rPr>
          <w:rFonts w:hint="eastAsia" w:ascii="仿宋_GB2312" w:eastAsia="仿宋_GB2312"/>
          <w:sz w:val="32"/>
          <w:szCs w:val="32"/>
          <w:lang w:eastAsia="zh-CN"/>
        </w:rPr>
        <w:t>个。</w:t>
      </w:r>
    </w:p>
    <w:p w14:paraId="78844D6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黑体" w:eastAsia="黑体"/>
          <w:sz w:val="32"/>
          <w:szCs w:val="32"/>
          <w:lang w:eastAsia="zh-CN"/>
        </w:rPr>
        <w:t>三、收支预算情况说明</w:t>
      </w:r>
    </w:p>
    <w:p w14:paraId="706C810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按照综合预算的原则，茂县信访局所有收入和支出均纳入部门预算管理。收入包括</w:t>
      </w:r>
      <w:r>
        <w:rPr>
          <w:rFonts w:ascii="仿宋_GB2312" w:eastAsia="仿宋_GB2312"/>
          <w:sz w:val="32"/>
          <w:szCs w:val="32"/>
          <w:lang w:eastAsia="zh-CN"/>
        </w:rPr>
        <w:t>:</w:t>
      </w:r>
      <w:r>
        <w:rPr>
          <w:rFonts w:hint="eastAsia" w:ascii="仿宋_GB2312" w:eastAsia="仿宋_GB2312"/>
          <w:sz w:val="32"/>
          <w:szCs w:val="32"/>
          <w:lang w:eastAsia="zh-CN"/>
        </w:rPr>
        <w:t>一般公共预算拨款收入</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元;支出包括</w:t>
      </w:r>
      <w:r>
        <w:rPr>
          <w:rFonts w:ascii="仿宋_GB2312" w:eastAsia="仿宋_GB2312"/>
          <w:sz w:val="32"/>
          <w:szCs w:val="32"/>
          <w:lang w:eastAsia="zh-CN"/>
        </w:rPr>
        <w:t>:</w:t>
      </w: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,825,750</w:t>
      </w:r>
      <w:r>
        <w:rPr>
          <w:rFonts w:hint="eastAsia" w:ascii="仿宋_GB2312" w:eastAsia="仿宋_GB2312"/>
          <w:sz w:val="32"/>
          <w:szCs w:val="32"/>
          <w:lang w:eastAsia="zh-CN"/>
        </w:rPr>
        <w:t>.</w:t>
      </w:r>
      <w:r>
        <w:rPr>
          <w:rFonts w:hint="eastAsia" w:ascii="仿宋_GB2312" w:eastAsia="仿宋_GB2312"/>
          <w:sz w:val="32"/>
          <w:szCs w:val="32"/>
          <w:lang w:val="en-US" w:eastAsia="zh-CN"/>
        </w:rPr>
        <w:t>73</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250,948</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127,876.01</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190,740.00</w:t>
      </w:r>
      <w:r>
        <w:rPr>
          <w:rFonts w:hint="eastAsia" w:ascii="仿宋_GB2312" w:eastAsia="仿宋_GB2312"/>
          <w:sz w:val="32"/>
          <w:szCs w:val="32"/>
          <w:lang w:eastAsia="zh-CN"/>
        </w:rPr>
        <w:t>元；茂县信访局</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年收支总预算</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年收支预算总数减少</w:t>
      </w:r>
      <w:r>
        <w:rPr>
          <w:rFonts w:hint="eastAsia" w:ascii="仿宋_GB2312" w:eastAsia="仿宋_GB2312"/>
          <w:sz w:val="32"/>
          <w:szCs w:val="32"/>
          <w:lang w:val="en-US" w:eastAsia="zh-CN"/>
        </w:rPr>
        <w:t>139,512.76</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人员减少</w:t>
      </w:r>
      <w:r>
        <w:rPr>
          <w:rFonts w:hint="eastAsia" w:ascii="仿宋_GB2312" w:eastAsia="仿宋_GB2312"/>
          <w:sz w:val="32"/>
          <w:szCs w:val="32"/>
          <w:lang w:eastAsia="zh-CN"/>
        </w:rPr>
        <w:t>。</w:t>
      </w:r>
    </w:p>
    <w:p w14:paraId="6AFEB75B">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（一）收入预算情况</w:t>
      </w:r>
    </w:p>
    <w:p w14:paraId="3B2BC7D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年收入预算</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元；一般公共预算拨款收入</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14:paraId="69F5E8F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（二）支出预算情况</w:t>
      </w:r>
    </w:p>
    <w:p w14:paraId="17ADFA21">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年支出预算</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元，其中：基本支出</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w:t>
      </w:r>
    </w:p>
    <w:p w14:paraId="46892AB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lang w:eastAsia="zh-CN"/>
        </w:rPr>
      </w:pPr>
      <w:r>
        <w:rPr>
          <w:rFonts w:ascii="黑体" w:eastAsia="黑体"/>
          <w:b/>
          <w:sz w:val="32"/>
          <w:szCs w:val="32"/>
          <w:lang w:eastAsia="zh-CN"/>
        </w:rPr>
        <w:t xml:space="preserve"> </w:t>
      </w:r>
    </w:p>
    <w:p w14:paraId="3CD5CFF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四、财政拨款收支预算情况说明</w:t>
      </w:r>
    </w:p>
    <w:p w14:paraId="0E061F1F">
      <w:pPr>
        <w:keepNext w:val="0"/>
        <w:keepLines w:val="0"/>
        <w:pageBreakBefore w:val="0"/>
        <w:kinsoku/>
        <w:wordWrap/>
        <w:overflowPunct/>
        <w:topLinePunct w:val="0"/>
        <w:autoSpaceDE/>
        <w:autoSpaceDN/>
        <w:bidi w:val="0"/>
        <w:adjustRightInd/>
        <w:snapToGrid/>
        <w:spacing w:line="576" w:lineRule="exact"/>
        <w:ind w:firstLine="440" w:firstLineChars="200"/>
        <w:jc w:val="both"/>
        <w:textAlignment w:val="auto"/>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年财政拨款收支总预算</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年收支预算总数减少</w:t>
      </w:r>
      <w:r>
        <w:rPr>
          <w:rFonts w:hint="eastAsia" w:ascii="仿宋_GB2312" w:eastAsia="仿宋_GB2312"/>
          <w:sz w:val="32"/>
          <w:szCs w:val="32"/>
          <w:lang w:val="en-US" w:eastAsia="zh-CN"/>
        </w:rPr>
        <w:t>139,512.76</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人员减少</w:t>
      </w:r>
      <w:r>
        <w:rPr>
          <w:rFonts w:hint="eastAsia" w:ascii="仿宋_GB2312" w:eastAsia="仿宋_GB2312"/>
          <w:sz w:val="32"/>
          <w:szCs w:val="32"/>
          <w:lang w:eastAsia="zh-CN"/>
        </w:rPr>
        <w:t>。</w:t>
      </w:r>
    </w:p>
    <w:p w14:paraId="5FED6194">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w:t>
      </w:r>
    </w:p>
    <w:p w14:paraId="1CE1C3B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支出包括：一般公共服务支出1</w:t>
      </w:r>
      <w:r>
        <w:rPr>
          <w:rFonts w:hint="eastAsia" w:ascii="仿宋_GB2312" w:eastAsia="仿宋_GB2312"/>
          <w:sz w:val="32"/>
          <w:szCs w:val="32"/>
          <w:lang w:val="en-US" w:eastAsia="zh-CN"/>
        </w:rPr>
        <w:t>,825,750</w:t>
      </w:r>
      <w:r>
        <w:rPr>
          <w:rFonts w:hint="eastAsia" w:ascii="仿宋_GB2312" w:eastAsia="仿宋_GB2312"/>
          <w:sz w:val="32"/>
          <w:szCs w:val="32"/>
          <w:lang w:eastAsia="zh-CN"/>
        </w:rPr>
        <w:t>.</w:t>
      </w:r>
      <w:r>
        <w:rPr>
          <w:rFonts w:hint="eastAsia" w:ascii="仿宋_GB2312" w:eastAsia="仿宋_GB2312"/>
          <w:sz w:val="32"/>
          <w:szCs w:val="32"/>
          <w:lang w:val="en-US" w:eastAsia="zh-CN"/>
        </w:rPr>
        <w:t>73</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250,948</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127,876.01</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190,740.00</w:t>
      </w:r>
      <w:r>
        <w:rPr>
          <w:rFonts w:hint="eastAsia" w:ascii="仿宋_GB2312" w:eastAsia="仿宋_GB2312"/>
          <w:sz w:val="32"/>
          <w:szCs w:val="32"/>
          <w:lang w:eastAsia="zh-CN"/>
        </w:rPr>
        <w:t>元。</w:t>
      </w:r>
    </w:p>
    <w:p w14:paraId="375C63A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五、一般公共预算当年拨款情况说明</w:t>
      </w:r>
    </w:p>
    <w:p w14:paraId="10AA42E6">
      <w:pPr>
        <w:keepNext w:val="0"/>
        <w:keepLines w:val="0"/>
        <w:pageBreakBefore w:val="0"/>
        <w:kinsoku/>
        <w:wordWrap/>
        <w:overflowPunct/>
        <w:topLinePunct w:val="0"/>
        <w:autoSpaceDE/>
        <w:autoSpaceDN/>
        <w:bidi w:val="0"/>
        <w:adjustRightInd/>
        <w:snapToGrid/>
        <w:spacing w:line="576" w:lineRule="exact"/>
        <w:ind w:firstLine="0"/>
        <w:textAlignment w:val="auto"/>
        <w:rPr>
          <w:rFonts w:ascii="楷体_GB2312" w:eastAsia="楷体_GB2312" w:cs="楷体_GB2312"/>
          <w:b/>
          <w:bCs/>
          <w:kern w:val="2"/>
          <w:sz w:val="32"/>
          <w:szCs w:val="32"/>
          <w:lang w:eastAsia="zh-CN"/>
        </w:rPr>
      </w:pPr>
      <w:r>
        <w:rPr>
          <w:rFonts w:hint="eastAsia"/>
          <w:lang w:eastAsia="zh-CN"/>
        </w:rPr>
        <w:t>　　</w:t>
      </w:r>
      <w:r>
        <w:rPr>
          <w:rFonts w:hint="eastAsia" w:ascii="楷体_GB2312" w:eastAsia="楷体_GB2312" w:cs="楷体_GB2312"/>
          <w:b/>
          <w:bCs/>
          <w:kern w:val="2"/>
          <w:sz w:val="32"/>
          <w:szCs w:val="32"/>
          <w:lang w:eastAsia="zh-CN"/>
        </w:rPr>
        <w:t>（一）一般公共预算当年拨款规模变化情况</w:t>
      </w:r>
    </w:p>
    <w:p w14:paraId="4F4B4C4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年一般公共预算当年拨款</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年预算总数减少</w:t>
      </w:r>
      <w:r>
        <w:rPr>
          <w:rFonts w:hint="eastAsia" w:ascii="仿宋_GB2312" w:eastAsia="仿宋_GB2312"/>
          <w:sz w:val="32"/>
          <w:szCs w:val="32"/>
          <w:lang w:val="en-US" w:eastAsia="zh-CN"/>
        </w:rPr>
        <w:t>139,512.76</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人员减少</w:t>
      </w:r>
      <w:r>
        <w:rPr>
          <w:rFonts w:hint="eastAsia" w:ascii="仿宋_GB2312" w:eastAsia="仿宋_GB2312"/>
          <w:sz w:val="32"/>
          <w:szCs w:val="32"/>
          <w:lang w:eastAsia="zh-CN"/>
        </w:rPr>
        <w:t>。</w:t>
      </w:r>
    </w:p>
    <w:p w14:paraId="2F670B0B">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rFonts w:hint="eastAsia"/>
          <w:lang w:eastAsia="zh-CN"/>
        </w:rPr>
        <w:t>　　</w:t>
      </w:r>
      <w:r>
        <w:rPr>
          <w:rFonts w:hint="eastAsia" w:ascii="楷体_GB2312" w:eastAsia="楷体_GB2312" w:cs="楷体_GB2312"/>
          <w:b/>
          <w:bCs/>
          <w:kern w:val="2"/>
          <w:sz w:val="32"/>
          <w:szCs w:val="32"/>
          <w:lang w:eastAsia="zh-CN"/>
        </w:rPr>
        <w:t>（二）一般公共预算当年拨款结构情况</w:t>
      </w:r>
    </w:p>
    <w:p w14:paraId="31729D2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,825,750</w:t>
      </w:r>
      <w:r>
        <w:rPr>
          <w:rFonts w:hint="eastAsia" w:ascii="仿宋_GB2312" w:eastAsia="仿宋_GB2312"/>
          <w:sz w:val="32"/>
          <w:szCs w:val="32"/>
          <w:lang w:eastAsia="zh-CN"/>
        </w:rPr>
        <w:t>.</w:t>
      </w:r>
      <w:r>
        <w:rPr>
          <w:rFonts w:hint="eastAsia" w:ascii="仿宋_GB2312" w:eastAsia="仿宋_GB2312"/>
          <w:sz w:val="32"/>
          <w:szCs w:val="32"/>
          <w:lang w:val="en-US" w:eastAsia="zh-CN"/>
        </w:rPr>
        <w:t>73</w:t>
      </w:r>
      <w:r>
        <w:rPr>
          <w:rFonts w:hint="eastAsia" w:ascii="仿宋_GB2312" w:eastAsia="仿宋_GB2312"/>
          <w:sz w:val="32"/>
          <w:szCs w:val="32"/>
          <w:lang w:eastAsia="zh-CN"/>
        </w:rPr>
        <w:t>元，占</w:t>
      </w:r>
      <w:r>
        <w:rPr>
          <w:rFonts w:hint="eastAsia" w:ascii="仿宋_GB2312" w:eastAsia="仿宋_GB2312"/>
          <w:sz w:val="32"/>
          <w:szCs w:val="32"/>
          <w:lang w:val="en-US" w:eastAsia="zh-CN"/>
        </w:rPr>
        <w:t>76.22</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250,948</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元，占</w:t>
      </w:r>
      <w:r>
        <w:rPr>
          <w:rFonts w:hint="eastAsia" w:ascii="仿宋_GB2312" w:eastAsia="仿宋_GB2312"/>
          <w:sz w:val="32"/>
          <w:szCs w:val="32"/>
          <w:lang w:val="en-US" w:eastAsia="zh-CN"/>
        </w:rPr>
        <w:t>10.48</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127,876.01</w:t>
      </w:r>
      <w:r>
        <w:rPr>
          <w:rFonts w:hint="eastAsia" w:ascii="仿宋_GB2312" w:eastAsia="仿宋_GB2312"/>
          <w:sz w:val="32"/>
          <w:szCs w:val="32"/>
          <w:lang w:eastAsia="zh-CN"/>
        </w:rPr>
        <w:t>元，占</w:t>
      </w:r>
      <w:r>
        <w:rPr>
          <w:rFonts w:ascii="仿宋_GB2312" w:eastAsia="仿宋_GB2312"/>
          <w:sz w:val="32"/>
          <w:szCs w:val="32"/>
          <w:lang w:eastAsia="zh-CN"/>
        </w:rPr>
        <w:t>5.</w:t>
      </w:r>
      <w:r>
        <w:rPr>
          <w:rFonts w:hint="eastAsia" w:ascii="仿宋_GB2312" w:eastAsia="仿宋_GB2312"/>
          <w:sz w:val="32"/>
          <w:szCs w:val="32"/>
          <w:lang w:val="en-US" w:eastAsia="zh-CN"/>
        </w:rPr>
        <w:t>34</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190,740.00</w:t>
      </w:r>
      <w:r>
        <w:rPr>
          <w:rFonts w:hint="eastAsia" w:ascii="仿宋_GB2312" w:eastAsia="仿宋_GB2312"/>
          <w:sz w:val="32"/>
          <w:szCs w:val="32"/>
          <w:lang w:eastAsia="zh-CN"/>
        </w:rPr>
        <w:t>元，占</w:t>
      </w:r>
      <w:r>
        <w:rPr>
          <w:rFonts w:hint="eastAsia" w:ascii="仿宋_GB2312" w:eastAsia="仿宋_GB2312"/>
          <w:sz w:val="32"/>
          <w:szCs w:val="32"/>
          <w:lang w:val="en-US" w:eastAsia="zh-CN"/>
        </w:rPr>
        <w:t>7.96</w:t>
      </w:r>
      <w:r>
        <w:rPr>
          <w:rFonts w:ascii="仿宋_GB2312" w:eastAsia="仿宋_GB2312"/>
          <w:sz w:val="32"/>
          <w:szCs w:val="32"/>
          <w:lang w:eastAsia="zh-CN"/>
        </w:rPr>
        <w:t>%</w:t>
      </w:r>
      <w:r>
        <w:rPr>
          <w:rFonts w:hint="eastAsia" w:ascii="仿宋_GB2312" w:eastAsia="仿宋_GB2312"/>
          <w:sz w:val="32"/>
          <w:szCs w:val="32"/>
          <w:lang w:eastAsia="zh-CN"/>
        </w:rPr>
        <w:t>。</w:t>
      </w:r>
    </w:p>
    <w:p w14:paraId="08B88C88">
      <w:pPr>
        <w:keepNext w:val="0"/>
        <w:keepLines w:val="0"/>
        <w:pageBreakBefore w:val="0"/>
        <w:kinsoku/>
        <w:wordWrap/>
        <w:overflowPunct/>
        <w:topLinePunct w:val="0"/>
        <w:autoSpaceDE/>
        <w:autoSpaceDN/>
        <w:bidi w:val="0"/>
        <w:adjustRightInd/>
        <w:snapToGrid/>
        <w:spacing w:line="576" w:lineRule="exact"/>
        <w:ind w:firstLine="435"/>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（三）一般公共预算当年拨款具体使用情况</w:t>
      </w:r>
    </w:p>
    <w:p w14:paraId="7876FDA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955,256.76</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行政单位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年的人员经费和日常公用经费等基本支出。</w:t>
      </w:r>
    </w:p>
    <w:p w14:paraId="10E7686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870,493.97</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事业单位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14:paraId="65E914B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167,299.08</w:t>
      </w:r>
      <w:r>
        <w:rPr>
          <w:rFonts w:hint="eastAsia" w:ascii="仿宋_GB2312" w:eastAsia="仿宋_GB2312"/>
          <w:sz w:val="32"/>
          <w:szCs w:val="32"/>
          <w:lang w:eastAsia="zh-CN"/>
        </w:rPr>
        <w:t>元，主要用于单位缴纳基本养老保险费。</w:t>
      </w:r>
    </w:p>
    <w:p w14:paraId="575894A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83,649.52</w:t>
      </w:r>
      <w:r>
        <w:rPr>
          <w:rFonts w:hint="eastAsia" w:ascii="仿宋_GB2312" w:eastAsia="仿宋_GB2312"/>
          <w:sz w:val="32"/>
          <w:szCs w:val="32"/>
          <w:lang w:eastAsia="zh-CN"/>
        </w:rPr>
        <w:t>元，主要用于单位缴纳职业年金。</w:t>
      </w:r>
    </w:p>
    <w:p w14:paraId="107C6E5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68,646.08</w:t>
      </w:r>
      <w:r>
        <w:rPr>
          <w:rFonts w:hint="eastAsia" w:ascii="仿宋_GB2312" w:eastAsia="仿宋_GB2312"/>
          <w:sz w:val="32"/>
          <w:szCs w:val="32"/>
          <w:lang w:eastAsia="zh-CN"/>
        </w:rPr>
        <w:t>元，主要用于行政单位缴纳基本医疗保险。</w:t>
      </w:r>
    </w:p>
    <w:p w14:paraId="20D0589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59,229.93</w:t>
      </w:r>
      <w:r>
        <w:rPr>
          <w:rFonts w:hint="eastAsia" w:ascii="仿宋_GB2312" w:eastAsia="仿宋_GB2312"/>
          <w:sz w:val="32"/>
          <w:szCs w:val="32"/>
          <w:lang w:eastAsia="zh-CN"/>
        </w:rPr>
        <w:t>元，主要用于事业单位缴纳基本医疗保险。</w:t>
      </w:r>
    </w:p>
    <w:p w14:paraId="6B6C76B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190,740.00</w:t>
      </w:r>
      <w:r>
        <w:rPr>
          <w:rFonts w:hint="eastAsia" w:ascii="仿宋_GB2312" w:eastAsia="仿宋_GB2312"/>
          <w:sz w:val="32"/>
          <w:szCs w:val="32"/>
          <w:lang w:eastAsia="zh-CN"/>
        </w:rPr>
        <w:t>元，主要用于单位为职工缴纳住房公积金。</w:t>
      </w:r>
    </w:p>
    <w:p w14:paraId="27B599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六、一般公共预算基本支出情况说明</w:t>
      </w:r>
    </w:p>
    <w:p w14:paraId="3314F3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年一般公共预算基本支出</w:t>
      </w:r>
      <w:r>
        <w:rPr>
          <w:rFonts w:hint="eastAsia" w:ascii="仿宋_GB2312" w:eastAsia="仿宋_GB2312"/>
          <w:sz w:val="32"/>
          <w:szCs w:val="32"/>
          <w:lang w:val="en-US" w:eastAsia="zh-CN"/>
        </w:rPr>
        <w:t>2,395,315.34</w:t>
      </w:r>
      <w:r>
        <w:rPr>
          <w:rFonts w:hint="eastAsia" w:ascii="仿宋_GB2312" w:eastAsia="仿宋_GB2312"/>
          <w:sz w:val="32"/>
          <w:szCs w:val="32"/>
          <w:lang w:eastAsia="zh-CN"/>
        </w:rPr>
        <w:t>元，其中：人员经费</w:t>
      </w:r>
      <w:r>
        <w:rPr>
          <w:rFonts w:hint="eastAsia" w:ascii="仿宋_GB2312" w:eastAsia="仿宋_GB2312"/>
          <w:sz w:val="32"/>
          <w:szCs w:val="32"/>
          <w:lang w:val="en-US" w:eastAsia="zh-CN"/>
        </w:rPr>
        <w:t>2,060,501.77</w:t>
      </w:r>
      <w:r>
        <w:rPr>
          <w:rFonts w:hint="eastAsia" w:ascii="仿宋_GB2312" w:eastAsia="仿宋_GB2312"/>
          <w:sz w:val="32"/>
          <w:szCs w:val="32"/>
          <w:lang w:eastAsia="zh-CN"/>
        </w:rPr>
        <w:t>元，主要包括：基本工资、津贴补贴、奖金、绩效工资、机关事业单位基本养老保险缴费、职业年金缴费、职工基本医疗保险缴费、其他社会保障缴费、住房公积金、医疗费、对个人和家庭的补助。公用经费</w:t>
      </w:r>
      <w:r>
        <w:rPr>
          <w:rFonts w:hint="eastAsia" w:ascii="仿宋_GB2312" w:eastAsia="仿宋_GB2312"/>
          <w:sz w:val="32"/>
          <w:szCs w:val="32"/>
          <w:lang w:val="en-US" w:eastAsia="zh-CN"/>
        </w:rPr>
        <w:t>334,813.57</w:t>
      </w:r>
      <w:r>
        <w:rPr>
          <w:rFonts w:hint="eastAsia" w:ascii="仿宋_GB2312" w:eastAsia="仿宋_GB2312"/>
          <w:sz w:val="32"/>
          <w:szCs w:val="32"/>
          <w:lang w:eastAsia="zh-CN"/>
        </w:rPr>
        <w:t>元，主要包括：办公费、电费、邮电费、差旅费、公务接待费、劳务费、福利费、公务用车运行维护费、其他商品和服务支出。</w:t>
      </w:r>
    </w:p>
    <w:p w14:paraId="0C38032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七、“三公”经费财政拨款预算安排情况说明</w:t>
      </w:r>
    </w:p>
    <w:p w14:paraId="5934002C">
      <w:pPr>
        <w:keepNext w:val="0"/>
        <w:keepLines w:val="0"/>
        <w:pageBreakBefore w:val="0"/>
        <w:kinsoku/>
        <w:wordWrap/>
        <w:overflowPunct/>
        <w:topLinePunct w:val="0"/>
        <w:autoSpaceDE/>
        <w:autoSpaceDN/>
        <w:bidi w:val="0"/>
        <w:adjustRightInd/>
        <w:snapToGrid/>
        <w:spacing w:line="576" w:lineRule="exact"/>
        <w:ind w:firstLine="440" w:firstLineChars="200"/>
        <w:jc w:val="both"/>
        <w:textAlignment w:val="auto"/>
        <w:rPr>
          <w:rFonts w:ascii="仿宋_GB2312" w:eastAsia="仿宋_GB2312"/>
          <w:sz w:val="32"/>
          <w:szCs w:val="32"/>
          <w:lang w:eastAsia="zh-CN"/>
        </w:rPr>
      </w:pPr>
      <w:r>
        <w:rPr>
          <w:rFonts w:hint="eastAsia"/>
          <w:lang w:eastAsia="zh-CN"/>
        </w:rPr>
        <w:t>　</w:t>
      </w: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年“三公”经费财政拨款预算数</w:t>
      </w:r>
      <w:r>
        <w:rPr>
          <w:rFonts w:hint="eastAsia" w:ascii="仿宋_GB2312" w:eastAsia="仿宋_GB2312"/>
          <w:sz w:val="32"/>
          <w:szCs w:val="32"/>
          <w:lang w:val="en-US" w:eastAsia="zh-CN"/>
        </w:rPr>
        <w:t>45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元，公务用车购置及运行维护费</w:t>
      </w:r>
      <w:r>
        <w:rPr>
          <w:rFonts w:hint="eastAsia" w:ascii="仿宋_GB2312" w:eastAsia="仿宋_GB2312"/>
          <w:sz w:val="32"/>
          <w:szCs w:val="32"/>
          <w:lang w:val="en-US" w:eastAsia="zh-CN"/>
        </w:rPr>
        <w:t>4</w:t>
      </w:r>
      <w:r>
        <w:rPr>
          <w:rFonts w:ascii="仿宋_GB2312" w:eastAsia="仿宋_GB2312"/>
          <w:sz w:val="32"/>
          <w:szCs w:val="32"/>
          <w:lang w:eastAsia="zh-CN"/>
        </w:rPr>
        <w:t>0,000.00</w:t>
      </w:r>
      <w:r>
        <w:rPr>
          <w:rFonts w:hint="eastAsia" w:ascii="仿宋_GB2312" w:eastAsia="仿宋_GB2312"/>
          <w:sz w:val="32"/>
          <w:szCs w:val="32"/>
          <w:lang w:eastAsia="zh-CN"/>
        </w:rPr>
        <w:t>元。</w:t>
      </w:r>
    </w:p>
    <w:p w14:paraId="3EF151C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年无因公出国（境）经费。</w:t>
      </w:r>
    </w:p>
    <w:p w14:paraId="053CB80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年公务接待费</w:t>
      </w: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年预算持平。</w:t>
      </w:r>
    </w:p>
    <w:p w14:paraId="050D33D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年公务用车购置及运行维护费</w:t>
      </w:r>
      <w:r>
        <w:rPr>
          <w:rFonts w:hint="eastAsia" w:ascii="仿宋_GB2312" w:eastAsia="仿宋_GB2312"/>
          <w:sz w:val="32"/>
          <w:szCs w:val="32"/>
          <w:lang w:val="en-US" w:eastAsia="zh-CN"/>
        </w:rPr>
        <w:t>4</w:t>
      </w:r>
      <w:r>
        <w:rPr>
          <w:rFonts w:ascii="仿宋_GB2312" w:eastAsia="仿宋_GB2312"/>
          <w:sz w:val="32"/>
          <w:szCs w:val="32"/>
          <w:lang w:eastAsia="zh-CN"/>
        </w:rPr>
        <w:t>0,000.00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年预算持平。</w:t>
      </w:r>
    </w:p>
    <w:p w14:paraId="0AFCB7E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八、政府性基金预算支出情况说明</w:t>
      </w:r>
    </w:p>
    <w:p w14:paraId="5B371AE7">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rFonts w:hint="eastAsia"/>
          <w:lang w:eastAsia="zh-CN"/>
        </w:rPr>
        <w:t>　</w:t>
      </w:r>
      <w:r>
        <w:rPr>
          <w:lang w:eastAsia="zh-CN"/>
        </w:rPr>
        <w:t xml:space="preserve">    </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年无政府性基金预算拨款安排的支出</w:t>
      </w:r>
      <w:r>
        <w:rPr>
          <w:rFonts w:hint="eastAsia"/>
          <w:lang w:eastAsia="zh-CN"/>
        </w:rPr>
        <w:t>。</w:t>
      </w:r>
    </w:p>
    <w:p w14:paraId="2D04FBE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九、其他重要事项的情况说明</w:t>
      </w:r>
    </w:p>
    <w:p w14:paraId="071BC06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lang w:eastAsia="zh-CN"/>
        </w:rPr>
      </w:pPr>
      <w:r>
        <w:rPr>
          <w:rFonts w:hint="eastAsia" w:ascii="楷体_GB2312" w:eastAsia="楷体_GB2312" w:cs="楷体_GB2312"/>
          <w:b/>
          <w:bCs/>
          <w:kern w:val="2"/>
          <w:sz w:val="32"/>
          <w:szCs w:val="32"/>
          <w:lang w:eastAsia="zh-CN"/>
        </w:rPr>
        <w:t>（一）机关运行经费</w:t>
      </w:r>
    </w:p>
    <w:p w14:paraId="030AE66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年机关运行经费财政拨款预算为</w:t>
      </w:r>
      <w:r>
        <w:rPr>
          <w:rFonts w:hint="eastAsia" w:ascii="仿宋_GB2312" w:eastAsia="仿宋_GB2312"/>
          <w:sz w:val="32"/>
          <w:szCs w:val="32"/>
          <w:lang w:val="en-US" w:eastAsia="zh-CN"/>
        </w:rPr>
        <w:t>334,813.57</w:t>
      </w:r>
      <w:r>
        <w:rPr>
          <w:rFonts w:hint="eastAsia" w:ascii="仿宋_GB2312" w:eastAsia="仿宋_GB2312"/>
          <w:sz w:val="32"/>
          <w:szCs w:val="32"/>
          <w:lang w:eastAsia="zh-CN"/>
        </w:rPr>
        <w:t>元，比</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年预算增加</w:t>
      </w:r>
      <w:r>
        <w:rPr>
          <w:rFonts w:hint="eastAsia" w:ascii="仿宋_GB2312" w:eastAsia="仿宋_GB2312"/>
          <w:sz w:val="32"/>
          <w:szCs w:val="32"/>
          <w:lang w:val="en-US" w:eastAsia="zh-CN"/>
        </w:rPr>
        <w:t>26,063.57，增长8.44%。</w:t>
      </w:r>
      <w:r>
        <w:rPr>
          <w:rFonts w:hint="eastAsia" w:ascii="仿宋_GB2312" w:eastAsia="仿宋_GB2312"/>
          <w:sz w:val="32"/>
          <w:szCs w:val="32"/>
          <w:lang w:eastAsia="zh-CN"/>
        </w:rPr>
        <w:t>主要原因是：</w:t>
      </w:r>
      <w:r>
        <w:rPr>
          <w:rFonts w:hint="eastAsia" w:ascii="仿宋_GB2312" w:eastAsia="仿宋_GB2312"/>
          <w:sz w:val="32"/>
          <w:szCs w:val="32"/>
          <w:lang w:val="en-US" w:eastAsia="zh-CN"/>
        </w:rPr>
        <w:t>2025年增加了福利费和将残保金纳入了年度预算。</w:t>
      </w:r>
    </w:p>
    <w:p w14:paraId="7CBE687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（二）政府采购情况</w:t>
      </w:r>
    </w:p>
    <w:p w14:paraId="31AB9F8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年未安排政府采购预算。</w:t>
      </w:r>
    </w:p>
    <w:p w14:paraId="3C7997F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国有资产占有使用情况</w:t>
      </w:r>
    </w:p>
    <w:p w14:paraId="70E2EF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lang w:eastAsia="zh-CN"/>
        </w:rPr>
      </w:pPr>
      <w:r>
        <w:rPr>
          <w:rFonts w:hint="eastAsia" w:ascii="仿宋_GB2312" w:eastAsia="仿宋_GB2312"/>
          <w:sz w:val="32"/>
          <w:szCs w:val="32"/>
          <w:lang w:eastAsia="zh-CN"/>
        </w:rPr>
        <w:t>截止</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日，我单位固定资产原值总额</w:t>
      </w:r>
      <w:r>
        <w:rPr>
          <w:rFonts w:ascii="仿宋_GB2312" w:eastAsia="仿宋_GB2312"/>
          <w:sz w:val="32"/>
          <w:szCs w:val="32"/>
          <w:lang w:eastAsia="zh-CN"/>
        </w:rPr>
        <w:t>528,075.00</w:t>
      </w:r>
      <w:r>
        <w:rPr>
          <w:rFonts w:hint="eastAsia" w:ascii="仿宋_GB2312" w:eastAsia="仿宋_GB2312"/>
          <w:sz w:val="32"/>
          <w:szCs w:val="32"/>
          <w:lang w:eastAsia="zh-CN"/>
        </w:rPr>
        <w:t>元，其中：通用设备价值</w:t>
      </w:r>
      <w:r>
        <w:rPr>
          <w:rFonts w:ascii="仿宋_GB2312" w:eastAsia="仿宋_GB2312"/>
          <w:sz w:val="32"/>
          <w:szCs w:val="32"/>
          <w:lang w:eastAsia="zh-CN"/>
        </w:rPr>
        <w:t>165,995.00</w:t>
      </w:r>
      <w:r>
        <w:rPr>
          <w:rFonts w:hint="eastAsia" w:ascii="仿宋_GB2312" w:eastAsia="仿宋_GB2312"/>
          <w:sz w:val="32"/>
          <w:szCs w:val="32"/>
          <w:lang w:eastAsia="zh-CN"/>
        </w:rPr>
        <w:t>元；公务用车</w:t>
      </w:r>
      <w:r>
        <w:rPr>
          <w:rFonts w:ascii="仿宋_GB2312" w:eastAsia="仿宋_GB2312"/>
          <w:sz w:val="32"/>
          <w:szCs w:val="32"/>
          <w:lang w:eastAsia="zh-CN"/>
        </w:rPr>
        <w:t>1</w:t>
      </w:r>
      <w:r>
        <w:rPr>
          <w:rFonts w:hint="eastAsia" w:ascii="仿宋_GB2312" w:eastAsia="仿宋_GB2312"/>
          <w:sz w:val="32"/>
          <w:szCs w:val="32"/>
          <w:lang w:eastAsia="zh-CN"/>
        </w:rPr>
        <w:t>辆，价值</w:t>
      </w:r>
      <w:r>
        <w:rPr>
          <w:rFonts w:ascii="仿宋_GB2312" w:eastAsia="仿宋_GB2312"/>
          <w:sz w:val="32"/>
          <w:szCs w:val="32"/>
          <w:lang w:eastAsia="zh-CN"/>
        </w:rPr>
        <w:t>234,800.00</w:t>
      </w:r>
      <w:r>
        <w:rPr>
          <w:rFonts w:hint="eastAsia" w:ascii="仿宋_GB2312" w:eastAsia="仿宋_GB2312"/>
          <w:sz w:val="32"/>
          <w:szCs w:val="32"/>
          <w:lang w:eastAsia="zh-CN"/>
        </w:rPr>
        <w:t>元；家具、用具、装具及动植物价值</w:t>
      </w:r>
      <w:r>
        <w:rPr>
          <w:rFonts w:ascii="仿宋_GB2312" w:eastAsia="仿宋_GB2312"/>
          <w:sz w:val="32"/>
          <w:szCs w:val="32"/>
          <w:lang w:eastAsia="zh-CN"/>
        </w:rPr>
        <w:t>127,280.00</w:t>
      </w:r>
      <w:r>
        <w:rPr>
          <w:rFonts w:hint="eastAsia" w:ascii="仿宋_GB2312" w:eastAsia="仿宋_GB2312"/>
          <w:sz w:val="32"/>
          <w:szCs w:val="32"/>
          <w:lang w:eastAsia="zh-CN"/>
        </w:rPr>
        <w:t>元。</w:t>
      </w:r>
    </w:p>
    <w:p w14:paraId="5BE14CC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（四）绩效目标设置情况</w:t>
      </w:r>
    </w:p>
    <w:p w14:paraId="3FA8812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年项目支出均按要求实行绩效目标管理，涉及项目</w:t>
      </w:r>
      <w:r>
        <w:rPr>
          <w:rFonts w:hint="eastAsia" w:ascii="仿宋_GB2312" w:eastAsia="仿宋_GB2312"/>
          <w:sz w:val="32"/>
          <w:szCs w:val="32"/>
          <w:lang w:val="en-US" w:eastAsia="zh-CN"/>
        </w:rPr>
        <w:t>0个，</w:t>
      </w:r>
      <w:r>
        <w:rPr>
          <w:rFonts w:hint="eastAsia" w:ascii="仿宋_GB2312" w:eastAsia="仿宋_GB2312"/>
          <w:sz w:val="32"/>
          <w:szCs w:val="32"/>
          <w:lang w:eastAsia="zh-CN"/>
        </w:rPr>
        <w:t>一般公共预算当年拨款</w:t>
      </w:r>
      <w:r>
        <w:rPr>
          <w:rFonts w:hint="eastAsia" w:ascii="仿宋_GB2312" w:eastAsia="仿宋_GB2312"/>
          <w:sz w:val="32"/>
          <w:szCs w:val="32"/>
          <w:lang w:val="en-US" w:eastAsia="zh-CN"/>
        </w:rPr>
        <w:t>0元</w:t>
      </w:r>
      <w:r>
        <w:rPr>
          <w:rFonts w:hint="eastAsia" w:ascii="仿宋_GB2312" w:eastAsia="仿宋_GB2312"/>
          <w:sz w:val="32"/>
          <w:szCs w:val="32"/>
          <w:lang w:eastAsia="zh-CN"/>
        </w:rPr>
        <w:t>。</w:t>
      </w:r>
    </w:p>
    <w:p w14:paraId="42D0893F">
      <w:pPr>
        <w:keepNext w:val="0"/>
        <w:keepLines w:val="0"/>
        <w:pageBreakBefore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ascii="黑体" w:eastAsia="黑体"/>
          <w:sz w:val="32"/>
          <w:szCs w:val="32"/>
          <w:lang w:eastAsia="zh-CN"/>
        </w:rPr>
      </w:pPr>
      <w:r>
        <w:rPr>
          <w:rFonts w:hint="eastAsia" w:ascii="黑体" w:eastAsia="黑体" w:cs="Times New Roman"/>
          <w:sz w:val="32"/>
          <w:szCs w:val="32"/>
          <w:lang w:eastAsia="zh-CN"/>
        </w:rPr>
        <w:t>名词解释</w:t>
      </w:r>
    </w:p>
    <w:p w14:paraId="59D187A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14:paraId="0B01B8D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14:paraId="72CE3655">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14:paraId="59D702A6">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14:paraId="42CA601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14:paraId="71E139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14:paraId="4939AB2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BDBA22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附：《茂县信访局</w:t>
      </w:r>
      <w:r>
        <w:rPr>
          <w:rFonts w:hint="eastAsia" w:ascii="仿宋_GB2312" w:eastAsia="仿宋_GB2312"/>
          <w:sz w:val="32"/>
          <w:szCs w:val="32"/>
          <w:lang w:val="en-US" w:eastAsia="zh-CN"/>
        </w:rPr>
        <w:t>2025年部门</w:t>
      </w:r>
      <w:bookmarkStart w:id="0" w:name="_GoBack"/>
      <w:bookmarkEnd w:id="0"/>
      <w:r>
        <w:rPr>
          <w:rFonts w:hint="eastAsia" w:ascii="仿宋_GB2312" w:eastAsia="仿宋_GB2312"/>
          <w:sz w:val="32"/>
          <w:szCs w:val="32"/>
          <w:lang w:val="en-US" w:eastAsia="zh-CN"/>
        </w:rPr>
        <w:t>预算公开表</w:t>
      </w:r>
      <w:r>
        <w:rPr>
          <w:rFonts w:hint="eastAsia" w:ascii="仿宋_GB2312" w:eastAsia="仿宋_GB2312"/>
          <w:sz w:val="32"/>
          <w:szCs w:val="32"/>
          <w:lang w:eastAsia="zh-CN"/>
        </w:rPr>
        <w:t>》。</w:t>
      </w:r>
    </w:p>
    <w:p w14:paraId="2F3742E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p>
    <w:p w14:paraId="330DD90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p>
    <w:p w14:paraId="409314B4">
      <w:pPr>
        <w:keepNext w:val="0"/>
        <w:keepLines w:val="0"/>
        <w:pageBreakBefore w:val="0"/>
        <w:kinsoku/>
        <w:wordWrap/>
        <w:overflowPunct/>
        <w:topLinePunct w:val="0"/>
        <w:autoSpaceDE/>
        <w:autoSpaceDN/>
        <w:bidi w:val="0"/>
        <w:adjustRightInd/>
        <w:snapToGrid/>
        <w:spacing w:line="576" w:lineRule="exact"/>
        <w:ind w:firstLine="5120" w:firstLineChars="16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茂县信访局</w:t>
      </w:r>
    </w:p>
    <w:p w14:paraId="10613377">
      <w:pPr>
        <w:keepNext w:val="0"/>
        <w:keepLines w:val="0"/>
        <w:pageBreakBefore w:val="0"/>
        <w:kinsoku/>
        <w:wordWrap/>
        <w:overflowPunct/>
        <w:topLinePunct w:val="0"/>
        <w:autoSpaceDE/>
        <w:autoSpaceDN/>
        <w:bidi w:val="0"/>
        <w:adjustRightInd/>
        <w:snapToGrid/>
        <w:spacing w:line="576" w:lineRule="exact"/>
        <w:ind w:firstLine="4800" w:firstLineChars="15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2025年3月26日</w:t>
      </w:r>
    </w:p>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0893">
    <w:pPr>
      <w:pStyle w:val="6"/>
      <w:framePr w:wrap="around" w:vAnchor="text" w:hAnchor="margin" w:xAlign="center" w:y="1"/>
      <w:rPr>
        <w:rStyle w:val="12"/>
        <w:rFonts w:cs="Arial"/>
        <w:b/>
        <w:sz w:val="24"/>
      </w:rPr>
    </w:pPr>
    <w:r>
      <w:rPr>
        <w:rStyle w:val="12"/>
        <w:rFonts w:cs="Arial"/>
        <w:b/>
        <w:sz w:val="24"/>
      </w:rPr>
      <w:fldChar w:fldCharType="begin"/>
    </w:r>
    <w:r>
      <w:rPr>
        <w:rStyle w:val="12"/>
        <w:rFonts w:cs="Arial"/>
        <w:b/>
        <w:sz w:val="24"/>
      </w:rPr>
      <w:instrText xml:space="preserve">PAGE  </w:instrText>
    </w:r>
    <w:r>
      <w:rPr>
        <w:rStyle w:val="12"/>
        <w:rFonts w:cs="Arial"/>
        <w:b/>
        <w:sz w:val="24"/>
      </w:rPr>
      <w:fldChar w:fldCharType="separate"/>
    </w:r>
    <w:r>
      <w:rPr>
        <w:rStyle w:val="12"/>
        <w:rFonts w:cs="Arial"/>
        <w:b/>
        <w:sz w:val="24"/>
      </w:rPr>
      <w:t>- 3 -</w:t>
    </w:r>
    <w:r>
      <w:rPr>
        <w:rStyle w:val="12"/>
        <w:rFonts w:cs="Arial"/>
        <w:b/>
        <w:sz w:val="24"/>
      </w:rPr>
      <w:fldChar w:fldCharType="end"/>
    </w:r>
  </w:p>
  <w:p w14:paraId="65399FEE">
    <w:pPr>
      <w:pStyle w:val="6"/>
      <w:ind w:right="360" w:firstLine="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3686">
    <w:pPr>
      <w:pStyle w:val="6"/>
      <w:framePr w:wrap="around" w:vAnchor="text" w:hAnchor="margin" w:xAlign="center" w:y="1"/>
      <w:rPr>
        <w:rStyle w:val="12"/>
        <w:rFonts w:cs="Arial"/>
      </w:rPr>
    </w:pPr>
    <w:r>
      <w:rPr>
        <w:rStyle w:val="12"/>
        <w:rFonts w:cs="Arial"/>
      </w:rPr>
      <w:fldChar w:fldCharType="begin"/>
    </w:r>
    <w:r>
      <w:rPr>
        <w:rStyle w:val="12"/>
        <w:rFonts w:cs="Arial"/>
      </w:rPr>
      <w:instrText xml:space="preserve">PAGE  </w:instrText>
    </w:r>
    <w:r>
      <w:rPr>
        <w:rStyle w:val="12"/>
        <w:rFonts w:cs="Arial"/>
      </w:rPr>
      <w:fldChar w:fldCharType="separate"/>
    </w:r>
    <w:r>
      <w:rPr>
        <w:rStyle w:val="12"/>
        <w:rFonts w:cs="Arial"/>
      </w:rPr>
      <w:t xml:space="preserve"> </w:t>
    </w:r>
    <w:r>
      <w:rPr>
        <w:rStyle w:val="12"/>
        <w:rFonts w:cs="Arial"/>
      </w:rPr>
      <w:fldChar w:fldCharType="end"/>
    </w:r>
  </w:p>
  <w:p w14:paraId="56477D04">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4743"/>
    <w:multiLevelType w:val="singleLevel"/>
    <w:tmpl w:val="F7E64743"/>
    <w:lvl w:ilvl="0" w:tentative="0">
      <w:start w:val="10"/>
      <w:numFmt w:val="chineseCounting"/>
      <w:suff w:val="nothing"/>
      <w:lvlText w:val="%1、"/>
      <w:lvlJc w:val="left"/>
      <w:pPr>
        <w:ind w:left="0" w:firstLine="0"/>
      </w:pPr>
      <w:rPr>
        <w:rFonts w:hint="eastAsia" w:cs="Times New Roman"/>
      </w:rPr>
    </w:lvl>
  </w:abstractNum>
  <w:abstractNum w:abstractNumId="1">
    <w:nsid w:val="256D95EA"/>
    <w:multiLevelType w:val="singleLevel"/>
    <w:tmpl w:val="256D95EA"/>
    <w:lvl w:ilvl="0" w:tentative="0">
      <w:start w:val="3"/>
      <w:numFmt w:val="chineseCounting"/>
      <w:suff w:val="nothing"/>
      <w:lvlText w:val="（%1）"/>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39667A9"/>
    <w:rsid w:val="05B178CA"/>
    <w:rsid w:val="074402CA"/>
    <w:rsid w:val="08C90A87"/>
    <w:rsid w:val="093E76C7"/>
    <w:rsid w:val="09781747"/>
    <w:rsid w:val="0B2621C1"/>
    <w:rsid w:val="0C803B53"/>
    <w:rsid w:val="10563548"/>
    <w:rsid w:val="14142E4D"/>
    <w:rsid w:val="156404B5"/>
    <w:rsid w:val="159B473B"/>
    <w:rsid w:val="17A27073"/>
    <w:rsid w:val="1A2811A4"/>
    <w:rsid w:val="1ACD08AB"/>
    <w:rsid w:val="1D594678"/>
    <w:rsid w:val="1DBB0448"/>
    <w:rsid w:val="253D03DB"/>
    <w:rsid w:val="25B12B77"/>
    <w:rsid w:val="26A27A1A"/>
    <w:rsid w:val="2B471FB3"/>
    <w:rsid w:val="2B4D55F1"/>
    <w:rsid w:val="2D40315E"/>
    <w:rsid w:val="2D482013"/>
    <w:rsid w:val="2EEF7366"/>
    <w:rsid w:val="2EF2235C"/>
    <w:rsid w:val="2F340AA1"/>
    <w:rsid w:val="2F5E2E56"/>
    <w:rsid w:val="30CC6AB7"/>
    <w:rsid w:val="31216268"/>
    <w:rsid w:val="3330157F"/>
    <w:rsid w:val="35BC359E"/>
    <w:rsid w:val="37160A8C"/>
    <w:rsid w:val="3791691B"/>
    <w:rsid w:val="42342EE1"/>
    <w:rsid w:val="4585575A"/>
    <w:rsid w:val="46040D75"/>
    <w:rsid w:val="47021D0D"/>
    <w:rsid w:val="47372A84"/>
    <w:rsid w:val="47543636"/>
    <w:rsid w:val="4F2C6C47"/>
    <w:rsid w:val="547846DC"/>
    <w:rsid w:val="56B714EC"/>
    <w:rsid w:val="57E91811"/>
    <w:rsid w:val="57EB38BD"/>
    <w:rsid w:val="59A73A9A"/>
    <w:rsid w:val="59C96464"/>
    <w:rsid w:val="5FFC6958"/>
    <w:rsid w:val="600725DB"/>
    <w:rsid w:val="6065645C"/>
    <w:rsid w:val="619D1DAD"/>
    <w:rsid w:val="61A82AA5"/>
    <w:rsid w:val="61BA27D8"/>
    <w:rsid w:val="6340727D"/>
    <w:rsid w:val="63E54454"/>
    <w:rsid w:val="66F83B86"/>
    <w:rsid w:val="68DD74D8"/>
    <w:rsid w:val="6B8C6F93"/>
    <w:rsid w:val="6C81461E"/>
    <w:rsid w:val="6CB71DEE"/>
    <w:rsid w:val="6D7663B8"/>
    <w:rsid w:val="6F267D33"/>
    <w:rsid w:val="71120427"/>
    <w:rsid w:val="71E55BC5"/>
    <w:rsid w:val="724D0AFE"/>
    <w:rsid w:val="72CA214F"/>
    <w:rsid w:val="72DB435C"/>
    <w:rsid w:val="77601ABD"/>
    <w:rsid w:val="7ABE07EB"/>
    <w:rsid w:val="7CFB1883"/>
    <w:rsid w:val="7D7C4E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ind w:firstLine="360"/>
    </w:pPr>
    <w:rPr>
      <w:rFonts w:ascii="Calibri" w:hAnsi="Calibri" w:eastAsia="宋体" w:cs="Arial"/>
      <w:kern w:val="0"/>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0"/>
    <w:rPr>
      <w:rFonts w:ascii="Arial" w:hAnsi="Arial"/>
      <w:sz w:val="24"/>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character" w:styleId="11">
    <w:name w:val="Strong"/>
    <w:basedOn w:val="10"/>
    <w:qFormat/>
    <w:uiPriority w:val="0"/>
    <w:rPr>
      <w:rFonts w:cs="Times New Roman"/>
      <w:b/>
    </w:rPr>
  </w:style>
  <w:style w:type="character" w:styleId="12">
    <w:name w:val="page number"/>
    <w:basedOn w:val="10"/>
    <w:uiPriority w:val="0"/>
    <w:rPr>
      <w:rFonts w:cs="Times New Roman"/>
    </w:rPr>
  </w:style>
  <w:style w:type="character" w:styleId="13">
    <w:name w:val="FollowedHyperlink"/>
    <w:basedOn w:val="10"/>
    <w:qFormat/>
    <w:uiPriority w:val="0"/>
    <w:rPr>
      <w:rFonts w:cs="Times New Roman"/>
      <w:color w:val="323232"/>
      <w:u w:val="none"/>
    </w:rPr>
  </w:style>
  <w:style w:type="character" w:styleId="14">
    <w:name w:val="Hyperlink"/>
    <w:basedOn w:val="10"/>
    <w:qFormat/>
    <w:uiPriority w:val="0"/>
    <w:rPr>
      <w:rFonts w:cs="Times New Roman"/>
      <w:color w:val="323232"/>
      <w:u w:val="none"/>
    </w:rPr>
  </w:style>
  <w:style w:type="character" w:customStyle="1" w:styleId="15">
    <w:name w:val="bsharetext"/>
    <w:basedOn w:val="10"/>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3748</Words>
  <Characters>4362</Characters>
  <Lines>236</Lines>
  <Paragraphs>90</Paragraphs>
  <TotalTime>23</TotalTime>
  <ScaleCrop>false</ScaleCrop>
  <LinksUpToDate>false</LinksUpToDate>
  <CharactersWithSpaces>4443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2021-03-26T06:45:00Z</cp:lastPrinted>
  <dcterms:modified xsi:type="dcterms:W3CDTF">2025-03-17T08:02:26Z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A053EF482DB34679BD70BE77CB9879C6_13</vt:lpwstr>
  </property>
</Properties>
</file>