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7425"/>
      <w:bookmarkStart w:id="1" w:name="_Toc15396597"/>
      <w:bookmarkStart w:id="2" w:name="_Toc15378441"/>
      <w:bookmarkStart w:id="3" w:name="_Toc15377193"/>
      <w:bookmarkStart w:id="4" w:name="_Toc15396475"/>
      <w:bookmarkStart w:id="5" w:name="_Toc15306267"/>
    </w:p>
    <w:p>
      <w:pPr>
        <w:pStyle w:val="15"/>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bookmarkEnd w:id="3"/>
      <w:bookmarkEnd w:id="4"/>
    </w:p>
    <w:p>
      <w:pPr>
        <w:jc w:val="center"/>
        <w:rPr>
          <w:rFonts w:ascii="宋体" w:eastAsia="宋体"/>
          <w:b/>
          <w:sz w:val="72"/>
          <w:szCs w:val="72"/>
        </w:rPr>
      </w:pPr>
      <w:bookmarkStart w:id="6" w:name="_Toc15377426"/>
      <w:bookmarkStart w:id="7" w:name="_Toc15306268"/>
      <w:bookmarkStart w:id="8" w:name="_Toc15396598"/>
      <w:bookmarkStart w:id="9" w:name="_Toc15377194"/>
      <w:bookmarkStart w:id="10" w:name="_Toc15378442"/>
      <w:bookmarkStart w:id="11" w:name="_Toc15396476"/>
      <w:bookmarkEnd w:id="5"/>
      <w:r>
        <w:rPr>
          <w:rFonts w:ascii="宋体" w:eastAsia="宋体"/>
          <w:b/>
          <w:sz w:val="72"/>
          <w:szCs w:val="72"/>
        </w:rPr>
        <w:t>阿坝州茂县林业和草原局</w:t>
      </w:r>
      <w:r>
        <w:rPr>
          <w:rFonts w:ascii="宋体" w:eastAsia="宋体" w:hint="eastAsia"/>
          <w:b/>
          <w:sz w:val="72"/>
          <w:szCs w:val="72"/>
        </w:rPr>
        <w:t>部门决算</w:t>
      </w:r>
      <w:bookmarkEnd w:id="6"/>
      <w:bookmarkEnd w:id="7"/>
      <w:bookmarkEnd w:id="8"/>
      <w:bookmarkEnd w:id="9"/>
      <w:bookmarkEnd w:id="10"/>
      <w:bookmarkEnd w:id="11"/>
      <w:r>
        <w:rPr>
          <w:rFonts w:ascii="宋体" w:eastAsia="宋体" w:hint="eastAsia"/>
          <w:b/>
          <w:sz w:val="72"/>
          <w:szCs w:val="72"/>
        </w:rPr>
        <w:t>编制说明</w:t>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tabs>
          <w:tab w:val="left" w:pos="3600"/>
        </w:tabs>
      </w:pPr>
      <w:r>
        <w:tab/>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2" w:name="_Toc15377196"/>
    </w:p>
    <w:p>
      <w:pPr>
        <w:pStyle w:val="22"/>
        <w:tabs>
          <w:tab w:val="right" w:leader="dot" w:pos="8296"/>
        </w:tabs>
        <w:rPr>
          <w:rFonts w:ascii="Calibri" w:eastAsia="宋体" w:cs="Arial" w:hAnsi="Calibri"/>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 HYPERLINK \l "_Toc113981009" </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"_Toc113981010" </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"_Toc113981011" </w:instrText>
      </w:r>
      <w:r>
        <w:fldChar w:fldCharType="separate"/>
      </w:r>
      <w:r>
        <w:rPr>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 xml:space="preserve"> HYPERLINK \l "_Toc113981012" </w:instrText>
      </w:r>
      <w:r>
        <w:fldChar w:fldCharType="separate"/>
      </w:r>
      <w:r>
        <w:rPr>
          <w:rFonts w:ascii="黑体" w:eastAsia="黑体" w:cs="黑体" w:hint="eastAsia"/>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"_Toc113981013" </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"_Toc113981014" </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"_Toc113981015" </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"_Toc113981016" </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"_Toc113981017" </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"_Toc113981018" </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"_Toc113981019" </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"_Toc113981020" </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"_Toc113981021" </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"_Toc113981022" </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 xml:space="preserve"> HYPERLINK \l "_Toc113981023" </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 xml:space="preserve"> HYPERLINK \l "_Toc113981024" </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22"/>
        <w:tabs>
          <w:tab w:val="right" w:leader="dot" w:pos="8296"/>
        </w:tabs>
        <w:rPr>
          <w:rFonts w:ascii="Calibri" w:eastAsia="宋体" w:cs="Arial" w:hAnsi="Calibri"/>
          <w:sz w:val="21"/>
          <w:szCs w:val="22"/>
        </w:rPr>
      </w:pPr>
      <w:r>
        <w:fldChar w:fldCharType="begin"/>
      </w:r>
      <w:r>
        <w:instrText xml:space="preserve"> HYPERLINK \l "_Toc113981025" </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"_Toc113981026" </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"_Toc113981027" </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"_Toc113981028" </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"_Toc113981029" </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"_Toc113981030" </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"_Toc113981031" </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"_Toc113981032" </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"_Toc113981033" </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"_Toc113981034" </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"_Toc113981035" </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"_Toc113981036" </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"_Toc113981037" </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"_Toc113981038" </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24"/>
        <w:tabs>
          <w:tab w:val="right" w:leader="dot" w:pos="8296"/>
        </w:tabs>
        <w:rPr>
          <w:rFonts w:ascii="Calibri" w:eastAsia="宋体" w:cs="Arial" w:hAnsi="Calibri"/>
          <w:szCs w:val="22"/>
        </w:rPr>
      </w:pPr>
      <w:r>
        <w:fldChar w:fldCharType="begin"/>
      </w:r>
      <w:r>
        <w:instrText xml:space="preserve"> HYPERLINK \l "_Toc113981039" </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15"/>
      </w:pPr>
      <w:r>
        <w:rPr>
          <w:caps w:val="0"/>
          <w:smallCaps/>
          <w:szCs w:val="20"/>
        </w:rPr>
        <w:fldChar w:fldCharType="end"/>
      </w:r>
    </w:p>
    <w:p>
      <w:pPr>
        <w:pStyle w:val="1"/>
        <w:jc w:val="center"/>
        <w:rPr>
          <w:rFonts w:ascii="黑体" w:eastAsia="黑体" w:cs="黑体"/>
          <w:b w:val="0"/>
          <w:bCs w:val="0"/>
        </w:rPr>
      </w:pPr>
      <w:bookmarkStart w:id="13" w:name="_Toc113981009"/>
      <w:bookmarkStart w:id="14" w:name="_Toc111208495"/>
      <w:r>
        <w:rPr>
          <w:rFonts w:ascii="黑体" w:eastAsia="黑体" w:cs="黑体" w:hint="eastAsia"/>
        </w:rPr>
        <w:t xml:space="preserve">第一部分 </w:t>
      </w:r>
      <w:r>
        <w:rPr>
          <w:rStyle w:val="1Char"/>
          <w:rFonts w:ascii="黑体" w:eastAsia="黑体" w:cs="黑体" w:hint="eastAsia"/>
          <w:b/>
          <w:bCs w:val="0"/>
        </w:rPr>
        <w:t>部门概况</w:t>
      </w:r>
      <w:bookmarkEnd w:id="12"/>
      <w:bookmarkEnd w:id="13"/>
      <w:bookmarkEnd w:id="14"/>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黑体" w:eastAsia="黑体" w:cs="Times New Roman" w:hint="eastAsia"/>
          <w:bCs w:val="0"/>
          <w:color w:val="000000"/>
        </w:rPr>
      </w:pPr>
      <w:bookmarkStart w:id="15" w:name="_Toc15377197"/>
      <w:bookmarkStart w:id="16" w:name="_Toc111208496"/>
      <w:bookmarkStart w:id="17" w:name="_Toc113981010"/>
      <w:r>
        <w:rPr>
          <w:rFonts w:ascii="黑体" w:eastAsia="黑体" w:cs="Times New Roman" w:hint="eastAsia"/>
          <w:bCs w:val="0"/>
          <w:color w:val="000000"/>
        </w:rPr>
        <w:t>一、基本职能及主要工作</w:t>
      </w:r>
      <w:bookmarkStart w:id="18" w:name="_Toc15377198"/>
      <w:bookmarkStart w:id="19" w:name="_Toc15378445"/>
      <w:bookmarkEnd w:id="15"/>
      <w:bookmarkEnd w:id="16"/>
      <w:bookmarkEnd w:id="17"/>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楷体" w:eastAsia="楷体" w:cs="楷体" w:hint="eastAsia"/>
          <w:b/>
          <w:bCs/>
          <w:color w:val="000000"/>
          <w:sz w:val="32"/>
          <w:szCs w:val="32"/>
        </w:rPr>
      </w:pPr>
      <w:r>
        <w:rPr>
          <w:rFonts w:ascii="楷体" w:eastAsia="楷体" w:cs="楷体" w:hint="eastAsia"/>
          <w:b/>
          <w:bCs/>
          <w:color w:val="000000"/>
          <w:sz w:val="32"/>
          <w:szCs w:val="32"/>
        </w:rPr>
        <w:t>（一）主要职能</w:t>
      </w:r>
      <w:bookmarkEnd w:id="18"/>
      <w:bookmarkEnd w:id="19"/>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rPr>
      </w:pPr>
      <w:r>
        <w:rPr>
          <w:rFonts w:ascii="仿宋_GB2312" w:eastAsia="仿宋_GB2312" w:cs="仿宋_GB2312" w:hint="eastAsia"/>
          <w:color w:val="00000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12.负责有关林业方面的涉外工作、承担县政府公布的有关行政审批事项、承办县政府交办的其他事项。</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楷体" w:eastAsia="楷体" w:cs="楷体" w:hint="eastAsia"/>
          <w:b/>
          <w:bCs w:val="0"/>
          <w:color w:val="000000"/>
          <w:sz w:val="32"/>
          <w:szCs w:val="32"/>
        </w:rPr>
      </w:pPr>
      <w:bookmarkStart w:id="20" w:name="_Toc15377199"/>
      <w:bookmarkStart w:id="21" w:name="_Toc15378446"/>
      <w:r>
        <w:rPr>
          <w:rFonts w:ascii="楷体" w:eastAsia="楷体" w:cs="楷体" w:hint="eastAsia"/>
          <w:b/>
          <w:bCs w:val="0"/>
          <w:color w:val="000000"/>
          <w:sz w:val="32"/>
          <w:szCs w:val="32"/>
        </w:rPr>
        <w:t>（二）2021重点工作完成情况</w:t>
      </w:r>
      <w:bookmarkStart w:id="22" w:name="_Toc15377200"/>
      <w:bookmarkEnd w:id="20"/>
      <w:bookmarkEnd w:id="21"/>
    </w:p>
    <w:p>
      <w:pPr>
        <w:keepNext w:val="0"/>
        <w:keepLines w:val="0"/>
        <w:pageBreakBefore w:val="0"/>
        <w:widowControl w:val="0"/>
        <w:kinsoku/>
        <w:wordWrap/>
        <w:overflowPunct/>
        <w:topLinePunct w:val="0"/>
        <w:autoSpaceDE/>
        <w:autoSpaceDN/>
        <w:bidi w:val="0"/>
        <w:adjustRightInd/>
        <w:snapToGrid/>
        <w:textAlignment w:val="auto"/>
        <w:rPr>
          <w:rFonts w:ascii="仿宋" w:eastAsia="仿宋" w:hint="eastAsia"/>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200" w:left="420" w:firstLineChars="200" w:firstLine="640"/>
        <w:textAlignment w:val="auto"/>
        <w:rPr>
          <w:rFonts w:ascii="仿宋_GB2312" w:eastAsia="仿宋_GB2312" w:cs="仿宋_GB2312" w:hint="eastAsia"/>
          <w:b/>
          <w:bCs/>
          <w:color w:val="000000"/>
          <w:sz w:val="32"/>
          <w:szCs w:val="32"/>
        </w:rPr>
      </w:pPr>
      <w:r>
        <w:rPr>
          <w:rFonts w:ascii="仿宋_GB2312" w:eastAsia="仿宋_GB2312" w:cs="仿宋_GB2312" w:hint="eastAsia"/>
          <w:b/>
          <w:bCs/>
          <w:color w:val="000000"/>
          <w:sz w:val="32"/>
          <w:szCs w:val="32"/>
          <w:lang w:val="en-US" w:eastAsia="zh-CN"/>
        </w:rPr>
        <w:t>1.</w:t>
      </w:r>
      <w:r>
        <w:rPr>
          <w:rFonts w:ascii="仿宋_GB2312" w:eastAsia="仿宋_GB2312" w:cs="仿宋_GB2312" w:hint="eastAsia"/>
          <w:b/>
          <w:bCs/>
          <w:color w:val="000000"/>
          <w:sz w:val="32"/>
          <w:szCs w:val="32"/>
        </w:rPr>
        <w:t>森林草原资源保护</w:t>
      </w:r>
    </w:p>
    <w:p>
      <w:pPr>
        <w:keepNext w:val="0"/>
        <w:keepLines w:val="0"/>
        <w:pageBreakBefore w:val="0"/>
        <w:widowControl w:val="0"/>
        <w:kinsoku/>
        <w:wordWrap/>
        <w:overflowPunct/>
        <w:topLinePunct w:val="0"/>
        <w:autoSpaceDE/>
        <w:autoSpaceDN/>
        <w:bidi w:val="0"/>
        <w:adjustRightInd/>
        <w:snapToGrid/>
        <w:spacing w:line="560" w:lineRule="exact"/>
        <w:ind w:left="42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落实保护和发展森林资源目标责任制，</w:t>
      </w:r>
      <w:r>
        <w:rPr>
          <w:rFonts w:ascii="仿宋_GB2312" w:eastAsia="仿宋_GB2312" w:cs="仿宋_GB2312" w:hint="eastAsia"/>
          <w:color w:val="000000"/>
          <w:sz w:val="32"/>
          <w:szCs w:val="32"/>
          <w:lang w:eastAsia="zh-CN"/>
        </w:rPr>
        <w:t>增加</w:t>
      </w:r>
      <w:r>
        <w:rPr>
          <w:rFonts w:ascii="仿宋_GB2312" w:eastAsia="仿宋_GB2312" w:cs="仿宋_GB2312" w:hint="eastAsia"/>
          <w:color w:val="000000"/>
          <w:sz w:val="32"/>
          <w:szCs w:val="32"/>
        </w:rPr>
        <w:t>林地保有量</w:t>
      </w:r>
      <w:r>
        <w:rPr>
          <w:rFonts w:ascii="仿宋_GB2312" w:eastAsia="仿宋_GB2312" w:cs="仿宋_GB2312" w:hint="eastAsia"/>
          <w:color w:val="000000"/>
          <w:sz w:val="32"/>
          <w:szCs w:val="32"/>
          <w:lang w:eastAsia="zh-CN"/>
        </w:rPr>
        <w:t>和</w:t>
      </w:r>
      <w:r>
        <w:rPr>
          <w:rFonts w:ascii="仿宋_GB2312" w:eastAsia="仿宋_GB2312" w:cs="仿宋_GB2312" w:hint="eastAsia"/>
          <w:color w:val="000000"/>
          <w:sz w:val="32"/>
          <w:szCs w:val="32"/>
        </w:rPr>
        <w:t>森林覆盖率；对县域内现存古树进行日常管护。落实保护和发展森林资源目标责任制，与各镇签订保护发展森林资源目标责任书。完成</w:t>
      </w:r>
      <w:r>
        <w:rPr>
          <w:rFonts w:ascii="仿宋_GB2312" w:eastAsia="仿宋_GB2312" w:cs="仿宋_GB2312" w:hint="eastAsia"/>
          <w:color w:val="000000"/>
          <w:sz w:val="32"/>
          <w:szCs w:val="32"/>
          <w:lang w:eastAsia="zh-CN"/>
        </w:rPr>
        <w:t>了</w:t>
      </w:r>
      <w:r>
        <w:rPr>
          <w:rFonts w:ascii="仿宋_GB2312" w:eastAsia="仿宋_GB2312" w:cs="仿宋_GB2312" w:hint="eastAsia"/>
          <w:color w:val="000000"/>
          <w:sz w:val="32"/>
          <w:szCs w:val="32"/>
        </w:rPr>
        <w:t>全县2021年森林督查暨森林资源管理“一张图”年度更新；扎实开展林政案件执法，依法行政，开展“规范林业执法行为提升林业执法能力”专项行动，深入开展行政审批制度和深化政务服务“最多跑一次”一体化改革，认真落实法律顾问制度。</w:t>
      </w:r>
    </w:p>
    <w:p>
      <w:pPr>
        <w:keepNext w:val="0"/>
        <w:keepLines w:val="0"/>
        <w:pageBreakBefore w:val="0"/>
        <w:widowControl w:val="0"/>
        <w:kinsoku/>
        <w:wordWrap/>
        <w:overflowPunct/>
        <w:topLinePunct w:val="0"/>
        <w:autoSpaceDE/>
        <w:autoSpaceDN/>
        <w:bidi w:val="0"/>
        <w:adjustRightInd/>
        <w:snapToGrid/>
        <w:spacing w:line="560" w:lineRule="exact"/>
        <w:ind w:leftChars="200" w:left="420" w:firstLineChars="200" w:firstLine="640"/>
        <w:textAlignment w:val="auto"/>
        <w:rPr>
          <w:rFonts w:ascii="仿宋_GB2312" w:eastAsia="仿宋_GB2312" w:cs="仿宋_GB2312" w:hint="eastAsia"/>
          <w:b/>
          <w:bCs/>
          <w:color w:val="000000"/>
          <w:sz w:val="32"/>
          <w:szCs w:val="32"/>
        </w:rPr>
      </w:pPr>
      <w:r>
        <w:rPr>
          <w:rFonts w:ascii="仿宋_GB2312" w:eastAsia="仿宋_GB2312" w:cs="仿宋_GB2312" w:hint="eastAsia"/>
          <w:b/>
          <w:bCs/>
          <w:color w:val="000000"/>
          <w:sz w:val="32"/>
          <w:szCs w:val="32"/>
          <w:lang w:val="en-US" w:eastAsia="zh-CN"/>
        </w:rPr>
        <w:t>2.</w:t>
      </w:r>
      <w:r>
        <w:rPr>
          <w:rFonts w:ascii="仿宋_GB2312" w:eastAsia="仿宋_GB2312" w:cs="仿宋_GB2312" w:hint="eastAsia"/>
          <w:b/>
          <w:bCs/>
          <w:color w:val="000000"/>
          <w:sz w:val="32"/>
          <w:szCs w:val="32"/>
        </w:rPr>
        <w:t>野生动植物保护</w:t>
      </w:r>
    </w:p>
    <w:p>
      <w:pPr>
        <w:keepNext w:val="0"/>
        <w:keepLines w:val="0"/>
        <w:pageBreakBefore w:val="0"/>
        <w:widowControl w:val="0"/>
        <w:kinsoku/>
        <w:wordWrap/>
        <w:overflowPunct/>
        <w:topLinePunct w:val="0"/>
        <w:autoSpaceDE/>
        <w:autoSpaceDN/>
        <w:bidi w:val="0"/>
        <w:adjustRightInd/>
        <w:snapToGrid/>
        <w:spacing w:line="560" w:lineRule="exact"/>
        <w:ind w:left="420"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对全县野生动物、野生植物进行有效保护，发放野生动植物图鉴</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野生动物宣传册</w:t>
      </w:r>
      <w:r>
        <w:rPr>
          <w:rFonts w:ascii="仿宋_GB2312" w:eastAsia="仿宋_GB2312" w:cs="仿宋_GB2312" w:hint="eastAsia"/>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200" w:left="420" w:firstLineChars="200" w:firstLine="640"/>
        <w:textAlignment w:val="auto"/>
        <w:rPr>
          <w:rFonts w:ascii="仿宋_GB2312" w:eastAsia="仿宋_GB2312" w:cs="仿宋_GB2312" w:hint="eastAsia"/>
          <w:b/>
          <w:bCs/>
          <w:color w:val="000000"/>
          <w:sz w:val="32"/>
          <w:szCs w:val="32"/>
        </w:rPr>
      </w:pPr>
      <w:r>
        <w:rPr>
          <w:rFonts w:ascii="仿宋_GB2312" w:eastAsia="仿宋_GB2312" w:cs="仿宋_GB2312" w:hint="eastAsia"/>
          <w:b/>
          <w:bCs/>
          <w:color w:val="000000"/>
          <w:sz w:val="32"/>
          <w:szCs w:val="32"/>
          <w:lang w:val="en-US" w:eastAsia="zh-CN"/>
        </w:rPr>
        <w:t>3.</w:t>
      </w:r>
      <w:r>
        <w:rPr>
          <w:rFonts w:ascii="仿宋_GB2312" w:eastAsia="仿宋_GB2312" w:cs="仿宋_GB2312" w:hint="eastAsia"/>
          <w:b/>
          <w:bCs/>
          <w:color w:val="000000"/>
          <w:sz w:val="32"/>
          <w:szCs w:val="32"/>
        </w:rPr>
        <w:t>生态建设项目推进</w:t>
      </w:r>
    </w:p>
    <w:p>
      <w:pPr>
        <w:keepNext w:val="0"/>
        <w:keepLines w:val="0"/>
        <w:pageBreakBefore w:val="0"/>
        <w:widowControl w:val="0"/>
        <w:kinsoku/>
        <w:wordWrap/>
        <w:overflowPunct/>
        <w:topLinePunct w:val="0"/>
        <w:autoSpaceDE/>
        <w:autoSpaceDN/>
        <w:bidi w:val="0"/>
        <w:adjustRightInd/>
        <w:snapToGrid/>
        <w:spacing w:line="560" w:lineRule="exact"/>
        <w:ind w:left="420"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实施茂县2021年度绿色廊道巩固提升项目（2021年茂县服务省文旅大会绿化美化），完成茂县境内G213及G347沿线绿色廊道缺损苗木的栽植和补植；实施2019年飞虹乡浅沟村干旱河谷综合治理造林工程，完成造林面积1112亩，栽植各类苗木111395株</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完成2021年管护期内营造林补植补造及管护项目</w:t>
      </w:r>
      <w:r>
        <w:rPr>
          <w:rFonts w:ascii="仿宋_GB2312" w:eastAsia="仿宋_GB2312" w:cs="仿宋_GB2312" w:hint="eastAsia"/>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420" w:firstLineChars="200" w:firstLine="640"/>
        <w:textAlignment w:val="auto"/>
        <w:rPr>
          <w:rFonts w:ascii="仿宋_GB2312" w:eastAsia="仿宋_GB2312" w:cs="仿宋_GB2312" w:hint="eastAsia"/>
          <w:b/>
          <w:bCs/>
          <w:color w:val="000000"/>
          <w:sz w:val="32"/>
          <w:szCs w:val="32"/>
        </w:rPr>
      </w:pPr>
      <w:r>
        <w:rPr>
          <w:rFonts w:ascii="仿宋_GB2312" w:eastAsia="仿宋_GB2312" w:cs="仿宋_GB2312" w:hint="eastAsia"/>
          <w:b/>
          <w:bCs/>
          <w:color w:val="000000"/>
          <w:sz w:val="32"/>
          <w:szCs w:val="32"/>
          <w:lang w:val="en-US" w:eastAsia="zh-CN"/>
        </w:rPr>
        <w:t>4.</w:t>
      </w:r>
      <w:r>
        <w:rPr>
          <w:rFonts w:ascii="仿宋_GB2312" w:eastAsia="仿宋_GB2312" w:cs="仿宋_GB2312" w:hint="eastAsia"/>
          <w:b/>
          <w:bCs/>
          <w:color w:val="000000"/>
          <w:sz w:val="32"/>
          <w:szCs w:val="32"/>
        </w:rPr>
        <w:t>惠民补贴资金兑现</w:t>
      </w:r>
    </w:p>
    <w:p>
      <w:pPr>
        <w:keepNext w:val="0"/>
        <w:keepLines w:val="0"/>
        <w:pageBreakBefore w:val="0"/>
        <w:widowControl w:val="0"/>
        <w:kinsoku/>
        <w:wordWrap/>
        <w:overflowPunct/>
        <w:topLinePunct w:val="0"/>
        <w:autoSpaceDE/>
        <w:autoSpaceDN/>
        <w:bidi w:val="0"/>
        <w:adjustRightInd/>
        <w:snapToGrid/>
        <w:spacing w:line="560" w:lineRule="exact"/>
        <w:ind w:left="42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生态公益性岗位。在全县范围内选用符合条件的生态护林员（草管员）。集体公益林生态效益补偿金。兑现落实全县集体公益林生态效益补偿金</w:t>
      </w:r>
      <w:r>
        <w:rPr>
          <w:rFonts w:ascii="仿宋_GB2312" w:eastAsia="仿宋_GB2312" w:cs="仿宋_GB2312" w:hint="eastAsia"/>
          <w:color w:val="000000"/>
          <w:sz w:val="32"/>
          <w:szCs w:val="32"/>
          <w:lang w:eastAsia="zh-CN"/>
        </w:rPr>
        <w:t>和</w:t>
      </w:r>
      <w:r>
        <w:rPr>
          <w:rFonts w:ascii="仿宋_GB2312" w:eastAsia="仿宋_GB2312" w:cs="仿宋_GB2312" w:hint="eastAsia"/>
          <w:color w:val="000000"/>
          <w:sz w:val="32"/>
          <w:szCs w:val="32"/>
        </w:rPr>
        <w:t>集体和个人天然商品林停伐补助。</w:t>
      </w:r>
    </w:p>
    <w:p>
      <w:pPr>
        <w:keepNext w:val="0"/>
        <w:keepLines w:val="0"/>
        <w:pageBreakBefore w:val="0"/>
        <w:widowControl w:val="0"/>
        <w:kinsoku/>
        <w:wordWrap/>
        <w:overflowPunct/>
        <w:topLinePunct w:val="0"/>
        <w:autoSpaceDE/>
        <w:autoSpaceDN/>
        <w:bidi w:val="0"/>
        <w:adjustRightInd/>
        <w:snapToGrid/>
        <w:spacing w:line="560" w:lineRule="exact"/>
        <w:ind w:leftChars="200" w:left="420" w:firstLineChars="200" w:firstLine="640"/>
        <w:textAlignment w:val="auto"/>
        <w:rPr>
          <w:rFonts w:ascii="仿宋_GB2312" w:eastAsia="仿宋_GB2312" w:cs="仿宋_GB2312" w:hint="eastAsia"/>
          <w:b/>
          <w:bCs/>
          <w:color w:val="000000"/>
          <w:sz w:val="32"/>
          <w:szCs w:val="32"/>
        </w:rPr>
      </w:pPr>
      <w:r>
        <w:rPr>
          <w:rFonts w:ascii="仿宋_GB2312" w:eastAsia="仿宋_GB2312" w:cs="仿宋_GB2312" w:hint="eastAsia"/>
          <w:b/>
          <w:bCs/>
          <w:color w:val="000000"/>
          <w:sz w:val="32"/>
          <w:szCs w:val="32"/>
          <w:lang w:val="en-US" w:eastAsia="zh-CN"/>
        </w:rPr>
        <w:t>5.</w:t>
      </w:r>
      <w:r>
        <w:rPr>
          <w:rFonts w:ascii="仿宋_GB2312" w:eastAsia="仿宋_GB2312" w:cs="仿宋_GB2312" w:hint="eastAsia"/>
          <w:b/>
          <w:bCs/>
          <w:color w:val="000000"/>
          <w:sz w:val="32"/>
          <w:szCs w:val="32"/>
        </w:rPr>
        <w:t>大熊猫国家公园建设</w:t>
      </w:r>
    </w:p>
    <w:p>
      <w:pPr>
        <w:keepNext w:val="0"/>
        <w:keepLines w:val="0"/>
        <w:pageBreakBefore w:val="0"/>
        <w:widowControl w:val="0"/>
        <w:kinsoku/>
        <w:wordWrap/>
        <w:overflowPunct/>
        <w:topLinePunct w:val="0"/>
        <w:autoSpaceDE/>
        <w:autoSpaceDN/>
        <w:bidi w:val="0"/>
        <w:adjustRightInd/>
        <w:snapToGrid/>
        <w:spacing w:line="560" w:lineRule="exact"/>
        <w:ind w:left="420" w:firstLineChars="200" w:firstLine="640"/>
        <w:textAlignment w:val="auto"/>
        <w:rPr>
          <w:rFonts w:ascii="仿宋_GB2312" w:eastAsia="仿宋_GB2312" w:cs="仿宋_GB2312" w:hint="eastAsia"/>
          <w:b/>
          <w:bCs/>
          <w:color w:val="000000"/>
          <w:sz w:val="32"/>
          <w:szCs w:val="32"/>
          <w:lang w:eastAsia="zh-CN"/>
        </w:rPr>
      </w:pPr>
      <w:r>
        <w:rPr>
          <w:rFonts w:ascii="仿宋_GB2312" w:eastAsia="仿宋_GB2312" w:cs="仿宋_GB2312" w:hint="eastAsia"/>
          <w:color w:val="000000"/>
          <w:sz w:val="32"/>
          <w:szCs w:val="32"/>
        </w:rPr>
        <w:t>实施大熊猫国家公园茂县园区导示标牌建设项目，在土地岭和荞面沟分别建设一处导示标志。实施茂县2021年大熊猫国家公园补助建设项目，新建成覆盖永和村和团结村的监测系统、实施大熊猫国家茂县片区生态保护建设</w:t>
      </w:r>
      <w:r>
        <w:rPr>
          <w:rFonts w:ascii="仿宋_GB2312" w:eastAsia="仿宋_GB2312" w:cs="仿宋_GB2312" w:hint="eastAsia"/>
          <w:b w:val="0"/>
          <w:bCs w:val="0"/>
          <w:color w:val="000000"/>
          <w:sz w:val="32"/>
          <w:szCs w:val="32"/>
        </w:rPr>
        <w:t>项目</w:t>
      </w:r>
      <w:r>
        <w:rPr>
          <w:rFonts w:ascii="仿宋_GB2312" w:eastAsia="仿宋_GB2312" w:cs="仿宋_GB2312" w:hint="eastAsia"/>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Chars="200" w:left="420" w:firstLineChars="200" w:firstLine="640"/>
        <w:textAlignment w:val="auto"/>
        <w:rPr>
          <w:rFonts w:ascii="仿宋_GB2312" w:eastAsia="仿宋_GB2312" w:cs="仿宋_GB2312" w:hint="eastAsia"/>
          <w:b/>
          <w:bCs/>
          <w:color w:val="000000"/>
          <w:sz w:val="32"/>
          <w:szCs w:val="32"/>
          <w:lang w:val="en-US" w:eastAsia="zh-CN"/>
        </w:rPr>
      </w:pPr>
      <w:r>
        <w:rPr>
          <w:rFonts w:ascii="仿宋_GB2312" w:eastAsia="仿宋_GB2312" w:cs="仿宋_GB2312" w:hint="eastAsia"/>
          <w:b/>
          <w:bCs/>
          <w:color w:val="000000"/>
          <w:sz w:val="32"/>
          <w:szCs w:val="32"/>
          <w:lang w:val="en-US" w:eastAsia="zh-CN"/>
        </w:rPr>
        <w:t>6.</w:t>
      </w:r>
      <w:r>
        <w:rPr>
          <w:rFonts w:ascii="仿宋_GB2312" w:eastAsia="仿宋_GB2312" w:cs="仿宋_GB2312" w:hint="eastAsia"/>
          <w:b/>
          <w:bCs/>
          <w:color w:val="000000"/>
          <w:sz w:val="32"/>
          <w:szCs w:val="32"/>
        </w:rPr>
        <w:t>森林草原防灭火</w:t>
      </w:r>
      <w:r>
        <w:rPr>
          <w:rFonts w:ascii="仿宋_GB2312" w:eastAsia="仿宋_GB2312" w:cs="仿宋_GB2312" w:hint="eastAsia"/>
          <w:b/>
          <w:bCs/>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Chars="200" w:left="420"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压实责任抓隐患整治。成立5个以局领导班子带队的包片督导组，对全县11个镇防火责任包干到人头。制定《茂县森林草原火灾风险隐患排查整治运行规程》，压实各单位隐患排查整治责任。制定《茂县生态护林（草）员管理实施细则》和《茂县生态护林（草）员考核细则》</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扑火队伍建设，森林草原专业扑火队伍靠前驻训，集中待命，保持战备状态</w:t>
      </w:r>
      <w:r>
        <w:rPr>
          <w:rFonts w:ascii="仿宋_GB2312" w:eastAsia="仿宋_GB2312" w:cs="仿宋_GB2312" w:hint="eastAsia"/>
          <w:color w:val="000000"/>
          <w:sz w:val="32"/>
          <w:szCs w:val="32"/>
          <w:lang w:eastAsia="zh-CN"/>
        </w:rPr>
        <w:t>。</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黑体" w:eastAsia="黑体" w:cs="Times New Roman" w:hint="eastAsia"/>
          <w:bCs w:val="0"/>
          <w:color w:val="000000"/>
        </w:rPr>
      </w:pPr>
      <w:bookmarkStart w:id="23" w:name="_Toc111208497"/>
      <w:bookmarkStart w:id="24" w:name="_Toc113981011"/>
      <w:r>
        <w:rPr>
          <w:rFonts w:ascii="黑体" w:eastAsia="黑体" w:cs="Times New Roman" w:hint="eastAsia"/>
          <w:bCs w:val="0"/>
          <w:color w:val="000000"/>
        </w:rPr>
        <w:t>二、机构设置</w:t>
      </w:r>
      <w:bookmarkEnd w:id="22"/>
      <w:bookmarkEnd w:id="23"/>
      <w:bookmarkEnd w:id="24"/>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仿宋_GB2312" w:eastAsia="仿宋_GB2312" w:cs="仿宋_GB2312" w:hint="eastAsia"/>
          <w:b w:val="0"/>
          <w:bCs w:val="0"/>
          <w:color w:val="000000"/>
          <w:sz w:val="32"/>
          <w:szCs w:val="32"/>
        </w:rPr>
      </w:pPr>
      <w:r>
        <w:rPr>
          <w:rFonts w:ascii="仿宋_GB2312" w:eastAsia="仿宋_GB2312" w:cs="仿宋_GB2312" w:hint="eastAsia"/>
          <w:b w:val="0"/>
          <w:bCs w:val="0"/>
          <w:color w:val="000000"/>
          <w:sz w:val="32"/>
          <w:szCs w:val="32"/>
        </w:rPr>
        <w:t>茂县林业和草原局属一级预算单位,下属二级预算单位 0 个,其中：行政单位0个，参照公务员法管理的事业单位 0个,其他事业单位 0个;参照公务员法管理的事业单位是:0个;其他事业单位分别是:0个。纳入茂县林业和草原局202</w:t>
      </w:r>
      <w:r>
        <w:rPr>
          <w:rFonts w:ascii="仿宋_GB2312" w:eastAsia="仿宋_GB2312" w:cs="仿宋_GB2312" w:hint="eastAsia"/>
          <w:b w:val="0"/>
          <w:bCs w:val="0"/>
          <w:color w:val="000000"/>
          <w:sz w:val="32"/>
          <w:szCs w:val="32"/>
          <w:lang w:val="en-US" w:eastAsia="zh-CN"/>
        </w:rPr>
        <w:t>1</w:t>
      </w:r>
      <w:r>
        <w:rPr>
          <w:rFonts w:ascii="仿宋_GB2312" w:eastAsia="仿宋_GB2312" w:cs="仿宋_GB2312" w:hint="eastAsia"/>
          <w:b w:val="0"/>
          <w:bCs w:val="0"/>
          <w:color w:val="000000"/>
          <w:sz w:val="32"/>
          <w:szCs w:val="32"/>
        </w:rPr>
        <w:t>年度部门决算编制范围的二级预算单位包括0个。</w:t>
      </w:r>
    </w:p>
    <w:p>
      <w:pPr>
        <w:widowControl/>
        <w:jc w:val="left"/>
        <w:rPr>
          <w:rFonts w:ascii="仿宋_GB2312" w:eastAsia="仿宋_GB2312"/>
          <w:b/>
          <w:bCs/>
          <w:color w:val="000000"/>
          <w:kern w:val="44"/>
          <w:sz w:val="44"/>
          <w:szCs w:val="44"/>
        </w:rPr>
      </w:pPr>
      <w:bookmarkStart w:id="25" w:name="_Toc15377204"/>
      <w:r>
        <w:rPr>
          <w:rFonts w:ascii="仿宋_GB2312" w:eastAsia="仿宋_GB2312"/>
          <w:color w:val="000000"/>
        </w:rPr>
        <w:br w:type="page"/>
      </w:r>
    </w:p>
    <w:p>
      <w:pPr>
        <w:pStyle w:val="1"/>
        <w:jc w:val="center"/>
        <w:rPr>
          <w:rFonts w:ascii="黑体" w:eastAsia="黑体" w:cs="黑体"/>
        </w:rPr>
      </w:pPr>
      <w:bookmarkStart w:id="26" w:name="_Toc113981012"/>
      <w:bookmarkStart w:id="27" w:name="_Toc111208498"/>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bookmarkEnd w:id="25"/>
      <w:bookmarkEnd w:id="26"/>
      <w:bookmarkEnd w:id="27"/>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黑体" w:eastAsia="黑体" w:cs="Times New Roman"/>
          <w:bCs w:val="0"/>
          <w:color w:val="000000"/>
        </w:rPr>
      </w:pPr>
      <w:bookmarkStart w:id="28" w:name="_Toc15377205"/>
      <w:bookmarkStart w:id="29" w:name="_Toc113981013"/>
      <w:bookmarkStart w:id="30" w:name="_Toc111208499"/>
      <w:r>
        <w:rPr>
          <w:rFonts w:ascii="黑体" w:eastAsia="黑体" w:cs="Times New Roman" w:hint="eastAsia"/>
          <w:bCs w:val="0"/>
          <w:color w:val="000000"/>
        </w:rPr>
        <w:t>一、收入支出决算总体情况说</w:t>
      </w:r>
      <w:bookmarkEnd w:id="28"/>
      <w:r>
        <w:rPr>
          <w:rFonts w:ascii="黑体" w:eastAsia="黑体" w:cs="Times New Roman" w:hint="eastAsia"/>
          <w:bCs w:val="0"/>
          <w:color w:val="000000"/>
        </w:rPr>
        <w:t>明</w:t>
      </w:r>
      <w:bookmarkEnd w:id="29"/>
      <w:bookmarkEnd w:id="30"/>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B0F0"/>
          <w:sz w:val="32"/>
          <w:szCs w:val="32"/>
        </w:rPr>
      </w:pPr>
      <w:r>
        <w:rPr>
          <w:rFonts w:ascii="仿宋_GB2312" w:eastAsia="仿宋_GB2312" w:cs="仿宋_GB2312" w:hint="eastAsia"/>
          <w:color w:val="000000"/>
          <w:sz w:val="32"/>
          <w:szCs w:val="32"/>
        </w:rPr>
        <w:t xml:space="preserve">2021年度收、支总计15512.36万元。与2020年相比，收、支总计各增加969.79万元，增加6.67 %。 </w:t>
      </w:r>
    </w:p>
    <w:p>
      <w:pPr>
        <w:spacing w:line="600" w:lineRule="exact"/>
        <w:ind w:firstLineChars="500" w:firstLine="1600"/>
        <w:rPr>
          <w:rFonts w:ascii="仿宋_GB2312" w:eastAsia="仿宋_GB2312"/>
          <w:color w:val="000000"/>
          <w:sz w:val="28"/>
          <w:szCs w:val="28"/>
        </w:rPr>
      </w:pPr>
      <w:r>
        <w:rPr>
          <w:rFonts w:ascii="仿宋_GB2312" w:eastAsia="仿宋_GB2312" w:cs="仿宋_GB2312" w:hint="eastAsia"/>
          <w:color w:val="000000"/>
          <w:sz w:val="32"/>
          <w:szCs w:val="32"/>
        </w:rPr>
        <w:t>（图1：收、支决算总计变动情况图）</w:t>
      </w: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黑体" w:eastAsia="黑体" w:cs="Times New Roman"/>
          <w:bCs w:val="0"/>
          <w:color w:val="000000"/>
        </w:rPr>
      </w:pPr>
      <w:bookmarkStart w:id="31" w:name="_Toc15377206"/>
      <w:bookmarkStart w:id="32" w:name="_Toc111208500"/>
      <w:bookmarkStart w:id="33" w:name="_Toc113981014"/>
      <w:r>
        <w:rPr>
          <w:rFonts w:ascii="黑体" w:eastAsia="黑体" w:cs="Times New Roman" w:hint="eastAsia"/>
          <w:bCs w:val="0"/>
          <w:color w:val="000000"/>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本年收入合计13084.25万元，其中：一般公共预算财政拨款收入12406.03万元，占94.82%；政府性基金预算财政拨款收入678.21万元，占5.18%；国有资本经营预算财政拨款收入0.00万元；上级补助收入0.00万元；事业收入0.00万元；经营收入0.00万元；附属单位上缴收入0.00万元；其他收入0.00万元。</w:t>
      </w:r>
    </w:p>
    <w:p>
      <w:pPr>
        <w:spacing w:line="600" w:lineRule="exact"/>
        <w:ind w:firstLineChars="900" w:firstLine="2880"/>
        <w:rPr>
          <w:rFonts w:ascii="仿宋_GB2312" w:eastAsia="仿宋_GB2312" w:cs="仿宋_GB2312" w:hint="eastAsia"/>
          <w:color w:val="000000"/>
          <w:sz w:val="32"/>
          <w:szCs w:val="32"/>
        </w:rPr>
      </w:pPr>
    </w:p>
    <w:p>
      <w:pPr>
        <w:pStyle w:val="15"/>
        <w:rPr>
          <w:rFonts w:ascii="仿宋_GB2312" w:eastAsia="仿宋_GB2312" w:cs="仿宋_GB2312" w:hint="eastAsia"/>
          <w:color w:val="000000"/>
          <w:sz w:val="32"/>
          <w:szCs w:val="32"/>
        </w:rPr>
      </w:pPr>
    </w:p>
    <w:p>
      <w:pPr>
        <w:pStyle w:val="15"/>
        <w:rPr>
          <w:rFonts w:ascii="仿宋_GB2312" w:eastAsia="仿宋_GB2312" w:cs="仿宋_GB2312" w:hint="eastAsia"/>
          <w:color w:val="000000"/>
          <w:sz w:val="32"/>
          <w:szCs w:val="32"/>
        </w:rPr>
      </w:pPr>
    </w:p>
    <w:p>
      <w:pPr>
        <w:spacing w:line="600" w:lineRule="exact"/>
        <w:ind w:firstLineChars="900" w:firstLine="288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4381500" cy="2886710"/>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keepNext/>
        <w:keepLines/>
        <w:pageBreakBefore w:val="0"/>
        <w:widowControl w:val="0"/>
        <w:kinsoku/>
        <w:wordWrap/>
        <w:overflowPunct/>
        <w:topLinePunct w:val="0"/>
        <w:autoSpaceDE/>
        <w:autoSpaceDN/>
        <w:bidi w:val="0"/>
        <w:adjustRightInd/>
        <w:snapToGrid/>
        <w:spacing w:before="0" w:after="0"/>
        <w:ind w:firstLineChars="200" w:firstLine="640"/>
        <w:textAlignment w:val="auto"/>
        <w:rPr>
          <w:rFonts w:ascii="黑体" w:eastAsia="黑体" w:cs="Times New Roman"/>
          <w:bCs w:val="0"/>
          <w:color w:val="000000"/>
        </w:rPr>
      </w:pPr>
      <w:bookmarkStart w:id="34" w:name="_Toc111208501"/>
      <w:bookmarkStart w:id="35" w:name="_Toc15377207"/>
      <w:bookmarkStart w:id="36" w:name="_Toc113981015"/>
      <w:r>
        <w:rPr>
          <w:rFonts w:ascii="黑体" w:eastAsia="黑体" w:cs="Times New Roman" w:hint="eastAsia"/>
          <w:bCs w:val="0"/>
          <w:color w:val="000000"/>
        </w:rPr>
        <w:t>三、支出决算情况说明</w:t>
      </w:r>
      <w:bookmarkEnd w:id="34"/>
      <w:bookmarkEnd w:id="35"/>
      <w:bookmarkEnd w:id="36"/>
    </w:p>
    <w:p>
      <w:pPr>
        <w:pStyle w:val="15"/>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2021年本年支出合计15512.36万元，其中：基本支出2284.94万元，占14.73%；项目支出13227.42万元，占85.27%；上缴上级支出0.00万元；经营支出0.00万元；对附属单位补助支出0.00万元。</w:t>
      </w:r>
    </w:p>
    <w:p>
      <w:pPr>
        <w:keepNext w:val="0"/>
        <w:keepLines w:val="0"/>
        <w:pageBreakBefore w:val="0"/>
        <w:widowControl w:val="0"/>
        <w:kinsoku/>
        <w:wordWrap/>
        <w:overflowPunct/>
        <w:topLinePunct w:val="0"/>
        <w:autoSpaceDE/>
        <w:autoSpaceDN/>
        <w:bidi w:val="0"/>
        <w:adjustRightInd/>
        <w:snapToGrid/>
        <w:spacing w:line="560" w:lineRule="exact"/>
        <w:ind w:firstLineChars="700" w:firstLine="22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4363720" cy="2704465"/>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keepNext/>
        <w:keepLines/>
        <w:pageBreakBefore w:val="0"/>
        <w:widowControl w:val="0"/>
        <w:numPr>
          <w:ilvl w:val="0"/>
          <w:numId w:val="1"/>
        </w:numPr>
        <w:kinsoku/>
        <w:wordWrap/>
        <w:overflowPunct/>
        <w:topLinePunct w:val="0"/>
        <w:autoSpaceDE/>
        <w:autoSpaceDN/>
        <w:bidi w:val="0"/>
        <w:adjustRightInd/>
        <w:snapToGrid/>
        <w:spacing w:before="0" w:after="0" w:line="560" w:lineRule="exact"/>
        <w:ind w:left="0" w:firstLineChars="200" w:firstLine="640"/>
        <w:textAlignment w:val="auto"/>
        <w:rPr>
          <w:rFonts w:ascii="黑体" w:eastAsia="黑体" w:cs="Times New Roman" w:hint="eastAsia"/>
          <w:bCs w:val="0"/>
          <w:color w:val="000000"/>
        </w:rPr>
      </w:pPr>
      <w:bookmarkStart w:id="37" w:name="_Toc113981016"/>
      <w:bookmarkStart w:id="38" w:name="_Toc111208502"/>
      <w:bookmarkStart w:id="39" w:name="_Toc15377208"/>
      <w:r>
        <w:rPr>
          <w:rFonts w:ascii="黑体" w:eastAsia="黑体" w:cs="Times New Roman" w:hint="eastAsia"/>
          <w:bCs w:val="0"/>
          <w:color w:val="000000"/>
        </w:rPr>
        <w:t>财政拨款收入支出决算总体情况说明</w:t>
      </w:r>
      <w:bookmarkEnd w:id="37"/>
      <w:bookmarkEnd w:id="38"/>
      <w:bookmarkEnd w:id="39"/>
    </w:p>
    <w:p>
      <w:pPr>
        <w:pStyle w:val="2"/>
        <w:keepNext/>
        <w:keepLines/>
        <w:pageBreakBefore w:val="0"/>
        <w:widowControl w:val="0"/>
        <w:kinsoku/>
        <w:wordWrap/>
        <w:overflowPunct/>
        <w:topLinePunct w:val="0"/>
        <w:autoSpaceDE/>
        <w:autoSpaceDN/>
        <w:bidi w:val="0"/>
        <w:adjustRightInd/>
        <w:snapToGrid/>
        <w:spacing w:before="0" w:after="0" w:line="560" w:lineRule="exact"/>
        <w:ind w:left="0" w:firstLineChars="200" w:firstLine="640"/>
        <w:textAlignment w:val="auto"/>
        <w:rPr>
          <w:rFonts w:ascii="仿宋_GB2312" w:eastAsia="仿宋_GB2312" w:cs="仿宋_GB2312" w:hint="eastAsia"/>
          <w:b w:val="0"/>
          <w:bCs w:val="0"/>
          <w:color w:val="000000"/>
          <w:sz w:val="32"/>
          <w:szCs w:val="32"/>
        </w:rPr>
      </w:pPr>
      <w:r>
        <w:rPr>
          <w:rFonts w:ascii="仿宋_GB2312" w:eastAsia="仿宋_GB2312" w:cs="仿宋_GB2312" w:hint="eastAsia"/>
          <w:b w:val="0"/>
          <w:bCs w:val="0"/>
          <w:color w:val="000000"/>
          <w:sz w:val="32"/>
          <w:szCs w:val="32"/>
        </w:rPr>
        <w:t xml:space="preserve">2021年财政拨款收、支总计15512.36万元。与2020年相比，财政拨款收、支总计各增加969.79万元，增加6.67 %。 </w:t>
      </w:r>
    </w:p>
    <w:p>
      <w:pPr>
        <w:pageBreakBefore w:val="0"/>
        <w:widowControl w:val="0"/>
        <w:kinsoku/>
        <w:wordWrap/>
        <w:overflowPunct/>
        <w:topLinePunct w:val="0"/>
        <w:autoSpaceDE/>
        <w:autoSpaceDN/>
        <w:bidi w:val="0"/>
        <w:adjustRightInd/>
        <w:snapToGrid/>
        <w:spacing w:line="560" w:lineRule="exact"/>
        <w:ind w:firstLineChars="300" w:firstLine="960"/>
        <w:textAlignment w:val="auto"/>
      </w:pPr>
      <w:r>
        <w:rPr>
          <w:rFonts w:ascii="仿宋_GB2312" w:eastAsia="仿宋_GB2312" w:cs="仿宋_GB2312" w:hint="eastAsia"/>
          <w:color w:val="000000"/>
          <w:sz w:val="32"/>
          <w:szCs w:val="32"/>
        </w:rPr>
        <w:t>（图4：财政拨款收、支决算总计变动情况）</w:t>
      </w:r>
    </w:p>
    <w:p>
      <w:pPr>
        <w:pStyle w:val="15"/>
        <w:jc w:val="left"/>
      </w:pPr>
      <w:r>
        <w:rPr>
          <w:rFonts w:ascii="仿宋_GB2312" w:eastAsia="仿宋_GB2312" w:hint="eastAsia"/>
          <w:color w:val="000000"/>
          <w:sz w:val="32"/>
          <w:szCs w:val="32"/>
        </w:rPr>
        <w:drawing>
          <wp:inline distT="0" distB="0" distL="0" distR="0">
            <wp:extent cx="4561840" cy="2885440"/>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黑体" w:eastAsia="黑体" w:cs="Times New Roman"/>
          <w:bCs w:val="0"/>
          <w:color w:val="000000"/>
        </w:rPr>
      </w:pPr>
      <w:bookmarkStart w:id="40" w:name="_Toc15377209"/>
      <w:bookmarkStart w:id="41" w:name="_Toc113981017"/>
      <w:bookmarkStart w:id="42" w:name="_Toc111208503"/>
      <w:r>
        <w:rPr>
          <w:rFonts w:ascii="黑体" w:eastAsia="黑体" w:cs="Times New Roman" w:hint="eastAsia"/>
          <w:bCs w:val="0"/>
          <w:color w:val="000000"/>
        </w:rPr>
        <w:t>五、一般公共预算财政拨款支出决算情况说</w:t>
      </w:r>
      <w:bookmarkEnd w:id="40"/>
      <w:r>
        <w:rPr>
          <w:rFonts w:ascii="黑体" w:eastAsia="黑体" w:cs="Times New Roman" w:hint="eastAsia"/>
          <w:bCs w:val="0"/>
          <w:color w:val="000000"/>
        </w:rPr>
        <w:t>明</w:t>
      </w:r>
      <w:bookmarkEnd w:id="41"/>
      <w:bookmarkEnd w:id="42"/>
    </w:p>
    <w:p>
      <w:pPr>
        <w:pageBreakBefore w:val="0"/>
        <w:widowControl w:val="0"/>
        <w:kinsoku/>
        <w:wordWrap/>
        <w:overflowPunct/>
        <w:topLinePunct w:val="0"/>
        <w:autoSpaceDE/>
        <w:autoSpaceDN/>
        <w:bidi w:val="0"/>
        <w:adjustRightInd/>
        <w:snapToGrid/>
        <w:spacing w:line="560" w:lineRule="exact"/>
        <w:ind w:firstLineChars="200" w:firstLine="640"/>
        <w:textAlignment w:val="auto"/>
        <w:outlineLvl w:val="2"/>
        <w:rPr>
          <w:rFonts w:ascii="楷体" w:eastAsia="楷体" w:cs="楷体" w:hint="eastAsia"/>
          <w:b/>
          <w:color w:val="000000"/>
          <w:sz w:val="32"/>
          <w:szCs w:val="32"/>
        </w:rPr>
      </w:pPr>
      <w:bookmarkStart w:id="43" w:name="_Toc15377210"/>
      <w:r>
        <w:rPr>
          <w:rFonts w:ascii="楷体" w:eastAsia="楷体" w:cs="楷体" w:hint="eastAsia"/>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bookmarkStart w:id="44" w:name="_Toc15377211"/>
      <w:r>
        <w:rPr>
          <w:rFonts w:ascii="仿宋_GB2312" w:eastAsia="仿宋_GB2312" w:cs="仿宋_GB2312" w:hint="eastAsia"/>
          <w:color w:val="000000"/>
          <w:sz w:val="32"/>
          <w:szCs w:val="32"/>
        </w:rPr>
        <w:t xml:space="preserve">2021年一般公共预算财政拨款支出14834.15万元，占本年支出合计的95.63%。与2020相比，一般公共预算财政拨款增加3574.28万元，增加31.74 %。 </w:t>
      </w:r>
    </w:p>
    <w:p>
      <w:pPr>
        <w:spacing w:line="600" w:lineRule="exact"/>
        <w:rPr>
          <w:rFonts w:ascii="仿宋_GB2312" w:eastAsia="仿宋_GB2312"/>
          <w:b/>
          <w:color w:val="000000"/>
          <w:sz w:val="32"/>
          <w:szCs w:val="32"/>
        </w:rPr>
      </w:pPr>
      <w:r>
        <w:rPr>
          <w:rFonts w:ascii="仿宋_GB2312" w:eastAsia="仿宋_GB2312" w:cs="仿宋_GB2312" w:hint="eastAsia"/>
          <w:color w:val="000000"/>
          <w:sz w:val="32"/>
          <w:szCs w:val="32"/>
        </w:rPr>
        <w:t>（图5：一般公共预算财政拨款支出决算变动情况）</w:t>
      </w: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5047615" cy="2152015"/>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600" w:lineRule="exact"/>
        <w:outlineLvl w:val="2"/>
        <w:rPr>
          <w:rFonts w:ascii="楷体" w:eastAsia="楷体" w:cs="楷体" w:hint="eastAsia"/>
          <w:b/>
          <w:bCs w:val="0"/>
          <w:color w:val="000000"/>
          <w:sz w:val="32"/>
          <w:szCs w:val="32"/>
        </w:rPr>
      </w:pPr>
      <w:r>
        <w:rPr>
          <w:rFonts w:ascii="楷体" w:eastAsia="楷体" w:cs="楷体" w:hint="eastAsia"/>
          <w:b/>
          <w:bCs w:val="0"/>
          <w:color w:val="000000"/>
          <w:sz w:val="32"/>
          <w:szCs w:val="32"/>
        </w:rPr>
        <w:t>（二）一般公共预算财政拨款支出决算结构情况</w:t>
      </w:r>
      <w:bookmarkEnd w:id="44"/>
      <w:r>
        <w:rPr>
          <w:rFonts w:ascii="楷体" w:eastAsia="楷体" w:cs="楷体" w:hint="eastAsia"/>
          <w:b/>
          <w:bCs w:val="0"/>
          <w:color w:val="000000"/>
          <w:sz w:val="32"/>
          <w:szCs w:val="32"/>
        </w:rPr>
        <w:t>（一般公共预算收支表）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一般公共预算财政拨款支出14834.15万元，主要用于以下方面:社会保障和就业支出197.92万元，占1.33%；卫生健康支出112.93万元，占0.76%；节能环保支出4873.10万元，占32.85%；农林水支出8774.49万元，占59.15%；交通运输支出193.86万元，占1.31%；住房保障支出136.44万元，占0.92%；灾害防治及应急管理支出236.21万元，占1.59%；其他支出309.20万元，占2.09%。</w:t>
      </w:r>
    </w:p>
    <w:p>
      <w:pPr>
        <w:spacing w:line="600" w:lineRule="exact"/>
        <w:jc w:val="center"/>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（图6：一般公共预算财政拨款支出决算结构）</w:t>
      </w:r>
      <w:bookmarkStart w:id="45"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楷体" w:eastAsia="楷体" w:cs="楷体" w:hint="eastAsia"/>
          <w:b/>
          <w:color w:val="000000"/>
          <w:sz w:val="32"/>
          <w:szCs w:val="32"/>
        </w:rPr>
      </w:pPr>
      <w:r>
        <w:rPr>
          <w:rFonts w:ascii="楷体" w:eastAsia="楷体" w:cs="楷体" w:hint="eastAsia"/>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bookmarkStart w:id="46" w:name="_Toc15377444"/>
      <w:bookmarkStart w:id="47" w:name="_Toc15378460"/>
      <w:bookmarkStart w:id="48" w:name="_Toc15377213"/>
      <w:r>
        <w:rPr>
          <w:rFonts w:ascii="仿宋_GB2312" w:eastAsia="仿宋_GB2312" w:cs="仿宋_GB2312" w:hint="eastAsia"/>
          <w:color w:val="000000"/>
          <w:sz w:val="32"/>
          <w:szCs w:val="32"/>
        </w:rPr>
        <w:t>2021年一般公共预算支出决算数为14834.15万</w:t>
      </w:r>
      <w:r>
        <w:rPr>
          <w:rFonts w:ascii="仿宋_GB2312" w:eastAsia="仿宋_GB2312" w:cs="仿宋_GB2312" w:hint="eastAsia"/>
          <w:color w:val="000000"/>
          <w:sz w:val="32"/>
          <w:szCs w:val="32"/>
          <w:lang w:eastAsia="zh-CN"/>
        </w:rPr>
        <w:t>元</w:t>
      </w:r>
      <w:r>
        <w:rPr>
          <w:rFonts w:ascii="仿宋_GB2312" w:eastAsia="仿宋_GB2312" w:cs="仿宋_GB2312" w:hint="eastAsia"/>
          <w:color w:val="000000"/>
          <w:sz w:val="32"/>
          <w:szCs w:val="32"/>
        </w:rPr>
        <w:t>，完成预算100%。其中：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1.社会保障和就业支出（208）行政事业单位养老支出（20805）机关事业单位基本养老保险缴费支出（2080505）支出决算131.95万元，完成预算100%。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2.社会保障和就业支出（208）行政事业单位养老支出（20805）机关事业单位职业年金缴费支出（2080506）支出决算65.97万元，完成预算100%。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3.卫生健康支出（210）公共卫生（21004）重大公共卫生服务（2100409）支出决算14.67万元，完成预算100%。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4.卫生健康支出（210）行政事业单位医疗（21011）行政单位医疗（2101101）支出决算16.58万元，完成预算100%。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5.卫生健康支出（210）行政事业单位医疗（21011）事业单位医疗（2101102）支出决算81.68万元，完成预算100%。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6.节能环保支出（211）自然生态保护（21104）生态保护（2110401）支出决算4388.82万元，完成预算100%。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7.节能环保支出（211）天然林保护（21105）森林管护（2110501）支出决算10.39万元，完成预算100%。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8.节能环保支出（211）天然林保护（21105）社会保险补助（2110502）支出决算306.07万元，完成预算100%。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9.节能环保支出（211）退耕还林还草（21106）退耕现金（2110602）支出决算167.82万元，完成预算100%。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10.农林水支出（213）林业和草原（21302）行政运行（2130201）支出决算416.12万元，完成预算100%。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11.农林水支出（213）林业和草原（21302）事业机构（2130204）支出决算1436.20万元，完成预算100%。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12.农林水支出（213）林业和草原（21302）森林资源培育（2130205）支出决算655.61万元，完成预算100%。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13.农林水支出（213）林业和草原（21302）森林资源管理（2130207）支出决算1734.27万元，完成预算100%。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14.农林水支出（213）林业和草原（21302）森林生态效益补偿（2130209）支出决算3542.47万元，完成预算100%。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15.农林水支出（213）林业和草原（21302）动植物保护（2130211）支出决算18.17万元，完成预算100%。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16.农林水支出（213）林业和草原（21302）林业草原防灾减灾（2130234）支出决算250.82万元，完成预算100%。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17.农林水支出（213）林业和草原（21302）其他林业和草原支出（2130299）支出决算675.95万元，完成预算100%。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18.农林水支出（213）扶贫（21305）其他扶贫支出（2130599）支出决算2.89万元，完成预算100%。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19.农林水支出（213）其他农林水支出（21399）其他农林水支出（2139999）支出决算42.00万元，完成预算100%。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20.交通运输支出（214）公路水路运输（21401）其他公路水路运输支出（2140199）支出决算193.86万元，完成预算100%。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21.住房保障支出（221）住房改革支出（22102）住房公积金（2210201）支出决算133.39万元，完成预算100%。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22.住房保障支出（221）住房改革支出（22102）购房补贴（2210203）支出决算3.05万元，完成预算100%。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23.灾害防治及应急管理支出（224）自然灾害防治（22406）森林草原防灾减灾（2240602）支出决算236.21万元，完成预算100%。</w:t>
      </w:r>
    </w:p>
    <w:p>
      <w:pPr>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ab/>
        <w:t>24.其他支出（229）其他支出（22999）其他支出（2299999）支出决算309.20万元，完成预算100%。</w:t>
      </w:r>
    </w:p>
    <w:p>
      <w:pPr>
        <w:pStyle w:val="2"/>
        <w:keepNext/>
        <w:keepLines/>
        <w:pageBreakBefore w:val="0"/>
        <w:widowControl w:val="0"/>
        <w:kinsoku/>
        <w:wordWrap/>
        <w:overflowPunct/>
        <w:topLinePunct w:val="0"/>
        <w:autoSpaceDE/>
        <w:autoSpaceDN/>
        <w:bidi w:val="0"/>
        <w:adjustRightInd/>
        <w:snapToGrid/>
        <w:spacing w:before="0" w:after="0" w:line="560" w:lineRule="exact"/>
        <w:ind w:firstLineChars="200" w:firstLine="640"/>
        <w:textAlignment w:val="auto"/>
        <w:rPr>
          <w:rFonts w:ascii="楷体" w:eastAsia="楷体" w:cs="楷体" w:hint="eastAsia"/>
          <w:b w:val="0"/>
          <w:color w:val="000000"/>
        </w:rPr>
      </w:pPr>
      <w:bookmarkStart w:id="49" w:name="_Toc15377214"/>
      <w:bookmarkStart w:id="50" w:name="_Toc113981018"/>
      <w:bookmarkStart w:id="51" w:name="_Toc111208504"/>
      <w:r>
        <w:rPr>
          <w:rFonts w:ascii="楷体" w:eastAsia="楷体" w:cs="楷体" w:hint="eastAsia"/>
          <w:bCs w:val="0"/>
          <w:color w:val="000000"/>
        </w:rPr>
        <w:t>六、一般公共预算财政拨款基本支出决算情况说</w:t>
      </w:r>
      <w:bookmarkEnd w:id="49"/>
      <w:r>
        <w:rPr>
          <w:rFonts w:ascii="楷体" w:eastAsia="楷体" w:cs="楷体" w:hint="eastAsia"/>
          <w:bCs w:val="0"/>
          <w:color w:val="000000"/>
        </w:rPr>
        <w:t>明</w:t>
      </w:r>
      <w:bookmarkEnd w:id="50"/>
      <w:bookmarkEnd w:id="51"/>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2021年一般公共预算财政拨款基本支出2284.94万元，其中：</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人员经费2193.78万元，主要包括：基本工资417.74万元、津贴补贴129.87万元、奖金101.79万元、绩效工资918.83万元、机关事业单位基本养老保险缴费131.95万元、职业年金缴费65.97万元、职工基本医疗保险缴费98.26万元、其他社会保障缴费7.87万元、住房公积金133.39万元、医疗费16.98万元、抚恤金52.32万元、生活补助118.00万元、医疗费补助0.69万元、奖励金0.11万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公用经费91.16万元，主要包括：办公费19.43万元、水费0.91万元、电费6.58万元、邮电费8.02万元、差旅费45.74万元、培训费1.39万元、公务接待费1.70万元、专用燃料费0.08万元、公务用车运行维护费7.31万元。</w:t>
      </w:r>
    </w:p>
    <w:p>
      <w:pPr>
        <w:pStyle w:val="2"/>
        <w:keepNext/>
        <w:keepLines/>
        <w:pageBreakBefore w:val="0"/>
        <w:widowControl w:val="0"/>
        <w:kinsoku/>
        <w:wordWrap/>
        <w:overflowPunct/>
        <w:topLinePunct w:val="0"/>
        <w:autoSpaceDE/>
        <w:autoSpaceDN/>
        <w:bidi w:val="0"/>
        <w:adjustRightInd/>
        <w:snapToGrid/>
        <w:spacing w:before="0" w:after="0"/>
        <w:ind w:firstLineChars="200" w:firstLine="640"/>
        <w:textAlignment w:val="auto"/>
        <w:rPr>
          <w:rFonts w:ascii="黑体" w:eastAsia="黑体" w:cs="Times New Roman"/>
          <w:bCs w:val="0"/>
          <w:color w:val="000000"/>
        </w:rPr>
      </w:pPr>
      <w:bookmarkStart w:id="52" w:name="_Toc113981019"/>
      <w:bookmarkStart w:id="53" w:name="_Toc15377215"/>
      <w:bookmarkStart w:id="54" w:name="_Toc111208505"/>
      <w:r>
        <w:rPr>
          <w:rFonts w:ascii="黑体" w:eastAsia="黑体" w:cs="Times New Roman" w:hint="eastAsia"/>
          <w:bCs w:val="0"/>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楷体" w:eastAsia="楷体" w:cs="楷体" w:hint="eastAsia"/>
          <w:b/>
          <w:color w:val="000000"/>
          <w:sz w:val="32"/>
          <w:szCs w:val="32"/>
        </w:rPr>
      </w:pPr>
      <w:bookmarkStart w:id="55" w:name="_Toc15377216"/>
      <w:r>
        <w:rPr>
          <w:rFonts w:ascii="楷体" w:eastAsia="楷体" w:cs="楷体" w:hint="eastAsia"/>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adjustRightInd/>
        <w:snapToGrid/>
        <w:spacing w:line="600" w:lineRule="exact"/>
        <w:ind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2021年“三公”经费财政拨款支出决算为9.01万元，完成预算100.00%。</w:t>
      </w:r>
      <w:bookmarkStart w:id="56" w:name="_Toc15377217"/>
    </w:p>
    <w:p>
      <w:pPr>
        <w:spacing w:line="600" w:lineRule="exact"/>
        <w:ind w:firstLineChars="200" w:firstLine="640"/>
        <w:outlineLvl w:val="2"/>
        <w:rPr>
          <w:rFonts w:ascii="楷体" w:eastAsia="楷体" w:cs="楷体" w:hint="eastAsia"/>
          <w:b/>
          <w:color w:val="000000"/>
          <w:sz w:val="32"/>
          <w:szCs w:val="32"/>
        </w:rPr>
      </w:pPr>
      <w:r>
        <w:rPr>
          <w:rFonts w:ascii="楷体" w:eastAsia="楷体" w:cs="楷体" w:hint="eastAsia"/>
          <w:b/>
          <w:color w:val="000000"/>
          <w:sz w:val="32"/>
          <w:szCs w:val="32"/>
        </w:rPr>
        <w:t>（二）“三公”经费财政拨款支出决算具体情况说明</w:t>
      </w:r>
      <w:bookmarkEnd w:id="56"/>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2021年“三公”经费财政拨款支出9.01万</w:t>
      </w:r>
      <w:r>
        <w:rPr>
          <w:rFonts w:ascii="仿宋_GB2312" w:eastAsia="仿宋_GB2312" w:cs="仿宋_GB2312" w:hint="eastAsia"/>
          <w:color w:val="000000"/>
          <w:sz w:val="32"/>
          <w:szCs w:val="32"/>
          <w:lang w:eastAsia="zh-CN"/>
        </w:rPr>
        <w:t>元</w:t>
      </w:r>
      <w:r>
        <w:rPr>
          <w:rFonts w:ascii="仿宋_GB2312" w:eastAsia="仿宋_GB2312" w:cs="仿宋_GB2312" w:hint="eastAsia"/>
          <w:color w:val="000000"/>
          <w:sz w:val="32"/>
          <w:szCs w:val="32"/>
        </w:rPr>
        <w:t>，因公出国（境）费支出决算0.00万元；公务用车购置及运行维护费支出决算7.31万元，占81.11%；公务接待费支出决算1.70万元，占18.89%。具体情况如下：</w:t>
      </w:r>
    </w:p>
    <w:p>
      <w:pPr>
        <w:spacing w:line="600" w:lineRule="exact"/>
        <w:ind w:firstLineChars="300" w:firstLine="960"/>
        <w:rPr>
          <w:rFonts w:ascii="仿宋" w:eastAsia="仿宋"/>
          <w:color w:val="000000"/>
          <w:sz w:val="32"/>
          <w:szCs w:val="32"/>
        </w:rPr>
      </w:pPr>
      <w:r>
        <w:rPr>
          <w:rFonts w:ascii="仿宋_GB2312" w:eastAsia="仿宋_GB2312" w:cs="仿宋_GB2312" w:hint="eastAsia"/>
          <w:color w:val="000000"/>
          <w:sz w:val="32"/>
          <w:szCs w:val="32"/>
        </w:rPr>
        <w:t>（图7：“三公”经费财政拨款支出结构）</w:t>
      </w:r>
    </w:p>
    <w:p>
      <w:pPr>
        <w:pStyle w:val="15"/>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1.因公出国（境）经费支出0.00万元。全年安排因公出国（境）团组0次，出国（境）0人。因公出国（境）支出决算比2020年增加0.00万元。 </w:t>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2.公务用车购置及运行维护费支出7.31万元,完成预算100.00%。公务用车购置及运行维护费支出决算比2020年增加0.81万元，增加12.39%。 </w:t>
      </w:r>
    </w:p>
    <w:p>
      <w:pPr>
        <w:spacing w:line="60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其中：公务用车购置支出0.00万元。截至2021年12月底，单位共有公务用车29辆，其中：轿车0辆、越野车5辆、载客汽车5辆</w:t>
      </w:r>
      <w:r>
        <w:rPr>
          <w:rFonts w:ascii="仿宋_GB2312" w:eastAsia="仿宋_GB2312" w:cs="仿宋_GB2312" w:hint="eastAsia"/>
          <w:color w:val="000000"/>
          <w:sz w:val="32"/>
          <w:szCs w:val="32"/>
          <w:lang w:val="en-US" w:eastAsia="zh-CN"/>
        </w:rPr>
        <w:t>,1其他车型19辆</w:t>
      </w:r>
      <w:r>
        <w:rPr>
          <w:rFonts w:ascii="仿宋_GB2312" w:eastAsia="仿宋_GB2312" w:cs="仿宋_GB2312" w:hint="eastAsia"/>
          <w:color w:val="000000"/>
          <w:sz w:val="32"/>
          <w:szCs w:val="32"/>
        </w:rPr>
        <w:t>。</w:t>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公务用车运行维护费支出7.31万元。 </w:t>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3.公务接待费支出1.70万元，完成预算100.00%。公务接待费支出决算比2020年减少0.26万元，减少15.33%。</w:t>
      </w:r>
      <w:bookmarkStart w:id="57" w:name="_Toc15377218"/>
      <w:r>
        <w:rPr>
          <w:rFonts w:ascii="仿宋_GB2312" w:eastAsia="仿宋_GB2312" w:cs="仿宋_GB2312" w:hint="eastAsia"/>
          <w:color w:val="000000"/>
          <w:sz w:val="32"/>
          <w:szCs w:val="32"/>
        </w:rPr>
        <w:t xml:space="preserve"> </w:t>
      </w:r>
    </w:p>
    <w:p>
      <w:pPr>
        <w:spacing w:line="600" w:lineRule="exact"/>
        <w:ind w:firstLine="64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国内公务接待支出1.70万元。国内公务接待27批次，154人次（不包括陪同人员），共计支出1.70万元。</w:t>
      </w:r>
    </w:p>
    <w:p>
      <w:pPr>
        <w:pStyle w:val="15"/>
        <w:pageBreakBefore w:val="0"/>
        <w:widowControl w:val="0"/>
        <w:kinsoku/>
        <w:wordWrap/>
        <w:overflowPunct/>
        <w:topLinePunct w:val="0"/>
        <w:autoSpaceDE/>
        <w:autoSpaceDN/>
        <w:bidi w:val="0"/>
        <w:spacing w:line="560" w:lineRule="exact"/>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外事接待支出0.00万元，外事接待0批次，0人，共计支出0.00万元。</w:t>
      </w:r>
    </w:p>
    <w:p>
      <w:pPr>
        <w:pStyle w:val="2"/>
        <w:keepNext/>
        <w:keepLines/>
        <w:pageBreakBefore w:val="0"/>
        <w:widowControl w:val="0"/>
        <w:kinsoku/>
        <w:wordWrap/>
        <w:overflowPunct/>
        <w:topLinePunct w:val="0"/>
        <w:autoSpaceDE/>
        <w:autoSpaceDN/>
        <w:bidi w:val="0"/>
        <w:spacing w:before="0" w:after="0" w:line="560" w:lineRule="exact"/>
        <w:ind w:firstLineChars="200" w:firstLine="640"/>
        <w:textAlignment w:val="auto"/>
        <w:rPr>
          <w:rFonts w:ascii="黑体" w:eastAsia="黑体" w:cs="Times New Roman"/>
          <w:bCs w:val="0"/>
          <w:color w:val="000000"/>
        </w:rPr>
      </w:pPr>
      <w:bookmarkStart w:id="58" w:name="_Toc113981020"/>
      <w:bookmarkStart w:id="59" w:name="_Toc111208506"/>
      <w:r>
        <w:rPr>
          <w:rFonts w:ascii="黑体" w:eastAsia="黑体" w:cs="Times New Roman" w:hint="eastAsia"/>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rPr>
      </w:pPr>
      <w:r>
        <w:rPr>
          <w:rFonts w:ascii="仿宋_GB2312" w:eastAsia="仿宋_GB2312" w:cs="仿宋_GB2312" w:hint="eastAsia"/>
          <w:color w:val="000000"/>
          <w:sz w:val="32"/>
          <w:szCs w:val="32"/>
        </w:rPr>
        <w:t>2021年政府性基金预算拨款支出678.21万元。</w:t>
      </w:r>
      <w:bookmarkStart w:id="60" w:name="_Toc15377219"/>
    </w:p>
    <w:p>
      <w:pPr>
        <w:pStyle w:val="2"/>
        <w:keepNext/>
        <w:keepLines/>
        <w:pageBreakBefore w:val="0"/>
        <w:widowControl w:val="0"/>
        <w:kinsoku/>
        <w:wordWrap/>
        <w:overflowPunct/>
        <w:topLinePunct w:val="0"/>
        <w:autoSpaceDE/>
        <w:autoSpaceDN/>
        <w:bidi w:val="0"/>
        <w:spacing w:before="0" w:after="0" w:line="560" w:lineRule="exact"/>
        <w:ind w:firstLineChars="200" w:firstLine="640"/>
        <w:textAlignment w:val="auto"/>
        <w:rPr>
          <w:rFonts w:ascii="黑体" w:eastAsia="黑体" w:cs="Times New Roman"/>
          <w:bCs w:val="0"/>
          <w:color w:val="000000"/>
        </w:rPr>
      </w:pPr>
      <w:bookmarkStart w:id="61" w:name="_Toc111208507"/>
      <w:bookmarkStart w:id="62" w:name="_Toc113981021"/>
      <w:r>
        <w:rPr>
          <w:rFonts w:ascii="黑体" w:eastAsia="黑体" w:cs="Times New Roman" w:hint="eastAsia"/>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spacing w:line="560" w:lineRule="exact"/>
        <w:ind w:firstLine="640"/>
        <w:textAlignment w:val="auto"/>
        <w:rPr>
          <w:rFonts w:ascii="仿宋" w:eastAsia="仿宋"/>
        </w:rPr>
      </w:pPr>
      <w:r>
        <w:rPr>
          <w:rFonts w:ascii="仿宋_GB2312" w:eastAsia="仿宋_GB2312" w:cs="仿宋_GB2312" w:hint="eastAsia"/>
          <w:color w:val="000000"/>
          <w:sz w:val="32"/>
          <w:szCs w:val="32"/>
        </w:rPr>
        <w:t>2021年国有资本经营预算拨款支出0.00万元。</w:t>
      </w:r>
    </w:p>
    <w:p>
      <w:pPr>
        <w:pStyle w:val="2"/>
        <w:keepNext/>
        <w:keepLines/>
        <w:pageBreakBefore w:val="0"/>
        <w:widowControl w:val="0"/>
        <w:kinsoku/>
        <w:wordWrap/>
        <w:overflowPunct/>
        <w:topLinePunct w:val="0"/>
        <w:autoSpaceDE/>
        <w:autoSpaceDN/>
        <w:bidi w:val="0"/>
        <w:spacing w:before="0" w:after="0" w:line="560" w:lineRule="exact"/>
        <w:ind w:firstLineChars="200" w:firstLine="640"/>
        <w:textAlignment w:val="auto"/>
        <w:rPr>
          <w:rFonts w:ascii="黑体" w:eastAsia="黑体" w:cs="Times New Roman"/>
          <w:bCs w:val="0"/>
          <w:color w:val="000000"/>
        </w:rPr>
      </w:pPr>
      <w:bookmarkStart w:id="63" w:name="_Toc15377221"/>
      <w:bookmarkStart w:id="64" w:name="_Toc111208508"/>
      <w:bookmarkStart w:id="65" w:name="_Toc113981022"/>
      <w:r>
        <w:rPr>
          <w:rFonts w:ascii="黑体" w:eastAsia="黑体" w:cs="Times New Roman" w:hint="eastAsia"/>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spacing w:line="560" w:lineRule="exact"/>
        <w:ind w:firstLineChars="200" w:firstLine="640"/>
        <w:textAlignment w:val="auto"/>
        <w:outlineLvl w:val="2"/>
        <w:rPr>
          <w:rFonts w:ascii="楷体" w:eastAsia="楷体" w:cs="楷体" w:hint="eastAsia"/>
          <w:b/>
          <w:color w:val="000000"/>
          <w:sz w:val="32"/>
          <w:szCs w:val="32"/>
        </w:rPr>
      </w:pPr>
      <w:bookmarkStart w:id="66" w:name="_Toc15377222"/>
      <w:r>
        <w:rPr>
          <w:rFonts w:ascii="楷体" w:eastAsia="楷体" w:cs="楷体" w:hint="eastAsia"/>
          <w:b/>
          <w:color w:val="000000"/>
          <w:sz w:val="32"/>
          <w:szCs w:val="32"/>
        </w:rPr>
        <w:t>（一）机关运</w:t>
      </w:r>
      <w:r>
        <w:rPr>
          <w:rFonts w:ascii="楷体" w:eastAsia="楷体" w:cs="楷体" w:hint="eastAsia"/>
          <w:b/>
          <w:bCs w:val="0"/>
          <w:color w:val="000000"/>
          <w:sz w:val="32"/>
          <w:szCs w:val="32"/>
        </w:rPr>
        <w:t>行经费支出</w:t>
      </w:r>
      <w:r>
        <w:rPr>
          <w:rFonts w:ascii="楷体" w:eastAsia="楷体" w:cs="楷体" w:hint="eastAsia"/>
          <w:b/>
          <w:color w:val="000000"/>
          <w:sz w:val="32"/>
          <w:szCs w:val="32"/>
        </w:rPr>
        <w:t>情况</w:t>
      </w:r>
      <w:bookmarkEnd w:id="66"/>
    </w:p>
    <w:p>
      <w:pPr>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2021年，机关运行经费支出17.60万元，比2020年减少3.68万元，减少17.28 %。 </w:t>
      </w:r>
    </w:p>
    <w:p>
      <w:pPr>
        <w:pageBreakBefore w:val="0"/>
        <w:widowControl w:val="0"/>
        <w:kinsoku/>
        <w:wordWrap/>
        <w:overflowPunct/>
        <w:topLinePunct w:val="0"/>
        <w:autoSpaceDE/>
        <w:autoSpaceDN/>
        <w:bidi w:val="0"/>
        <w:spacing w:line="560" w:lineRule="exact"/>
        <w:ind w:firstLineChars="200" w:firstLine="640"/>
        <w:textAlignment w:val="auto"/>
        <w:outlineLvl w:val="2"/>
        <w:rPr>
          <w:rFonts w:ascii="楷体" w:eastAsia="楷体" w:cs="楷体" w:hint="eastAsia"/>
          <w:b/>
          <w:color w:val="000000"/>
          <w:sz w:val="32"/>
          <w:szCs w:val="32"/>
        </w:rPr>
      </w:pPr>
      <w:bookmarkStart w:id="67" w:name="_Toc15377223"/>
      <w:r>
        <w:rPr>
          <w:rFonts w:ascii="楷体" w:eastAsia="楷体" w:cs="楷体" w:hint="eastAsia"/>
          <w:b/>
          <w:color w:val="000000"/>
          <w:sz w:val="32"/>
          <w:szCs w:val="32"/>
        </w:rPr>
        <w:t>（二）政府采购支出情况</w:t>
      </w:r>
      <w:bookmarkEnd w:id="67"/>
      <w:r>
        <w:rPr>
          <w:rFonts w:ascii="楷体" w:eastAsia="楷体" w:cs="楷体" w:hint="eastAsia"/>
          <w:b/>
          <w:color w:val="000000"/>
          <w:sz w:val="32"/>
          <w:szCs w:val="32"/>
        </w:rPr>
        <w:t>(机构运行信息表)</w:t>
      </w:r>
    </w:p>
    <w:p>
      <w:pPr>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2021年，政府采购支出总额2491.43万元，其中：政府采购货物支出1344.86万元、政府采购工程支出796.77万元、政府采购服务支出349.80万元。授予中小企业合同金额2491.43万元，其中：授予小微企业合同金额2491.43万元，占总合同的100.00%。</w:t>
      </w:r>
    </w:p>
    <w:p>
      <w:pPr>
        <w:pageBreakBefore w:val="0"/>
        <w:widowControl w:val="0"/>
        <w:kinsoku/>
        <w:wordWrap/>
        <w:overflowPunct/>
        <w:topLinePunct w:val="0"/>
        <w:autoSpaceDE/>
        <w:autoSpaceDN/>
        <w:bidi w:val="0"/>
        <w:spacing w:line="560" w:lineRule="exact"/>
        <w:ind w:firstLineChars="200" w:firstLine="640"/>
        <w:textAlignment w:val="auto"/>
        <w:outlineLvl w:val="2"/>
        <w:rPr>
          <w:rFonts w:ascii="仿宋" w:eastAsia="仿宋"/>
          <w:b/>
          <w:color w:val="000000"/>
          <w:sz w:val="32"/>
          <w:szCs w:val="32"/>
        </w:rPr>
      </w:pPr>
      <w:bookmarkStart w:id="68" w:name="_Toc15377224"/>
      <w:r>
        <w:rPr>
          <w:rFonts w:ascii="仿宋" w:eastAsia="仿宋" w:hint="eastAsia"/>
          <w:b/>
          <w:color w:val="000000"/>
          <w:sz w:val="32"/>
          <w:szCs w:val="32"/>
        </w:rPr>
        <w:t>（三）国有资产占有使用情况</w:t>
      </w:r>
      <w:bookmarkEnd w:id="68"/>
    </w:p>
    <w:p>
      <w:pPr>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截至2021年12月31日，共有车辆29辆，其中：主要领导干部用车0辆、机要通信用车0辆、应急保障用车0辆、其他用车0辆</w:t>
      </w:r>
      <w:r>
        <w:rPr>
          <w:rFonts w:ascii="仿宋_GB2312" w:eastAsia="仿宋_GB2312" w:cs="仿宋_GB2312" w:hint="eastAsia"/>
          <w:color w:val="000000"/>
          <w:sz w:val="32"/>
          <w:szCs w:val="32"/>
          <w:lang w:eastAsia="zh-CN"/>
        </w:rPr>
        <w:t>，</w:t>
      </w:r>
      <w:r>
        <w:rPr>
          <w:rFonts w:ascii="仿宋_GB2312" w:eastAsia="仿宋_GB2312" w:hint="eastAsia"/>
          <w:color w:val="000000"/>
          <w:sz w:val="32"/>
          <w:szCs w:val="32"/>
          <w:lang w:val="en-US" w:eastAsia="zh-CN"/>
        </w:rPr>
        <w:t>特种专业技术用车19辆，执法执勤用车10辆</w:t>
      </w:r>
      <w:r>
        <w:rPr>
          <w:rFonts w:ascii="仿宋_GB2312" w:eastAsia="仿宋_GB2312" w:cs="仿宋_GB2312" w:hint="eastAsia"/>
          <w:color w:val="000000"/>
          <w:sz w:val="32"/>
          <w:szCs w:val="32"/>
        </w:rPr>
        <w:t>。单价50万元以上通用设备0台（套），单价100万元以上专用设备0台（套）。</w:t>
      </w:r>
    </w:p>
    <w:p>
      <w:pPr>
        <w:pageBreakBefore w:val="0"/>
        <w:widowControl w:val="0"/>
        <w:kinsoku/>
        <w:wordWrap/>
        <w:overflowPunct/>
        <w:topLinePunct w:val="0"/>
        <w:autoSpaceDE/>
        <w:autoSpaceDN/>
        <w:bidi w:val="0"/>
        <w:spacing w:line="560" w:lineRule="exact"/>
        <w:ind w:firstLineChars="200" w:firstLine="640"/>
        <w:textAlignment w:val="auto"/>
        <w:outlineLvl w:val="2"/>
        <w:rPr>
          <w:rFonts w:ascii="楷体" w:eastAsia="楷体" w:cs="楷体" w:hint="eastAsia"/>
          <w:b/>
          <w:bCs w:val="0"/>
          <w:color w:val="000000"/>
          <w:sz w:val="32"/>
          <w:szCs w:val="32"/>
        </w:rPr>
      </w:pPr>
      <w:r>
        <w:rPr>
          <w:rFonts w:ascii="楷体" w:eastAsia="楷体" w:cs="楷体" w:hint="eastAsia"/>
          <w:b/>
          <w:bCs w:val="0"/>
          <w:color w:val="000000"/>
          <w:sz w:val="32"/>
          <w:szCs w:val="32"/>
        </w:rPr>
        <w:t>（四）预算绩效管理情况</w:t>
      </w:r>
    </w:p>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kern w:val="2"/>
          <w:sz w:val="32"/>
          <w:szCs w:val="32"/>
          <w:lang w:val="en-US" w:eastAsia="zh-CN" w:bidi="ar-SA"/>
        </w:rPr>
        <w:t>根据预算绩效管理要求，茂县林业和草原局在年初预算编制阶段，组织</w:t>
      </w:r>
      <w:r>
        <w:rPr>
          <w:rFonts w:ascii="仿宋_GB2312" w:eastAsia="仿宋_GB2312" w:cs="仿宋_GB2312" w:hint="eastAsia"/>
          <w:sz w:val="32"/>
          <w:szCs w:val="32"/>
        </w:rPr>
        <w:t>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项目开展了预算事前绩效评估，对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个项目开展了绩效目标完成情况自评。</w:t>
      </w:r>
    </w:p>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茂县林业和草原局</w:t>
      </w:r>
      <w:r>
        <w:rPr>
          <w:rFonts w:ascii="仿宋_GB2312" w:eastAsia="仿宋_GB2312" w:cs="仿宋_GB2312" w:hint="eastAsia"/>
          <w:sz w:val="32"/>
          <w:szCs w:val="32"/>
        </w:rPr>
        <w:t>按要求对202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年部门整体支出开展绩效自评，从评价情况来看</w:t>
      </w:r>
      <w:r>
        <w:rPr>
          <w:rFonts w:ascii="仿宋_GB2312" w:eastAsia="仿宋_GB2312" w:cs="仿宋_GB2312" w:hint="eastAsia"/>
          <w:sz w:val="32"/>
          <w:szCs w:val="32"/>
          <w:lang w:val="en-US" w:eastAsia="zh-CN"/>
        </w:rPr>
        <w:t>2021</w:t>
      </w:r>
      <w:r>
        <w:rPr>
          <w:rFonts w:ascii="仿宋_GB2312" w:eastAsia="仿宋_GB2312" w:cs="仿宋_GB2312" w:hint="eastAsia"/>
          <w:sz w:val="32"/>
          <w:szCs w:val="32"/>
        </w:rPr>
        <w:t>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p>
    <w:p>
      <w:pPr>
        <w:pStyle w:val="34"/>
        <w:keepNext w:val="0"/>
        <w:keepLines w:val="0"/>
        <w:pageBreakBefore w:val="0"/>
        <w:widowControl w:val="0"/>
        <w:numPr>
          <w:ilvl w:val="0"/>
          <w:numId w:val="2"/>
        </w:numPr>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rPr>
        <w:t>项目绩效目标完成情况</w:t>
      </w:r>
    </w:p>
    <w:p>
      <w:pPr>
        <w:pStyle w:val="34"/>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本部门在202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年度部门决算中反映“</w:t>
      </w:r>
      <w:r>
        <w:rPr>
          <w:rFonts w:ascii="仿宋_GB2312" w:eastAsia="仿宋_GB2312" w:cs="仿宋_GB2312" w:hint="eastAsia"/>
          <w:sz w:val="32"/>
          <w:szCs w:val="32"/>
          <w:lang w:eastAsia="zh-CN"/>
        </w:rPr>
        <w:t>生态护林（草）员</w:t>
      </w:r>
      <w:r>
        <w:rPr>
          <w:rFonts w:ascii="仿宋_GB2312" w:eastAsia="仿宋_GB2312" w:cs="仿宋_GB2312" w:hint="eastAsia"/>
          <w:sz w:val="32"/>
          <w:szCs w:val="32"/>
        </w:rPr>
        <w:t>”</w:t>
      </w:r>
      <w:r>
        <w:rPr>
          <w:rFonts w:ascii="仿宋_GB2312" w:eastAsia="仿宋_GB2312" w:cs="仿宋_GB2312" w:hint="eastAsia"/>
          <w:sz w:val="32"/>
          <w:szCs w:val="32"/>
          <w:lang w:eastAsia="zh-CN"/>
        </w:rPr>
        <w:t>“集体和天然商品林停伐管护补助项目”</w:t>
      </w:r>
      <w:r>
        <w:rPr>
          <w:rFonts w:ascii="仿宋_GB2312" w:eastAsia="仿宋_GB2312" w:cs="仿宋_GB2312" w:hint="eastAsia"/>
          <w:sz w:val="32"/>
          <w:szCs w:val="32"/>
        </w:rPr>
        <w:t>“茂县茅香坪工区至土地岭防灭火道路项目”</w:t>
      </w:r>
      <w:r>
        <w:rPr>
          <w:rFonts w:ascii="仿宋_GB2312" w:eastAsia="仿宋_GB2312" w:cs="仿宋_GB2312" w:hint="eastAsia"/>
          <w:sz w:val="32"/>
          <w:szCs w:val="32"/>
          <w:lang w:eastAsia="zh-CN"/>
        </w:rPr>
        <w:t>“森林生态效益补偿”</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防火阻隔系统建设项目</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个项目绩效目标实际完成情况。</w:t>
      </w:r>
      <w:r>
        <w:rPr>
          <w:rFonts w:ascii="仿宋_GB2312" w:eastAsia="仿宋_GB2312" w:cs="仿宋_GB2312" w:hint="eastAsia"/>
          <w:sz w:val="32"/>
          <w:szCs w:val="32"/>
          <w:lang w:val="en-US" w:eastAsia="zh-CN"/>
        </w:rPr>
        <w:t xml:space="preserve">     </w:t>
      </w:r>
    </w:p>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lang w:val="zh-CN" w:eastAsia="zh-CN"/>
        </w:rPr>
        <w:t>生态护林（草）员</w:t>
      </w:r>
      <w:r>
        <w:rPr>
          <w:rFonts w:ascii="仿宋_GB2312" w:eastAsia="仿宋_GB2312" w:cs="仿宋_GB2312" w:hint="eastAsia"/>
          <w:sz w:val="32"/>
          <w:szCs w:val="32"/>
          <w:lang w:val="en-US" w:eastAsia="zh-CN"/>
        </w:rPr>
        <w:t>项目</w:t>
      </w:r>
      <w:r>
        <w:rPr>
          <w:rFonts w:ascii="仿宋_GB2312" w:eastAsia="仿宋_GB2312" w:cs="仿宋_GB2312" w:hint="eastAsia"/>
          <w:sz w:val="32"/>
          <w:szCs w:val="32"/>
          <w:lang w:eastAsia="zh-CN"/>
        </w:rPr>
        <w:t>绩效目</w:t>
      </w:r>
      <w:r>
        <w:rPr>
          <w:rFonts w:ascii="仿宋_GB2312" w:eastAsia="仿宋_GB2312" w:cs="仿宋_GB2312" w:hint="eastAsia"/>
          <w:sz w:val="32"/>
          <w:szCs w:val="32"/>
        </w:rPr>
        <w:t>标完成情况</w:t>
      </w:r>
      <w:r>
        <w:rPr>
          <w:rFonts w:ascii="仿宋_GB2312" w:eastAsia="仿宋_GB2312" w:cs="仿宋_GB2312" w:hint="eastAsia"/>
          <w:b/>
          <w:bCs/>
          <w:color w:val="000000"/>
          <w:sz w:val="32"/>
          <w:szCs w:val="32"/>
          <w:shd w:val="clear" w:color="auto" w:fill="FFFFFF"/>
          <w:lang w:val="zh-CN" w:eastAsia="zh-CN"/>
        </w:rPr>
        <w:t>。</w:t>
      </w:r>
      <w:r>
        <w:rPr>
          <w:rFonts w:ascii="仿宋_GB2312" w:eastAsia="仿宋_GB2312" w:cs="仿宋_GB2312" w:hint="eastAsia"/>
          <w:sz w:val="32"/>
          <w:szCs w:val="32"/>
        </w:rPr>
        <w:t>项目全年预算数</w:t>
      </w:r>
      <w:r>
        <w:rPr>
          <w:rFonts w:ascii="仿宋_GB2312" w:eastAsia="仿宋_GB2312" w:cs="仿宋_GB2312" w:hint="eastAsia"/>
          <w:sz w:val="32"/>
          <w:szCs w:val="32"/>
          <w:lang w:val="en-US" w:eastAsia="zh-CN"/>
        </w:rPr>
        <w:t>301</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301</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%。通过生态</w:t>
      </w:r>
      <w:r>
        <w:rPr>
          <w:rFonts w:ascii="仿宋_GB2312" w:eastAsia="仿宋_GB2312" w:cs="仿宋_GB2312" w:hint="eastAsia"/>
          <w:sz w:val="32"/>
          <w:szCs w:val="32"/>
          <w:lang w:eastAsia="zh-CN"/>
        </w:rPr>
        <w:t>管护员项目</w:t>
      </w:r>
      <w:r>
        <w:rPr>
          <w:rFonts w:ascii="仿宋_GB2312" w:eastAsia="仿宋_GB2312" w:cs="仿宋_GB2312" w:hint="eastAsia"/>
          <w:sz w:val="32"/>
          <w:szCs w:val="32"/>
        </w:rPr>
        <w:t>实施，进一步扩大了护林管护队伍，加强了生态保护建设，林草综合覆盖率逐步提高，森林面积蓄积实现双增长，持续改善和优化生态环境。发现的主要问题</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r>
        <w:rPr>
          <w:rFonts w:ascii="仿宋_GB2312" w:eastAsia="仿宋_GB2312" w:cs="仿宋_GB2312" w:hint="eastAsia"/>
          <w:sz w:val="32"/>
          <w:szCs w:val="32"/>
        </w:rPr>
        <w:t>。下一步改进措施</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p>
    <w:p>
      <w:pPr>
        <w:pStyle w:val="34"/>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（2）集体和个人天然商品林停伐管护补助项目绩效</w:t>
      </w:r>
      <w:r>
        <w:rPr>
          <w:rFonts w:ascii="仿宋_GB2312" w:eastAsia="仿宋_GB2312" w:cs="仿宋_GB2312" w:hint="eastAsia"/>
          <w:sz w:val="32"/>
          <w:szCs w:val="32"/>
        </w:rPr>
        <w:t>目标完成情况</w:t>
      </w:r>
      <w:r>
        <w:rPr>
          <w:rFonts w:ascii="仿宋_GB2312" w:eastAsia="仿宋_GB2312" w:cs="仿宋_GB2312" w:hint="eastAsia"/>
          <w:b/>
          <w:bCs/>
          <w:color w:val="000000"/>
          <w:sz w:val="32"/>
          <w:szCs w:val="32"/>
          <w:shd w:val="clear" w:color="auto" w:fill="FFFFFF"/>
          <w:lang w:eastAsia="zh-CN"/>
        </w:rPr>
        <w:t>。</w:t>
      </w:r>
      <w:r>
        <w:rPr>
          <w:rFonts w:ascii="仿宋_GB2312" w:eastAsia="仿宋_GB2312" w:cs="仿宋_GB2312" w:hint="eastAsia"/>
          <w:sz w:val="32"/>
          <w:szCs w:val="32"/>
        </w:rPr>
        <w:t>项目全年预算数</w:t>
      </w:r>
      <w:r>
        <w:rPr>
          <w:rFonts w:ascii="仿宋_GB2312" w:eastAsia="仿宋_GB2312" w:cs="仿宋_GB2312" w:hint="eastAsia"/>
          <w:sz w:val="32"/>
          <w:szCs w:val="32"/>
          <w:lang w:val="en-US" w:eastAsia="zh-CN"/>
        </w:rPr>
        <w:t>397.3</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397.3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%。通过实施集体和个人所有天然商品林停伐补助，使全县涉及</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个镇，</w:t>
      </w:r>
      <w:r>
        <w:rPr>
          <w:rFonts w:ascii="仿宋_GB2312" w:eastAsia="仿宋_GB2312" w:cs="仿宋_GB2312" w:hint="eastAsia"/>
          <w:sz w:val="32"/>
          <w:szCs w:val="32"/>
          <w:lang w:val="en-US" w:eastAsia="zh-CN"/>
        </w:rPr>
        <w:t>69</w:t>
      </w:r>
      <w:r>
        <w:rPr>
          <w:rFonts w:ascii="仿宋_GB2312" w:eastAsia="仿宋_GB2312" w:cs="仿宋_GB2312" w:hint="eastAsia"/>
          <w:sz w:val="32"/>
          <w:szCs w:val="32"/>
        </w:rPr>
        <w:t>个村，农户1.7万余户，受益人口5万余人。增加了群众收入，提高当地群众生活生产水平和改善了生活生产条件</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增强了水源涵养能力，保护了生态环境和生物多样性，为建设长江上游重要生态屏障作了巨大贡献。发现的主要问题</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r>
        <w:rPr>
          <w:rFonts w:ascii="仿宋_GB2312" w:eastAsia="仿宋_GB2312" w:cs="仿宋_GB2312" w:hint="eastAsia"/>
          <w:sz w:val="32"/>
          <w:szCs w:val="32"/>
        </w:rPr>
        <w:t>。下一步改进措施</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p>
    <w:p>
      <w:pPr>
        <w:pStyle w:val="34"/>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茂县茅香坪工区至土地岭防灭火道路项目</w:t>
      </w:r>
      <w:r>
        <w:rPr>
          <w:rFonts w:ascii="仿宋_GB2312" w:eastAsia="仿宋_GB2312" w:cs="仿宋_GB2312" w:hint="eastAsia"/>
          <w:sz w:val="32"/>
          <w:szCs w:val="32"/>
          <w:lang w:val="en-US" w:eastAsia="zh-CN"/>
        </w:rPr>
        <w:t>项目绩效目</w:t>
      </w:r>
      <w:r>
        <w:rPr>
          <w:rFonts w:ascii="仿宋_GB2312" w:eastAsia="仿宋_GB2312" w:cs="仿宋_GB2312" w:hint="eastAsia"/>
          <w:sz w:val="32"/>
          <w:szCs w:val="32"/>
        </w:rPr>
        <w:t>标完</w:t>
      </w:r>
      <w:r>
        <w:rPr>
          <w:rFonts w:ascii="仿宋_GB2312" w:eastAsia="仿宋_GB2312" w:cs="仿宋_GB2312" w:hint="eastAsia"/>
          <w:sz w:val="32"/>
          <w:szCs w:val="32"/>
          <w:lang w:val="en-US" w:eastAsia="zh-CN"/>
        </w:rPr>
        <w:t>成情况。项目全年预算数210万元，执行数为199.729189万元，完成预算的95.11%。通过项目实施，</w:t>
      </w:r>
      <w:r>
        <w:rPr>
          <w:rFonts w:ascii="仿宋_GB2312" w:eastAsia="仿宋_GB2312" w:cs="仿宋_GB2312" w:hint="eastAsia"/>
          <w:sz w:val="32"/>
          <w:szCs w:val="32"/>
        </w:rPr>
        <w:t>有利于保护</w:t>
      </w:r>
      <w:r>
        <w:rPr>
          <w:rFonts w:ascii="仿宋_GB2312" w:eastAsia="仿宋_GB2312" w:cs="仿宋_GB2312" w:hint="eastAsia"/>
          <w:sz w:val="32"/>
          <w:szCs w:val="32"/>
          <w:lang w:val="en-US" w:eastAsia="zh-CN"/>
        </w:rPr>
        <w:t>土地岭国有林区</w:t>
      </w:r>
      <w:r>
        <w:rPr>
          <w:rFonts w:ascii="仿宋_GB2312" w:eastAsia="仿宋_GB2312" w:cs="仿宋_GB2312" w:hint="eastAsia"/>
          <w:sz w:val="32"/>
          <w:szCs w:val="32"/>
        </w:rPr>
        <w:t>森林资源的稳定，促进林业事业发展，维护人居生态环境，改善人们生产、生活条件</w:t>
      </w:r>
      <w:r>
        <w:rPr>
          <w:rFonts w:ascii="仿宋_GB2312" w:eastAsia="仿宋_GB2312" w:cs="仿宋_GB2312" w:hint="eastAsia"/>
          <w:sz w:val="32"/>
          <w:szCs w:val="32"/>
          <w:lang w:eastAsia="zh-CN"/>
        </w:rPr>
        <w:t>，</w:t>
      </w:r>
      <w:r>
        <w:rPr>
          <w:rFonts w:ascii="仿宋_GB2312" w:eastAsia="仿宋_GB2312" w:cs="仿宋_GB2312" w:hint="eastAsia"/>
          <w:sz w:val="32"/>
          <w:szCs w:val="32"/>
        </w:rPr>
        <w:t>同时，有效保护以森林为主的自然生态系统，维护生物多样性</w:t>
      </w:r>
      <w:r>
        <w:rPr>
          <w:rFonts w:ascii="仿宋_GB2312" w:eastAsia="仿宋_GB2312" w:cs="仿宋_GB2312" w:hint="eastAsia"/>
          <w:sz w:val="32"/>
          <w:szCs w:val="32"/>
          <w:lang w:eastAsia="zh-CN"/>
        </w:rPr>
        <w:t>。</w:t>
      </w:r>
      <w:r>
        <w:rPr>
          <w:rFonts w:ascii="仿宋_GB2312" w:eastAsia="仿宋_GB2312" w:cs="仿宋_GB2312" w:hint="eastAsia"/>
          <w:sz w:val="32"/>
          <w:szCs w:val="32"/>
        </w:rPr>
        <w:t>发现的主要问题</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r>
        <w:rPr>
          <w:rFonts w:ascii="仿宋_GB2312" w:eastAsia="仿宋_GB2312" w:cs="仿宋_GB2312" w:hint="eastAsia"/>
          <w:sz w:val="32"/>
          <w:szCs w:val="32"/>
        </w:rPr>
        <w:t>。下一步改进措施</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p>
    <w:p>
      <w:pPr>
        <w:pStyle w:val="34"/>
        <w:keepNext w:val="0"/>
        <w:keepLines w:val="0"/>
        <w:pageBreakBefore w:val="0"/>
        <w:widowControl w:val="0"/>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val="en-US" w:eastAsia="zh-CN"/>
        </w:rPr>
        <w:t>（4）森林生态效益补偿资金项目绩效</w:t>
      </w:r>
      <w:r>
        <w:rPr>
          <w:rFonts w:ascii="仿宋_GB2312" w:eastAsia="仿宋_GB2312" w:cs="仿宋_GB2312" w:hint="eastAsia"/>
          <w:sz w:val="32"/>
          <w:szCs w:val="32"/>
        </w:rPr>
        <w:t>目标完成情况</w:t>
      </w:r>
      <w:r>
        <w:rPr>
          <w:rFonts w:ascii="仿宋_GB2312" w:eastAsia="仿宋_GB2312" w:cs="仿宋_GB2312" w:hint="eastAsia"/>
          <w:b/>
          <w:bCs w:val="0"/>
          <w:color w:val="000000"/>
          <w:sz w:val="32"/>
          <w:szCs w:val="32"/>
          <w:lang w:val="en-US" w:eastAsia="zh-CN"/>
        </w:rPr>
        <w:t>。</w:t>
      </w:r>
      <w:r>
        <w:rPr>
          <w:rFonts w:ascii="仿宋_GB2312" w:eastAsia="仿宋_GB2312" w:cs="仿宋_GB2312" w:hint="eastAsia"/>
          <w:sz w:val="32"/>
          <w:szCs w:val="32"/>
        </w:rPr>
        <w:t>项目全年预算数</w:t>
      </w:r>
      <w:r>
        <w:rPr>
          <w:rFonts w:ascii="仿宋_GB2312" w:eastAsia="仿宋_GB2312" w:cs="仿宋_GB2312" w:hint="eastAsia"/>
          <w:sz w:val="32"/>
          <w:szCs w:val="32"/>
          <w:lang w:val="en-US" w:eastAsia="zh-CN"/>
        </w:rPr>
        <w:t>3369.8</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3369.622407</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99.99</w:t>
      </w:r>
      <w:r>
        <w:rPr>
          <w:rFonts w:ascii="仿宋_GB2312" w:eastAsia="仿宋_GB2312" w:cs="仿宋_GB2312" w:hint="eastAsia"/>
          <w:sz w:val="32"/>
          <w:szCs w:val="32"/>
        </w:rPr>
        <w:t>%。通过项目实施，使全县11个乡镇104个村。2.2万户，8.9万人受益。平均人均增收月400元，增加了群众收入，提高当地群众生活生产水平和改善了生活生产条件。为茂县精准扶贫、精准脱贫打下了坚实的基础，有效地改善民生，有力地促进林区社会的和谐稳定。发现的主要问题</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r>
        <w:rPr>
          <w:rFonts w:ascii="仿宋_GB2312" w:eastAsia="仿宋_GB2312" w:cs="仿宋_GB2312" w:hint="eastAsia"/>
          <w:sz w:val="32"/>
          <w:szCs w:val="32"/>
        </w:rPr>
        <w:t>。下一步改进措施</w:t>
      </w:r>
      <w:r>
        <w:rPr>
          <w:rFonts w:ascii="仿宋_GB2312" w:eastAsia="仿宋_GB2312" w:cs="仿宋_GB2312" w:hint="eastAsia"/>
          <w:sz w:val="32"/>
          <w:szCs w:val="32"/>
          <w:lang w:val="en-US" w:eastAsia="zh-CN"/>
        </w:rPr>
        <w:t>:</w:t>
      </w:r>
      <w:r>
        <w:rPr>
          <w:rFonts w:ascii="仿宋_GB2312" w:eastAsia="仿宋_GB2312" w:cs="仿宋_GB2312" w:hint="eastAsia"/>
          <w:sz w:val="32"/>
          <w:szCs w:val="32"/>
          <w:lang w:eastAsia="zh-CN"/>
        </w:rPr>
        <w:t>无。</w:t>
      </w:r>
    </w:p>
    <w:p>
      <w:pPr>
        <w:pStyle w:val="34"/>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（5）防火阻隔系统建设项目绩效</w:t>
      </w:r>
      <w:r>
        <w:rPr>
          <w:rFonts w:ascii="仿宋_GB2312" w:eastAsia="仿宋_GB2312" w:cs="仿宋_GB2312" w:hint="eastAsia"/>
          <w:sz w:val="32"/>
          <w:szCs w:val="32"/>
        </w:rPr>
        <w:t>目标完成情况</w:t>
      </w:r>
      <w:r>
        <w:rPr>
          <w:rFonts w:ascii="仿宋_GB2312" w:eastAsia="仿宋_GB2312" w:cs="仿宋_GB2312" w:hint="eastAsia"/>
          <w:b/>
          <w:bCs w:val="0"/>
          <w:color w:val="000000"/>
          <w:sz w:val="32"/>
          <w:szCs w:val="32"/>
          <w:lang w:val="en-US" w:eastAsia="zh-CN"/>
        </w:rPr>
        <w:t>。</w:t>
      </w:r>
      <w:r>
        <w:rPr>
          <w:rFonts w:ascii="仿宋_GB2312" w:eastAsia="仿宋_GB2312" w:cs="仿宋_GB2312" w:hint="eastAsia"/>
          <w:sz w:val="32"/>
          <w:szCs w:val="32"/>
        </w:rPr>
        <w:t>项目全年预算数</w:t>
      </w:r>
      <w:r>
        <w:rPr>
          <w:rFonts w:ascii="仿宋_GB2312" w:eastAsia="仿宋_GB2312" w:cs="仿宋_GB2312" w:hint="eastAsia"/>
          <w:sz w:val="32"/>
          <w:szCs w:val="32"/>
          <w:lang w:val="en-US" w:eastAsia="zh-CN"/>
        </w:rPr>
        <w:t>126</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57.934271</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46.98</w:t>
      </w:r>
      <w:r>
        <w:rPr>
          <w:rFonts w:ascii="仿宋_GB2312" w:eastAsia="仿宋_GB2312" w:cs="仿宋_GB2312" w:hint="eastAsia"/>
          <w:sz w:val="32"/>
          <w:szCs w:val="32"/>
        </w:rPr>
        <w:t>%。通过项目实施，</w:t>
      </w:r>
      <w:r>
        <w:rPr>
          <w:rFonts w:ascii="仿宋_GB2312" w:eastAsia="仿宋_GB2312" w:cs="仿宋_GB2312" w:hint="eastAsia"/>
          <w:sz w:val="32"/>
          <w:szCs w:val="32"/>
          <w:lang w:val="en-US" w:eastAsia="zh-CN"/>
        </w:rPr>
        <w:t>极大地提升了茂县重点林区森林草原防灭火能力；项目建设过程会产生大量的劳务用工，增加了当地农户的经济收入。预期会减少项目实施区域森林草原火灾受灾面积，产生了较好的社会效益。发现的主要问题:无。下一步改进措施:无。</w:t>
      </w:r>
    </w:p>
    <w:p>
      <w:pPr>
        <w:pStyle w:val="2"/>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p>
      <w:pPr>
        <w:pStyle w:val="15"/>
        <w:rPr>
          <w:rFonts w:ascii="仿宋_GB2312" w:eastAsia="仿宋_GB2312" w:cs="仿宋_GB2312" w:hint="eastAsia"/>
          <w:sz w:val="32"/>
          <w:szCs w:val="32"/>
          <w:lang w:val="en-US" w:eastAsia="zh-CN"/>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仿宋_GB2312" w:eastAsia="仿宋_GB2312" w:cs="仿宋_GB2312" w:hint="eastAsia"/>
                <w:b/>
                <w:bCs/>
                <w:color w:val="000000"/>
                <w:kern w:val="0"/>
                <w:sz w:val="36"/>
                <w:szCs w:val="36"/>
                <w:lang w:eastAsia="zh-CN"/>
              </w:rPr>
            </w:pPr>
            <w:r>
              <w:rPr>
                <w:rFonts w:ascii="仿宋_GB2312" w:eastAsia="仿宋_GB2312" w:cs="仿宋_GB2312" w:hint="eastAsia"/>
                <w:b/>
                <w:bCs/>
                <w:color w:val="000000"/>
                <w:kern w:val="0"/>
                <w:sz w:val="36"/>
                <w:szCs w:val="36"/>
              </w:rPr>
              <w:t>项目绩效目标完成情况表</w:t>
            </w:r>
          </w:p>
          <w:p>
            <w:pPr>
              <w:widowControl/>
              <w:jc w:val="center"/>
              <w:textAlignment w:val="center"/>
              <w:rPr>
                <w:rFonts w:ascii="仿宋_GB2312" w:eastAsia="仿宋_GB2312" w:cs="仿宋_GB2312" w:hint="eastAsia"/>
                <w:color w:val="000000"/>
                <w:sz w:val="36"/>
                <w:szCs w:val="36"/>
              </w:rPr>
            </w:pPr>
            <w:r>
              <w:rPr>
                <w:rFonts w:ascii="仿宋_GB2312" w:eastAsia="仿宋_GB2312" w:cs="仿宋_GB2312" w:hint="eastAsia"/>
                <w:color w:val="000000"/>
                <w:kern w:val="0"/>
                <w:sz w:val="36"/>
                <w:szCs w:val="36"/>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lang w:val="en-US" w:eastAsia="zh-CN"/>
              </w:rPr>
              <w:t>1.</w:t>
            </w:r>
            <w:r>
              <w:rPr>
                <w:rFonts w:ascii="仿宋_GB2312" w:eastAsia="仿宋_GB2312" w:cs="仿宋_GB2312" w:hint="eastAsia"/>
                <w:color w:val="000000"/>
                <w:kern w:val="0"/>
                <w:sz w:val="24"/>
                <w:lang w:val="zh-CN" w:eastAsia="zh-CN"/>
              </w:rPr>
              <w:t>生态护林（草）员</w:t>
            </w:r>
            <w:r>
              <w:rPr>
                <w:rFonts w:ascii="仿宋_GB2312" w:eastAsia="仿宋_GB2312" w:cs="仿宋_GB2312" w:hint="eastAsia"/>
                <w:color w:val="000000"/>
                <w:kern w:val="0"/>
                <w:sz w:val="24"/>
                <w:lang w:val="en-US" w:eastAsia="zh-CN"/>
              </w:rPr>
              <w:t>项目；2.集体和个人天然商品林停伐管护补助项目；3.茂县茅香坪工区至土地岭防灭火道路项目；4.森林生态效益补偿资金项目；5.防火阻隔系统建设项目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lang w:eastAsia="zh-CN"/>
              </w:rPr>
            </w:pPr>
            <w:r>
              <w:rPr>
                <w:rFonts w:ascii="仿宋_GB2312" w:eastAsia="仿宋_GB2312" w:cs="仿宋_GB2312" w:hint="eastAsia"/>
                <w:color w:val="000000"/>
                <w:sz w:val="24"/>
                <w:lang w:eastAsia="zh-CN"/>
              </w:rPr>
              <w:t>茂县林业和草原局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lang w:val="en-US" w:eastAsia="zh-CN"/>
              </w:rPr>
            </w:pPr>
            <w:r>
              <w:rPr>
                <w:rFonts w:ascii="仿宋_GB2312" w:eastAsia="仿宋_GB2312" w:cs="仿宋_GB2312" w:hint="eastAsia"/>
                <w:color w:val="000000"/>
                <w:sz w:val="24"/>
                <w:lang w:val="en-US" w:eastAsia="zh-CN"/>
              </w:rPr>
              <w:t>4404.1</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lang w:val="en-US" w:eastAsia="zh-CN"/>
              </w:rPr>
            </w:pPr>
            <w:r>
              <w:rPr>
                <w:rFonts w:ascii="仿宋_GB2312" w:eastAsia="仿宋_GB2312" w:cs="仿宋_GB2312" w:hint="eastAsia"/>
                <w:color w:val="000000"/>
                <w:sz w:val="24"/>
                <w:lang w:val="en-US" w:eastAsia="zh-CN"/>
              </w:rPr>
              <w:t>4325.585867</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lang w:val="en-US" w:eastAsia="zh-CN"/>
              </w:rPr>
            </w:pPr>
            <w:r>
              <w:rPr>
                <w:rFonts w:ascii="仿宋_GB2312" w:eastAsia="仿宋_GB2312" w:cs="仿宋_GB2312"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仿宋_GB2312" w:eastAsia="仿宋_GB2312" w:cs="仿宋_GB2312" w:hint="eastAsia"/>
                <w:color w:val="000000"/>
                <w:sz w:val="24"/>
                <w:lang w:val="en-US" w:eastAsia="zh-CN"/>
              </w:rPr>
            </w:pPr>
            <w:r>
              <w:rPr>
                <w:rFonts w:ascii="仿宋_GB2312" w:eastAsia="仿宋_GB2312" w:cs="仿宋_GB2312"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仿宋_GB2312" w:hint="eastAsia"/>
                <w:color w:val="000000"/>
                <w:sz w:val="24"/>
              </w:rPr>
            </w:pPr>
            <w:r>
              <w:rPr>
                <w:rFonts w:ascii="仿宋_GB2312" w:eastAsia="仿宋_GB2312" w:cs="仿宋_GB2312" w:hint="eastAsia"/>
                <w:color w:val="000000"/>
                <w:sz w:val="24"/>
                <w:lang w:eastAsia="zh-CN"/>
              </w:rPr>
              <w:t>一、</w:t>
            </w:r>
            <w:r>
              <w:rPr>
                <w:rFonts w:ascii="仿宋_GB2312" w:eastAsia="仿宋_GB2312" w:cs="仿宋_GB2312" w:hint="eastAsia"/>
                <w:color w:val="000000"/>
                <w:sz w:val="24"/>
              </w:rPr>
              <w:t>生态护林员</w:t>
            </w:r>
            <w:r>
              <w:rPr>
                <w:rFonts w:ascii="仿宋_GB2312" w:eastAsia="仿宋_GB2312" w:cs="仿宋_GB2312" w:hint="eastAsia"/>
                <w:color w:val="000000"/>
                <w:sz w:val="24"/>
                <w:lang w:eastAsia="zh-CN"/>
              </w:rPr>
              <w:t>。</w:t>
            </w:r>
            <w:r>
              <w:rPr>
                <w:rFonts w:ascii="仿宋_GB2312" w:eastAsia="仿宋_GB2312" w:cs="仿宋_GB2312" w:hint="eastAsia"/>
                <w:color w:val="000000"/>
                <w:sz w:val="24"/>
              </w:rPr>
              <w:t>202</w:t>
            </w:r>
            <w:r>
              <w:rPr>
                <w:rFonts w:ascii="仿宋_GB2312" w:eastAsia="仿宋_GB2312" w:cs="仿宋_GB2312" w:hint="eastAsia"/>
                <w:color w:val="000000"/>
                <w:sz w:val="24"/>
                <w:lang w:val="en-US" w:eastAsia="zh-CN"/>
              </w:rPr>
              <w:t>1</w:t>
            </w:r>
            <w:r>
              <w:rPr>
                <w:rFonts w:ascii="仿宋_GB2312" w:eastAsia="仿宋_GB2312" w:cs="仿宋_GB2312" w:hint="eastAsia"/>
                <w:color w:val="000000"/>
                <w:sz w:val="24"/>
              </w:rPr>
              <w:t>年生态护林员管护补助标准为10000元/年，全县生态护林员管护集体公益林面积不低于500亩，补助资金</w:t>
            </w:r>
            <w:r>
              <w:rPr>
                <w:rFonts w:ascii="仿宋_GB2312" w:eastAsia="仿宋_GB2312" w:cs="仿宋_GB2312" w:hint="eastAsia"/>
                <w:color w:val="000000"/>
                <w:sz w:val="24"/>
                <w:lang w:val="en-US" w:eastAsia="zh-CN"/>
              </w:rPr>
              <w:t>301</w:t>
            </w:r>
            <w:r>
              <w:rPr>
                <w:rFonts w:ascii="仿宋_GB2312" w:eastAsia="仿宋_GB2312" w:cs="仿宋_GB2312" w:hint="eastAsia"/>
                <w:color w:val="000000"/>
                <w:sz w:val="24"/>
              </w:rPr>
              <w:t>万元，涉及11个乡镇</w:t>
            </w:r>
            <w:r>
              <w:rPr>
                <w:rFonts w:ascii="仿宋_GB2312" w:eastAsia="仿宋_GB2312" w:cs="仿宋_GB2312" w:hint="eastAsia"/>
                <w:color w:val="000000"/>
                <w:sz w:val="24"/>
                <w:lang w:val="en-US" w:eastAsia="zh-CN"/>
              </w:rPr>
              <w:t>301</w:t>
            </w:r>
            <w:r>
              <w:rPr>
                <w:rFonts w:ascii="仿宋_GB2312" w:eastAsia="仿宋_GB2312" w:cs="仿宋_GB2312" w:hint="eastAsia"/>
                <w:color w:val="000000"/>
                <w:sz w:val="24"/>
              </w:rPr>
              <w:t>名建档立卡贫困户。资金兑现计划按季度支付。</w:t>
            </w:r>
          </w:p>
          <w:p>
            <w:pPr>
              <w:widowControl/>
              <w:jc w:val="left"/>
              <w:textAlignment w:val="center"/>
              <w:rPr>
                <w:rFonts w:ascii="仿宋_GB2312" w:eastAsia="仿宋_GB2312" w:cs="仿宋_GB2312" w:hint="eastAsia"/>
                <w:color w:val="000000"/>
                <w:sz w:val="24"/>
              </w:rPr>
            </w:pPr>
            <w:r>
              <w:rPr>
                <w:rFonts w:ascii="仿宋_GB2312" w:eastAsia="仿宋_GB2312" w:cs="仿宋_GB2312" w:hint="eastAsia"/>
                <w:color w:val="000000"/>
                <w:sz w:val="24"/>
                <w:lang w:eastAsia="zh-CN"/>
              </w:rPr>
              <w:t>二、</w:t>
            </w:r>
            <w:r>
              <w:rPr>
                <w:rFonts w:ascii="仿宋_GB2312" w:eastAsia="仿宋_GB2312" w:cs="仿宋_GB2312" w:hint="eastAsia"/>
                <w:color w:val="000000"/>
                <w:kern w:val="0"/>
                <w:sz w:val="24"/>
                <w:lang w:val="en-US" w:eastAsia="zh-CN"/>
              </w:rPr>
              <w:t>集体和个人天然商品林停伐管护补助项目：</w:t>
            </w:r>
            <w:r>
              <w:rPr>
                <w:rFonts w:ascii="仿宋_GB2312" w:eastAsia="仿宋_GB2312" w:cs="仿宋_GB2312" w:hint="eastAsia"/>
                <w:color w:val="000000"/>
                <w:sz w:val="24"/>
              </w:rPr>
              <w:t>。2开展草原防火工作.3开展草原监理执法工作.4开展禁牧、草畜平衡两项制度落实工作.5竣工核算工作.6草原生态保护宣传工作.7草原建设项目工作</w:t>
            </w:r>
          </w:p>
          <w:p>
            <w:pPr>
              <w:widowControl/>
              <w:jc w:val="left"/>
              <w:textAlignment w:val="center"/>
              <w:rPr>
                <w:rFonts w:ascii="仿宋_GB2312" w:eastAsia="仿宋_GB2312" w:cs="仿宋_GB2312" w:hint="eastAsia"/>
                <w:color w:val="000000"/>
                <w:kern w:val="0"/>
                <w:sz w:val="24"/>
                <w:lang w:val="en-US" w:eastAsia="zh-CN"/>
              </w:rPr>
            </w:pPr>
            <w:r>
              <w:rPr>
                <w:rFonts w:ascii="仿宋_GB2312" w:eastAsia="仿宋_GB2312" w:cs="仿宋_GB2312" w:hint="eastAsia"/>
                <w:color w:val="000000"/>
                <w:kern w:val="0"/>
                <w:sz w:val="24"/>
                <w:lang w:val="en-US" w:eastAsia="zh-CN"/>
              </w:rPr>
              <w:t>三、改扩建森林防灭火道路7公里（其中：碎石道路7000米。排水沟7000米，过水涵洞13道，单柱式警告标志28个）。设计公路等级为四级公路（Ⅱ类）、设计速度15km/h。</w:t>
            </w:r>
          </w:p>
          <w:p>
            <w:pPr>
              <w:widowControl/>
              <w:jc w:val="left"/>
              <w:textAlignment w:val="center"/>
              <w:rPr>
                <w:rFonts w:ascii="仿宋_GB2312" w:eastAsia="仿宋_GB2312" w:cs="仿宋_GB2312" w:hint="eastAsia"/>
                <w:color w:val="000000"/>
                <w:kern w:val="0"/>
                <w:sz w:val="24"/>
                <w:lang w:val="en-US" w:eastAsia="zh-CN"/>
              </w:rPr>
            </w:pPr>
            <w:r>
              <w:rPr>
                <w:rFonts w:ascii="仿宋_GB2312" w:eastAsia="仿宋_GB2312" w:cs="仿宋_GB2312" w:hint="eastAsia"/>
                <w:color w:val="000000"/>
                <w:kern w:val="0"/>
                <w:sz w:val="24"/>
                <w:lang w:val="en-US" w:eastAsia="zh-CN"/>
              </w:rPr>
              <w:t>四、森林生态效益补偿资金项目，2021年我县集体和个人所有天然商品林停伐补助总面积为26.1994万亩，投入资金397.3万元，全县资金兑现涉及11个镇，69个村，农户1.5万余户，受益人口5万余人</w:t>
            </w:r>
          </w:p>
          <w:p>
            <w:pPr>
              <w:widowControl/>
              <w:jc w:val="left"/>
              <w:textAlignment w:val="center"/>
              <w:rPr>
                <w:rFonts w:ascii="仿宋_GB2312" w:eastAsia="仿宋_GB2312" w:cs="仿宋_GB2312" w:hint="eastAsia"/>
                <w:color w:val="000000"/>
                <w:kern w:val="0"/>
                <w:sz w:val="24"/>
                <w:lang w:val="en-US" w:eastAsia="zh-CN"/>
              </w:rPr>
            </w:pPr>
            <w:r>
              <w:rPr>
                <w:rFonts w:ascii="仿宋_GB2312" w:eastAsia="仿宋_GB2312" w:cs="仿宋_GB2312" w:hint="eastAsia"/>
                <w:color w:val="000000"/>
                <w:kern w:val="0"/>
                <w:sz w:val="24"/>
                <w:lang w:val="en-US" w:eastAsia="zh-CN"/>
              </w:rPr>
              <w:t>五、新建1800亩防火阻隔带，在县城周边林农交界地带建防火隔离带675亩，在凤仪镇小沟炸药库周围及土地岭、松坪沟等重点林区建设防火隔离带1125亩。</w:t>
            </w:r>
          </w:p>
          <w:p>
            <w:pPr>
              <w:widowControl/>
              <w:jc w:val="left"/>
              <w:textAlignment w:val="center"/>
              <w:rPr>
                <w:rFonts w:ascii="仿宋_GB2312" w:eastAsia="仿宋_GB2312" w:cs="仿宋_GB2312" w:hint="eastAsia"/>
                <w:color w:val="000000"/>
                <w:sz w:val="24"/>
              </w:rPr>
            </w:pPr>
          </w:p>
          <w:p>
            <w:pPr>
              <w:widowControl/>
              <w:jc w:val="center"/>
              <w:textAlignment w:val="center"/>
              <w:rPr>
                <w:rFonts w:ascii="仿宋_GB2312" w:eastAsia="仿宋_GB2312" w:cs="仿宋_GB2312" w:hint="eastAsia"/>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left"/>
              <w:textAlignment w:val="center"/>
              <w:rPr>
                <w:rFonts w:ascii="仿宋_GB2312" w:eastAsia="仿宋_GB2312" w:cs="仿宋_GB2312" w:hint="eastAsia"/>
                <w:color w:val="000000"/>
                <w:sz w:val="24"/>
              </w:rPr>
            </w:pPr>
            <w:r>
              <w:rPr>
                <w:rFonts w:ascii="仿宋_GB2312" w:eastAsia="仿宋_GB2312" w:cs="仿宋_GB2312" w:hint="eastAsia"/>
                <w:color w:val="000000"/>
                <w:sz w:val="24"/>
                <w:lang w:eastAsia="zh-CN"/>
              </w:rPr>
              <w:t>一、</w:t>
            </w:r>
            <w:r>
              <w:rPr>
                <w:rFonts w:ascii="仿宋_GB2312" w:eastAsia="仿宋_GB2312" w:cs="仿宋_GB2312" w:hint="eastAsia"/>
                <w:color w:val="000000"/>
                <w:sz w:val="24"/>
              </w:rPr>
              <w:t>生态护林员</w:t>
            </w:r>
            <w:r>
              <w:rPr>
                <w:rFonts w:ascii="仿宋_GB2312" w:eastAsia="仿宋_GB2312" w:cs="仿宋_GB2312" w:hint="eastAsia"/>
                <w:color w:val="000000"/>
                <w:sz w:val="24"/>
                <w:lang w:eastAsia="zh-CN"/>
              </w:rPr>
              <w:t>。</w:t>
            </w:r>
            <w:r>
              <w:rPr>
                <w:rFonts w:ascii="仿宋_GB2312" w:eastAsia="仿宋_GB2312" w:cs="仿宋_GB2312" w:hint="eastAsia"/>
                <w:color w:val="000000"/>
                <w:sz w:val="24"/>
              </w:rPr>
              <w:t>202</w:t>
            </w:r>
            <w:r>
              <w:rPr>
                <w:rFonts w:ascii="仿宋_GB2312" w:eastAsia="仿宋_GB2312" w:cs="仿宋_GB2312" w:hint="eastAsia"/>
                <w:color w:val="000000"/>
                <w:sz w:val="24"/>
                <w:lang w:val="en-US" w:eastAsia="zh-CN"/>
              </w:rPr>
              <w:t>1</w:t>
            </w:r>
            <w:r>
              <w:rPr>
                <w:rFonts w:ascii="仿宋_GB2312" w:eastAsia="仿宋_GB2312" w:cs="仿宋_GB2312" w:hint="eastAsia"/>
                <w:color w:val="000000"/>
                <w:sz w:val="24"/>
              </w:rPr>
              <w:t>年生态护林员管护补助标准为10000元/年，全县生态护林员管护集体公益林面积不低于500亩，补助资金</w:t>
            </w:r>
            <w:r>
              <w:rPr>
                <w:rFonts w:ascii="仿宋_GB2312" w:eastAsia="仿宋_GB2312" w:cs="仿宋_GB2312" w:hint="eastAsia"/>
                <w:color w:val="000000"/>
                <w:sz w:val="24"/>
                <w:lang w:val="en-US" w:eastAsia="zh-CN"/>
              </w:rPr>
              <w:t>301</w:t>
            </w:r>
            <w:r>
              <w:rPr>
                <w:rFonts w:ascii="仿宋_GB2312" w:eastAsia="仿宋_GB2312" w:cs="仿宋_GB2312" w:hint="eastAsia"/>
                <w:color w:val="000000"/>
                <w:sz w:val="24"/>
              </w:rPr>
              <w:t>万元，涉及11个乡镇</w:t>
            </w:r>
            <w:r>
              <w:rPr>
                <w:rFonts w:ascii="仿宋_GB2312" w:eastAsia="仿宋_GB2312" w:cs="仿宋_GB2312" w:hint="eastAsia"/>
                <w:color w:val="000000"/>
                <w:sz w:val="24"/>
                <w:lang w:val="en-US" w:eastAsia="zh-CN"/>
              </w:rPr>
              <w:t>301</w:t>
            </w:r>
            <w:r>
              <w:rPr>
                <w:rFonts w:ascii="仿宋_GB2312" w:eastAsia="仿宋_GB2312" w:cs="仿宋_GB2312" w:hint="eastAsia"/>
                <w:color w:val="000000"/>
                <w:sz w:val="24"/>
              </w:rPr>
              <w:t>名建档立卡贫困户</w:t>
            </w:r>
            <w:r>
              <w:rPr>
                <w:rFonts w:ascii="仿宋_GB2312" w:eastAsia="仿宋_GB2312" w:cs="仿宋_GB2312" w:hint="eastAsia"/>
                <w:color w:val="000000"/>
                <w:sz w:val="24"/>
                <w:lang w:eastAsia="zh-CN"/>
              </w:rPr>
              <w:t>、二、</w:t>
            </w:r>
            <w:r>
              <w:rPr>
                <w:rFonts w:ascii="仿宋_GB2312" w:eastAsia="仿宋_GB2312" w:cs="仿宋_GB2312" w:hint="eastAsia"/>
                <w:color w:val="000000"/>
                <w:sz w:val="24"/>
              </w:rPr>
              <w:t>2021年我县集体和个人所有天然商品林停伐补助总面积为26.1994万亩，全县资金兑现涉及11个镇，69个村，农户1.5万余户，受益人口5万余人。项目资金的实际支出3972981.76万元，资金开支用于兑现集体和个人所有天然商品林停伐补助助标准为15.1644元/亩，支付进度100%。支付依据根据财务要求合规合法，资金支付与预算相符，并对相关问题进行了说明。</w:t>
            </w:r>
            <w:r>
              <w:rPr>
                <w:rFonts w:ascii="仿宋_GB2312" w:eastAsia="仿宋_GB2312" w:cs="仿宋_GB2312" w:hint="eastAsia"/>
                <w:color w:val="000000"/>
                <w:sz w:val="24"/>
                <w:lang w:eastAsia="zh-CN"/>
              </w:rPr>
              <w:t>三、</w:t>
            </w:r>
            <w:r>
              <w:rPr>
                <w:rFonts w:ascii="仿宋_GB2312" w:eastAsia="仿宋_GB2312" w:cs="仿宋_GB2312" w:hint="eastAsia"/>
                <w:color w:val="000000"/>
                <w:sz w:val="24"/>
              </w:rPr>
              <w:t>成投资总额1,997,291.89元，其中：建筑安装工程投资1,697,146.00元、待摊投资300,145.89元</w:t>
            </w:r>
            <w:r>
              <w:rPr>
                <w:rFonts w:ascii="仿宋_GB2312" w:eastAsia="仿宋_GB2312" w:cs="仿宋_GB2312" w:hint="eastAsia"/>
                <w:color w:val="000000"/>
                <w:sz w:val="24"/>
                <w:lang w:val="en-US" w:eastAsia="zh-CN"/>
              </w:rPr>
              <w:t>.已支付1938596.11元。</w:t>
            </w:r>
            <w:r>
              <w:rPr>
                <w:rFonts w:ascii="仿宋_GB2312" w:eastAsia="仿宋_GB2312" w:cs="仿宋_GB2312" w:hint="eastAsia"/>
                <w:color w:val="000000"/>
                <w:sz w:val="24"/>
                <w:lang w:eastAsia="zh-CN"/>
              </w:rPr>
              <w:t>。四、2021年我县集体和个人所有天然商品林停伐补助总面积为26.1994万亩，全县资金兑现涉及11个镇，69个村，农户1.5万余户，受益人口5万余人。项目资金的实际支出3972981.76万元，资金开支用于兑现集体和个人所有天然商品林停伐补助助标准为15.1644元/亩，支付进度100%。五、</w:t>
            </w:r>
            <w:r>
              <w:rPr>
                <w:rFonts w:ascii="仿宋_GB2312" w:eastAsia="仿宋_GB2312" w:cs="仿宋_GB2312" w:hint="eastAsia"/>
                <w:color w:val="000000"/>
                <w:sz w:val="24"/>
                <w:lang w:val="en-US" w:eastAsia="zh-CN"/>
              </w:rPr>
              <w:t>新建1800亩防火阻隔带，完成率100%。</w:t>
            </w:r>
          </w:p>
          <w:p>
            <w:pPr>
              <w:widowControl/>
              <w:jc w:val="center"/>
              <w:textAlignment w:val="center"/>
              <w:rPr>
                <w:rFonts w:ascii="仿宋_GB2312" w:eastAsia="仿宋_GB2312" w:cs="仿宋_GB2312" w:hint="eastAsia"/>
                <w:color w:val="000000"/>
                <w:sz w:val="24"/>
                <w:lang w:eastAsia="zh-CN"/>
              </w:rPr>
            </w:pP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sz w:val="24"/>
              </w:rPr>
            </w:pPr>
            <w:r>
              <w:rPr>
                <w:rFonts w:ascii="仿宋_GB2312" w:eastAsia="仿宋_GB2312" w:cs="仿宋_GB2312" w:hint="eastAsia"/>
                <w:color w:val="000000"/>
                <w:kern w:val="0"/>
                <w:sz w:val="24"/>
              </w:rPr>
              <w:t>实际完成指标值(包含数字及文字描述)</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增加农户收入</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生态护林员管护补助标准为10000元/年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生态护林员管护补助标准为10000元/年</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生态护林员</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both"/>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贫困户通过参与生态建设获得劳务补助，实现了持续稳定增收</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both"/>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贫困户通过参与生态建设获得劳务补助，实现了持续稳定增收</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生态效益指标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减少水土流失效果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生态环境改善情况明显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生态环境改善情况明显</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可持续影响指标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持续发挥生态作用显著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&gt;9</w:t>
            </w:r>
            <w:r>
              <w:rPr>
                <w:rFonts w:ascii="仿宋_GB2312" w:eastAsia="仿宋_GB2312" w:cs="仿宋_GB2312" w:hint="eastAsia"/>
                <w:color w:val="000000"/>
                <w:sz w:val="24"/>
                <w:lang w:val="en-US" w:eastAsia="zh-CN"/>
              </w:rPr>
              <w:t>5</w:t>
            </w:r>
            <w:r>
              <w:rPr>
                <w:rFonts w:ascii="仿宋_GB2312" w:eastAsia="仿宋_GB2312" w:cs="仿宋_GB2312"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rPr>
              <w:t>&gt;9</w:t>
            </w:r>
            <w:r>
              <w:rPr>
                <w:rFonts w:ascii="仿宋_GB2312" w:eastAsia="仿宋_GB2312" w:cs="仿宋_GB2312" w:hint="eastAsia"/>
                <w:color w:val="000000"/>
                <w:sz w:val="24"/>
                <w:lang w:val="en-US" w:eastAsia="zh-CN"/>
              </w:rPr>
              <w:t>5</w:t>
            </w:r>
            <w:r>
              <w:rPr>
                <w:rFonts w:ascii="仿宋_GB2312" w:eastAsia="仿宋_GB2312" w:cs="仿宋_GB2312" w:hint="eastAsia"/>
                <w:color w:val="000000"/>
                <w:sz w:val="24"/>
              </w:rPr>
              <w:t>%</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0"/>
                <w:sz w:val="24"/>
                <w:szCs w:val="24"/>
                <w:lang w:val="en-US" w:eastAsia="zh-CN"/>
              </w:rPr>
            </w:pPr>
            <w:r>
              <w:rPr>
                <w:rFonts w:ascii="仿宋_GB2312" w:eastAsia="仿宋_GB2312" w:cs="仿宋_GB2312"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服务对象满意指标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社会公众满意度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仿宋_GB2312" w:eastAsia="仿宋_GB2312" w:cs="仿宋_GB2312" w:hint="eastAsia"/>
                <w:color w:val="000000"/>
                <w:kern w:val="2"/>
                <w:sz w:val="24"/>
                <w:szCs w:val="24"/>
                <w:lang w:val="en-US" w:eastAsia="zh-CN" w:bidi="ar-SA"/>
              </w:rPr>
            </w:pPr>
            <w:r>
              <w:rPr>
                <w:rFonts w:ascii="仿宋_GB2312" w:eastAsia="仿宋_GB2312" w:cs="仿宋_GB2312" w:hint="eastAsia"/>
                <w:color w:val="000000"/>
                <w:sz w:val="24"/>
                <w:lang w:eastAsia="zh-CN"/>
              </w:rPr>
              <w:t>满意</w:t>
            </w:r>
          </w:p>
        </w:tc>
      </w:tr>
    </w:tbl>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rPr>
        <w:t>2.部门绩效评价结果</w:t>
      </w:r>
    </w:p>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2021</w:t>
      </w:r>
      <w:r>
        <w:rPr>
          <w:rFonts w:ascii="仿宋_GB2312" w:eastAsia="仿宋_GB2312" w:cs="仿宋_GB2312" w:hint="eastAsia"/>
          <w:sz w:val="32"/>
          <w:szCs w:val="32"/>
        </w:rPr>
        <w:t>年部门整体支出绩效评价情况开展自评，《</w:t>
      </w:r>
      <w:r>
        <w:rPr>
          <w:rFonts w:ascii="仿宋_GB2312" w:eastAsia="仿宋_GB2312" w:cs="仿宋_GB2312" w:hint="eastAsia"/>
          <w:sz w:val="32"/>
          <w:szCs w:val="32"/>
          <w:lang w:eastAsia="zh-CN"/>
        </w:rPr>
        <w:t>茂县林业和草原局</w:t>
      </w:r>
      <w:r>
        <w:rPr>
          <w:rFonts w:ascii="仿宋_GB2312" w:eastAsia="仿宋_GB2312" w:cs="仿宋_GB2312" w:hint="eastAsia"/>
          <w:sz w:val="32"/>
          <w:szCs w:val="32"/>
        </w:rPr>
        <w:t>部门</w:t>
      </w:r>
      <w:r>
        <w:rPr>
          <w:rFonts w:ascii="仿宋_GB2312" w:eastAsia="仿宋_GB2312" w:cs="仿宋_GB2312"/>
          <w:sz w:val="32"/>
          <w:szCs w:val="32"/>
        </w:rPr>
        <w:t>2021</w:t>
      </w:r>
      <w:r>
        <w:rPr>
          <w:rFonts w:ascii="仿宋_GB2312" w:eastAsia="仿宋_GB2312" w:cs="仿宋_GB2312" w:hint="eastAsia"/>
          <w:sz w:val="32"/>
          <w:szCs w:val="32"/>
        </w:rPr>
        <w:t>年部门整体支出绩效评价报告》见附件（附件</w:t>
      </w:r>
      <w:r>
        <w:rPr>
          <w:rFonts w:ascii="仿宋_GB2312" w:eastAsia="仿宋_GB2312" w:cs="仿宋_GB2312"/>
          <w:sz w:val="32"/>
          <w:szCs w:val="32"/>
        </w:rPr>
        <w:t>1</w:t>
      </w:r>
      <w:r>
        <w:rPr>
          <w:rFonts w:ascii="仿宋_GB2312" w:eastAsia="仿宋_GB2312" w:cs="仿宋_GB2312" w:hint="eastAsia"/>
          <w:sz w:val="32"/>
          <w:szCs w:val="32"/>
        </w:rPr>
        <w:t>）。</w:t>
      </w:r>
    </w:p>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本部门自行组织对</w:t>
      </w:r>
      <w:r>
        <w:rPr>
          <w:rFonts w:ascii="仿宋_GB2312" w:eastAsia="仿宋_GB2312" w:cs="仿宋_GB2312" w:hint="eastAsia"/>
          <w:sz w:val="32"/>
          <w:szCs w:val="32"/>
          <w:lang w:val="zh-CN" w:eastAsia="zh-CN"/>
        </w:rPr>
        <w:t>生态护林（草）员</w:t>
      </w:r>
      <w:r>
        <w:rPr>
          <w:rFonts w:ascii="仿宋_GB2312" w:eastAsia="仿宋_GB2312" w:cs="仿宋_GB2312" w:hint="eastAsia"/>
          <w:sz w:val="32"/>
          <w:szCs w:val="32"/>
          <w:lang w:val="en-US" w:eastAsia="zh-CN"/>
        </w:rPr>
        <w:t>项目、集体和个人天然商品林停伐管护补助项目、茂县茅香坪工区至土地岭防灭火道路项目、森林生态效益补偿资金项目、</w:t>
      </w:r>
      <w:r>
        <w:rPr>
          <w:rFonts w:ascii="仿宋_GB2312" w:eastAsia="仿宋_GB2312" w:cs="仿宋_GB2312" w:hint="eastAsia"/>
          <w:color w:val="auto"/>
          <w:kern w:val="0"/>
          <w:sz w:val="32"/>
          <w:szCs w:val="32"/>
          <w:lang w:val="en-US" w:eastAsia="zh-CN" w:bidi="ar-SA"/>
        </w:rPr>
        <w:t>防火阻隔系统建设项目</w:t>
      </w:r>
      <w:r>
        <w:rPr>
          <w:rFonts w:ascii="仿宋_GB2312" w:eastAsia="仿宋_GB2312" w:cs="仿宋_GB2312" w:hint="eastAsia"/>
          <w:sz w:val="32"/>
          <w:szCs w:val="32"/>
          <w:lang w:eastAsia="zh-CN"/>
        </w:rPr>
        <w:t>等</w:t>
      </w:r>
      <w:r>
        <w:rPr>
          <w:rFonts w:ascii="仿宋_GB2312" w:eastAsia="仿宋_GB2312" w:cs="仿宋_GB2312" w:hint="eastAsia"/>
          <w:sz w:val="32"/>
          <w:szCs w:val="32"/>
        </w:rPr>
        <w:t>开展了绩效评价，《</w:t>
      </w:r>
      <w:r>
        <w:rPr>
          <w:rFonts w:ascii="仿宋_GB2312" w:eastAsia="仿宋_GB2312" w:cs="仿宋_GB2312" w:hint="eastAsia"/>
          <w:sz w:val="32"/>
          <w:szCs w:val="32"/>
          <w:lang w:eastAsia="zh-CN"/>
        </w:rPr>
        <w:t>茂县林业和草原局</w:t>
      </w:r>
      <w:r>
        <w:rPr>
          <w:rFonts w:ascii="仿宋_GB2312" w:eastAsia="仿宋_GB2312" w:cs="仿宋_GB2312" w:hint="eastAsia"/>
          <w:sz w:val="32"/>
          <w:szCs w:val="32"/>
        </w:rPr>
        <w:t>项目</w:t>
      </w:r>
      <w:r>
        <w:rPr>
          <w:rFonts w:ascii="仿宋_GB2312" w:eastAsia="仿宋_GB2312" w:cs="仿宋_GB2312"/>
          <w:sz w:val="32"/>
          <w:szCs w:val="32"/>
        </w:rPr>
        <w:t>2021</w:t>
      </w:r>
      <w:r>
        <w:rPr>
          <w:rFonts w:ascii="仿宋_GB2312" w:eastAsia="仿宋_GB2312" w:cs="仿宋_GB2312" w:hint="eastAsia"/>
          <w:sz w:val="32"/>
          <w:szCs w:val="32"/>
        </w:rPr>
        <w:t>年绩效评价报告》见附件（附件</w:t>
      </w:r>
      <w:r>
        <w:rPr>
          <w:rFonts w:ascii="仿宋_GB2312" w:eastAsia="仿宋_GB2312" w:cs="仿宋_GB2312"/>
          <w:sz w:val="32"/>
          <w:szCs w:val="32"/>
        </w:rPr>
        <w:t>2</w:t>
      </w:r>
      <w:r>
        <w:rPr>
          <w:rFonts w:ascii="仿宋_GB2312" w:eastAsia="仿宋_GB2312" w:cs="仿宋_GB2312" w:hint="eastAsia"/>
          <w:sz w:val="32"/>
          <w:szCs w:val="32"/>
        </w:rPr>
        <w:t>）。</w:t>
      </w:r>
    </w:p>
    <w:p>
      <w:pPr>
        <w:pStyle w:val="34"/>
        <w:keepNext w:val="0"/>
        <w:keepLines w:val="0"/>
        <w:pageBreakBefore w:val="0"/>
        <w:widowControl w:val="0"/>
        <w:kinsoku/>
        <w:wordWrap/>
        <w:overflowPunct/>
        <w:topLinePunct w:val="0"/>
        <w:autoSpaceDE/>
        <w:autoSpaceDN/>
        <w:bidi w:val="0"/>
        <w:adjustRightInd/>
        <w:snapToGrid/>
        <w:spacing w:line="560" w:lineRule="exact"/>
        <w:ind w:firstLineChars="200" w:firstLine="420"/>
        <w:textAlignment w:val="auto"/>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1"/>
        <w:jc w:val="center"/>
        <w:rPr>
          <w:rFonts w:ascii="黑体" w:eastAsia="黑体" w:cs="黑体"/>
        </w:rPr>
      </w:pPr>
      <w:bookmarkStart w:id="69" w:name="_Toc113981023"/>
      <w:bookmarkStart w:id="70" w:name="_Toc111208509"/>
      <w:bookmarkStart w:id="71" w:name="_Toc15377225"/>
      <w:r>
        <w:rPr>
          <w:rFonts w:ascii="黑体" w:eastAsia="黑体" w:cs="黑体" w:hint="eastAsia"/>
        </w:rPr>
        <w:t>第三部分 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7.结余分配：指事业单位按照事业单位会计制度的规定从非财政补助结余中分配的事业基金和职工福利基金等。</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10.社会保障和就业支出（208）行政事业单位养老支出（20805）机关事业单位职业年金缴费支出（2080506）：反映机关事业单位实施养老保险制度由单位实际缴纳的职业年金支出。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11.卫生健康支出（210）公共卫生（21004）重大公共卫生服务（2100409）：反映重大疾病、重大传染病预防控制等重大公共卫生服务项目支出。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13.卫生健康支出（210）行政事业单位医疗（21011）事业单位医疗（2101102）：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15.节能环保支出（211）天然林保护（21105）森林管护（2110501）：反映专项用于森林资源管护所发生的各项补助支出。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16.节能环保支出（211）天然林保护（21105）社会保险补助（2110502）：反映专项用于由于木材减产或停产造成实施单位应缴纳社会保险费缺口的补助支出。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17.节能环保支出（211）退耕还林还草（21106）退耕现金（2110602）：反映专项用于退耕户的现金补助支出。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18.农林水支出（213）林业和草原（21302）行政运行（2130201）：反映行政单位（包括实行公务员管理的事业单位）的基本支出。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19.农林水支出（213）林业和草原（21302）事业机构（2130204）：反映事业单位的基本支出，不包括行政单位（含实行公务员管理的事业单位）后勤服务中心等附属事业单位的支岀。</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20.农林水支出（213）林业和草原（21302）森林资源培育（2130205）：反映育苗（种）、造林、抚育、退化林修复、义务植树以及生物质能源建设等方面的支出。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21.农林水支出（213）林业和草原（21302）森林资源管理（2130207）：反映森林资源核査、监测、评估、经营利用、林地保护等方面的支出。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22.农林水支出（213）林业和草原（21302）森林生态效益补偿（2130209）：反映用于公益林保护和管理等方面的支出。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23.农林水支出（213）林业和草原（21302）动植物保护（2130211）：反映动植物资源生存环境调査、监测、保护管理、野外放（回）归、巡护、野生动物疫源疫病监测防控、濒危野生动植物拯救、繁育及进出口管理等方面的支岀。</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24.农林水支出（213）林业和草原（21302）林业草原防灾减灾（2130234）：反映用于病虫害等有害生物灾害、森林草原防火、野生动物疫病灾害等方面的支出。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25.农林水支出（213）林业和草原（21302）其他林业和草原支出（2130299）：反映除上述项0以外其他用于林业和草原方面的支出。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26.农林水支出（213）扶贫（21305）其他扶贫支出（2130599）：反映除上述项目以外其他用于扶贫方面的支出。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27.农林水支出（213）其他农林水支出（21399）其他农林水支出（2139999）：反映除化解债务支出以外其他用于农林水方面的支出。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28.交通运输支出（214）公路水路运输（21401）其他公路水路运输支出（2140199）：反映除上述项i以外其他用于公路水路运输方面的支出。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ab/>
        <w:t>29.住房保障支出（221）住房改革支出（22102）住房公积金（2210201）：反映行政事业单位按人力资源和社会保障部、财政部规定的基本工资和津贴补贴以及规定比例为职工缴纳的住房公积金。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ab/>
        <w:t>30.住房保障支出（221）住房改革支出（22102）购房补贴（2210203）：反映按房改政策规定，行政事业单位向符合条件职工（含离退休人员）、军队（含武警）向转役复员离退休人员发放的用于购买住房的补贴。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lang w:eastAsia="zh-CN"/>
        </w:rPr>
      </w:pPr>
      <w:r>
        <w:rPr>
          <w:rFonts w:ascii="仿宋_GB2312" w:eastAsia="仿宋_GB2312" w:cs="仿宋_GB2312" w:hint="eastAsia"/>
          <w:color w:val="000000"/>
          <w:sz w:val="32"/>
          <w:szCs w:val="32"/>
        </w:rPr>
        <w:t>31.灾害防治及应急管理支出（224）自然灾害防治（22406）森林草原防灾减灾（2240602）：反映防治森林草原火灾、自然水旱灾害等发生的支出。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32.其他支出（229）其他支出（22999）其他支出（2299999）：无文字说明。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33.基本支出：指为保障机构正常运转、完成日常工作任务而发生的人员支出和公用支出。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lang w:val="en-US" w:eastAsia="zh-CN"/>
        </w:rPr>
        <w:t>34</w:t>
      </w:r>
      <w:r>
        <w:rPr>
          <w:rFonts w:ascii="仿宋_GB2312" w:eastAsia="仿宋_GB2312" w:cs="仿宋_GB2312" w:hint="eastAsia"/>
          <w:color w:val="000000"/>
          <w:sz w:val="32"/>
          <w:szCs w:val="32"/>
        </w:rPr>
        <w:t xml:space="preserve">.项目支出：指在基本支出之外为完成特定行政任务和事业发展目标所发生的支出。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w:t>
      </w:r>
      <w:r>
        <w:rPr>
          <w:rFonts w:ascii="仿宋_GB2312" w:eastAsia="仿宋_GB2312" w:cs="仿宋_GB2312" w:hint="eastAsia"/>
          <w:color w:val="000000"/>
          <w:sz w:val="32"/>
          <w:szCs w:val="32"/>
          <w:lang w:val="en-US" w:eastAsia="zh-CN"/>
        </w:rPr>
        <w:t>5</w:t>
      </w:r>
      <w:r>
        <w:rPr>
          <w:rFonts w:ascii="仿宋_GB2312" w:eastAsia="仿宋_GB2312" w:cs="仿宋_GB2312" w:hint="eastAsia"/>
          <w:color w:val="000000"/>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w:t>
      </w:r>
      <w:r>
        <w:rPr>
          <w:rFonts w:ascii="仿宋_GB2312" w:eastAsia="仿宋_GB2312" w:cs="仿宋_GB2312" w:hint="eastAsia"/>
          <w:color w:val="000000"/>
          <w:sz w:val="32"/>
          <w:szCs w:val="32"/>
          <w:lang w:val="en-US" w:eastAsia="zh-CN"/>
        </w:rPr>
        <w:t>6</w:t>
      </w:r>
      <w:r>
        <w:rPr>
          <w:rFonts w:ascii="仿宋_GB2312" w:eastAsia="仿宋_GB2312" w:cs="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3</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sz w:val="32"/>
          <w:szCs w:val="32"/>
        </w:rPr>
        <w:t>3</w:t>
      </w:r>
      <w:r>
        <w:rPr>
          <w:rFonts w:ascii="仿宋_GB2312" w:eastAsia="仿宋_GB2312" w:cs="仿宋_GB2312" w:hint="eastAsia"/>
          <w:color w:val="000000"/>
          <w:sz w:val="32"/>
          <w:szCs w:val="32"/>
          <w:lang w:val="en-US" w:eastAsia="zh-CN"/>
        </w:rPr>
        <w:t>8</w:t>
      </w:r>
      <w:r>
        <w:rPr>
          <w:rFonts w:ascii="仿宋_GB2312" w:eastAsia="仿宋_GB2312" w:cs="仿宋_GB2312" w:hint="eastAsia"/>
          <w:color w:val="000000"/>
          <w:sz w:val="32"/>
          <w:szCs w:val="32"/>
        </w:rPr>
        <w:t>.财政应返还额度：为行政事业单位会计核算科目，用于核算实行国库集中支付的行政事业单位应收财政返还的资金额度。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jc w:val="center"/>
        <w:rPr>
          <w:rFonts w:ascii="黑体" w:eastAsia="黑体" w:cs="黑体"/>
        </w:rPr>
      </w:pPr>
      <w:bookmarkStart w:id="72" w:name="_Toc111208510"/>
      <w:bookmarkStart w:id="73" w:name="_Toc113981024"/>
      <w:r>
        <w:rPr>
          <w:rFonts w:ascii="黑体" w:eastAsia="黑体" w:cs="黑体" w:hint="eastAsia"/>
        </w:rPr>
        <w:t>第四部分 附件</w:t>
      </w:r>
      <w:bookmarkEnd w:id="72"/>
      <w:bookmarkEnd w:id="73"/>
    </w:p>
    <w:p>
      <w:pPr>
        <w:pStyle w:val="37"/>
        <w:widowControl/>
        <w:spacing w:line="580" w:lineRule="exact"/>
        <w:contextualSpacing/>
        <w:jc w:val="center"/>
        <w:rPr>
          <w:rFonts w:ascii="宋体" w:eastAsia="宋体"/>
          <w:b/>
          <w:sz w:val="44"/>
          <w:szCs w:val="44"/>
          <w:shd w:val="clear" w:color="auto" w:fill="FFFFFF"/>
        </w:rPr>
      </w:pPr>
      <w:r>
        <w:rPr>
          <w:rFonts w:ascii="宋体" w:eastAsia="宋体" w:hint="eastAsia"/>
          <w:b/>
          <w:sz w:val="44"/>
          <w:szCs w:val="44"/>
          <w:shd w:val="clear" w:color="auto" w:fill="FFFFFF"/>
        </w:rPr>
        <w:t>2022年</w:t>
      </w:r>
      <w:r>
        <w:rPr>
          <w:rFonts w:ascii="宋体" w:eastAsia="宋体" w:hint="eastAsia"/>
          <w:b/>
          <w:sz w:val="44"/>
          <w:szCs w:val="44"/>
          <w:shd w:val="clear" w:color="auto" w:fill="FFFFFF"/>
          <w:lang w:eastAsia="zh-CN"/>
        </w:rPr>
        <w:t>茂县林业和草原局</w:t>
      </w:r>
      <w:r>
        <w:rPr>
          <w:rFonts w:ascii="宋体" w:eastAsia="宋体" w:hint="eastAsia"/>
          <w:b/>
          <w:sz w:val="44"/>
          <w:szCs w:val="44"/>
          <w:shd w:val="clear" w:color="auto" w:fill="FFFFFF"/>
        </w:rPr>
        <w:t>整体支出</w:t>
      </w:r>
    </w:p>
    <w:p>
      <w:pPr>
        <w:pStyle w:val="37"/>
        <w:widowControl/>
        <w:spacing w:line="580" w:lineRule="exact"/>
        <w:contextualSpacing/>
        <w:jc w:val="center"/>
        <w:rPr>
          <w:rFonts w:ascii="宋体" w:eastAsia="宋体"/>
          <w:b/>
          <w:sz w:val="44"/>
          <w:szCs w:val="44"/>
          <w:shd w:val="clear" w:color="auto" w:fill="FFFFFF"/>
        </w:rPr>
      </w:pPr>
      <w:r>
        <w:rPr>
          <w:rFonts w:ascii="宋体" w:eastAsia="宋体" w:hint="eastAsia"/>
          <w:b/>
          <w:sz w:val="44"/>
          <w:szCs w:val="44"/>
          <w:shd w:val="clear" w:color="auto" w:fill="FFFFFF"/>
        </w:rPr>
        <w:t>绩效评价报告</w:t>
      </w:r>
    </w:p>
    <w:p>
      <w:pPr>
        <w:pStyle w:val="37"/>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pStyle w:val="37"/>
        <w:widowControl/>
        <w:adjustRightInd w:val="0"/>
        <w:snapToGrid w:val="0"/>
        <w:spacing w:line="580" w:lineRule="exact"/>
        <w:ind w:firstLineChars="200" w:firstLine="640"/>
        <w:contextualSpacing/>
        <w:jc w:val="left"/>
        <w:rPr>
          <w:rFonts w:ascii="黑体" w:eastAsia="黑体" w:cs="宋体"/>
          <w:color w:val="000000"/>
          <w:kern w:val="0"/>
          <w:szCs w:val="32"/>
          <w:shd w:val="clear" w:color="auto" w:fill="FFFFFF"/>
          <w:lang w:val="zh-CN"/>
        </w:rPr>
      </w:pPr>
      <w:r>
        <w:rPr>
          <w:rFonts w:ascii="黑体" w:eastAsia="黑体" w:cs="宋体" w:hint="eastAsia"/>
          <w:color w:val="000000"/>
          <w:kern w:val="0"/>
          <w:szCs w:val="32"/>
          <w:shd w:val="clear" w:color="auto" w:fill="FFFFFF"/>
        </w:rPr>
        <w:t>一、</w:t>
      </w:r>
      <w:r>
        <w:rPr>
          <w:rFonts w:ascii="黑体" w:eastAsia="黑体" w:cs="宋体" w:hint="eastAsia"/>
          <w:color w:val="000000"/>
          <w:kern w:val="0"/>
          <w:szCs w:val="32"/>
          <w:shd w:val="clear" w:color="auto" w:fill="FFFFFF"/>
          <w:lang w:val="zh-CN"/>
        </w:rPr>
        <w:t>部门（单位）概况</w:t>
      </w:r>
    </w:p>
    <w:p>
      <w:pPr>
        <w:pStyle w:val="37"/>
        <w:widowControl/>
        <w:adjustRightInd w:val="0"/>
        <w:snapToGrid w:val="0"/>
        <w:spacing w:line="580" w:lineRule="exact"/>
        <w:ind w:firstLineChars="200" w:firstLine="640"/>
        <w:contextualSpacing/>
        <w:jc w:val="left"/>
        <w:rPr>
          <w:rFonts w:ascii="楷体" w:eastAsia="楷体" w:cs="楷体" w:hint="eastAsia"/>
          <w:b/>
          <w:bCs/>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（一）机构组成</w:t>
      </w:r>
    </w:p>
    <w:p>
      <w:pPr>
        <w:pStyle w:val="37"/>
        <w:widowControl/>
        <w:adjustRightInd w:val="0"/>
        <w:snapToGrid w:val="0"/>
        <w:spacing w:line="580" w:lineRule="exact"/>
        <w:ind w:firstLineChars="200" w:firstLine="640"/>
        <w:contextualSpacing/>
        <w:jc w:val="left"/>
        <w:rPr>
          <w:rFonts w:ascii="仿宋_GB2312" w:cs="宋体" w:hint="eastAsia"/>
          <w:color w:val="000000"/>
          <w:kern w:val="0"/>
          <w:szCs w:val="32"/>
          <w:shd w:val="clear" w:color="auto" w:fill="FFFFFF"/>
          <w:lang w:val="zh-CN"/>
        </w:rPr>
      </w:pPr>
      <w:r>
        <w:rPr>
          <w:rFonts w:ascii="仿宋_GB2312" w:cs="仿宋_GB2312" w:hint="eastAsia"/>
          <w:kern w:val="0"/>
          <w:lang w:val="zh-CN"/>
        </w:rPr>
        <w:t>茂县林业和草原局单位下属二</w:t>
      </w:r>
      <w:r>
        <w:rPr>
          <w:rFonts w:ascii="仿宋_GB2312" w:cs="仿宋_GB2312" w:hint="eastAsia"/>
          <w:b w:val="0"/>
          <w:bCs w:val="0"/>
          <w:kern w:val="0"/>
          <w:lang w:val="zh-CN"/>
        </w:rPr>
        <w:t>级预算单位</w:t>
      </w:r>
      <w:r>
        <w:rPr>
          <w:rFonts w:ascii="仿宋_GB2312" w:cs="仿宋_GB2312"/>
          <w:b w:val="0"/>
          <w:bCs w:val="0"/>
          <w:kern w:val="0"/>
          <w:lang w:val="zh-CN"/>
        </w:rPr>
        <w:t xml:space="preserve"> 0 </w:t>
      </w:r>
      <w:r>
        <w:rPr>
          <w:rFonts w:ascii="仿宋_GB2312" w:cs="仿宋_GB2312" w:hint="eastAsia"/>
          <w:b w:val="0"/>
          <w:bCs w:val="0"/>
          <w:kern w:val="0"/>
          <w:lang w:val="zh-CN"/>
        </w:rPr>
        <w:t>个，行政单位</w:t>
      </w:r>
      <w:r>
        <w:rPr>
          <w:rFonts w:ascii="仿宋_GB2312" w:cs="仿宋_GB2312" w:hint="eastAsia"/>
          <w:b w:val="0"/>
          <w:bCs w:val="0"/>
          <w:kern w:val="0"/>
          <w:lang w:val="en-US" w:eastAsia="zh-CN"/>
        </w:rPr>
        <w:t>0</w:t>
      </w:r>
      <w:r>
        <w:rPr>
          <w:rFonts w:ascii="仿宋_GB2312" w:cs="仿宋_GB2312" w:hint="eastAsia"/>
          <w:b w:val="0"/>
          <w:bCs w:val="0"/>
          <w:kern w:val="0"/>
          <w:lang w:val="zh-CN"/>
        </w:rPr>
        <w:t>个，参照公务员法管理的事业单位</w:t>
      </w:r>
      <w:r>
        <w:rPr>
          <w:rFonts w:ascii="仿宋_GB2312" w:cs="仿宋_GB2312"/>
          <w:b w:val="0"/>
          <w:bCs w:val="0"/>
          <w:kern w:val="0"/>
          <w:lang w:val="zh-CN"/>
        </w:rPr>
        <w:t xml:space="preserve"> </w:t>
      </w:r>
      <w:r>
        <w:rPr>
          <w:rFonts w:ascii="仿宋_GB2312" w:cs="仿宋_GB2312" w:hint="eastAsia"/>
          <w:b w:val="0"/>
          <w:bCs w:val="0"/>
          <w:kern w:val="0"/>
          <w:lang w:val="en-US" w:eastAsia="zh-CN"/>
        </w:rPr>
        <w:t>0</w:t>
      </w:r>
      <w:r>
        <w:rPr>
          <w:rFonts w:ascii="仿宋_GB2312" w:cs="仿宋_GB2312" w:hint="eastAsia"/>
          <w:kern w:val="0"/>
          <w:lang w:val="zh-CN"/>
        </w:rPr>
        <w:t>个，其他事业单位</w:t>
      </w:r>
      <w:r>
        <w:rPr>
          <w:rFonts w:ascii="仿宋_GB2312" w:cs="仿宋_GB2312" w:hint="eastAsia"/>
          <w:kern w:val="0"/>
          <w:lang w:val="en-US" w:eastAsia="zh-CN"/>
        </w:rPr>
        <w:t>0</w:t>
      </w:r>
      <w:r>
        <w:rPr>
          <w:rFonts w:ascii="仿宋_GB2312" w:cs="仿宋_GB2312" w:hint="eastAsia"/>
          <w:kern w:val="0"/>
          <w:lang w:val="zh-CN"/>
        </w:rPr>
        <w:t>个。</w:t>
      </w:r>
    </w:p>
    <w:p>
      <w:pPr>
        <w:pStyle w:val="37"/>
        <w:widowControl/>
        <w:adjustRightInd w:val="0"/>
        <w:snapToGrid w:val="0"/>
        <w:spacing w:line="580" w:lineRule="exact"/>
        <w:ind w:firstLineChars="200" w:firstLine="640"/>
        <w:contextualSpacing/>
        <w:jc w:val="left"/>
        <w:rPr>
          <w:rFonts w:ascii="仿宋_GB2312" w:eastAsia="仿宋_GB2312" w:cs="宋体" w:hint="eastAsia"/>
          <w:color w:val="000000"/>
          <w:kern w:val="0"/>
          <w:szCs w:val="32"/>
          <w:shd w:val="clear" w:color="auto" w:fill="FFFFFF"/>
          <w:lang w:val="en-US" w:eastAsia="zh-CN"/>
        </w:rPr>
      </w:pPr>
      <w:r>
        <w:rPr>
          <w:rFonts w:ascii="楷体" w:eastAsia="楷体" w:cs="楷体" w:hint="eastAsia"/>
          <w:b/>
          <w:bCs/>
          <w:color w:val="000000"/>
          <w:kern w:val="0"/>
          <w:szCs w:val="32"/>
          <w:shd w:val="clear" w:color="auto" w:fill="FFFFFF"/>
          <w:lang w:val="zh-CN"/>
        </w:rPr>
        <w:t>（二）机构职能</w:t>
      </w:r>
      <w:r>
        <w:rPr>
          <w:rFonts w:ascii="仿宋_GB2312" w:cs="宋体" w:hint="eastAsia"/>
          <w:color w:val="000000"/>
          <w:kern w:val="0"/>
          <w:szCs w:val="32"/>
          <w:shd w:val="clear" w:color="auto" w:fill="FFFFFF"/>
          <w:lang w:val="en-US" w:eastAsia="zh-CN"/>
        </w:rPr>
        <w:t xml:space="preserve"> </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1.</w:t>
      </w:r>
      <w:r>
        <w:rPr>
          <w:rFonts w:ascii="仿宋_GB2312" w:cs="仿宋_GB2312" w:hint="eastAsia"/>
          <w:kern w:val="0"/>
          <w:lang w:val="zh-CN"/>
        </w:rPr>
        <w:t>贯彻执行党和国家的林业方针、政策、法律、法规、规章和有关决议、决定，结合我县的实际和国民经济发展的需要，制定相应的实施办法并组织实施，完善林业政策和管理制度。</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2.</w:t>
      </w:r>
      <w:r>
        <w:rPr>
          <w:rFonts w:ascii="仿宋_GB2312" w:cs="仿宋_GB2312" w:hint="eastAsia"/>
          <w:kern w:val="0"/>
          <w:lang w:val="zh-CN"/>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3.</w:t>
      </w:r>
      <w:r>
        <w:rPr>
          <w:rFonts w:ascii="仿宋_GB2312" w:cs="仿宋_GB2312" w:hint="eastAsia"/>
          <w:kern w:val="0"/>
          <w:lang w:val="zh-CN"/>
        </w:rPr>
        <w:t>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4.</w:t>
      </w:r>
      <w:r>
        <w:rPr>
          <w:rFonts w:ascii="仿宋_GB2312" w:cs="仿宋_GB2312" w:hint="eastAsia"/>
          <w:kern w:val="0"/>
          <w:lang w:val="zh-CN"/>
        </w:rPr>
        <w:t>负责指导全县天然林资源保护工程、生态环境治理工程、退耕还林</w:t>
      </w:r>
      <w:r>
        <w:rPr>
          <w:rFonts w:ascii="仿宋_GB2312" w:cs="仿宋_GB2312"/>
          <w:kern w:val="0"/>
          <w:lang w:val="zh-CN"/>
        </w:rPr>
        <w:t>(</w:t>
      </w:r>
      <w:r>
        <w:rPr>
          <w:rFonts w:ascii="仿宋_GB2312" w:cs="仿宋_GB2312" w:hint="eastAsia"/>
          <w:kern w:val="0"/>
          <w:lang w:val="zh-CN"/>
        </w:rPr>
        <w:t>草</w:t>
      </w:r>
      <w:r>
        <w:rPr>
          <w:rFonts w:ascii="仿宋_GB2312" w:cs="仿宋_GB2312"/>
          <w:kern w:val="0"/>
          <w:lang w:val="zh-CN"/>
        </w:rPr>
        <w:t>)</w:t>
      </w:r>
      <w:r>
        <w:rPr>
          <w:rFonts w:ascii="仿宋_GB2312" w:cs="仿宋_GB2312" w:hint="eastAsia"/>
          <w:kern w:val="0"/>
          <w:lang w:val="zh-CN"/>
        </w:rPr>
        <w:t>工程的实施。组织实施全县植树造林、国土绿化、防沙</w:t>
      </w:r>
      <w:r>
        <w:rPr>
          <w:rFonts w:ascii="仿宋_GB2312" w:cs="仿宋_GB2312" w:hint="eastAsia"/>
          <w:kern w:val="0"/>
          <w:lang w:val="en-US" w:eastAsia="zh-CN"/>
        </w:rPr>
        <w:t xml:space="preserve"> </w:t>
      </w:r>
      <w:r>
        <w:rPr>
          <w:rFonts w:ascii="仿宋_GB2312" w:cs="仿宋_GB2312" w:hint="eastAsia"/>
          <w:kern w:val="0"/>
          <w:lang w:val="zh-CN"/>
        </w:rPr>
        <w:t>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5.</w:t>
      </w:r>
      <w:r>
        <w:rPr>
          <w:rFonts w:ascii="仿宋_GB2312" w:cs="仿宋_GB2312" w:hint="eastAsia"/>
          <w:kern w:val="0"/>
          <w:lang w:val="zh-CN"/>
        </w:rPr>
        <w:t>负责全县野生动物、植物资源的保护管理和合理开发利用，对宝顶沟自然保护区管理处工作进行指导；负责森林公园的规划、审批和上报审批、立项等工作。</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6.</w:t>
      </w:r>
      <w:r>
        <w:rPr>
          <w:rFonts w:ascii="仿宋_GB2312" w:cs="仿宋_GB2312" w:hint="eastAsia"/>
          <w:kern w:val="0"/>
          <w:lang w:val="zh-CN"/>
        </w:rPr>
        <w:t>指导和调控全县林业生产的发展，负责全县木材生产、采伐、运输、加工、综合利用，林产林化、森林旅游、木本药材等林业产业实行宏观管理、指导和监督；管理好林产品市场。</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7.</w:t>
      </w:r>
      <w:r>
        <w:rPr>
          <w:rFonts w:ascii="仿宋_GB2312" w:cs="仿宋_GB2312" w:hint="eastAsia"/>
          <w:kern w:val="0"/>
          <w:lang w:val="zh-CN"/>
        </w:rPr>
        <w:t>指导、监督全县林业系统财务工作；组织编制、上报或转报林业基本建设、多种经营、技术改造、转产项目并指导实施或直接组织实施。</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8.</w:t>
      </w:r>
      <w:r>
        <w:rPr>
          <w:rFonts w:ascii="仿宋_GB2312" w:cs="仿宋_GB2312" w:hint="eastAsia"/>
          <w:kern w:val="0"/>
          <w:lang w:val="zh-CN"/>
        </w:rPr>
        <w:t>管理林业执法体系建设和林业执法工作，领导县森林公安局搞好全县森林公安队伍建设和森林公安工作；监督和查处破坏森林资源和野生动物资源的案</w:t>
      </w:r>
      <w:r>
        <w:rPr>
          <w:rFonts w:ascii="仿宋_GB2312" w:cs="仿宋_GB2312"/>
          <w:kern w:val="0"/>
          <w:lang w:val="zh-CN"/>
        </w:rPr>
        <w:t>(</w:t>
      </w:r>
      <w:r>
        <w:rPr>
          <w:rFonts w:ascii="仿宋_GB2312" w:cs="仿宋_GB2312" w:hint="eastAsia"/>
          <w:kern w:val="0"/>
          <w:lang w:val="zh-CN"/>
        </w:rPr>
        <w:t>事</w:t>
      </w:r>
      <w:r>
        <w:rPr>
          <w:rFonts w:ascii="仿宋_GB2312" w:cs="仿宋_GB2312"/>
          <w:kern w:val="0"/>
          <w:lang w:val="zh-CN"/>
        </w:rPr>
        <w:t>)</w:t>
      </w:r>
      <w:r>
        <w:rPr>
          <w:rFonts w:ascii="仿宋_GB2312" w:cs="仿宋_GB2312" w:hint="eastAsia"/>
          <w:kern w:val="0"/>
          <w:lang w:val="zh-CN"/>
        </w:rPr>
        <w:t>件；负责搞好全县森林防火、森林病虫鼠害防治、森林植物检疫、保护森林资源和维护林区治安。</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9.</w:t>
      </w:r>
      <w:r>
        <w:rPr>
          <w:rFonts w:ascii="仿宋_GB2312" w:cs="仿宋_GB2312" w:hint="eastAsia"/>
          <w:kern w:val="0"/>
          <w:lang w:val="zh-CN"/>
        </w:rPr>
        <w:t>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10.</w:t>
      </w:r>
      <w:r>
        <w:rPr>
          <w:rFonts w:ascii="仿宋_GB2312" w:cs="仿宋_GB2312" w:hint="eastAsia"/>
          <w:kern w:val="0"/>
          <w:lang w:val="zh-CN"/>
        </w:rPr>
        <w:t>负责规划、指导、实施山区林业综合开发，配合有关部门做好水土保持、农村能源发展、农业综合开发、林业扶贫等组织实施工作。</w:t>
      </w:r>
    </w:p>
    <w:p>
      <w:pPr>
        <w:pStyle w:val="37"/>
        <w:autoSpaceDE w:val="0"/>
        <w:autoSpaceDN w:val="0"/>
        <w:adjustRightInd w:val="0"/>
        <w:spacing w:line="560" w:lineRule="exact"/>
        <w:ind w:firstLineChars="200" w:firstLine="640"/>
        <w:rPr>
          <w:rFonts w:ascii="仿宋_GB2312" w:cs="仿宋_GB2312"/>
          <w:kern w:val="0"/>
          <w:lang w:val="zh-CN"/>
        </w:rPr>
      </w:pPr>
      <w:r>
        <w:rPr>
          <w:rFonts w:ascii="仿宋_GB2312" w:cs="仿宋_GB2312"/>
          <w:kern w:val="0"/>
          <w:lang w:val="zh-CN"/>
        </w:rPr>
        <w:t>11.</w:t>
      </w:r>
      <w:r>
        <w:rPr>
          <w:rFonts w:ascii="仿宋_GB2312" w:cs="仿宋_GB2312" w:hint="eastAsia"/>
          <w:kern w:val="0"/>
          <w:lang w:val="zh-CN"/>
        </w:rPr>
        <w:t>深入研究生态建设特别是自然保护区建设问题，稳步推进自然保护区体制创新。落实生态保护和建设的主体责任，创新项目实施方式，全面推进川西藏区生态保护与建设工程、湿地保护、防沙治沙等项目建设。</w:t>
      </w:r>
    </w:p>
    <w:p>
      <w:pPr>
        <w:pStyle w:val="37"/>
        <w:widowControl/>
        <w:adjustRightInd w:val="0"/>
        <w:snapToGrid w:val="0"/>
        <w:spacing w:line="560" w:lineRule="exact"/>
        <w:ind w:firstLineChars="200" w:firstLine="640"/>
        <w:jc w:val="left"/>
        <w:rPr>
          <w:rFonts w:ascii="仿宋_GB2312" w:cs="宋体" w:hint="eastAsia"/>
          <w:color w:val="000000"/>
          <w:kern w:val="0"/>
          <w:szCs w:val="32"/>
          <w:shd w:val="clear" w:color="auto" w:fill="FFFFFF"/>
          <w:lang w:val="zh-CN"/>
        </w:rPr>
      </w:pPr>
      <w:r>
        <w:rPr>
          <w:rFonts w:ascii="仿宋_GB2312" w:cs="仿宋_GB2312"/>
          <w:kern w:val="0"/>
          <w:lang w:val="zh-CN"/>
        </w:rPr>
        <w:t>12.</w:t>
      </w:r>
      <w:r>
        <w:rPr>
          <w:rFonts w:ascii="仿宋_GB2312" w:cs="仿宋_GB2312" w:hint="eastAsia"/>
          <w:kern w:val="0"/>
          <w:lang w:val="zh-CN"/>
        </w:rPr>
        <w:t>负责有关林业方面的涉外工作、承担县政府公布的有关行政审批事项、承办县政府交办的其他事项。</w:t>
      </w:r>
    </w:p>
    <w:p>
      <w:pPr>
        <w:pStyle w:val="37"/>
        <w:widowControl/>
        <w:adjustRightInd w:val="0"/>
        <w:snapToGrid w:val="0"/>
        <w:spacing w:line="580" w:lineRule="exact"/>
        <w:ind w:firstLineChars="200" w:firstLine="640"/>
        <w:contextualSpacing/>
        <w:jc w:val="left"/>
        <w:rPr>
          <w:rFonts w:ascii="仿宋_GB2312" w:cs="宋体" w:hint="eastAsia"/>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（三）人员概况</w:t>
      </w:r>
    </w:p>
    <w:p>
      <w:pPr>
        <w:pStyle w:val="37"/>
        <w:spacing w:line="560" w:lineRule="exact"/>
        <w:ind w:firstLineChars="200" w:firstLine="640"/>
        <w:rPr>
          <w:rFonts w:ascii="仿宋_GB2312" w:cs="宋体" w:hint="eastAsia"/>
          <w:color w:val="000000"/>
          <w:kern w:val="0"/>
          <w:szCs w:val="32"/>
          <w:shd w:val="clear" w:color="auto" w:fill="FFFFFF"/>
          <w:lang w:val="zh-CN"/>
        </w:rPr>
      </w:pPr>
      <w:r>
        <w:rPr>
          <w:rFonts w:ascii="仿宋_GB2312" w:eastAsia="仿宋_GB2312" w:cs="仿宋_GB2312" w:hint="eastAsia"/>
          <w:sz w:val="32"/>
          <w:szCs w:val="32"/>
        </w:rPr>
        <w:t>茂县林业和草原局作为一个独立的核算机构。政府机关编制人数</w:t>
      </w:r>
      <w:r>
        <w:rPr>
          <w:rFonts w:ascii="仿宋_GB2312" w:eastAsia="仿宋_GB2312" w:cs="仿宋_GB2312" w:hint="eastAsia"/>
          <w:color w:val="auto"/>
          <w:sz w:val="32"/>
          <w:szCs w:val="32"/>
          <w:lang w:val="en-US" w:eastAsia="zh-CN"/>
        </w:rPr>
        <w:t>11</w:t>
      </w:r>
      <w:r>
        <w:rPr>
          <w:rFonts w:ascii="仿宋_GB2312" w:eastAsia="仿宋_GB2312" w:cs="仿宋_GB2312" w:hint="eastAsia"/>
          <w:color w:val="auto"/>
          <w:sz w:val="32"/>
          <w:szCs w:val="32"/>
        </w:rPr>
        <w:t>名（其中工勤人员2名）</w:t>
      </w:r>
      <w:r>
        <w:rPr>
          <w:rFonts w:ascii="仿宋_GB2312" w:eastAsia="仿宋_GB2312" w:cs="仿宋_GB2312" w:hint="eastAsia"/>
          <w:sz w:val="32"/>
          <w:szCs w:val="32"/>
        </w:rPr>
        <w:t>、事业编制人数</w:t>
      </w:r>
      <w:r>
        <w:rPr>
          <w:rFonts w:ascii="仿宋_GB2312" w:cs="仿宋_GB2312" w:hint="eastAsia"/>
          <w:sz w:val="32"/>
          <w:szCs w:val="32"/>
          <w:lang w:val="en-US" w:eastAsia="zh-CN"/>
        </w:rPr>
        <w:t>96</w:t>
      </w:r>
      <w:r>
        <w:rPr>
          <w:rFonts w:ascii="仿宋_GB2312" w:eastAsia="仿宋_GB2312" w:cs="仿宋_GB2312" w:hint="eastAsia"/>
          <w:sz w:val="32"/>
          <w:szCs w:val="32"/>
        </w:rPr>
        <w:t>名</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年末实有人数行政人员</w:t>
      </w:r>
      <w:r>
        <w:rPr>
          <w:rFonts w:ascii="仿宋_GB2312" w:eastAsia="仿宋_GB2312" w:cs="仿宋_GB2312" w:hint="eastAsia"/>
          <w:sz w:val="32"/>
          <w:szCs w:val="32"/>
          <w:lang w:val="en-US" w:eastAsia="zh-CN"/>
        </w:rPr>
        <w:t>1</w:t>
      </w:r>
      <w:r>
        <w:rPr>
          <w:rFonts w:ascii="仿宋_GB2312" w:cs="仿宋_GB2312" w:hint="eastAsia"/>
          <w:sz w:val="32"/>
          <w:szCs w:val="32"/>
          <w:lang w:val="en-US" w:eastAsia="zh-CN"/>
        </w:rPr>
        <w:t>7</w:t>
      </w:r>
      <w:r>
        <w:rPr>
          <w:rFonts w:ascii="仿宋_GB2312" w:eastAsia="仿宋_GB2312" w:cs="仿宋_GB2312" w:hint="eastAsia"/>
          <w:sz w:val="32"/>
          <w:szCs w:val="32"/>
        </w:rPr>
        <w:t>名（其中参公人员</w:t>
      </w:r>
      <w:r>
        <w:rPr>
          <w:rFonts w:ascii="仿宋_GB2312" w:cs="仿宋_GB2312" w:hint="eastAsia"/>
          <w:sz w:val="32"/>
          <w:szCs w:val="32"/>
          <w:lang w:val="en-US" w:eastAsia="zh-CN"/>
        </w:rPr>
        <w:t>5</w:t>
      </w:r>
      <w:r>
        <w:rPr>
          <w:rFonts w:ascii="仿宋_GB2312" w:eastAsia="仿宋_GB2312" w:cs="仿宋_GB2312" w:hint="eastAsia"/>
          <w:sz w:val="32"/>
          <w:szCs w:val="32"/>
        </w:rPr>
        <w:t>名,工勤人员</w:t>
      </w:r>
      <w:r>
        <w:rPr>
          <w:rFonts w:ascii="仿宋_GB2312" w:cs="仿宋_GB2312" w:hint="eastAsia"/>
          <w:sz w:val="32"/>
          <w:szCs w:val="32"/>
          <w:lang w:val="en-US" w:eastAsia="zh-CN"/>
        </w:rPr>
        <w:t>3</w:t>
      </w:r>
      <w:r>
        <w:rPr>
          <w:rFonts w:ascii="仿宋_GB2312" w:eastAsia="仿宋_GB2312" w:cs="仿宋_GB2312" w:hint="eastAsia"/>
          <w:color w:val="auto"/>
          <w:sz w:val="32"/>
          <w:szCs w:val="32"/>
          <w:lang w:val="en-US" w:eastAsia="zh-CN"/>
        </w:rPr>
        <w:t>名）</w:t>
      </w:r>
      <w:r>
        <w:rPr>
          <w:rFonts w:ascii="仿宋_GB2312" w:eastAsia="仿宋_GB2312" w:cs="仿宋_GB2312" w:hint="eastAsia"/>
          <w:sz w:val="32"/>
          <w:szCs w:val="32"/>
        </w:rPr>
        <w:t>、事业人员</w:t>
      </w:r>
      <w:r>
        <w:rPr>
          <w:rFonts w:ascii="仿宋_GB2312" w:cs="仿宋_GB2312" w:hint="eastAsia"/>
          <w:sz w:val="32"/>
          <w:szCs w:val="32"/>
          <w:lang w:val="en-US" w:eastAsia="zh-CN"/>
        </w:rPr>
        <w:t>83</w:t>
      </w:r>
      <w:r>
        <w:rPr>
          <w:rFonts w:ascii="仿宋_GB2312" w:eastAsia="仿宋_GB2312" w:cs="仿宋_GB2312" w:hint="eastAsia"/>
          <w:sz w:val="32"/>
          <w:szCs w:val="32"/>
        </w:rPr>
        <w:t>名。</w:t>
      </w:r>
    </w:p>
    <w:p>
      <w:pPr>
        <w:pStyle w:val="37"/>
        <w:widowControl/>
        <w:adjustRightInd w:val="0"/>
        <w:snapToGrid w:val="0"/>
        <w:spacing w:line="580" w:lineRule="exact"/>
        <w:ind w:firstLineChars="200" w:firstLine="640"/>
        <w:contextualSpacing/>
        <w:jc w:val="left"/>
        <w:rPr>
          <w:rFonts w:ascii="黑体" w:eastAsia="黑体" w:cs="宋体"/>
          <w:color w:val="000000"/>
          <w:kern w:val="0"/>
          <w:szCs w:val="32"/>
          <w:shd w:val="clear" w:color="auto" w:fill="FFFFFF"/>
        </w:rPr>
      </w:pPr>
      <w:r>
        <w:rPr>
          <w:rFonts w:ascii="黑体" w:eastAsia="黑体" w:cs="宋体" w:hint="eastAsia"/>
          <w:color w:val="000000"/>
          <w:kern w:val="0"/>
          <w:szCs w:val="32"/>
          <w:shd w:val="clear" w:color="auto" w:fill="FFFFFF"/>
        </w:rPr>
        <w:t>二、部门财政资金收支情况</w:t>
      </w:r>
    </w:p>
    <w:p>
      <w:pPr>
        <w:pStyle w:val="37"/>
        <w:widowControl/>
        <w:adjustRightInd w:val="0"/>
        <w:snapToGrid w:val="0"/>
        <w:spacing w:line="580" w:lineRule="exact"/>
        <w:ind w:firstLineChars="200" w:firstLine="640"/>
        <w:contextualSpacing/>
        <w:jc w:val="left"/>
        <w:rPr>
          <w:rFonts w:ascii="仿宋_GB2312" w:cs="宋体" w:hint="eastAsia"/>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（一）部门财政资金收入情况</w:t>
      </w:r>
    </w:p>
    <w:p>
      <w:pPr>
        <w:pStyle w:val="37"/>
        <w:snapToGrid w:val="0"/>
        <w:spacing w:line="560" w:lineRule="exact"/>
        <w:ind w:firstLineChars="200" w:firstLine="640"/>
        <w:rPr>
          <w:rFonts w:ascii="仿宋_GB2312"/>
        </w:rPr>
      </w:pPr>
      <w:r>
        <w:rPr>
          <w:rFonts w:ascii="仿宋_GB2312" w:hint="eastAsia"/>
        </w:rPr>
        <w:t>20</w:t>
      </w:r>
      <w:r>
        <w:rPr>
          <w:rFonts w:ascii="仿宋_GB2312" w:hint="eastAsia"/>
          <w:lang w:val="en-US" w:eastAsia="zh-CN"/>
        </w:rPr>
        <w:t>21</w:t>
      </w:r>
      <w:r>
        <w:rPr>
          <w:rFonts w:ascii="仿宋_GB2312" w:hint="eastAsia"/>
        </w:rPr>
        <w:t>年本单位年初收入支出预算金额为</w:t>
      </w:r>
      <w:r>
        <w:rPr>
          <w:rFonts w:ascii="仿宋_GB2312" w:hint="eastAsia"/>
          <w:lang w:val="en-US" w:eastAsia="zh-CN"/>
        </w:rPr>
        <w:t>15,012,530</w:t>
      </w:r>
      <w:r>
        <w:rPr>
          <w:rFonts w:ascii="仿宋_GB2312" w:hint="eastAsia"/>
        </w:rPr>
        <w:t>元，分别为医疗卫生与计划生育支出</w:t>
      </w:r>
      <w:r>
        <w:rPr>
          <w:rFonts w:ascii="仿宋_GB2312" w:hint="eastAsia"/>
          <w:lang w:val="en-US" w:eastAsia="zh-CN"/>
        </w:rPr>
        <w:t>943,835</w:t>
      </w:r>
      <w:r>
        <w:rPr>
          <w:rFonts w:ascii="仿宋_GB2312" w:hint="eastAsia"/>
        </w:rPr>
        <w:t>元、社会保障和就业支出</w:t>
      </w:r>
      <w:r>
        <w:rPr>
          <w:rFonts w:ascii="仿宋_GB2312" w:hint="eastAsia"/>
          <w:lang w:val="en-US" w:eastAsia="zh-CN"/>
        </w:rPr>
        <w:t>2,171,534</w:t>
      </w:r>
      <w:r>
        <w:rPr>
          <w:rFonts w:ascii="仿宋_GB2312" w:hint="eastAsia"/>
        </w:rPr>
        <w:t>元、农林水支出</w:t>
      </w:r>
      <w:r>
        <w:rPr>
          <w:rFonts w:ascii="仿宋_GB2312" w:hint="eastAsia"/>
          <w:lang w:val="en-US" w:eastAsia="zh-CN"/>
        </w:rPr>
        <w:t>10,466,725</w:t>
      </w:r>
      <w:r>
        <w:rPr>
          <w:rFonts w:ascii="仿宋_GB2312" w:hint="eastAsia"/>
        </w:rPr>
        <w:t>元、住房保障支出</w:t>
      </w:r>
      <w:r>
        <w:rPr>
          <w:rFonts w:ascii="仿宋_GB2312" w:hint="eastAsia"/>
          <w:lang w:val="en-US" w:eastAsia="zh-CN"/>
        </w:rPr>
        <w:t>1,430,436</w:t>
      </w:r>
      <w:r>
        <w:rPr>
          <w:rFonts w:ascii="仿宋_GB2312" w:hint="eastAsia"/>
        </w:rPr>
        <w:t>元。</w:t>
      </w:r>
    </w:p>
    <w:p>
      <w:pPr>
        <w:pStyle w:val="37"/>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cs="宋体" w:hint="eastAsia"/>
          <w:color w:val="000000"/>
          <w:kern w:val="0"/>
          <w:szCs w:val="32"/>
          <w:shd w:val="clear" w:color="auto" w:fill="FFFFFF"/>
          <w:lang w:val="zh-CN"/>
        </w:rPr>
      </w:pPr>
      <w:r>
        <w:rPr>
          <w:rFonts w:ascii="仿宋_GB2312" w:hint="eastAsia"/>
        </w:rPr>
        <w:t>202</w:t>
      </w:r>
      <w:r>
        <w:rPr>
          <w:rFonts w:ascii="仿宋_GB2312" w:hint="eastAsia"/>
          <w:lang w:val="en-US" w:eastAsia="zh-CN"/>
        </w:rPr>
        <w:t>2</w:t>
      </w:r>
      <w:r>
        <w:rPr>
          <w:rFonts w:ascii="仿宋_GB2312" w:hint="eastAsia"/>
        </w:rPr>
        <w:t>年茂县林业和草原局部门</w:t>
      </w:r>
      <w:r>
        <w:rPr>
          <w:rFonts w:ascii="仿宋_GB2312"/>
        </w:rPr>
        <w:t>所有收入和支出均纳入部门预算管理。收入包括：一般公共预算拨款收入</w:t>
      </w:r>
      <w:r>
        <w:rPr>
          <w:rFonts w:ascii="仿宋_GB2312" w:hint="eastAsia"/>
          <w:lang w:val="en-US" w:eastAsia="zh-CN"/>
        </w:rPr>
        <w:t>13,746,941.01</w:t>
      </w:r>
      <w:r>
        <w:rPr>
          <w:rFonts w:ascii="仿宋_GB2312"/>
        </w:rPr>
        <w:t>元；支出包括：社会保障和就业支出</w:t>
      </w:r>
      <w:r>
        <w:rPr>
          <w:rFonts w:ascii="仿宋_GB2312" w:hint="eastAsia"/>
          <w:lang w:val="en-US" w:eastAsia="zh-CN"/>
        </w:rPr>
        <w:t>1,911,139.92</w:t>
      </w:r>
      <w:r>
        <w:rPr>
          <w:rFonts w:ascii="仿宋_GB2312"/>
        </w:rPr>
        <w:t>元，</w:t>
      </w:r>
      <w:r>
        <w:rPr>
          <w:rFonts w:ascii="仿宋_GB2312" w:hint="eastAsia"/>
        </w:rPr>
        <w:t>卫生健康</w:t>
      </w:r>
      <w:r>
        <w:rPr>
          <w:rFonts w:ascii="仿宋_GB2312"/>
        </w:rPr>
        <w:t>支出</w:t>
      </w:r>
      <w:r>
        <w:rPr>
          <w:rFonts w:ascii="仿宋_GB2312" w:hint="eastAsia"/>
          <w:lang w:val="en-US" w:eastAsia="zh-CN"/>
        </w:rPr>
        <w:t>905,498.01</w:t>
      </w:r>
      <w:r>
        <w:rPr>
          <w:rFonts w:ascii="仿宋_GB2312"/>
        </w:rPr>
        <w:t>元，</w:t>
      </w:r>
      <w:r>
        <w:rPr>
          <w:rFonts w:ascii="仿宋_GB2312" w:hint="eastAsia"/>
        </w:rPr>
        <w:t>农林水支出</w:t>
      </w:r>
      <w:r>
        <w:rPr>
          <w:rFonts w:ascii="仿宋_GB2312" w:hint="eastAsia"/>
          <w:lang w:val="en-US" w:eastAsia="zh-CN"/>
        </w:rPr>
        <w:t>9,609,259.08</w:t>
      </w:r>
      <w:r>
        <w:rPr>
          <w:rFonts w:ascii="仿宋_GB2312" w:hint="eastAsia"/>
        </w:rPr>
        <w:t>元，</w:t>
      </w:r>
      <w:r>
        <w:rPr>
          <w:rFonts w:ascii="仿宋_GB2312"/>
        </w:rPr>
        <w:t>住房保障支出</w:t>
      </w:r>
      <w:r>
        <w:rPr>
          <w:rFonts w:ascii="仿宋_GB2312" w:hint="eastAsia"/>
          <w:lang w:val="en-US" w:eastAsia="zh-CN"/>
        </w:rPr>
        <w:t>1,321,044</w:t>
      </w:r>
      <w:r>
        <w:rPr>
          <w:rFonts w:ascii="仿宋_GB2312"/>
        </w:rPr>
        <w:t>元。</w:t>
      </w:r>
      <w:r>
        <w:rPr>
          <w:rFonts w:ascii="仿宋_GB2312" w:hint="eastAsia"/>
        </w:rPr>
        <w:t>茂县林业和草原局</w:t>
      </w:r>
      <w:r>
        <w:rPr>
          <w:rFonts w:ascii="仿宋_GB2312"/>
        </w:rPr>
        <w:t>20</w:t>
      </w:r>
      <w:r>
        <w:rPr>
          <w:rFonts w:ascii="仿宋_GB2312" w:hint="eastAsia"/>
        </w:rPr>
        <w:t>2</w:t>
      </w:r>
      <w:r>
        <w:rPr>
          <w:rFonts w:ascii="仿宋_GB2312" w:hint="eastAsia"/>
          <w:lang w:val="en-US" w:eastAsia="zh-CN"/>
        </w:rPr>
        <w:t>2</w:t>
      </w:r>
      <w:r>
        <w:rPr>
          <w:rFonts w:ascii="仿宋_GB2312"/>
        </w:rPr>
        <w:t>年收支总预算</w:t>
      </w:r>
      <w:r>
        <w:rPr>
          <w:rFonts w:ascii="仿宋_GB2312" w:hint="eastAsia"/>
          <w:lang w:val="en-US" w:eastAsia="zh-CN"/>
        </w:rPr>
        <w:t>13,746,941.01</w:t>
      </w:r>
      <w:r>
        <w:rPr>
          <w:rFonts w:ascii="仿宋_GB2312"/>
        </w:rPr>
        <w:t>元,比20</w:t>
      </w:r>
      <w:r>
        <w:rPr>
          <w:rFonts w:ascii="仿宋_GB2312" w:hint="eastAsia"/>
          <w:lang w:val="en-US" w:eastAsia="zh-CN"/>
        </w:rPr>
        <w:t>21</w:t>
      </w:r>
      <w:r>
        <w:rPr>
          <w:rFonts w:ascii="仿宋_GB2312"/>
        </w:rPr>
        <w:t>年收支预算总数</w:t>
      </w:r>
      <w:r>
        <w:rPr>
          <w:rFonts w:ascii="仿宋_GB2312" w:hint="eastAsia"/>
        </w:rPr>
        <w:t>减少</w:t>
      </w:r>
      <w:r>
        <w:rPr>
          <w:rFonts w:ascii="仿宋_GB2312" w:hint="eastAsia"/>
          <w:lang w:val="en-US" w:eastAsia="zh-CN"/>
        </w:rPr>
        <w:t>1,265,588.99</w:t>
      </w:r>
      <w:r>
        <w:rPr>
          <w:rFonts w:ascii="仿宋_GB2312"/>
        </w:rPr>
        <w:t>元，主要原因:</w:t>
      </w:r>
      <w:r>
        <w:rPr>
          <w:rFonts w:ascii="仿宋_GB2312" w:hint="eastAsia"/>
        </w:rPr>
        <w:t>压缩预算经费支出。</w:t>
      </w:r>
    </w:p>
    <w:p>
      <w:pPr>
        <w:pStyle w:val="37"/>
        <w:widowControl/>
        <w:numPr>
          <w:ilvl w:val="0"/>
          <w:numId w:val="3"/>
        </w:numPr>
        <w:adjustRightInd w:val="0"/>
        <w:snapToGrid w:val="0"/>
        <w:spacing w:line="580" w:lineRule="exact"/>
        <w:ind w:left="0" w:firstLineChars="200" w:firstLine="640"/>
        <w:contextualSpacing/>
        <w:jc w:val="left"/>
        <w:rPr>
          <w:rFonts w:ascii="仿宋_GB2312" w:cs="宋体" w:hint="eastAsia"/>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部门财政资金支出情况</w:t>
      </w:r>
    </w:p>
    <w:p>
      <w:pPr>
        <w:pStyle w:val="37"/>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仿宋_GB2312"/>
        </w:rPr>
      </w:pPr>
      <w:r>
        <w:rPr>
          <w:rFonts w:ascii="仿宋_GB2312" w:hint="eastAsia"/>
        </w:rPr>
        <w:t>20</w:t>
      </w:r>
      <w:r>
        <w:rPr>
          <w:rFonts w:ascii="仿宋_GB2312" w:hint="eastAsia"/>
          <w:lang w:val="en-US" w:eastAsia="zh-CN"/>
        </w:rPr>
        <w:t>21</w:t>
      </w:r>
      <w:r>
        <w:rPr>
          <w:rFonts w:ascii="仿宋_GB2312" w:hint="eastAsia"/>
        </w:rPr>
        <w:t>年本单位年初收入支出预算金额为</w:t>
      </w:r>
      <w:r>
        <w:rPr>
          <w:rFonts w:ascii="仿宋_GB2312" w:hint="eastAsia"/>
          <w:lang w:val="en-US" w:eastAsia="zh-CN"/>
        </w:rPr>
        <w:t>15,012,530</w:t>
      </w:r>
      <w:r>
        <w:rPr>
          <w:rFonts w:ascii="仿宋_GB2312" w:hint="eastAsia"/>
        </w:rPr>
        <w:t>元，分别为医疗卫生与计划生育支出</w:t>
      </w:r>
      <w:r>
        <w:rPr>
          <w:rFonts w:ascii="仿宋_GB2312" w:hint="eastAsia"/>
          <w:lang w:val="en-US" w:eastAsia="zh-CN"/>
        </w:rPr>
        <w:t>943,835</w:t>
      </w:r>
      <w:r>
        <w:rPr>
          <w:rFonts w:ascii="仿宋_GB2312" w:hint="eastAsia"/>
        </w:rPr>
        <w:t>元、社会保障和就业支出</w:t>
      </w:r>
      <w:r>
        <w:rPr>
          <w:rFonts w:ascii="仿宋_GB2312" w:hint="eastAsia"/>
          <w:lang w:val="en-US" w:eastAsia="zh-CN"/>
        </w:rPr>
        <w:t>2,171,534</w:t>
      </w:r>
      <w:r>
        <w:rPr>
          <w:rFonts w:ascii="仿宋_GB2312" w:hint="eastAsia"/>
        </w:rPr>
        <w:t>元、农林水支出</w:t>
      </w:r>
      <w:r>
        <w:rPr>
          <w:rFonts w:ascii="仿宋_GB2312" w:hint="eastAsia"/>
          <w:lang w:val="en-US" w:eastAsia="zh-CN"/>
        </w:rPr>
        <w:t>10,466,725</w:t>
      </w:r>
      <w:r>
        <w:rPr>
          <w:rFonts w:ascii="仿宋_GB2312" w:hint="eastAsia"/>
        </w:rPr>
        <w:t>元、住房保障支出</w:t>
      </w:r>
      <w:r>
        <w:rPr>
          <w:rFonts w:ascii="仿宋_GB2312" w:hint="eastAsia"/>
          <w:lang w:val="en-US" w:eastAsia="zh-CN"/>
        </w:rPr>
        <w:t>1,430,436</w:t>
      </w:r>
      <w:r>
        <w:rPr>
          <w:rFonts w:ascii="仿宋_GB2312" w:hint="eastAsia"/>
        </w:rPr>
        <w:t>元。决算支出金额为</w:t>
      </w:r>
      <w:r>
        <w:rPr>
          <w:rFonts w:ascii="仿宋_GB2312" w:hint="eastAsia"/>
          <w:lang w:val="en-US" w:eastAsia="zh-CN"/>
        </w:rPr>
        <w:t>155,123,586.06</w:t>
      </w:r>
      <w:r>
        <w:rPr>
          <w:rFonts w:ascii="仿宋_GB2312" w:hint="eastAsia"/>
        </w:rPr>
        <w:t>元，分别为</w:t>
      </w:r>
      <w:r>
        <w:rPr>
          <w:rFonts w:ascii="仿宋_GB2312" w:hint="eastAsia"/>
          <w:lang w:eastAsia="zh-CN"/>
        </w:rPr>
        <w:t>卫生健康支出</w:t>
      </w:r>
      <w:r>
        <w:rPr>
          <w:rFonts w:ascii="仿宋_GB2312" w:hint="eastAsia"/>
          <w:color w:val="auto"/>
          <w:lang w:val="en-US" w:eastAsia="zh-CN"/>
        </w:rPr>
        <w:t>1,129,288.79</w:t>
      </w:r>
      <w:r>
        <w:rPr>
          <w:rFonts w:ascii="仿宋_GB2312" w:hint="eastAsia"/>
          <w:color w:val="auto"/>
        </w:rPr>
        <w:t>元、节能环保支出</w:t>
      </w:r>
      <w:r>
        <w:rPr>
          <w:rFonts w:ascii="仿宋_GB2312" w:hint="eastAsia"/>
          <w:color w:val="auto"/>
          <w:lang w:val="en-US" w:eastAsia="zh-CN"/>
        </w:rPr>
        <w:t>48,731,010.92</w:t>
      </w:r>
      <w:r>
        <w:rPr>
          <w:rFonts w:ascii="仿宋_GB2312" w:hint="eastAsia"/>
          <w:color w:val="auto"/>
        </w:rPr>
        <w:t>元、社会保障和就业支出</w:t>
      </w:r>
      <w:r>
        <w:rPr>
          <w:rFonts w:ascii="仿宋_GB2312" w:hint="eastAsia"/>
          <w:color w:val="auto"/>
          <w:lang w:val="en-US" w:eastAsia="zh-CN"/>
        </w:rPr>
        <w:t>2,023,526.8</w:t>
      </w:r>
      <w:r>
        <w:rPr>
          <w:rFonts w:ascii="仿宋_GB2312" w:hint="eastAsia"/>
          <w:color w:val="auto"/>
        </w:rPr>
        <w:t>元、农林水支出</w:t>
      </w:r>
      <w:r>
        <w:rPr>
          <w:rFonts w:ascii="仿宋_GB2312" w:hint="eastAsia"/>
          <w:color w:val="auto"/>
          <w:lang w:val="en-US" w:eastAsia="zh-CN"/>
        </w:rPr>
        <w:t>89,796,578.67</w:t>
      </w:r>
      <w:r>
        <w:rPr>
          <w:rFonts w:ascii="仿宋_GB2312" w:hint="eastAsia"/>
          <w:color w:val="auto"/>
        </w:rPr>
        <w:t>元、</w:t>
      </w:r>
      <w:r>
        <w:rPr>
          <w:rFonts w:ascii="仿宋_GB2312" w:hint="eastAsia"/>
          <w:color w:val="auto"/>
          <w:lang w:eastAsia="zh-CN"/>
        </w:rPr>
        <w:t>城乡社区支出</w:t>
      </w:r>
      <w:r>
        <w:rPr>
          <w:rFonts w:ascii="仿宋_GB2312" w:hint="eastAsia"/>
          <w:color w:val="auto"/>
          <w:lang w:val="en-US" w:eastAsia="zh-CN"/>
        </w:rPr>
        <w:t>4,686,135.67元、交通运输支出1,938,596.11元、灾害防治及应急管理支出2,362,055元、其他支出3,092,020.1元、</w:t>
      </w:r>
      <w:r>
        <w:rPr>
          <w:rFonts w:ascii="仿宋_GB2312" w:hint="eastAsia"/>
          <w:color w:val="auto"/>
        </w:rPr>
        <w:t>住房保障支出</w:t>
      </w:r>
      <w:r>
        <w:rPr>
          <w:rFonts w:ascii="仿宋_GB2312" w:hint="eastAsia"/>
          <w:color w:val="auto"/>
          <w:lang w:val="en-US" w:eastAsia="zh-CN"/>
        </w:rPr>
        <w:t>1,364,374</w:t>
      </w:r>
      <w:r>
        <w:rPr>
          <w:rFonts w:ascii="仿宋_GB2312" w:hint="eastAsia"/>
          <w:color w:val="auto"/>
        </w:rPr>
        <w:t>元,支出比预算多</w:t>
      </w:r>
      <w:r>
        <w:rPr>
          <w:rFonts w:ascii="仿宋_GB2312" w:hint="eastAsia"/>
          <w:color w:val="auto"/>
          <w:lang w:val="en-US" w:eastAsia="zh-CN"/>
        </w:rPr>
        <w:t>140,111,056.06</w:t>
      </w:r>
      <w:r>
        <w:rPr>
          <w:rFonts w:ascii="仿宋_GB2312" w:hint="eastAsia"/>
          <w:color w:val="auto"/>
        </w:rPr>
        <w:t>元。支出数</w:t>
      </w:r>
      <w:r>
        <w:rPr>
          <w:rFonts w:ascii="仿宋_GB2312" w:hint="eastAsia"/>
        </w:rPr>
        <w:t>增加原因主要是项目未纳入年初预算导致。</w:t>
      </w:r>
    </w:p>
    <w:p>
      <w:pPr>
        <w:pStyle w:val="37"/>
        <w:keepNext w:val="0"/>
        <w:keepLines w:val="0"/>
        <w:pageBreakBefore w:val="0"/>
        <w:widowControl w:val="0"/>
        <w:kinsoku/>
        <w:wordWrap/>
        <w:overflowPunct/>
        <w:topLinePunct w:val="0"/>
        <w:autoSpaceDE/>
        <w:autoSpaceDN/>
        <w:bidi w:val="0"/>
        <w:adjustRightInd/>
        <w:spacing w:line="560" w:lineRule="exact"/>
        <w:ind w:firstLineChars="200" w:firstLine="640"/>
        <w:textAlignment w:val="auto"/>
        <w:rPr>
          <w:rFonts w:ascii="仿宋_GB2312" w:eastAsia="仿宋_GB2312" w:cs="宋体" w:hint="eastAsia"/>
          <w:color w:val="000000"/>
          <w:kern w:val="0"/>
          <w:szCs w:val="32"/>
          <w:shd w:val="clear" w:color="auto" w:fill="FFFFFF"/>
          <w:lang w:val="en-US" w:eastAsia="zh-CN"/>
        </w:rPr>
      </w:pPr>
      <w:r>
        <w:rPr>
          <w:rFonts w:ascii="仿宋_GB2312" w:hint="eastAsia"/>
          <w:color w:val="000000"/>
        </w:rPr>
        <w:t>202</w:t>
      </w:r>
      <w:r>
        <w:rPr>
          <w:rFonts w:ascii="仿宋_GB2312" w:hint="eastAsia"/>
          <w:color w:val="000000"/>
          <w:lang w:val="en-US" w:eastAsia="zh-CN"/>
        </w:rPr>
        <w:t>2</w:t>
      </w:r>
      <w:r>
        <w:rPr>
          <w:rFonts w:ascii="仿宋_GB2312"/>
          <w:color w:val="000000"/>
        </w:rPr>
        <w:t>年财政拨款收支总预算</w:t>
      </w:r>
      <w:r>
        <w:rPr>
          <w:rFonts w:ascii="仿宋_GB2312" w:hint="eastAsia"/>
          <w:lang w:val="en-US" w:eastAsia="zh-CN"/>
        </w:rPr>
        <w:t>13,746,941.01</w:t>
      </w:r>
      <w:r>
        <w:rPr>
          <w:rFonts w:ascii="仿宋_GB2312"/>
        </w:rPr>
        <w:t>元；支出包括：社会保障和就业支出</w:t>
      </w:r>
      <w:r>
        <w:rPr>
          <w:rFonts w:ascii="仿宋_GB2312" w:hint="eastAsia"/>
          <w:lang w:val="en-US" w:eastAsia="zh-CN"/>
        </w:rPr>
        <w:t>1,911,139.92</w:t>
      </w:r>
      <w:r>
        <w:rPr>
          <w:rFonts w:ascii="仿宋_GB2312"/>
        </w:rPr>
        <w:t>元，</w:t>
      </w:r>
      <w:r>
        <w:rPr>
          <w:rFonts w:ascii="仿宋_GB2312" w:hint="eastAsia"/>
        </w:rPr>
        <w:t>卫生健康</w:t>
      </w:r>
      <w:r>
        <w:rPr>
          <w:rFonts w:ascii="仿宋_GB2312"/>
        </w:rPr>
        <w:t>支出</w:t>
      </w:r>
      <w:r>
        <w:rPr>
          <w:rFonts w:ascii="仿宋_GB2312" w:hint="eastAsia"/>
          <w:lang w:val="en-US" w:eastAsia="zh-CN"/>
        </w:rPr>
        <w:t>905,498.01</w:t>
      </w:r>
      <w:r>
        <w:rPr>
          <w:rFonts w:ascii="仿宋_GB2312"/>
        </w:rPr>
        <w:t>元，</w:t>
      </w:r>
      <w:r>
        <w:rPr>
          <w:rFonts w:ascii="仿宋_GB2312" w:hint="eastAsia"/>
        </w:rPr>
        <w:t>农林水支出</w:t>
      </w:r>
      <w:r>
        <w:rPr>
          <w:rFonts w:ascii="仿宋_GB2312" w:hint="eastAsia"/>
          <w:lang w:val="en-US" w:eastAsia="zh-CN"/>
        </w:rPr>
        <w:t>9,609,259.08</w:t>
      </w:r>
      <w:r>
        <w:rPr>
          <w:rFonts w:ascii="仿宋_GB2312" w:hint="eastAsia"/>
        </w:rPr>
        <w:t>元，</w:t>
      </w:r>
      <w:r>
        <w:rPr>
          <w:rFonts w:ascii="仿宋_GB2312"/>
        </w:rPr>
        <w:t>住房保障支出</w:t>
      </w:r>
      <w:r>
        <w:rPr>
          <w:rFonts w:ascii="仿宋_GB2312" w:hint="eastAsia"/>
          <w:lang w:val="en-US" w:eastAsia="zh-CN"/>
        </w:rPr>
        <w:t>1,321,044</w:t>
      </w:r>
      <w:r>
        <w:rPr>
          <w:rFonts w:ascii="仿宋_GB2312"/>
        </w:rPr>
        <w:t>元。</w:t>
      </w:r>
      <w:r>
        <w:rPr>
          <w:rFonts w:ascii="仿宋_GB2312" w:hint="eastAsia"/>
          <w:lang w:val="en-US" w:eastAsia="zh-CN"/>
        </w:rPr>
        <w:t>2022年1月至6月工资福利支出8,847,426.92</w:t>
      </w:r>
      <w:r>
        <w:rPr>
          <w:rFonts w:ascii="仿宋_GB2312"/>
        </w:rPr>
        <w:t>元</w:t>
      </w:r>
      <w:r>
        <w:rPr>
          <w:rFonts w:ascii="仿宋_GB2312" w:hint="eastAsia"/>
          <w:lang w:eastAsia="zh-CN"/>
        </w:rPr>
        <w:t>，商品和服务支出</w:t>
      </w:r>
      <w:r>
        <w:rPr>
          <w:rFonts w:ascii="仿宋_GB2312" w:hint="eastAsia"/>
          <w:lang w:val="en-US" w:eastAsia="zh-CN"/>
        </w:rPr>
        <w:t>2,332,903.09元，对个人和家庭补助支出382,613.82元。</w:t>
      </w:r>
    </w:p>
    <w:p>
      <w:pPr>
        <w:pStyle w:val="37"/>
        <w:widowControl/>
        <w:adjustRightInd w:val="0"/>
        <w:snapToGrid w:val="0"/>
        <w:spacing w:line="580" w:lineRule="exact"/>
        <w:ind w:firstLineChars="200" w:firstLine="640"/>
        <w:contextualSpacing/>
        <w:jc w:val="left"/>
        <w:rPr>
          <w:rFonts w:ascii="黑体" w:eastAsia="黑体" w:cs="宋体"/>
          <w:color w:val="000000"/>
          <w:kern w:val="0"/>
          <w:szCs w:val="32"/>
          <w:shd w:val="clear" w:color="auto" w:fill="FFFFFF"/>
        </w:rPr>
      </w:pPr>
      <w:r>
        <w:rPr>
          <w:rFonts w:ascii="黑体" w:eastAsia="黑体" w:cs="宋体" w:hint="eastAsia"/>
          <w:color w:val="000000"/>
          <w:kern w:val="0"/>
          <w:szCs w:val="32"/>
          <w:shd w:val="clear" w:color="auto" w:fill="FFFFFF"/>
        </w:rPr>
        <w:t>三、部门整体预算绩效管理情况（根据适用指标体系进行调整，涉及到有专项预算的部门，专项预算项目自评报告根据要求另行单独报送）</w:t>
      </w:r>
    </w:p>
    <w:p>
      <w:pPr>
        <w:pStyle w:val="37"/>
        <w:widowControl/>
        <w:adjustRightInd w:val="0"/>
        <w:snapToGrid w:val="0"/>
        <w:spacing w:line="580" w:lineRule="exact"/>
        <w:ind w:firstLineChars="200" w:firstLine="640"/>
        <w:contextualSpacing/>
        <w:jc w:val="left"/>
        <w:rPr>
          <w:rFonts w:ascii="仿宋_GB2312" w:cs="宋体"/>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（一）部门预算项目绩效管理</w:t>
      </w:r>
    </w:p>
    <w:p>
      <w:pPr>
        <w:pStyle w:val="37"/>
        <w:widowControl/>
        <w:adjustRightInd w:val="0"/>
        <w:snapToGrid w:val="0"/>
        <w:spacing w:line="580" w:lineRule="exact"/>
        <w:ind w:firstLineChars="200" w:firstLine="640"/>
        <w:contextualSpacing/>
        <w:jc w:val="left"/>
        <w:rPr>
          <w:rFonts w:ascii="仿宋_GB2312" w:hint="eastAsia"/>
        </w:rPr>
      </w:pPr>
      <w:r>
        <w:rPr>
          <w:rFonts w:ascii="仿宋_GB2312" w:eastAsia="仿宋_GB2312" w:cs="仿宋_GB2312" w:hint="eastAsia"/>
        </w:rPr>
        <w:t>202</w:t>
      </w:r>
      <w:r>
        <w:rPr>
          <w:rFonts w:ascii="仿宋_GB2312" w:eastAsia="仿宋_GB2312" w:cs="仿宋_GB2312" w:hint="eastAsia"/>
          <w:lang w:val="en-US" w:eastAsia="zh-CN"/>
        </w:rPr>
        <w:t>2</w:t>
      </w:r>
      <w:r>
        <w:rPr>
          <w:rFonts w:ascii="仿宋_GB2312" w:eastAsia="仿宋_GB2312" w:cs="仿宋_GB2312" w:hint="eastAsia"/>
        </w:rPr>
        <w:t>年茂县林业和草原局部门所有收入和支出均纳入部门预算管理。收入包括：一般公共预算拨款收入</w:t>
      </w:r>
      <w:r>
        <w:rPr>
          <w:rFonts w:ascii="仿宋_GB2312" w:eastAsia="仿宋_GB2312" w:cs="仿宋_GB2312" w:hint="eastAsia"/>
          <w:lang w:val="en-US" w:eastAsia="zh-CN"/>
        </w:rPr>
        <w:t>13,746,941.01</w:t>
      </w:r>
      <w:r>
        <w:rPr>
          <w:rFonts w:ascii="仿宋_GB2312" w:eastAsia="仿宋_GB2312" w:cs="仿宋_GB2312" w:hint="eastAsia"/>
        </w:rPr>
        <w:t>元；支出包括：社会保障和就业支出</w:t>
      </w:r>
      <w:r>
        <w:rPr>
          <w:rFonts w:ascii="仿宋_GB2312" w:hint="eastAsia"/>
          <w:lang w:val="en-US" w:eastAsia="zh-CN"/>
        </w:rPr>
        <w:t>1,911,139.92</w:t>
      </w:r>
      <w:r>
        <w:rPr>
          <w:rFonts w:ascii="仿宋_GB2312"/>
        </w:rPr>
        <w:t>元，</w:t>
      </w:r>
      <w:r>
        <w:rPr>
          <w:rFonts w:ascii="仿宋_GB2312" w:hint="eastAsia"/>
        </w:rPr>
        <w:t>卫生健康</w:t>
      </w:r>
      <w:r>
        <w:rPr>
          <w:rFonts w:ascii="仿宋_GB2312"/>
        </w:rPr>
        <w:t>支出</w:t>
      </w:r>
      <w:r>
        <w:rPr>
          <w:rFonts w:ascii="仿宋_GB2312" w:hint="eastAsia"/>
          <w:lang w:val="en-US" w:eastAsia="zh-CN"/>
        </w:rPr>
        <w:t>905,498.01</w:t>
      </w:r>
      <w:r>
        <w:rPr>
          <w:rFonts w:ascii="仿宋_GB2312"/>
        </w:rPr>
        <w:t>元，</w:t>
      </w:r>
      <w:r>
        <w:rPr>
          <w:rFonts w:ascii="仿宋_GB2312" w:hint="eastAsia"/>
        </w:rPr>
        <w:t>农林水支出</w:t>
      </w:r>
      <w:r>
        <w:rPr>
          <w:rFonts w:ascii="仿宋_GB2312" w:hint="eastAsia"/>
          <w:lang w:val="en-US" w:eastAsia="zh-CN"/>
        </w:rPr>
        <w:t>9,609,259.08</w:t>
      </w:r>
      <w:r>
        <w:rPr>
          <w:rFonts w:ascii="仿宋_GB2312" w:hint="eastAsia"/>
        </w:rPr>
        <w:t>元，</w:t>
      </w:r>
      <w:r>
        <w:rPr>
          <w:rFonts w:ascii="仿宋_GB2312"/>
        </w:rPr>
        <w:t>住房保障支出</w:t>
      </w:r>
      <w:r>
        <w:rPr>
          <w:rFonts w:ascii="仿宋_GB2312" w:hint="eastAsia"/>
          <w:lang w:val="en-US" w:eastAsia="zh-CN"/>
        </w:rPr>
        <w:t>1,321,044</w:t>
      </w:r>
      <w:r>
        <w:rPr>
          <w:rFonts w:ascii="仿宋_GB2312"/>
        </w:rPr>
        <w:t>元。</w:t>
      </w:r>
      <w:r>
        <w:rPr>
          <w:rFonts w:ascii="仿宋_GB2312" w:hint="eastAsia"/>
        </w:rPr>
        <w:t>茂县林业和草原局</w:t>
      </w:r>
      <w:r>
        <w:rPr>
          <w:rFonts w:ascii="仿宋_GB2312"/>
        </w:rPr>
        <w:t>20</w:t>
      </w:r>
      <w:r>
        <w:rPr>
          <w:rFonts w:ascii="仿宋_GB2312" w:hint="eastAsia"/>
        </w:rPr>
        <w:t>2</w:t>
      </w:r>
      <w:r>
        <w:rPr>
          <w:rFonts w:ascii="仿宋_GB2312" w:hint="eastAsia"/>
          <w:lang w:val="en-US" w:eastAsia="zh-CN"/>
        </w:rPr>
        <w:t>2</w:t>
      </w:r>
      <w:r>
        <w:rPr>
          <w:rFonts w:ascii="仿宋_GB2312"/>
        </w:rPr>
        <w:t>年收支总预算</w:t>
      </w:r>
      <w:r>
        <w:rPr>
          <w:rFonts w:ascii="仿宋_GB2312" w:hint="eastAsia"/>
          <w:lang w:val="en-US" w:eastAsia="zh-CN"/>
        </w:rPr>
        <w:t>13,746,941.01</w:t>
      </w:r>
      <w:r>
        <w:rPr>
          <w:rFonts w:ascii="仿宋_GB2312"/>
        </w:rPr>
        <w:t>元,比20</w:t>
      </w:r>
      <w:r>
        <w:rPr>
          <w:rFonts w:ascii="仿宋_GB2312" w:hint="eastAsia"/>
          <w:lang w:val="en-US" w:eastAsia="zh-CN"/>
        </w:rPr>
        <w:t>21</w:t>
      </w:r>
      <w:r>
        <w:rPr>
          <w:rFonts w:ascii="仿宋_GB2312"/>
        </w:rPr>
        <w:t>年收支预算总数</w:t>
      </w:r>
      <w:r>
        <w:rPr>
          <w:rFonts w:ascii="仿宋_GB2312" w:hint="eastAsia"/>
        </w:rPr>
        <w:t>减少</w:t>
      </w:r>
      <w:r>
        <w:rPr>
          <w:rFonts w:ascii="仿宋_GB2312" w:hint="eastAsia"/>
          <w:lang w:val="en-US" w:eastAsia="zh-CN"/>
        </w:rPr>
        <w:t>1,265,588.99</w:t>
      </w:r>
      <w:r>
        <w:rPr>
          <w:rFonts w:ascii="仿宋_GB2312"/>
        </w:rPr>
        <w:t>元，主要原因:</w:t>
      </w:r>
      <w:r>
        <w:rPr>
          <w:rFonts w:ascii="仿宋_GB2312" w:hint="eastAsia"/>
        </w:rPr>
        <w:t>压缩预算经费支出。</w:t>
      </w:r>
    </w:p>
    <w:p>
      <w:pPr>
        <w:pStyle w:val="37"/>
        <w:spacing w:line="560" w:lineRule="exact"/>
        <w:ind w:firstLineChars="200" w:firstLine="640"/>
        <w:rPr>
          <w:rFonts w:ascii="仿宋_GB2312" w:hint="eastAsia"/>
          <w:color w:val="333333"/>
        </w:rPr>
      </w:pPr>
      <w:r>
        <w:rPr>
          <w:rFonts w:ascii="仿宋_GB2312" w:cs="宋体" w:hint="eastAsia"/>
          <w:kern w:val="0"/>
          <w:lang w:eastAsia="zh-CN"/>
        </w:rPr>
        <w:t>茂县林业和草原</w:t>
      </w:r>
      <w:r>
        <w:rPr>
          <w:rFonts w:ascii="仿宋_GB2312" w:cs="宋体" w:hint="eastAsia"/>
          <w:kern w:val="0"/>
        </w:rPr>
        <w:t>局</w:t>
      </w:r>
      <w:r>
        <w:rPr>
          <w:rFonts w:ascii="仿宋_GB2312" w:hint="eastAsia"/>
          <w:color w:val="333333"/>
        </w:rPr>
        <w:t>部门预算安排支出主要用于保障该部门机构正常运转、完成日常工作任务以及</w:t>
      </w:r>
      <w:r>
        <w:rPr>
          <w:rFonts w:ascii="仿宋_GB2312" w:hint="eastAsia"/>
        </w:rPr>
        <w:t>承担林业事业发展相关工作</w:t>
      </w:r>
      <w:r>
        <w:rPr>
          <w:rFonts w:ascii="仿宋_GB2312" w:hint="eastAsia"/>
          <w:color w:val="333333"/>
        </w:rPr>
        <w:t>。</w:t>
      </w:r>
    </w:p>
    <w:p>
      <w:pPr>
        <w:pStyle w:val="37"/>
        <w:spacing w:line="560" w:lineRule="exact"/>
        <w:ind w:firstLineChars="200" w:firstLine="640"/>
        <w:rPr>
          <w:rFonts w:ascii="仿宋_GB2312" w:hint="eastAsia"/>
          <w:color w:val="333333"/>
        </w:rPr>
      </w:pPr>
      <w:r>
        <w:rPr>
          <w:rFonts w:ascii="仿宋_GB2312" w:hint="eastAsia"/>
          <w:color w:val="333333"/>
        </w:rPr>
        <w:t>基本支出，是用于保障林业局机关、下属事业单位等机构正常运转的日常支出，包括基本工资、津贴补贴等人员经费以及办公费、印刷费、水电费等日常公用经费。</w:t>
      </w:r>
    </w:p>
    <w:p>
      <w:pPr>
        <w:pStyle w:val="37"/>
        <w:spacing w:line="560" w:lineRule="exact"/>
        <w:ind w:firstLineChars="200" w:firstLine="640"/>
        <w:rPr>
          <w:rFonts w:ascii="仿宋_GB2312"/>
        </w:rPr>
      </w:pPr>
      <w:r>
        <w:rPr>
          <w:rFonts w:ascii="仿宋_GB2312" w:hint="eastAsia"/>
          <w:color w:val="333333"/>
        </w:rPr>
        <w:t>项目支出，是用于保障林业局机关、下属事业单位等机构为完成特定的行政工作任务或事业发展目标，用于专项业务工作的经费支出。</w:t>
      </w:r>
    </w:p>
    <w:p>
      <w:pPr>
        <w:pStyle w:val="37"/>
        <w:widowControl/>
        <w:adjustRightInd w:val="0"/>
        <w:snapToGrid w:val="0"/>
        <w:spacing w:line="580" w:lineRule="exact"/>
        <w:ind w:firstLineChars="100" w:firstLine="320"/>
        <w:contextualSpacing/>
        <w:jc w:val="left"/>
        <w:rPr>
          <w:rFonts w:ascii="仿宋_GB2312" w:cs="宋体"/>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（二）结果应用情况</w:t>
      </w:r>
    </w:p>
    <w:p>
      <w:pPr>
        <w:pStyle w:val="37"/>
        <w:widowControl/>
        <w:adjustRightInd w:val="0"/>
        <w:snapToGrid w:val="0"/>
        <w:spacing w:line="580" w:lineRule="exact"/>
        <w:ind w:firstLineChars="200" w:firstLine="640"/>
        <w:contextualSpacing/>
        <w:jc w:val="left"/>
        <w:rPr>
          <w:rFonts w:ascii="仿宋_GB2312" w:cs="宋体"/>
          <w:color w:val="000000"/>
          <w:kern w:val="0"/>
          <w:szCs w:val="32"/>
          <w:shd w:val="clear" w:color="auto" w:fill="FFFFFF"/>
          <w:lang w:val="zh-CN"/>
        </w:rPr>
      </w:pPr>
      <w:r>
        <w:rPr>
          <w:rFonts w:ascii="仿宋_GB2312" w:cs="宋体" w:hint="eastAsia"/>
          <w:color w:val="000000"/>
          <w:kern w:val="0"/>
          <w:szCs w:val="32"/>
          <w:shd w:val="clear" w:color="auto" w:fill="FFFFFF"/>
          <w:lang w:val="zh-CN"/>
        </w:rPr>
        <w:t>包括绩效自评公开、评价结果整改和应用林草局</w:t>
      </w:r>
      <w:r>
        <w:rPr>
          <w:rFonts w:ascii="仿宋_GB2312" w:eastAsia="仿宋_GB2312" w:hint="eastAsia"/>
          <w:sz w:val="32"/>
          <w:szCs w:val="32"/>
        </w:rPr>
        <w:t>对部门预算绩效管理工作开展情况认真进行了自查自评。将评价结果作为预算安排的重要依据</w:t>
      </w:r>
      <w:r>
        <w:rPr>
          <w:rFonts w:ascii="仿宋_GB2312" w:eastAsia="仿宋_GB2312" w:hint="eastAsia"/>
          <w:sz w:val="32"/>
          <w:szCs w:val="32"/>
          <w:lang w:val="en-US" w:eastAsia="zh-CN"/>
        </w:rPr>
        <w:t>,</w:t>
      </w:r>
      <w:r>
        <w:rPr>
          <w:rFonts w:ascii="仿宋_GB2312" w:eastAsia="仿宋_GB2312" w:hint="eastAsia"/>
          <w:sz w:val="32"/>
          <w:szCs w:val="32"/>
        </w:rPr>
        <w:t>参照项目年度预算执行情况</w:t>
      </w:r>
      <w:r>
        <w:rPr>
          <w:rFonts w:ascii="仿宋_GB2312" w:eastAsia="仿宋_GB2312" w:hint="eastAsia"/>
          <w:sz w:val="32"/>
          <w:szCs w:val="32"/>
          <w:lang w:val="en-US" w:eastAsia="zh-CN"/>
        </w:rPr>
        <w:t>,</w:t>
      </w:r>
      <w:r>
        <w:rPr>
          <w:rFonts w:ascii="仿宋_GB2312" w:eastAsia="仿宋_GB2312" w:hint="eastAsia"/>
          <w:sz w:val="32"/>
          <w:szCs w:val="32"/>
        </w:rPr>
        <w:t>保障重点支出</w:t>
      </w:r>
      <w:r>
        <w:rPr>
          <w:rFonts w:ascii="仿宋_GB2312" w:eastAsia="仿宋_GB2312" w:hint="eastAsia"/>
          <w:sz w:val="32"/>
          <w:szCs w:val="32"/>
          <w:lang w:val="en-US" w:eastAsia="zh-CN"/>
        </w:rPr>
        <w:t>,</w:t>
      </w:r>
      <w:r>
        <w:rPr>
          <w:rFonts w:ascii="仿宋_GB2312" w:eastAsia="仿宋_GB2312" w:hint="eastAsia"/>
          <w:sz w:val="32"/>
          <w:szCs w:val="32"/>
        </w:rPr>
        <w:t>调整支出结构</w:t>
      </w:r>
      <w:r>
        <w:rPr>
          <w:rFonts w:ascii="仿宋_GB2312" w:eastAsia="仿宋_GB2312" w:hint="eastAsia"/>
          <w:sz w:val="32"/>
          <w:szCs w:val="32"/>
          <w:lang w:val="en-US" w:eastAsia="zh-CN"/>
        </w:rPr>
        <w:t>,</w:t>
      </w:r>
      <w:r>
        <w:rPr>
          <w:rFonts w:ascii="仿宋_GB2312" w:eastAsia="仿宋_GB2312" w:hint="eastAsia"/>
          <w:sz w:val="32"/>
          <w:szCs w:val="32"/>
        </w:rPr>
        <w:t>优化财政资金配置</w:t>
      </w:r>
      <w:r>
        <w:rPr>
          <w:rFonts w:ascii="仿宋_GB2312" w:eastAsia="仿宋_GB2312" w:hint="eastAsia"/>
          <w:sz w:val="32"/>
          <w:szCs w:val="32"/>
          <w:lang w:val="en-US" w:eastAsia="zh-CN"/>
        </w:rPr>
        <w:t>,</w:t>
      </w:r>
      <w:r>
        <w:rPr>
          <w:rFonts w:ascii="仿宋_GB2312" w:eastAsia="仿宋_GB2312" w:hint="eastAsia"/>
          <w:sz w:val="32"/>
          <w:szCs w:val="32"/>
        </w:rPr>
        <w:t>不断强化绩效理念</w:t>
      </w:r>
      <w:r>
        <w:rPr>
          <w:rFonts w:ascii="仿宋_GB2312" w:eastAsia="仿宋_GB2312" w:hint="eastAsia"/>
          <w:sz w:val="32"/>
          <w:szCs w:val="32"/>
          <w:lang w:val="en-US" w:eastAsia="zh-CN"/>
        </w:rPr>
        <w:t>,</w:t>
      </w:r>
      <w:r>
        <w:rPr>
          <w:rFonts w:ascii="仿宋_GB2312" w:eastAsia="仿宋_GB2312" w:hint="eastAsia"/>
          <w:sz w:val="32"/>
          <w:szCs w:val="32"/>
        </w:rPr>
        <w:t>推动我单位整体绩效管理水平不断提升。</w:t>
      </w:r>
    </w:p>
    <w:p>
      <w:pPr>
        <w:pStyle w:val="37"/>
        <w:widowControl/>
        <w:numPr>
          <w:ilvl w:val="0"/>
          <w:numId w:val="4"/>
        </w:numPr>
        <w:adjustRightInd w:val="0"/>
        <w:snapToGrid w:val="0"/>
        <w:spacing w:line="580" w:lineRule="exact"/>
        <w:ind w:left="0" w:firstLineChars="200" w:firstLine="640"/>
        <w:contextualSpacing/>
        <w:jc w:val="left"/>
        <w:rPr>
          <w:rFonts w:ascii="楷体" w:eastAsia="楷体" w:cs="楷体" w:hint="eastAsia"/>
          <w:b/>
          <w:bCs/>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自评质量</w:t>
      </w:r>
    </w:p>
    <w:p>
      <w:pPr>
        <w:pStyle w:val="37"/>
        <w:widowControl/>
        <w:adjustRightInd w:val="0"/>
        <w:snapToGrid w:val="0"/>
        <w:spacing w:line="580" w:lineRule="exact"/>
        <w:contextualSpacing/>
        <w:jc w:val="left"/>
        <w:rPr>
          <w:rFonts w:ascii="仿宋_GB2312" w:cs="宋体"/>
          <w:color w:val="000000"/>
          <w:kern w:val="0"/>
          <w:szCs w:val="32"/>
          <w:shd w:val="clear" w:color="auto" w:fill="FFFFFF"/>
        </w:rPr>
      </w:pPr>
      <w:r>
        <w:rPr>
          <w:rFonts w:ascii="仿宋_GB2312" w:cs="宋体" w:hint="eastAsia"/>
          <w:color w:val="000000"/>
          <w:kern w:val="0"/>
          <w:szCs w:val="32"/>
          <w:shd w:val="clear" w:color="auto" w:fill="FFFFFF"/>
        </w:rPr>
        <w:t xml:space="preserve">    </w:t>
      </w:r>
      <w:r>
        <w:rPr>
          <w:rFonts w:ascii="仿宋_GB2312" w:cs="宋体" w:hint="eastAsia"/>
          <w:color w:val="000000"/>
          <w:kern w:val="0"/>
          <w:shd w:val="clear" w:color="auto" w:fill="FFFFFF"/>
          <w:lang w:val="zh-CN"/>
        </w:rPr>
        <w:t>林草局对部门预算决算等资金的到位使用及完成情况进行了自查工作，认真查阅工程及财务资料，对已支付资金进行了再审核，做到资料齐全支付合规，对预算资金的使用加强了监管和审核，取得了较好的效果，也取得了一些经验，希望在以后的工作中好好运用。</w:t>
      </w:r>
    </w:p>
    <w:p>
      <w:pPr>
        <w:pStyle w:val="37"/>
        <w:widowControl/>
        <w:adjustRightInd w:val="0"/>
        <w:snapToGrid w:val="0"/>
        <w:spacing w:line="580" w:lineRule="exact"/>
        <w:ind w:firstLineChars="200" w:firstLine="640"/>
        <w:contextualSpacing/>
        <w:jc w:val="left"/>
        <w:rPr>
          <w:rFonts w:ascii="黑体" w:eastAsia="黑体" w:cs="宋体"/>
          <w:color w:val="000000"/>
          <w:kern w:val="0"/>
          <w:szCs w:val="32"/>
          <w:shd w:val="clear" w:color="auto" w:fill="FFFFFF"/>
        </w:rPr>
      </w:pPr>
      <w:r>
        <w:rPr>
          <w:rFonts w:ascii="黑体" w:eastAsia="黑体" w:cs="宋体" w:hint="eastAsia"/>
          <w:color w:val="000000"/>
          <w:kern w:val="0"/>
          <w:szCs w:val="32"/>
          <w:shd w:val="clear" w:color="auto" w:fill="FFFFFF"/>
        </w:rPr>
        <w:t>四、评价结论及建议</w:t>
      </w:r>
    </w:p>
    <w:p>
      <w:pPr>
        <w:pStyle w:val="37"/>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rPr>
          <w:rFonts w:ascii="仿宋_GB2312" w:cs="宋体" w:hint="eastAsia"/>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（一）评价结论</w:t>
      </w:r>
    </w:p>
    <w:p>
      <w:pPr>
        <w:pStyle w:val="37"/>
        <w:keepNext w:val="0"/>
        <w:keepLines w:val="0"/>
        <w:pageBreakBefore w:val="0"/>
        <w:widowControl w:val="0"/>
        <w:pBdr>
          <w:bottom w:val="single" w:sz="4" w:space="27" w:color="FFFFFF"/>
        </w:pBdr>
        <w:kinsoku/>
        <w:wordWrap/>
        <w:overflowPunct/>
        <w:topLinePunct w:val="0"/>
        <w:autoSpaceDE/>
        <w:autoSpaceDN/>
        <w:bidi w:val="0"/>
        <w:adjustRightInd/>
        <w:snapToGrid/>
        <w:spacing w:line="560" w:lineRule="exact"/>
        <w:ind w:left="0" w:firstLineChars="200" w:firstLine="640"/>
        <w:textAlignment w:val="auto"/>
        <w:rPr>
          <w:rFonts w:ascii="仿宋_GB2312" w:cs="宋体" w:hint="eastAsia"/>
          <w:color w:val="000000"/>
          <w:kern w:val="0"/>
          <w:szCs w:val="32"/>
          <w:shd w:val="clear" w:color="auto" w:fill="FFFFFF"/>
          <w:lang w:val="zh-CN" w:eastAsia="zh-CN"/>
        </w:rPr>
      </w:pPr>
      <w:r>
        <w:rPr>
          <w:rFonts w:ascii="仿宋_GB2312" w:cs="宋体" w:hint="eastAsia"/>
          <w:color w:val="000000"/>
          <w:kern w:val="0"/>
          <w:szCs w:val="32"/>
          <w:shd w:val="clear" w:color="auto" w:fill="FFFFFF"/>
          <w:lang w:val="zh-CN"/>
        </w:rPr>
        <w:t>202</w:t>
      </w:r>
      <w:r>
        <w:rPr>
          <w:rFonts w:ascii="仿宋_GB2312" w:cs="宋体" w:hint="eastAsia"/>
          <w:color w:val="000000"/>
          <w:kern w:val="0"/>
          <w:szCs w:val="32"/>
          <w:shd w:val="clear" w:color="auto" w:fill="FFFFFF"/>
          <w:lang w:val="en-US" w:eastAsia="zh-CN"/>
        </w:rPr>
        <w:t>2</w:t>
      </w:r>
      <w:r>
        <w:rPr>
          <w:rFonts w:ascii="仿宋_GB2312" w:cs="宋体" w:hint="eastAsia"/>
          <w:color w:val="000000"/>
          <w:kern w:val="0"/>
          <w:szCs w:val="32"/>
          <w:shd w:val="clear" w:color="auto" w:fill="FFFFFF"/>
          <w:lang w:val="zh-CN"/>
        </w:rPr>
        <w:t>年，根据林草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r>
        <w:rPr>
          <w:rFonts w:ascii="仿宋_GB2312" w:cs="宋体" w:hint="eastAsia"/>
          <w:color w:val="000000"/>
          <w:kern w:val="0"/>
          <w:szCs w:val="32"/>
          <w:shd w:val="clear" w:color="auto" w:fill="FFFFFF"/>
          <w:lang w:val="zh-CN" w:eastAsia="zh-CN"/>
        </w:rPr>
        <w:t>。</w:t>
      </w:r>
    </w:p>
    <w:p>
      <w:pPr>
        <w:pStyle w:val="37"/>
        <w:keepNext w:val="0"/>
        <w:keepLines w:val="0"/>
        <w:pageBreakBefore w:val="0"/>
        <w:widowControl w:val="0"/>
        <w:pBdr>
          <w:bottom w:val="single" w:sz="4" w:space="27" w:color="FFFFFF"/>
        </w:pBdr>
        <w:kinsoku/>
        <w:wordWrap/>
        <w:overflowPunct/>
        <w:topLinePunct w:val="0"/>
        <w:autoSpaceDE/>
        <w:autoSpaceDN/>
        <w:bidi w:val="0"/>
        <w:adjustRightInd/>
        <w:snapToGrid/>
        <w:spacing w:line="560" w:lineRule="exact"/>
        <w:ind w:left="0" w:firstLineChars="200" w:firstLine="640"/>
        <w:textAlignment w:val="auto"/>
        <w:rPr>
          <w:rFonts w:ascii="楷体" w:eastAsia="楷体" w:cs="楷体" w:hint="eastAsia"/>
          <w:b/>
          <w:bCs/>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（二）存在问题</w:t>
      </w:r>
    </w:p>
    <w:p>
      <w:pPr>
        <w:pStyle w:val="37"/>
        <w:keepNext w:val="0"/>
        <w:keepLines w:val="0"/>
        <w:pageBreakBefore w:val="0"/>
        <w:widowControl w:val="0"/>
        <w:pBdr>
          <w:bottom w:val="single" w:sz="4" w:space="27" w:color="FFFFFF"/>
        </w:pBdr>
        <w:kinsoku/>
        <w:wordWrap/>
        <w:overflowPunct/>
        <w:topLinePunct w:val="0"/>
        <w:autoSpaceDE/>
        <w:autoSpaceDN/>
        <w:bidi w:val="0"/>
        <w:adjustRightInd/>
        <w:snapToGrid/>
        <w:spacing w:line="560" w:lineRule="exact"/>
        <w:ind w:left="0" w:firstLineChars="200" w:firstLine="640"/>
        <w:textAlignment w:val="auto"/>
        <w:rPr>
          <w:rFonts w:ascii="仿宋_GB2312" w:cs="宋体" w:hint="eastAsia"/>
          <w:color w:val="000000"/>
          <w:kern w:val="0"/>
          <w:szCs w:val="32"/>
          <w:shd w:val="clear" w:color="auto" w:fill="FFFFFF"/>
          <w:lang w:val="zh-CN"/>
        </w:rPr>
      </w:pPr>
      <w:r>
        <w:rPr>
          <w:rFonts w:ascii="仿宋_GB2312" w:cs="宋体" w:hint="eastAsia"/>
          <w:color w:val="000000"/>
          <w:kern w:val="0"/>
          <w:szCs w:val="32"/>
          <w:shd w:val="clear" w:color="auto" w:fill="FFFFFF"/>
          <w:lang w:val="zh-CN"/>
        </w:rPr>
        <w:t>当前预算执行过程中由于项目进度与报账资料未能及时同步，造成项目已经完工但是资金兑付资料还未完成从而造成资金未及时拨付。在以后的预算执行过程中及时的掌握项目进度，催促相关项目负责人及时的报送项目资金支付资料到财务室及时有效的拨付项目资金。</w:t>
      </w:r>
    </w:p>
    <w:p>
      <w:pPr>
        <w:pStyle w:val="37"/>
        <w:keepNext w:val="0"/>
        <w:keepLines w:val="0"/>
        <w:pageBreakBefore w:val="0"/>
        <w:widowControl w:val="0"/>
        <w:numPr>
          <w:ilvl w:val="0"/>
          <w:numId w:val="3"/>
        </w:numPr>
        <w:pBdr>
          <w:bottom w:val="single" w:sz="4" w:space="27" w:color="FFFFFF"/>
        </w:pBdr>
        <w:kinsoku/>
        <w:wordWrap/>
        <w:overflowPunct/>
        <w:topLinePunct w:val="0"/>
        <w:autoSpaceDE/>
        <w:autoSpaceDN/>
        <w:bidi w:val="0"/>
        <w:adjustRightInd/>
        <w:snapToGrid/>
        <w:spacing w:line="560" w:lineRule="exact"/>
        <w:ind w:left="0" w:firstLineChars="200" w:firstLine="640"/>
        <w:textAlignment w:val="auto"/>
        <w:rPr>
          <w:rFonts w:ascii="楷体" w:eastAsia="楷体" w:cs="楷体" w:hint="eastAsia"/>
          <w:b/>
          <w:bCs/>
          <w:color w:val="000000"/>
          <w:kern w:val="0"/>
          <w:szCs w:val="32"/>
          <w:shd w:val="clear" w:color="auto" w:fill="FFFFFF"/>
          <w:lang w:val="zh-CN"/>
        </w:rPr>
      </w:pPr>
      <w:r>
        <w:rPr>
          <w:rFonts w:ascii="楷体" w:eastAsia="楷体" w:cs="楷体" w:hint="eastAsia"/>
          <w:b/>
          <w:bCs/>
          <w:color w:val="000000"/>
          <w:kern w:val="0"/>
          <w:szCs w:val="32"/>
          <w:shd w:val="clear" w:color="auto" w:fill="FFFFFF"/>
          <w:lang w:val="zh-CN"/>
        </w:rPr>
        <w:t>改进建议</w:t>
      </w:r>
    </w:p>
    <w:p>
      <w:pPr>
        <w:pStyle w:val="37"/>
        <w:keepNext w:val="0"/>
        <w:keepLines w:val="0"/>
        <w:pageBreakBefore w:val="0"/>
        <w:widowControl w:val="0"/>
        <w:pBdr>
          <w:bottom w:val="single" w:sz="4" w:space="27" w:color="FFFFFF"/>
        </w:pBdr>
        <w:kinsoku/>
        <w:wordWrap/>
        <w:overflowPunct/>
        <w:topLinePunct w:val="0"/>
        <w:autoSpaceDE/>
        <w:autoSpaceDN/>
        <w:bidi w:val="0"/>
        <w:adjustRightInd/>
        <w:snapToGrid/>
        <w:spacing w:line="560" w:lineRule="exact"/>
        <w:ind w:left="0" w:firstLineChars="200" w:firstLine="640"/>
        <w:textAlignment w:val="auto"/>
        <w:rPr>
          <w:rFonts w:ascii="仿宋_GB2312" w:cs="宋体" w:hint="eastAsia"/>
          <w:color w:val="000000"/>
          <w:kern w:val="0"/>
          <w:szCs w:val="32"/>
          <w:shd w:val="clear" w:color="auto" w:fill="FFFFFF"/>
          <w:lang w:val="zh-CN"/>
        </w:rPr>
      </w:pPr>
      <w:r>
        <w:rPr>
          <w:rFonts w:ascii="仿宋_GB2312" w:cs="宋体" w:hint="eastAsia"/>
          <w:color w:val="000000"/>
          <w:kern w:val="0"/>
          <w:szCs w:val="32"/>
          <w:shd w:val="clear" w:color="auto" w:fill="FFFFFF"/>
          <w:lang w:val="zh-CN"/>
        </w:rPr>
        <w:t>在今后的资金支付过程中，及时联系业务股室及项目经办人员及时收集准备财务报账资料来进行支付，及时报账提高资金的支付进度，经常开展财务人员继续教育学习，努力提高自己的业务水平，提高工作效率。</w:t>
      </w: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pPr>
    </w:p>
    <w:p>
      <w:pPr>
        <w:pStyle w:val="37"/>
        <w:spacing w:line="600" w:lineRule="exact"/>
        <w:jc w:val="left"/>
        <w:outlineLvl w:val="0"/>
        <w:rPr>
          <w:rFonts w:ascii="黑体" w:eastAsia="黑体" w:cs="黑体"/>
          <w:sz w:val="32"/>
          <w:szCs w:val="32"/>
        </w:rPr>
      </w:pPr>
      <w:bookmarkStart w:id="74" w:name="_Toc79163883"/>
      <w:bookmarkStart w:id="75" w:name="_Toc79163633"/>
      <w:r>
        <w:rPr>
          <w:rFonts w:ascii="黑体" w:eastAsia="黑体" w:cs="黑体" w:hint="eastAsia"/>
          <w:sz w:val="32"/>
          <w:szCs w:val="32"/>
        </w:rPr>
        <w:t>附件</w:t>
      </w:r>
      <w:r>
        <w:rPr>
          <w:rFonts w:ascii="黑体" w:eastAsia="黑体" w:cs="黑体"/>
          <w:sz w:val="32"/>
          <w:szCs w:val="32"/>
        </w:rPr>
        <w:t>2</w:t>
      </w:r>
      <w:bookmarkEnd w:id="74"/>
      <w:bookmarkEnd w:id="75"/>
    </w:p>
    <w:p>
      <w:pPr>
        <w:pStyle w:val="37"/>
        <w:spacing w:line="580" w:lineRule="exact"/>
        <w:ind w:firstLineChars="200" w:firstLine="640"/>
        <w:rPr>
          <w:rFonts w:ascii="仿宋_GB2312" w:eastAsia="仿宋_GB2312" w:cs="仿宋_GB2312"/>
          <w:sz w:val="32"/>
          <w:szCs w:val="32"/>
        </w:rPr>
      </w:pPr>
    </w:p>
    <w:p>
      <w:pPr>
        <w:pStyle w:val="37"/>
        <w:spacing w:line="600" w:lineRule="exact"/>
        <w:jc w:val="center"/>
        <w:outlineLvl w:val="0"/>
        <w:rPr>
          <w:rFonts w:ascii="方正小标宋简体" w:eastAsia="方正小标宋简体" w:cs="黑体" w:hint="eastAsia"/>
          <w:sz w:val="44"/>
          <w:szCs w:val="44"/>
        </w:rPr>
      </w:pPr>
      <w:bookmarkStart w:id="76" w:name="_Toc79163884"/>
      <w:bookmarkStart w:id="77" w:name="_Toc79163634"/>
      <w:r>
        <w:rPr>
          <w:rFonts w:ascii="方正小标宋简体" w:eastAsia="方正小标宋简体" w:cs="黑体" w:hint="eastAsia"/>
          <w:sz w:val="44"/>
          <w:szCs w:val="44"/>
        </w:rPr>
        <w:t>项目2021年绩效评价报告</w:t>
      </w:r>
      <w:bookmarkEnd w:id="76"/>
      <w:bookmarkEnd w:id="77"/>
    </w:p>
    <w:p>
      <w:pPr>
        <w:pStyle w:val="37"/>
        <w:spacing w:line="600" w:lineRule="exact"/>
        <w:rPr>
          <w:rFonts w:ascii="仿宋_GB2312"/>
        </w:rPr>
      </w:pPr>
      <w:r>
        <w:rPr>
          <w:rFonts w:ascii="宋体" w:hAnsi="宋体" w:hint="eastAsia"/>
          <w:sz w:val="32"/>
          <w:szCs w:val="32"/>
          <w:lang w:val="en-US" w:eastAsia="zh-CN"/>
        </w:rPr>
        <w:t xml:space="preserve">            （</w:t>
      </w:r>
      <w:r>
        <w:rPr>
          <w:rFonts w:ascii="方正小标宋简体" w:eastAsia="方正小标宋简体" w:cs="黑体" w:hint="eastAsia"/>
          <w:sz w:val="32"/>
          <w:szCs w:val="32"/>
          <w:lang w:val="en-US" w:eastAsia="zh-CN"/>
        </w:rPr>
        <w:t>生态管护公益性岗位项目</w:t>
      </w:r>
      <w:r>
        <w:rPr>
          <w:rFonts w:ascii="宋体" w:hAnsi="宋体" w:hint="eastAsia"/>
          <w:sz w:val="32"/>
          <w:szCs w:val="32"/>
          <w:lang w:val="en-US" w:eastAsia="zh-CN"/>
        </w:rPr>
        <w:t>）</w:t>
      </w:r>
    </w:p>
    <w:p>
      <w:pPr>
        <w:pStyle w:val="40"/>
        <w:spacing w:line="600" w:lineRule="exact"/>
        <w:ind w:firstLine="640"/>
        <w:jc w:val="center"/>
        <w:rPr>
          <w:rFonts w:ascii="宋体"/>
          <w:color w:val="auto"/>
          <w:kern w:val="2"/>
          <w:sz w:val="32"/>
          <w:szCs w:val="32"/>
        </w:rPr>
      </w:pP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黑体" w:hint="eastAsia"/>
          <w:bCs/>
          <w:sz w:val="32"/>
          <w:szCs w:val="32"/>
          <w:lang w:val="zh-CN"/>
        </w:rPr>
      </w:pPr>
      <w:r>
        <w:rPr>
          <w:rFonts w:ascii="黑体" w:eastAsia="黑体" w:cs="黑体" w:hint="eastAsia"/>
          <w:bCs/>
          <w:sz w:val="32"/>
          <w:szCs w:val="32"/>
        </w:rPr>
        <w:t>一、</w:t>
      </w:r>
      <w:r>
        <w:rPr>
          <w:rFonts w:ascii="黑体" w:eastAsia="黑体" w:cs="黑体" w:hint="eastAsia"/>
          <w:bCs/>
          <w:sz w:val="32"/>
          <w:szCs w:val="32"/>
          <w:lang w:val="zh-CN"/>
        </w:rPr>
        <w:t>项目概况</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hint="eastAsia"/>
          <w:bCs/>
          <w:sz w:val="32"/>
          <w:szCs w:val="32"/>
          <w:lang w:val="zh-CN"/>
        </w:rPr>
      </w:pPr>
      <w:r>
        <w:rPr>
          <w:rFonts w:ascii="楷体_GB2312" w:eastAsia="楷体_GB2312" w:cs="Times New Roman" w:hint="eastAsia"/>
          <w:b/>
          <w:sz w:val="32"/>
          <w:szCs w:val="32"/>
          <w:lang w:val="zh-CN"/>
        </w:rPr>
        <w:t>（一）项目资金申报及批复情况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lang w:val="zh-CN"/>
        </w:rPr>
      </w:pPr>
      <w:r>
        <w:rPr>
          <w:rFonts w:ascii="仿宋_GB2312" w:eastAsia="仿宋_GB2312" w:cs="仿宋_GB2312" w:hint="eastAsia"/>
          <w:bCs/>
          <w:sz w:val="32"/>
          <w:szCs w:val="32"/>
          <w:lang w:val="zh-CN"/>
        </w:rPr>
        <w:t>根据</w:t>
      </w:r>
      <w:r>
        <w:rPr>
          <w:rFonts w:ascii="仿宋_GB2312" w:eastAsia="仿宋_GB2312" w:cs="仿宋_GB2312" w:hint="eastAsia"/>
          <w:bCs/>
          <w:sz w:val="32"/>
          <w:szCs w:val="32"/>
          <w:lang w:val="en-US" w:eastAsia="zh-CN"/>
        </w:rPr>
        <w:t>《中共阿坝州委、阿坝州人民政府关于开展生态扶贫实施意见》相关政策继续执行至2023年的工作要求，及</w:t>
      </w:r>
      <w:r>
        <w:rPr>
          <w:rFonts w:ascii="仿宋_GB2312" w:eastAsia="仿宋_GB2312" w:cs="仿宋_GB2312" w:hint="eastAsia"/>
          <w:bCs/>
          <w:sz w:val="32"/>
          <w:szCs w:val="32"/>
          <w:lang w:val="zh-CN"/>
        </w:rPr>
        <w:t>《阿坝州州林业和草原局巩固拓展脱贫攻坚成果同乡村振兴有效衔接</w:t>
      </w:r>
      <w:r>
        <w:rPr>
          <w:rFonts w:ascii="仿宋_GB2312" w:eastAsia="仿宋_GB2312" w:cs="仿宋_GB2312" w:hint="eastAsia"/>
          <w:bCs/>
          <w:sz w:val="32"/>
          <w:szCs w:val="32"/>
          <w:lang w:val="en-US" w:eastAsia="zh-CN"/>
        </w:rPr>
        <w:t>阿坝州州生态公益性管理办法》，茂县拟定了</w:t>
      </w:r>
      <w:r>
        <w:rPr>
          <w:rFonts w:ascii="仿宋_GB2312" w:eastAsia="仿宋_GB2312" w:cs="仿宋_GB2312" w:hint="eastAsia"/>
          <w:bCs/>
          <w:sz w:val="32"/>
          <w:szCs w:val="32"/>
          <w:lang w:val="zh-CN"/>
        </w:rPr>
        <w:t>《茂县</w:t>
      </w:r>
      <w:r>
        <w:rPr>
          <w:rFonts w:ascii="仿宋_GB2312" w:eastAsia="仿宋_GB2312" w:cs="仿宋_GB2312" w:hint="eastAsia"/>
          <w:bCs/>
          <w:sz w:val="32"/>
          <w:szCs w:val="32"/>
          <w:lang w:val="en-US" w:eastAsia="zh-CN"/>
        </w:rPr>
        <w:t>2021</w:t>
      </w:r>
      <w:r>
        <w:rPr>
          <w:rFonts w:ascii="仿宋_GB2312" w:eastAsia="仿宋_GB2312" w:cs="仿宋_GB2312" w:hint="eastAsia"/>
          <w:bCs/>
          <w:sz w:val="32"/>
          <w:szCs w:val="32"/>
          <w:lang w:val="zh-CN"/>
        </w:rPr>
        <w:t>年度生态管护员资金整合使用方案》</w:t>
      </w:r>
      <w:r>
        <w:rPr>
          <w:rFonts w:ascii="仿宋_GB2312" w:eastAsia="仿宋_GB2312" w:cs="仿宋_GB2312" w:hint="eastAsia"/>
          <w:bCs/>
          <w:sz w:val="32"/>
          <w:szCs w:val="32"/>
          <w:lang w:val="en-US" w:eastAsia="zh-CN"/>
        </w:rPr>
        <w:t>实施了生态公益性岗位项目</w:t>
      </w:r>
      <w:r>
        <w:rPr>
          <w:rFonts w:ascii="仿宋_GB2312" w:eastAsia="仿宋_GB2312" w:cs="仿宋_GB2312" w:hint="eastAsia"/>
          <w:bCs/>
          <w:sz w:val="32"/>
          <w:szCs w:val="32"/>
          <w:lang w:val="zh-CN"/>
        </w:rPr>
        <w:t>，其中林业发展改革资金</w:t>
      </w:r>
      <w:r>
        <w:rPr>
          <w:rFonts w:ascii="仿宋_GB2312" w:eastAsia="仿宋_GB2312" w:cs="仿宋_GB2312" w:hint="eastAsia"/>
          <w:bCs/>
          <w:sz w:val="32"/>
          <w:szCs w:val="32"/>
          <w:lang w:val="en-US" w:eastAsia="zh-CN"/>
        </w:rPr>
        <w:t>301万元，（阿州财资环〔20212〕号），专项用于生态管护公益性岗位。</w:t>
      </w:r>
    </w:p>
    <w:p>
      <w:pPr>
        <w:pStyle w:val="37"/>
        <w:numPr>
          <w:ilvl w:val="0"/>
          <w:numId w:val="5"/>
        </w:numPr>
        <w:spacing w:line="560" w:lineRule="exact"/>
        <w:ind w:left="0" w:firstLineChars="200" w:firstLine="64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项目绩效目标</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lang w:val="en-US" w:eastAsia="zh-CN"/>
        </w:rPr>
      </w:pPr>
      <w:r>
        <w:rPr>
          <w:rFonts w:ascii="仿宋_GB2312" w:eastAsia="仿宋_GB2312" w:cs="仿宋_GB2312" w:hint="eastAsia"/>
          <w:bCs/>
          <w:sz w:val="32"/>
          <w:szCs w:val="32"/>
          <w:lang w:val="en-US" w:eastAsia="zh-CN"/>
        </w:rPr>
        <w:t>2</w:t>
      </w:r>
      <w:r>
        <w:rPr>
          <w:rFonts w:ascii="仿宋_GB2312" w:eastAsia="仿宋_GB2312" w:cs="仿宋_GB2312" w:hint="eastAsia"/>
          <w:bCs/>
          <w:sz w:val="32"/>
          <w:szCs w:val="32"/>
          <w:lang w:val="zh-CN" w:eastAsia="zh-CN"/>
        </w:rPr>
        <w:t>021年</w:t>
      </w:r>
      <w:r>
        <w:rPr>
          <w:rFonts w:ascii="仿宋_GB2312" w:eastAsia="仿宋_GB2312" w:cs="仿宋_GB2312" w:hint="eastAsia"/>
          <w:bCs/>
          <w:sz w:val="32"/>
          <w:szCs w:val="32"/>
          <w:lang w:val="en-US" w:eastAsia="zh-CN"/>
        </w:rPr>
        <w:t>茂县共计划入资金301万元，资金全部到位，全县选用符合条件的生态护林（草）员301名，工资标准10000元/年/人（包含保险），涉及21个乡镇104个行政村。</w:t>
      </w:r>
    </w:p>
    <w:p>
      <w:pPr>
        <w:pStyle w:val="37"/>
        <w:spacing w:line="560" w:lineRule="exact"/>
        <w:ind w:firstLineChars="200" w:firstLine="640"/>
        <w:rPr>
          <w:rFonts w:ascii="黑体" w:eastAsia="黑体" w:cs="黑体" w:hint="eastAsia"/>
          <w:b/>
          <w:bCs w:val="0"/>
          <w:sz w:val="32"/>
          <w:szCs w:val="32"/>
        </w:rPr>
      </w:pPr>
      <w:r>
        <w:rPr>
          <w:rFonts w:ascii="黑体" w:eastAsia="黑体" w:cs="黑体" w:hint="eastAsia"/>
          <w:b/>
          <w:bCs w:val="0"/>
          <w:sz w:val="32"/>
          <w:szCs w:val="32"/>
        </w:rPr>
        <w:t>二、项目实施及管理情况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hint="eastAsia"/>
          <w:bCs/>
          <w:sz w:val="32"/>
          <w:szCs w:val="32"/>
          <w:lang w:val="zh-CN"/>
        </w:rPr>
      </w:pPr>
      <w:r>
        <w:rPr>
          <w:rFonts w:ascii="楷体_GB2312" w:eastAsia="楷体_GB2312" w:cs="Times New Roman" w:hint="eastAsia"/>
          <w:b/>
          <w:sz w:val="32"/>
          <w:szCs w:val="32"/>
          <w:lang w:val="zh-CN"/>
        </w:rPr>
        <w:t>（一）资金计划、到位及使用情况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lang w:val="zh-CN"/>
        </w:rPr>
      </w:pPr>
      <w:r>
        <w:rPr>
          <w:rFonts w:ascii="仿宋_GB2312" w:eastAsia="仿宋_GB2312" w:cs="仿宋_GB2312" w:hint="eastAsia"/>
          <w:bCs/>
          <w:sz w:val="32"/>
          <w:szCs w:val="32"/>
          <w:lang w:val="zh-CN" w:eastAsia="zh-CN"/>
        </w:rPr>
        <w:t>1．资金计划及到位。</w:t>
      </w:r>
      <w:r>
        <w:rPr>
          <w:rFonts w:ascii="仿宋_GB2312" w:eastAsia="仿宋_GB2312" w:cs="仿宋_GB2312" w:hint="eastAsia"/>
          <w:bCs/>
          <w:sz w:val="32"/>
          <w:szCs w:val="32"/>
          <w:lang w:val="en-US" w:eastAsia="zh-CN"/>
        </w:rPr>
        <w:t>2021年茂县计划投入生态公益性管护补助资金301万元；选用生态护林（草）员301人（含</w:t>
      </w:r>
      <w:r>
        <w:rPr>
          <w:rFonts w:ascii="仿宋_GB2312" w:eastAsia="仿宋_GB2312" w:cs="仿宋_GB2312" w:hint="eastAsia"/>
          <w:bCs/>
          <w:sz w:val="32"/>
          <w:szCs w:val="32"/>
          <w:lang w:eastAsia="zh-CN"/>
        </w:rPr>
        <w:t>瞭望塔、瞭望哨），</w:t>
      </w:r>
      <w:r>
        <w:rPr>
          <w:rFonts w:ascii="仿宋_GB2312" w:eastAsia="仿宋_GB2312" w:cs="仿宋_GB2312" w:hint="eastAsia"/>
          <w:bCs/>
          <w:sz w:val="32"/>
          <w:szCs w:val="32"/>
        </w:rPr>
        <w:t>全部为建档立卡贫困户。</w:t>
      </w:r>
      <w:r>
        <w:rPr>
          <w:rFonts w:ascii="仿宋_GB2312" w:eastAsia="仿宋_GB2312" w:cs="仿宋_GB2312" w:hint="eastAsia"/>
          <w:bCs/>
          <w:sz w:val="32"/>
          <w:szCs w:val="32"/>
          <w:lang w:val="zh-CN"/>
        </w:rPr>
        <w:t>截止评价时点实际到位</w:t>
      </w:r>
      <w:r>
        <w:rPr>
          <w:rFonts w:ascii="仿宋_GB2312" w:eastAsia="仿宋_GB2312" w:cs="仿宋_GB2312" w:hint="eastAsia"/>
          <w:bCs/>
          <w:sz w:val="32"/>
          <w:szCs w:val="32"/>
          <w:lang w:val="en-US" w:eastAsia="zh-CN"/>
        </w:rPr>
        <w:t>301万元</w:t>
      </w:r>
      <w:r>
        <w:rPr>
          <w:rFonts w:ascii="仿宋_GB2312" w:eastAsia="仿宋_GB2312" w:cs="仿宋_GB2312" w:hint="eastAsia"/>
          <w:bCs/>
          <w:sz w:val="32"/>
          <w:szCs w:val="32"/>
          <w:lang w:val="zh-CN"/>
        </w:rPr>
        <w:t>，全部为中央林业发展改革资金。就资金到位情况与资金计划比较后资金到位率为</w:t>
      </w:r>
      <w:r>
        <w:rPr>
          <w:rFonts w:ascii="仿宋_GB2312" w:eastAsia="仿宋_GB2312" w:cs="仿宋_GB2312" w:hint="eastAsia"/>
          <w:bCs/>
          <w:sz w:val="32"/>
          <w:szCs w:val="32"/>
          <w:lang w:val="en-US" w:eastAsia="zh-CN"/>
        </w:rPr>
        <w:t>100%</w:t>
      </w:r>
      <w:r>
        <w:rPr>
          <w:rFonts w:ascii="仿宋_GB2312" w:eastAsia="仿宋_GB2312" w:cs="仿宋_GB2312" w:hint="eastAsia"/>
          <w:bCs/>
          <w:sz w:val="32"/>
          <w:szCs w:val="32"/>
          <w:lang w:val="zh-CN"/>
        </w:rPr>
        <w:t>，且到位及时。</w:t>
      </w:r>
    </w:p>
    <w:p>
      <w:pPr>
        <w:pStyle w:val="37"/>
        <w:spacing w:line="560" w:lineRule="exact"/>
        <w:ind w:firstLineChars="200" w:firstLine="640"/>
        <w:rPr>
          <w:rFonts w:ascii="仿宋_GB2312" w:eastAsia="仿宋_GB2312" w:cs="仿宋_GB2312" w:hint="eastAsia"/>
          <w:bCs/>
          <w:sz w:val="32"/>
          <w:szCs w:val="32"/>
          <w:lang w:val="zh-CN"/>
        </w:rPr>
      </w:pPr>
      <w:r>
        <w:rPr>
          <w:rFonts w:ascii="仿宋_GB2312" w:eastAsia="仿宋_GB2312" w:cs="仿宋_GB2312" w:hint="eastAsia"/>
          <w:bCs/>
          <w:sz w:val="32"/>
          <w:szCs w:val="32"/>
          <w:lang w:val="zh-CN"/>
        </w:rPr>
        <w:t>2．资金使用。截止目前项目资金的实际支出</w:t>
      </w:r>
      <w:r>
        <w:rPr>
          <w:rFonts w:ascii="仿宋_GB2312" w:eastAsia="仿宋_GB2312" w:cs="仿宋_GB2312" w:hint="eastAsia"/>
          <w:bCs/>
          <w:sz w:val="32"/>
          <w:szCs w:val="32"/>
          <w:lang w:val="en-US" w:eastAsia="zh-CN"/>
        </w:rPr>
        <w:t>301万元</w:t>
      </w:r>
      <w:r>
        <w:rPr>
          <w:rFonts w:ascii="仿宋_GB2312" w:eastAsia="仿宋_GB2312" w:cs="仿宋_GB2312" w:hint="eastAsia"/>
          <w:bCs/>
          <w:sz w:val="32"/>
          <w:szCs w:val="32"/>
          <w:lang w:val="zh-CN"/>
        </w:rPr>
        <w:t>，资金开支用于</w:t>
      </w:r>
      <w:r>
        <w:rPr>
          <w:rFonts w:ascii="仿宋_GB2312" w:eastAsia="仿宋_GB2312" w:cs="仿宋_GB2312" w:hint="eastAsia"/>
          <w:bCs/>
          <w:sz w:val="32"/>
          <w:szCs w:val="32"/>
          <w:lang w:val="en-US" w:eastAsia="zh-CN"/>
        </w:rPr>
        <w:t>生态管护公益性岗位补助，标准为10000元/年，资金支付符合时序进度。</w:t>
      </w:r>
      <w:r>
        <w:rPr>
          <w:rFonts w:ascii="仿宋_GB2312" w:eastAsia="仿宋_GB2312" w:cs="仿宋_GB2312" w:hint="eastAsia"/>
          <w:bCs/>
          <w:sz w:val="32"/>
          <w:szCs w:val="32"/>
          <w:lang w:val="zh-CN"/>
        </w:rPr>
        <w:t>支付依据根据财务要求合规合法，资金支付与预算相符，并对相关问题进行了说明。</w:t>
      </w:r>
    </w:p>
    <w:p>
      <w:pPr>
        <w:pStyle w:val="37"/>
        <w:adjustRightInd w:val="0"/>
        <w:snapToGrid w:val="0"/>
        <w:spacing w:line="60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（二）项目财务管理情况</w:t>
      </w:r>
    </w:p>
    <w:p>
      <w:pPr>
        <w:pStyle w:val="37"/>
        <w:spacing w:line="560" w:lineRule="exact"/>
        <w:ind w:firstLineChars="200" w:firstLine="640"/>
        <w:rPr>
          <w:rFonts w:ascii="Times New Roman" w:eastAsia="仿宋_GB2312" w:cs="Times New Roman" w:hAnsi="Times New Roman" w:hint="eastAsia"/>
          <w:bCs/>
          <w:sz w:val="32"/>
          <w:szCs w:val="32"/>
          <w:lang w:val="zh-CN"/>
        </w:rPr>
      </w:pPr>
      <w:r>
        <w:rPr>
          <w:rFonts w:ascii="Times New Roman" w:eastAsia="仿宋_GB2312" w:cs="Times New Roman" w:hAnsi="Times New Roman" w:hint="eastAsia"/>
          <w:bCs/>
          <w:sz w:val="32"/>
          <w:szCs w:val="32"/>
          <w:lang w:val="zh-CN"/>
        </w:rPr>
        <w:t>生态护林员资金实行专户管理、专账核算、专款专用，对照项目资金管理办法，评价项目是严格执行财务管理制度、财务处理及时且会计核算规范。</w:t>
      </w:r>
    </w:p>
    <w:p>
      <w:pPr>
        <w:pStyle w:val="37"/>
        <w:adjustRightInd w:val="0"/>
        <w:snapToGrid w:val="0"/>
        <w:spacing w:line="60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（三）项目组织实施情况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仿宋_GB2312" w:cs="Times New Roman" w:hAnsi="Times New Roman" w:hint="eastAsia"/>
          <w:bCs/>
          <w:sz w:val="32"/>
          <w:szCs w:val="32"/>
        </w:rPr>
      </w:pPr>
      <w:r>
        <w:rPr>
          <w:rFonts w:ascii="仿宋_GB2312" w:eastAsia="仿宋_GB2312" w:cs="仿宋_GB2312" w:hint="eastAsia"/>
          <w:bCs/>
          <w:sz w:val="32"/>
          <w:szCs w:val="32"/>
          <w:lang w:val="en-US" w:eastAsia="zh-CN"/>
        </w:rPr>
        <w:t>1.</w:t>
      </w:r>
      <w:r>
        <w:rPr>
          <w:rFonts w:ascii="仿宋_GB2312" w:eastAsia="仿宋_GB2312" w:cs="仿宋_GB2312" w:hint="eastAsia"/>
          <w:bCs/>
          <w:sz w:val="32"/>
          <w:szCs w:val="32"/>
        </w:rPr>
        <w:t>因地施策，合理配置岗位。一是结合资源现状，合理分配岗位。根据我县资金情况拟定岗位数量，结合各镇林地资源状况，按比例分配名额，再看是否是重点林区、保护区等地方进行合理调整；二是把握政策，统筹设岗。为实现巩固拓展脱贫攻坚成果同乡村振兴有效衔接，同时加强森林资源管护，做好护林护草防火工作，提升护林员队伍能力建设，我县有的放矢、瞄准靶向，将生态护林（草）员划分为省级护林员和州级护林员：省级护林员全部为符合条件的建档立卡贫困户，州级为同等条件下，建档立卡贫困户、退伍军人、低收入家庭成员优先选聘的人员，贫困户也有非贫困户。目前全县选用贫困户500</w:t>
      </w:r>
      <w:r>
        <w:rPr>
          <w:rFonts w:ascii="仿宋_GB2312" w:eastAsia="仿宋_GB2312" w:cs="仿宋_GB2312" w:hint="eastAsia"/>
          <w:bCs/>
          <w:sz w:val="32"/>
          <w:szCs w:val="32"/>
          <w:lang w:eastAsia="zh-CN"/>
        </w:rPr>
        <w:t>余</w:t>
      </w:r>
      <w:r>
        <w:rPr>
          <w:rFonts w:ascii="仿宋_GB2312" w:eastAsia="仿宋_GB2312" w:cs="仿宋_GB2312" w:hint="eastAsia"/>
          <w:bCs/>
          <w:sz w:val="32"/>
          <w:szCs w:val="32"/>
        </w:rPr>
        <w:t>名（动态数据），非贫困户</w:t>
      </w:r>
      <w:r>
        <w:rPr>
          <w:rFonts w:ascii="仿宋_GB2312" w:eastAsia="仿宋_GB2312" w:cs="仿宋_GB2312" w:hint="eastAsia"/>
          <w:bCs/>
          <w:sz w:val="32"/>
          <w:szCs w:val="32"/>
          <w:lang w:val="en-US" w:eastAsia="zh-CN"/>
        </w:rPr>
        <w:t>300</w:t>
      </w:r>
      <w:r>
        <w:rPr>
          <w:rFonts w:ascii="仿宋_GB2312" w:eastAsia="仿宋_GB2312" w:cs="仿宋_GB2312" w:hint="eastAsia"/>
          <w:bCs/>
          <w:sz w:val="32"/>
          <w:szCs w:val="32"/>
        </w:rPr>
        <w:t>人左右（动态数据）。三是合理配比，确保管护全覆盖。根据</w:t>
      </w:r>
      <w:r>
        <w:rPr>
          <w:rFonts w:ascii="Times New Roman" w:eastAsia="仿宋_GB2312" w:cs="Times New Roman" w:hAnsi="Times New Roman" w:hint="eastAsia"/>
          <w:bCs/>
          <w:sz w:val="32"/>
          <w:szCs w:val="32"/>
        </w:rPr>
        <w:t>全县贫困户分布情况，合理安排各镇护林员中贫困户配比。例如：土门片区贫困户较多，相对省级护林员配比较高；凤仪镇几乎没有贫困户，州级护林员相对配比就高。通过省级、州级护林员合理配比安排，保证我县每个村都有生态护林员开展管护工作，真正实现了管护全覆盖。</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lang w:val="en-US" w:eastAsia="zh-CN"/>
        </w:rPr>
        <w:t>2..</w:t>
      </w:r>
      <w:r>
        <w:rPr>
          <w:rFonts w:ascii="仿宋_GB2312" w:eastAsia="仿宋_GB2312" w:cs="仿宋_GB2312" w:hint="eastAsia"/>
          <w:bCs/>
          <w:sz w:val="32"/>
          <w:szCs w:val="32"/>
        </w:rPr>
        <w:t>建全管理制度，完善督查机制。2021年森林草原资源管护工作，面临新的挑战和新的任务，对生态林员队伍建设也有更高的要求，我县结合现阶段实际，从生态护林林员选用、管理、考核、监督检查都做了调整。一是结合护林防火相关要求，选用遵纪守法，责任心强，身体健康，能正常履行生态保护职责的生态护林员，不在局限于建档立卡贫困户；同时重新制定下发了《茂县生态护林（草）员管理实施细则》和《茂县生态护林（草）员考核细则》。二是结合工作实际，建立监督检查机制。为有效提高监督检查效率，林草局结合森林草原防火工作的督导包片、蹲点包镇等外业工作开展，通过APP 使用检查、实地抽查、电话抽查、线上线下结合抽查等多样化监督检查方式有效衔接护林员监督检查，提高发现问题效率，并制定了《茂县林业和草原局生态护林（草）员监督检查方案》，形成了闭合式的监督检查机制。</w:t>
      </w:r>
    </w:p>
    <w:p>
      <w:pPr>
        <w:pStyle w:val="37"/>
        <w:spacing w:line="560" w:lineRule="exact"/>
        <w:ind w:firstLineChars="200" w:firstLine="64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（四）点面结合，全面推进APP 使用</w:t>
      </w:r>
    </w:p>
    <w:p>
      <w:pPr>
        <w:pStyle w:val="37"/>
        <w:spacing w:line="560" w:lineRule="exact"/>
        <w:ind w:firstLineChars="200" w:firstLine="640"/>
        <w:rPr>
          <w:rFonts w:ascii="仿宋_GB2312" w:eastAsia="仿宋_GB2312" w:cs="仿宋_GB2312" w:hint="eastAsia"/>
          <w:bCs/>
          <w:sz w:val="32"/>
          <w:szCs w:val="32"/>
          <w:lang w:val="zh-CN"/>
        </w:rPr>
      </w:pPr>
      <w:r>
        <w:rPr>
          <w:rFonts w:ascii="仿宋_GB2312" w:eastAsia="仿宋_GB2312" w:cs="仿宋_GB2312" w:hint="eastAsia"/>
          <w:bCs/>
          <w:sz w:val="32"/>
          <w:szCs w:val="32"/>
        </w:rPr>
        <w:t>熊猫护林员APP 是全省科学管理护林员队伍有效手段，在火情上报、森林巡护等方面有着重要作用。我县高度重视此项工作，采用“点面”结合方式有效推动APP上线推广使用。在开展护林员上岗集中培训时，全面对护林员安装使用进行现场教学，并录制教学视频在各级护林员群中全面宣传；通过查看的上线情况，找出未上线人员，对未上线人员进行针对性的“点对点”督促及教学，最终点对点突破，全面完成护林员APP 推广使用工作，截止目前使用率达到了100%</w:t>
      </w:r>
    </w:p>
    <w:p>
      <w:pPr>
        <w:pStyle w:val="37"/>
        <w:spacing w:line="560" w:lineRule="exact"/>
        <w:ind w:firstLineChars="200" w:firstLine="640"/>
        <w:rPr>
          <w:rFonts w:ascii="黑体" w:eastAsia="黑体" w:cs="黑体" w:hint="eastAsia"/>
          <w:bCs/>
          <w:sz w:val="32"/>
          <w:szCs w:val="32"/>
          <w:lang w:val="zh-CN"/>
        </w:rPr>
      </w:pPr>
      <w:r>
        <w:rPr>
          <w:rFonts w:ascii="黑体" w:eastAsia="黑体" w:cs="黑体" w:hint="eastAsia"/>
          <w:bCs/>
          <w:sz w:val="32"/>
          <w:szCs w:val="32"/>
        </w:rPr>
        <w:t>三、项目绩效情况</w:t>
      </w:r>
      <w:r>
        <w:rPr>
          <w:rFonts w:ascii="黑体" w:eastAsia="黑体" w:cs="黑体" w:hint="eastAsia"/>
          <w:bCs/>
          <w:sz w:val="32"/>
          <w:szCs w:val="32"/>
          <w:lang w:val="zh-CN"/>
        </w:rPr>
        <w:tab/>
      </w:r>
    </w:p>
    <w:p>
      <w:pPr>
        <w:pStyle w:val="37"/>
        <w:spacing w:line="560" w:lineRule="exact"/>
        <w:ind w:firstLineChars="200" w:firstLine="64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（一）项目完成情况</w:t>
      </w:r>
    </w:p>
    <w:p>
      <w:pPr>
        <w:pStyle w:val="37"/>
        <w:spacing w:line="560" w:lineRule="exact"/>
        <w:ind w:firstLineChars="200" w:firstLine="640"/>
        <w:rPr>
          <w:rFonts w:ascii="仿宋_GB2312" w:eastAsia="仿宋_GB2312" w:cs="仿宋_GB2312" w:hint="eastAsia"/>
          <w:bCs/>
          <w:sz w:val="32"/>
          <w:szCs w:val="32"/>
          <w:lang w:val="zh-CN"/>
        </w:rPr>
      </w:pPr>
      <w:r>
        <w:rPr>
          <w:rFonts w:ascii="仿宋_GB2312" w:eastAsia="仿宋_GB2312" w:cs="仿宋_GB2312" w:hint="eastAsia"/>
          <w:bCs/>
          <w:sz w:val="32"/>
          <w:szCs w:val="32"/>
          <w:lang w:eastAsia="zh-CN"/>
        </w:rPr>
        <w:t>截止</w:t>
      </w:r>
      <w:r>
        <w:rPr>
          <w:rFonts w:ascii="仿宋_GB2312" w:eastAsia="仿宋_GB2312" w:cs="仿宋_GB2312" w:hint="eastAsia"/>
          <w:bCs/>
          <w:sz w:val="32"/>
          <w:szCs w:val="32"/>
          <w:lang w:val="en-US" w:eastAsia="zh-CN"/>
        </w:rPr>
        <w:t>2022年1月31日，该年度生态护林员项目已按照相关要求全面完成</w:t>
      </w:r>
      <w:r>
        <w:rPr>
          <w:rFonts w:ascii="仿宋_GB2312" w:eastAsia="仿宋_GB2312" w:cs="仿宋_GB2312" w:hint="eastAsia"/>
          <w:bCs/>
          <w:sz w:val="32"/>
          <w:szCs w:val="32"/>
        </w:rPr>
        <w:t>。</w:t>
      </w:r>
    </w:p>
    <w:p>
      <w:pPr>
        <w:pStyle w:val="37"/>
        <w:adjustRightInd w:val="0"/>
        <w:snapToGrid w:val="0"/>
        <w:spacing w:line="60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（二）项目效益情况</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Times New Roman" w:hint="eastAsia"/>
          <w:sz w:val="32"/>
          <w:szCs w:val="32"/>
        </w:rPr>
      </w:pPr>
      <w:r>
        <w:rPr>
          <w:rFonts w:ascii="仿宋_GB2312" w:cs="Times New Roman" w:hint="eastAsia"/>
          <w:b/>
          <w:bCs/>
          <w:sz w:val="32"/>
          <w:szCs w:val="32"/>
          <w:lang w:val="en-US" w:eastAsia="zh-CN"/>
        </w:rPr>
        <w:t>1.</w:t>
      </w:r>
      <w:r>
        <w:rPr>
          <w:rFonts w:ascii="仿宋_GB2312" w:eastAsia="仿宋_GB2312" w:cs="Times New Roman" w:hint="eastAsia"/>
          <w:b/>
          <w:bCs/>
          <w:sz w:val="32"/>
          <w:szCs w:val="32"/>
        </w:rPr>
        <w:t>生态保护工作成效显著。</w:t>
      </w:r>
      <w:r>
        <w:rPr>
          <w:rFonts w:ascii="仿宋_GB2312" w:eastAsia="仿宋_GB2312" w:cs="Times New Roman" w:hint="eastAsia"/>
          <w:sz w:val="32"/>
          <w:szCs w:val="32"/>
        </w:rPr>
        <w:t>通过生态</w:t>
      </w:r>
      <w:r>
        <w:rPr>
          <w:rFonts w:ascii="仿宋_GB2312" w:cs="Times New Roman" w:hint="eastAsia"/>
          <w:sz w:val="32"/>
          <w:szCs w:val="32"/>
          <w:lang w:eastAsia="zh-CN"/>
        </w:rPr>
        <w:t>管护员项目</w:t>
      </w:r>
      <w:r>
        <w:rPr>
          <w:rFonts w:ascii="仿宋_GB2312" w:eastAsia="仿宋_GB2312" w:cs="Times New Roman" w:hint="eastAsia"/>
          <w:sz w:val="32"/>
          <w:szCs w:val="32"/>
        </w:rPr>
        <w:t>实施，进一步扩大了护林管护队伍，加强了生态保护建设，林草综合覆盖率逐步提高，森林面积蓄积实现双增长，持续改善和优化生态环境。</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Times New Roman" w:hint="eastAsia"/>
          <w:sz w:val="32"/>
          <w:szCs w:val="32"/>
        </w:rPr>
      </w:pPr>
      <w:r>
        <w:rPr>
          <w:rFonts w:ascii="仿宋_GB2312" w:cs="Times New Roman" w:hint="eastAsia"/>
          <w:b/>
          <w:bCs/>
          <w:sz w:val="32"/>
          <w:szCs w:val="32"/>
          <w:lang w:val="en-US" w:eastAsia="zh-CN"/>
        </w:rPr>
        <w:t>2.</w:t>
      </w:r>
      <w:r>
        <w:rPr>
          <w:rFonts w:ascii="仿宋_GB2312" w:eastAsia="仿宋_GB2312" w:cs="Times New Roman" w:hint="eastAsia"/>
          <w:b/>
          <w:bCs/>
          <w:sz w:val="32"/>
          <w:szCs w:val="32"/>
        </w:rPr>
        <w:t>促进持续增收稳定脱贫。</w:t>
      </w:r>
      <w:r>
        <w:rPr>
          <w:rFonts w:ascii="仿宋_GB2312" w:eastAsia="仿宋_GB2312" w:cs="Times New Roman" w:hint="eastAsia"/>
          <w:sz w:val="32"/>
          <w:szCs w:val="32"/>
        </w:rPr>
        <w:t>按照省州部署，通过开展生态脱贫，稳步建立增收机制，逐步提高每个生态保护建设岗位劳务报酬，2018</w:t>
      </w:r>
      <w:r>
        <w:rPr>
          <w:rFonts w:ascii="仿宋_GB2312" w:cs="Times New Roman" w:hint="eastAsia"/>
          <w:sz w:val="32"/>
          <w:szCs w:val="32"/>
          <w:lang w:val="en-US" w:eastAsia="zh-CN"/>
        </w:rPr>
        <w:t>-2021</w:t>
      </w:r>
      <w:r>
        <w:rPr>
          <w:rFonts w:ascii="仿宋_GB2312" w:eastAsia="仿宋_GB2312" w:cs="Times New Roman" w:hint="eastAsia"/>
          <w:sz w:val="32"/>
          <w:szCs w:val="32"/>
        </w:rPr>
        <w:t>年分别实现6600元</w:t>
      </w:r>
      <w:r>
        <w:rPr>
          <w:rFonts w:ascii="仿宋_GB2312" w:cs="Times New Roman" w:hint="eastAsia"/>
          <w:sz w:val="32"/>
          <w:szCs w:val="32"/>
          <w:lang w:val="en-US" w:eastAsia="zh-CN"/>
        </w:rPr>
        <w:t>-10000</w:t>
      </w:r>
      <w:r>
        <w:rPr>
          <w:rFonts w:ascii="仿宋_GB2312" w:eastAsia="仿宋_GB2312" w:cs="Times New Roman" w:hint="eastAsia"/>
          <w:sz w:val="32"/>
          <w:szCs w:val="32"/>
        </w:rPr>
        <w:t>元的增收目标。贫困户通过参与生态建设获得劳务补助，实现了持续稳定增收。</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Times New Roman" w:hint="eastAsia"/>
          <w:sz w:val="32"/>
          <w:szCs w:val="32"/>
        </w:rPr>
      </w:pPr>
      <w:r>
        <w:rPr>
          <w:rFonts w:ascii="仿宋_GB2312" w:cs="Times New Roman" w:hint="eastAsia"/>
          <w:b/>
          <w:bCs/>
          <w:sz w:val="32"/>
          <w:szCs w:val="32"/>
          <w:lang w:val="en-US" w:eastAsia="zh-CN"/>
        </w:rPr>
        <w:t>3.</w:t>
      </w:r>
      <w:r>
        <w:rPr>
          <w:rFonts w:ascii="仿宋_GB2312" w:eastAsia="仿宋_GB2312" w:cs="Times New Roman" w:hint="eastAsia"/>
          <w:b/>
          <w:bCs/>
          <w:sz w:val="32"/>
          <w:szCs w:val="32"/>
        </w:rPr>
        <w:t>激发了内生动力。</w:t>
      </w:r>
      <w:r>
        <w:rPr>
          <w:rFonts w:ascii="仿宋_GB2312" w:eastAsia="仿宋_GB2312" w:cs="Times New Roman" w:hint="eastAsia"/>
          <w:sz w:val="32"/>
          <w:szCs w:val="32"/>
        </w:rPr>
        <w:t>通过参与行业部门开展针对性的培训，促使参与生态管护、建设的建档立卡贫困人员掌握绿化造林、森林管护的基本方法及安全常识等法律政策和业务知识，获得知识的同时从侧面给予了贫困户脱贫的信心，不断激发贫困群众内生动力，引导贫困群众不等不靠、自力更生，主动参与生态保护建设、持续稳定参与护林工作，依靠勤劳的双手守护绿水青山、实现脱贫增收。</w:t>
      </w:r>
    </w:p>
    <w:p>
      <w:pPr>
        <w:pStyle w:val="37"/>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黑体" w:eastAsia="黑体" w:cs="黑体" w:hint="eastAsia"/>
          <w:bCs/>
          <w:sz w:val="32"/>
          <w:szCs w:val="32"/>
        </w:rPr>
      </w:pPr>
      <w:r>
        <w:rPr>
          <w:rFonts w:ascii="黑体" w:eastAsia="黑体" w:cs="黑体" w:hint="eastAsia"/>
          <w:bCs/>
          <w:sz w:val="32"/>
          <w:szCs w:val="32"/>
        </w:rPr>
        <w:t>四、</w:t>
      </w:r>
      <w:r>
        <w:rPr>
          <w:rFonts w:ascii="黑体" w:eastAsia="黑体" w:cs="黑体" w:hint="eastAsia"/>
          <w:bCs/>
          <w:sz w:val="32"/>
          <w:szCs w:val="32"/>
          <w:lang w:eastAsia="zh-CN"/>
        </w:rPr>
        <w:t>存在</w:t>
      </w:r>
      <w:r>
        <w:rPr>
          <w:rFonts w:ascii="黑体" w:eastAsia="黑体" w:cs="黑体" w:hint="eastAsia"/>
          <w:bCs/>
          <w:sz w:val="32"/>
          <w:szCs w:val="32"/>
        </w:rPr>
        <w:t>问题</w:t>
      </w:r>
    </w:p>
    <w:p>
      <w:pPr>
        <w:pStyle w:val="37"/>
        <w:keepNext w:val="0"/>
        <w:keepLines w:val="0"/>
        <w:pageBreakBefore w:val="0"/>
        <w:widowControl w:val="0"/>
        <w:pBdr>
          <w:bottom w:val="single" w:sz="4" w:space="15" w:color="FFFFFF"/>
        </w:pBdr>
        <w:kinsoku/>
        <w:wordWrap/>
        <w:overflowPunct/>
        <w:topLinePunct w:val="0"/>
        <w:autoSpaceDE/>
        <w:autoSpaceDN/>
        <w:bidi w:val="0"/>
        <w:adjustRightInd/>
        <w:snapToGrid/>
        <w:spacing w:line="560" w:lineRule="exact"/>
        <w:ind w:firstLineChars="200" w:firstLine="640"/>
        <w:textAlignment w:val="auto"/>
        <w:rPr>
          <w:rFonts w:ascii="Times New Roman" w:eastAsia="仿宋_GB2312" w:hAnsi="Times New Roman" w:hint="eastAsia"/>
          <w:bCs/>
          <w:sz w:val="32"/>
          <w:szCs w:val="32"/>
        </w:rPr>
      </w:pPr>
      <w:r>
        <w:rPr>
          <w:rFonts w:ascii="楷体_GB2312" w:eastAsia="楷体_GB2312" w:hint="eastAsia"/>
          <w:b/>
          <w:bCs/>
          <w:sz w:val="32"/>
          <w:szCs w:val="32"/>
        </w:rPr>
        <w:t>（一）资金到位不及时。</w:t>
      </w:r>
      <w:r>
        <w:rPr>
          <w:rFonts w:ascii="Times New Roman" w:eastAsia="仿宋_GB2312" w:hAnsi="Times New Roman" w:hint="eastAsia"/>
          <w:bCs/>
          <w:sz w:val="32"/>
          <w:szCs w:val="32"/>
        </w:rPr>
        <w:t>俗话说“兵未动粮草先行”，每一年生态护林员资金到位都在年后，不利于全县对生态护林员工作安排部署。</w:t>
      </w:r>
    </w:p>
    <w:p>
      <w:pPr>
        <w:pStyle w:val="37"/>
        <w:keepNext w:val="0"/>
        <w:keepLines w:val="0"/>
        <w:pageBreakBefore w:val="0"/>
        <w:widowControl w:val="0"/>
        <w:pBdr>
          <w:bottom w:val="single" w:sz="4" w:space="15" w:color="FFFFFF"/>
        </w:pBdr>
        <w:kinsoku/>
        <w:wordWrap/>
        <w:overflowPunct/>
        <w:topLinePunct w:val="0"/>
        <w:autoSpaceDE/>
        <w:autoSpaceDN/>
        <w:bidi w:val="0"/>
        <w:adjustRightInd/>
        <w:snapToGrid/>
        <w:spacing w:line="560" w:lineRule="exact"/>
        <w:ind w:firstLineChars="200" w:firstLine="640"/>
        <w:textAlignment w:val="auto"/>
        <w:rPr>
          <w:rFonts w:ascii="Times New Roman" w:eastAsia="仿宋_GB2312" w:hAnsi="Times New Roman" w:hint="eastAsia"/>
          <w:bCs/>
          <w:sz w:val="32"/>
          <w:szCs w:val="32"/>
        </w:rPr>
      </w:pPr>
      <w:r>
        <w:rPr>
          <w:rFonts w:ascii="楷体_GB2312" w:eastAsia="楷体_GB2312" w:hint="eastAsia"/>
          <w:b/>
          <w:bCs/>
          <w:sz w:val="32"/>
          <w:szCs w:val="32"/>
        </w:rPr>
        <w:t>（二）护林员工作性质导致可供选用人员有限。</w:t>
      </w:r>
      <w:r>
        <w:rPr>
          <w:rFonts w:ascii="Times New Roman" w:eastAsia="仿宋_GB2312" w:hAnsi="Times New Roman" w:hint="eastAsia"/>
          <w:bCs/>
          <w:sz w:val="32"/>
          <w:szCs w:val="32"/>
        </w:rPr>
        <w:t>生态护林员虽为兼职，但需要护林员长期在家。茂县大部分乡镇中年轻、有文化、有劳动力的人都选择外出务工，长期在家务农的大部分是40-65之间的中老年人，所以护林员文化程度低、年龄大、接受能力差成了无法避免的普遍问题。</w:t>
      </w:r>
    </w:p>
    <w:p>
      <w:pPr>
        <w:pStyle w:val="37"/>
        <w:keepNext w:val="0"/>
        <w:keepLines w:val="0"/>
        <w:pageBreakBefore w:val="0"/>
        <w:widowControl w:val="0"/>
        <w:pBdr>
          <w:bottom w:val="single" w:sz="4" w:space="15" w:color="FFFFFF"/>
        </w:pBdr>
        <w:kinsoku/>
        <w:wordWrap/>
        <w:overflowPunct/>
        <w:topLinePunct w:val="0"/>
        <w:autoSpaceDE/>
        <w:autoSpaceDN/>
        <w:bidi w:val="0"/>
        <w:adjustRightInd/>
        <w:snapToGrid/>
        <w:spacing w:line="560" w:lineRule="exact"/>
        <w:ind w:firstLineChars="200" w:firstLine="640"/>
        <w:textAlignment w:val="auto"/>
        <w:rPr>
          <w:rFonts w:ascii="黑体" w:eastAsia="黑体" w:cs="黑体" w:hint="eastAsia"/>
          <w:bCs/>
          <w:sz w:val="32"/>
          <w:szCs w:val="32"/>
        </w:rPr>
      </w:pPr>
      <w:r>
        <w:rPr>
          <w:rFonts w:ascii="黑体" w:eastAsia="黑体" w:cs="黑体" w:hint="eastAsia"/>
          <w:bCs/>
          <w:sz w:val="32"/>
          <w:szCs w:val="32"/>
          <w:lang w:eastAsia="zh-CN"/>
        </w:rPr>
        <w:t>五</w:t>
      </w:r>
      <w:r>
        <w:rPr>
          <w:rFonts w:ascii="黑体" w:eastAsia="黑体" w:cs="黑体" w:hint="eastAsia"/>
          <w:bCs/>
          <w:sz w:val="32"/>
          <w:szCs w:val="32"/>
        </w:rPr>
        <w:t>、建议</w:t>
      </w:r>
    </w:p>
    <w:p>
      <w:pPr>
        <w:pStyle w:val="37"/>
        <w:keepNext w:val="0"/>
        <w:keepLines w:val="0"/>
        <w:pageBreakBefore w:val="0"/>
        <w:widowControl w:val="0"/>
        <w:pBdr>
          <w:bottom w:val="single" w:sz="4" w:space="15" w:color="FFFFFF"/>
        </w:pBdr>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lang w:val="en-US" w:eastAsia="zh-CN"/>
        </w:rPr>
        <w:t>1..</w:t>
      </w:r>
      <w:r>
        <w:rPr>
          <w:rFonts w:ascii="仿宋_GB2312" w:eastAsia="仿宋_GB2312" w:cs="仿宋_GB2312" w:hint="eastAsia"/>
          <w:bCs/>
          <w:sz w:val="32"/>
          <w:szCs w:val="32"/>
        </w:rPr>
        <w:t>通过提高工资补助，吸引更多有能力的年轻人参与到护林队伍中来，扩大选用范围。</w:t>
      </w:r>
    </w:p>
    <w:p>
      <w:pPr>
        <w:pStyle w:val="37"/>
        <w:keepNext w:val="0"/>
        <w:keepLines w:val="0"/>
        <w:pageBreakBefore w:val="0"/>
        <w:widowControl w:val="0"/>
        <w:pBdr>
          <w:bottom w:val="single" w:sz="4" w:space="15" w:color="FFFFFF"/>
        </w:pBdr>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lang w:val="en-US" w:eastAsia="zh-CN"/>
        </w:rPr>
        <w:t>2.</w:t>
      </w:r>
      <w:r>
        <w:rPr>
          <w:rFonts w:ascii="仿宋_GB2312" w:eastAsia="仿宋_GB2312" w:cs="仿宋_GB2312" w:hint="eastAsia"/>
          <w:bCs/>
          <w:sz w:val="32"/>
          <w:szCs w:val="32"/>
        </w:rPr>
        <w:t>生态护林员队伍应该逐步向“队伍职业化、巡护专业化”发展。所谓“兵不在多在于精”，建议通过减少人员同时提高待遇，把护林员从兼职转变为专职，建立一个专业的巡护队伍。这样既便于乡镇管理，又可以提高管护水平，更能适应新形势下的森林草原管护工作。</w:t>
      </w:r>
    </w:p>
    <w:p>
      <w:pPr>
        <w:pStyle w:val="37"/>
        <w:keepNext w:val="0"/>
        <w:keepLines w:val="0"/>
        <w:pageBreakBefore w:val="0"/>
        <w:widowControl w:val="0"/>
        <w:pBdr>
          <w:bottom w:val="single" w:sz="4" w:space="15" w:color="FFFFFF"/>
        </w:pBdr>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bCs/>
          <w:sz w:val="32"/>
          <w:szCs w:val="32"/>
        </w:rPr>
      </w:pPr>
      <w:r>
        <w:rPr>
          <w:rFonts w:ascii="仿宋_GB2312" w:eastAsia="仿宋_GB2312" w:cs="仿宋_GB2312" w:hint="eastAsia"/>
          <w:bCs/>
          <w:sz w:val="32"/>
          <w:szCs w:val="32"/>
          <w:lang w:val="en-US" w:eastAsia="zh-CN"/>
        </w:rPr>
        <w:t>3.</w:t>
      </w:r>
      <w:r>
        <w:rPr>
          <w:rFonts w:ascii="仿宋_GB2312" w:eastAsia="仿宋_GB2312" w:cs="仿宋_GB2312" w:hint="eastAsia"/>
          <w:bCs/>
          <w:sz w:val="32"/>
          <w:szCs w:val="32"/>
        </w:rPr>
        <w:t>熊猫护林员APP 是新形势下应运而生的有效管理手段，无论是在巡护、还是管理方面都大大提高了工作效率，但是就目前来看功能权限太少。建议增加以下功能：一是报警系统增加短信提醒；二是护林员端增加巡护日志、</w:t>
      </w:r>
      <w:r>
        <w:rPr>
          <w:rFonts w:ascii="仿宋_GB2312" w:eastAsia="仿宋_GB2312" w:cs="仿宋_GB2312" w:hint="eastAsia"/>
          <w:bCs/>
          <w:sz w:val="32"/>
          <w:szCs w:val="32"/>
          <w:lang w:eastAsia="zh-CN"/>
        </w:rPr>
        <w:t>护林员位置信息</w:t>
      </w:r>
      <w:r>
        <w:rPr>
          <w:rFonts w:ascii="仿宋_GB2312" w:eastAsia="仿宋_GB2312" w:cs="仿宋_GB2312" w:hint="eastAsia"/>
          <w:bCs/>
          <w:sz w:val="32"/>
          <w:szCs w:val="32"/>
        </w:rPr>
        <w:t>。</w:t>
      </w:r>
    </w:p>
    <w:p>
      <w:pPr>
        <w:pStyle w:val="39"/>
        <w:rPr>
          <w:rFonts w:ascii="Times New Roman" w:eastAsia="仿宋_GB2312" w:hAnsi="Times New Roman" w:hint="eastAsia"/>
          <w:bCs/>
          <w:sz w:val="32"/>
          <w:szCs w:val="32"/>
        </w:rPr>
      </w:pPr>
    </w:p>
    <w:p>
      <w:pPr>
        <w:pStyle w:val="37"/>
        <w:rPr>
          <w:rFonts w:hint="eastAsia"/>
        </w:rPr>
      </w:pPr>
    </w:p>
    <w:p>
      <w:pPr>
        <w:pStyle w:val="37"/>
        <w:spacing w:line="560" w:lineRule="exact"/>
        <w:ind w:firstLineChars="200" w:firstLine="640"/>
        <w:rPr>
          <w:rFonts w:ascii="Times New Roman" w:eastAsia="仿宋_GB2312" w:hAnsi="Times New Roman" w:hint="eastAsia"/>
          <w:bCs/>
          <w:sz w:val="32"/>
          <w:szCs w:val="32"/>
        </w:rPr>
      </w:pPr>
    </w:p>
    <w:p>
      <w:pPr>
        <w:pStyle w:val="40"/>
        <w:spacing w:line="600" w:lineRule="exact"/>
        <w:jc w:val="center"/>
        <w:rPr>
          <w:rFonts w:ascii="仿宋_GB2312" w:eastAsia="仿宋_GB2312"/>
          <w:color w:val="auto"/>
          <w:kern w:val="2"/>
          <w:sz w:val="32"/>
          <w:szCs w:val="32"/>
        </w:rPr>
      </w:pPr>
      <w:r>
        <w:rPr>
          <w:rFonts w:ascii="方正小标宋简体" w:eastAsia="方正小标宋简体" w:hint="eastAsia"/>
          <w:sz w:val="44"/>
          <w:szCs w:val="44"/>
          <w:lang w:val="en-US" w:eastAsia="zh-CN"/>
        </w:rPr>
        <w:t>2021</w:t>
      </w:r>
      <w:r>
        <w:rPr>
          <w:rFonts w:ascii="方正小标宋简体" w:eastAsia="方正小标宋简体" w:hint="eastAsia"/>
          <w:sz w:val="44"/>
          <w:szCs w:val="44"/>
          <w:lang w:val="en-US"/>
        </w:rPr>
        <w:t>年度</w:t>
      </w:r>
      <w:r>
        <w:rPr>
          <w:rFonts w:ascii="方正小标宋简体" w:eastAsia="方正小标宋简体" w:hint="eastAsia"/>
          <w:sz w:val="44"/>
          <w:szCs w:val="44"/>
        </w:rPr>
        <w:t>项目支出绩效自评报告</w:t>
      </w:r>
    </w:p>
    <w:p>
      <w:pPr>
        <w:pStyle w:val="37"/>
        <w:spacing w:line="600" w:lineRule="exact"/>
        <w:jc w:val="center"/>
        <w:rPr>
          <w:rFonts w:ascii="仿宋_GB2312" w:eastAsia="仿宋_GB2312" w:cs="仿宋_GB2312" w:hint="eastAsia"/>
          <w:sz w:val="32"/>
          <w:szCs w:val="32"/>
        </w:rPr>
      </w:pPr>
      <w:r>
        <w:rPr>
          <w:rFonts w:ascii="仿宋_GB2312" w:eastAsia="仿宋_GB2312" w:cs="仿宋_GB2312" w:hint="eastAsia"/>
          <w:sz w:val="32"/>
          <w:szCs w:val="32"/>
        </w:rPr>
        <w:t>（集体和个人所有天然商品林停伐补助项目）</w:t>
      </w:r>
    </w:p>
    <w:p>
      <w:pPr>
        <w:pStyle w:val="40"/>
        <w:spacing w:line="600" w:lineRule="exact"/>
        <w:ind w:firstLine="640"/>
        <w:jc w:val="center"/>
        <w:rPr>
          <w:rFonts w:ascii="宋体"/>
          <w:color w:val="auto"/>
          <w:kern w:val="2"/>
          <w:sz w:val="32"/>
          <w:szCs w:val="32"/>
        </w:rPr>
      </w:pP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sz w:val="32"/>
          <w:szCs w:val="32"/>
          <w:lang w:val="zh-CN"/>
        </w:rPr>
      </w:pPr>
      <w:r>
        <w:rPr>
          <w:rFonts w:ascii="黑体" w:eastAsia="黑体" w:cs="黑体" w:hint="eastAsia"/>
          <w:sz w:val="32"/>
          <w:szCs w:val="32"/>
        </w:rPr>
        <w:t>一、</w:t>
      </w:r>
      <w:r>
        <w:rPr>
          <w:rFonts w:ascii="黑体" w:eastAsia="黑体" w:cs="黑体" w:hint="eastAsia"/>
          <w:sz w:val="32"/>
          <w:szCs w:val="32"/>
          <w:lang w:val="zh-CN"/>
        </w:rPr>
        <w:t>项目概况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（一）项目资金申报及批复情况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根据</w:t>
      </w:r>
      <w:r>
        <w:rPr>
          <w:rFonts w:ascii="仿宋_GB2312" w:eastAsia="仿宋_GB2312" w:cs="仿宋_GB2312" w:hint="eastAsia"/>
          <w:sz w:val="32"/>
          <w:szCs w:val="32"/>
        </w:rPr>
        <w:t>201</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年林地一张图及《茂县人民政府关于&lt;2018年集体和个人所有天然商品林停伐补助实施方案&gt;的批复》</w:t>
      </w:r>
      <w:r>
        <w:rPr>
          <w:rFonts w:ascii="仿宋_GB2312" w:eastAsia="仿宋_GB2312" w:cs="仿宋_GB2312" w:hint="eastAsia"/>
          <w:sz w:val="32"/>
          <w:szCs w:val="32"/>
          <w:lang w:val="zh-CN"/>
        </w:rPr>
        <w:t>实施，</w:t>
      </w: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年下达集体和个人所有天然商品林停伐补助资金</w:t>
      </w:r>
      <w:r>
        <w:rPr>
          <w:rFonts w:ascii="仿宋_GB2312" w:eastAsia="仿宋_GB2312" w:cs="仿宋_GB2312" w:hint="eastAsia"/>
          <w:sz w:val="32"/>
          <w:szCs w:val="32"/>
          <w:lang w:val="en-US" w:eastAsia="zh-CN"/>
        </w:rPr>
        <w:t>397.3</w:t>
      </w:r>
      <w:r>
        <w:rPr>
          <w:rFonts w:ascii="仿宋_GB2312" w:eastAsia="仿宋_GB2312" w:cs="仿宋_GB2312" w:hint="eastAsia"/>
          <w:sz w:val="32"/>
          <w:szCs w:val="32"/>
        </w:rPr>
        <w:t>万元，</w:t>
      </w:r>
      <w:r>
        <w:rPr>
          <w:rFonts w:ascii="仿宋_GB2312" w:eastAsia="仿宋_GB2312" w:cs="仿宋_GB2312" w:hint="eastAsia"/>
          <w:sz w:val="32"/>
          <w:szCs w:val="32"/>
          <w:lang w:val="zh-CN"/>
        </w:rPr>
        <w:t>用于</w:t>
      </w:r>
      <w:r>
        <w:rPr>
          <w:rFonts w:ascii="仿宋_GB2312" w:eastAsia="仿宋_GB2312" w:cs="仿宋_GB2312" w:hint="eastAsia"/>
          <w:sz w:val="32"/>
          <w:szCs w:val="32"/>
        </w:rPr>
        <w:t>集体和个人所有天然商品林停伐补助，全部为国家级资金</w:t>
      </w:r>
      <w:r>
        <w:rPr>
          <w:rFonts w:ascii="仿宋_GB2312" w:eastAsia="仿宋_GB2312" w:cs="仿宋_GB2312" w:hint="eastAsia"/>
          <w:sz w:val="32"/>
          <w:szCs w:val="32"/>
          <w:lang w:val="zh-CN"/>
        </w:rPr>
        <w:t>。</w:t>
      </w:r>
    </w:p>
    <w:p>
      <w:pPr>
        <w:pStyle w:val="37"/>
        <w:keepNext w:val="0"/>
        <w:keepLines w:val="0"/>
        <w:pageBreakBefore w:val="0"/>
        <w:widowControl w:val="0"/>
        <w:kinsoku/>
        <w:wordWrap/>
        <w:overflowPunct/>
        <w:topLinePunct w:val="0"/>
        <w:autoSpaceDE/>
        <w:autoSpaceDN/>
        <w:bidi w:val="0"/>
        <w:spacing w:line="560" w:lineRule="exact"/>
        <w:ind w:leftChars="200" w:left="420"/>
        <w:textAlignment w:val="auto"/>
        <w:rPr>
          <w:rFonts w:ascii="仿宋_GB2312" w:eastAsia="仿宋_GB2312" w:cs="仿宋_GB2312" w:hint="eastAsia"/>
          <w:b/>
          <w:sz w:val="32"/>
          <w:szCs w:val="32"/>
          <w:lang w:val="zh-CN"/>
        </w:rPr>
      </w:pPr>
      <w:r>
        <w:rPr>
          <w:rFonts w:ascii="仿宋_GB2312" w:cs="仿宋_GB2312" w:hint="eastAsia"/>
          <w:b/>
          <w:sz w:val="32"/>
          <w:szCs w:val="32"/>
          <w:lang w:val="zh-CN"/>
        </w:rPr>
        <w:t>（二）</w:t>
      </w:r>
      <w:r>
        <w:rPr>
          <w:rFonts w:ascii="仿宋_GB2312" w:eastAsia="仿宋_GB2312" w:cs="仿宋_GB2312" w:hint="eastAsia"/>
          <w:b/>
          <w:sz w:val="32"/>
          <w:szCs w:val="32"/>
          <w:lang w:val="zh-CN"/>
        </w:rPr>
        <w:t>项目绩效目标</w:t>
      </w:r>
    </w:p>
    <w:p>
      <w:pPr>
        <w:pStyle w:val="37"/>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为了全面停止天然林商业性采伐，切实加强天然林资源保护，维护林权权利人合法权益，我们在与林权权利人签订停伐补助协议同时，严格依照停伐补助协议约定的管护内容对管护成效进行考核验收，并将考核验收结果作为补助资金兑现依据。</w:t>
      </w:r>
      <w:r>
        <w:rPr>
          <w:rFonts w:ascii="仿宋_GB2312" w:eastAsia="仿宋_GB2312" w:cs="仿宋_GB2312" w:hint="eastAsia"/>
          <w:sz w:val="32"/>
          <w:szCs w:val="32"/>
          <w:lang w:val="en-US" w:eastAsia="zh-CN"/>
        </w:rPr>
        <w:t>2021</w:t>
      </w:r>
      <w:r>
        <w:rPr>
          <w:rFonts w:ascii="仿宋_GB2312" w:eastAsia="仿宋_GB2312" w:cs="仿宋_GB2312" w:hint="eastAsia"/>
          <w:sz w:val="32"/>
          <w:szCs w:val="32"/>
        </w:rPr>
        <w:t>年集体和个人所有天然商品林停伐补助标准调整为</w:t>
      </w:r>
      <w:r>
        <w:rPr>
          <w:rFonts w:ascii="仿宋_GB2312" w:eastAsia="仿宋_GB2312" w:cs="仿宋_GB2312" w:hint="eastAsia"/>
          <w:sz w:val="32"/>
          <w:szCs w:val="32"/>
          <w:lang w:val="en-US" w:eastAsia="zh-CN"/>
        </w:rPr>
        <w:t>15.1644</w:t>
      </w:r>
      <w:r>
        <w:rPr>
          <w:rFonts w:ascii="仿宋_GB2312" w:eastAsia="仿宋_GB2312" w:cs="仿宋_GB2312" w:hint="eastAsia"/>
          <w:sz w:val="32"/>
          <w:szCs w:val="32"/>
        </w:rPr>
        <w:t>元/亩，全县集体公益林总面积为</w:t>
      </w:r>
      <w:r>
        <w:rPr>
          <w:rFonts w:ascii="仿宋_GB2312" w:eastAsia="仿宋_GB2312" w:cs="仿宋_GB2312" w:hint="eastAsia"/>
          <w:sz w:val="32"/>
          <w:szCs w:val="32"/>
          <w:lang w:val="en-US" w:eastAsia="zh-CN"/>
        </w:rPr>
        <w:t>26.1994</w:t>
      </w:r>
      <w:r>
        <w:rPr>
          <w:rFonts w:ascii="仿宋_GB2312" w:eastAsia="仿宋_GB2312" w:cs="仿宋_GB2312" w:hint="eastAsia"/>
          <w:sz w:val="32"/>
          <w:szCs w:val="32"/>
        </w:rPr>
        <w:t>万亩，补助资金</w:t>
      </w:r>
      <w:r>
        <w:rPr>
          <w:rFonts w:ascii="仿宋_GB2312" w:eastAsia="仿宋_GB2312" w:cs="仿宋_GB2312" w:hint="eastAsia"/>
          <w:sz w:val="32"/>
          <w:szCs w:val="32"/>
          <w:lang w:val="en-US" w:eastAsia="zh-CN"/>
        </w:rPr>
        <w:t>397.3</w:t>
      </w:r>
      <w:r>
        <w:rPr>
          <w:rFonts w:ascii="仿宋_GB2312" w:eastAsia="仿宋_GB2312" w:cs="仿宋_GB2312" w:hint="eastAsia"/>
          <w:sz w:val="32"/>
          <w:szCs w:val="32"/>
        </w:rPr>
        <w:t>万元，涉及</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个镇，</w:t>
      </w:r>
      <w:r>
        <w:rPr>
          <w:rFonts w:ascii="仿宋_GB2312" w:eastAsia="仿宋_GB2312" w:cs="仿宋_GB2312" w:hint="eastAsia"/>
          <w:sz w:val="32"/>
          <w:szCs w:val="32"/>
          <w:lang w:val="en-US" w:eastAsia="zh-CN"/>
        </w:rPr>
        <w:t>69</w:t>
      </w:r>
      <w:r>
        <w:rPr>
          <w:rFonts w:ascii="仿宋_GB2312" w:eastAsia="仿宋_GB2312" w:cs="仿宋_GB2312" w:hint="eastAsia"/>
          <w:sz w:val="32"/>
          <w:szCs w:val="32"/>
        </w:rPr>
        <w:t>个村，农户1.7万余户，受益人口5万余人。《茂县</w:t>
      </w:r>
      <w:r>
        <w:rPr>
          <w:rFonts w:ascii="仿宋_GB2312" w:eastAsia="仿宋_GB2312" w:cs="仿宋_GB2312" w:hint="eastAsia"/>
          <w:sz w:val="32"/>
          <w:szCs w:val="32"/>
          <w:lang w:val="en-US" w:eastAsia="zh-CN"/>
        </w:rPr>
        <w:t>2021</w:t>
      </w:r>
      <w:r>
        <w:rPr>
          <w:rFonts w:ascii="仿宋_GB2312" w:eastAsia="仿宋_GB2312" w:cs="仿宋_GB2312" w:hint="eastAsia"/>
          <w:sz w:val="32"/>
          <w:szCs w:val="32"/>
        </w:rPr>
        <w:t>年集体公益林生态效益偿基金和商品林停伐补助兑现方案》计划实施。</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cs="黑体" w:hint="eastAsia"/>
          <w:sz w:val="32"/>
          <w:szCs w:val="32"/>
        </w:rPr>
      </w:pPr>
      <w:r>
        <w:rPr>
          <w:rFonts w:ascii="黑体" w:eastAsia="黑体" w:cs="黑体" w:hint="eastAsia"/>
          <w:sz w:val="32"/>
          <w:szCs w:val="32"/>
        </w:rPr>
        <w:t>二、项目实施及管理情况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sz w:val="32"/>
          <w:szCs w:val="32"/>
          <w:lang w:val="zh-CN"/>
        </w:rPr>
      </w:pPr>
      <w:r>
        <w:rPr>
          <w:rFonts w:ascii="仿宋_GB2312" w:eastAsia="仿宋_GB2312" w:cs="仿宋_GB2312" w:hint="eastAsia"/>
          <w:sz w:val="32"/>
          <w:szCs w:val="32"/>
          <w:lang w:val="zh-CN"/>
        </w:rPr>
        <w:tab/>
      </w:r>
      <w:r>
        <w:rPr>
          <w:rFonts w:ascii="仿宋_GB2312" w:eastAsia="仿宋_GB2312" w:cs="仿宋_GB2312" w:hint="eastAsia"/>
          <w:b/>
          <w:sz w:val="32"/>
          <w:szCs w:val="32"/>
          <w:lang w:val="zh-CN"/>
        </w:rPr>
        <w:t>（一）资金计划、到位及使用情况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1．资金计划及到位。</w:t>
      </w:r>
      <w:r>
        <w:rPr>
          <w:rFonts w:ascii="仿宋_GB2312" w:eastAsia="仿宋_GB2312" w:cs="仿宋_GB2312" w:hint="eastAsia"/>
          <w:sz w:val="32"/>
          <w:szCs w:val="32"/>
          <w:lang w:val="en-US" w:eastAsia="zh-CN"/>
        </w:rPr>
        <w:t>2021</w:t>
      </w:r>
      <w:r>
        <w:rPr>
          <w:rFonts w:ascii="仿宋_GB2312" w:eastAsia="仿宋_GB2312" w:cs="仿宋_GB2312" w:hint="eastAsia"/>
          <w:sz w:val="32"/>
          <w:szCs w:val="32"/>
        </w:rPr>
        <w:t>年度集体和个人所有天然商品林停伐补助项目</w:t>
      </w:r>
      <w:r>
        <w:rPr>
          <w:rFonts w:ascii="仿宋_GB2312" w:eastAsia="仿宋_GB2312" w:cs="仿宋_GB2312" w:hint="eastAsia"/>
          <w:sz w:val="32"/>
          <w:szCs w:val="32"/>
          <w:lang w:val="zh-CN"/>
        </w:rPr>
        <w:t>资金计划为</w:t>
      </w:r>
      <w:r>
        <w:rPr>
          <w:rFonts w:ascii="仿宋_GB2312" w:eastAsia="仿宋_GB2312" w:cs="仿宋_GB2312" w:hint="eastAsia"/>
          <w:sz w:val="32"/>
          <w:szCs w:val="32"/>
          <w:lang w:val="en-US" w:eastAsia="zh-CN"/>
        </w:rPr>
        <w:t>397.3</w:t>
      </w:r>
      <w:r>
        <w:rPr>
          <w:rFonts w:ascii="仿宋_GB2312" w:eastAsia="仿宋_GB2312" w:cs="仿宋_GB2312" w:hint="eastAsia"/>
          <w:sz w:val="32"/>
          <w:szCs w:val="32"/>
        </w:rPr>
        <w:t>万元，</w:t>
      </w:r>
      <w:r>
        <w:rPr>
          <w:rFonts w:ascii="仿宋_GB2312" w:eastAsia="仿宋_GB2312" w:cs="仿宋_GB2312" w:hint="eastAsia"/>
          <w:sz w:val="32"/>
          <w:szCs w:val="32"/>
          <w:lang w:val="zh-CN"/>
        </w:rPr>
        <w:t>截止评价时点实际到位</w:t>
      </w:r>
      <w:r>
        <w:rPr>
          <w:rFonts w:ascii="仿宋_GB2312" w:eastAsia="仿宋_GB2312" w:cs="仿宋_GB2312" w:hint="eastAsia"/>
          <w:sz w:val="32"/>
          <w:szCs w:val="32"/>
          <w:lang w:val="en-US" w:eastAsia="zh-CN"/>
        </w:rPr>
        <w:t>397.3</w:t>
      </w:r>
      <w:r>
        <w:rPr>
          <w:rFonts w:ascii="仿宋_GB2312" w:eastAsia="仿宋_GB2312" w:cs="仿宋_GB2312" w:hint="eastAsia"/>
          <w:sz w:val="32"/>
          <w:szCs w:val="32"/>
        </w:rPr>
        <w:t>万元</w:t>
      </w:r>
      <w:r>
        <w:rPr>
          <w:rFonts w:ascii="仿宋_GB2312" w:eastAsia="仿宋_GB2312" w:cs="仿宋_GB2312" w:hint="eastAsia"/>
          <w:sz w:val="32"/>
          <w:szCs w:val="32"/>
          <w:lang w:val="zh-CN"/>
        </w:rPr>
        <w:t>，全部为中央财政资金。就资金到位情况与资金计划比较后资金到位率为</w:t>
      </w:r>
      <w:r>
        <w:rPr>
          <w:rFonts w:ascii="仿宋_GB2312" w:eastAsia="仿宋_GB2312" w:cs="仿宋_GB2312" w:hint="eastAsia"/>
          <w:sz w:val="32"/>
          <w:szCs w:val="32"/>
        </w:rPr>
        <w:t>100%</w:t>
      </w:r>
      <w:r>
        <w:rPr>
          <w:rFonts w:ascii="仿宋_GB2312" w:eastAsia="仿宋_GB2312" w:cs="仿宋_GB2312" w:hint="eastAsia"/>
          <w:sz w:val="32"/>
          <w:szCs w:val="32"/>
          <w:lang w:val="zh-CN"/>
        </w:rPr>
        <w:t>，且到位及时。</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zh-CN"/>
        </w:rPr>
        <w:t>2．资金使用。截止目前项目资金的实际支出397.298176</w:t>
      </w:r>
      <w:r>
        <w:rPr>
          <w:rFonts w:ascii="仿宋_GB2312" w:eastAsia="仿宋_GB2312" w:cs="仿宋_GB2312" w:hint="eastAsia"/>
          <w:sz w:val="32"/>
          <w:szCs w:val="32"/>
        </w:rPr>
        <w:t>万元</w:t>
      </w:r>
      <w:r>
        <w:rPr>
          <w:rFonts w:ascii="仿宋_GB2312" w:eastAsia="仿宋_GB2312" w:cs="仿宋_GB2312" w:hint="eastAsia"/>
          <w:sz w:val="32"/>
          <w:szCs w:val="32"/>
          <w:lang w:val="zh-CN"/>
        </w:rPr>
        <w:t>，资金开支用于兑现</w:t>
      </w:r>
      <w:r>
        <w:rPr>
          <w:rFonts w:ascii="仿宋_GB2312" w:eastAsia="仿宋_GB2312" w:cs="仿宋_GB2312" w:hint="eastAsia"/>
          <w:sz w:val="32"/>
          <w:szCs w:val="32"/>
        </w:rPr>
        <w:t>集体和个人所有天然商品林停伐补助，补助标准为,</w:t>
      </w:r>
      <w:r>
        <w:rPr>
          <w:rFonts w:ascii="仿宋_GB2312" w:eastAsia="仿宋_GB2312" w:cs="仿宋_GB2312" w:hint="eastAsia"/>
          <w:sz w:val="32"/>
          <w:szCs w:val="32"/>
          <w:lang w:val="en-US" w:eastAsia="zh-CN"/>
        </w:rPr>
        <w:t>15.1644</w:t>
      </w:r>
      <w:r>
        <w:rPr>
          <w:rFonts w:ascii="仿宋_GB2312" w:eastAsia="仿宋_GB2312" w:cs="仿宋_GB2312" w:hint="eastAsia"/>
          <w:sz w:val="32"/>
          <w:szCs w:val="32"/>
        </w:rPr>
        <w:t>元/亩，</w:t>
      </w:r>
      <w:r>
        <w:rPr>
          <w:rFonts w:ascii="仿宋_GB2312" w:eastAsia="仿宋_GB2312" w:cs="仿宋_GB2312" w:hint="eastAsia"/>
          <w:sz w:val="32"/>
          <w:szCs w:val="32"/>
          <w:lang w:val="zh-CN"/>
        </w:rPr>
        <w:t>支付进度</w:t>
      </w:r>
      <w:r>
        <w:rPr>
          <w:rFonts w:ascii="仿宋_GB2312" w:eastAsia="仿宋_GB2312" w:cs="仿宋_GB2312" w:hint="eastAsia"/>
          <w:sz w:val="32"/>
          <w:szCs w:val="32"/>
        </w:rPr>
        <w:t>100%。</w:t>
      </w:r>
      <w:r>
        <w:rPr>
          <w:rFonts w:ascii="仿宋_GB2312" w:eastAsia="仿宋_GB2312" w:cs="仿宋_GB2312" w:hint="eastAsia"/>
          <w:sz w:val="32"/>
          <w:szCs w:val="32"/>
          <w:lang w:val="zh-CN"/>
        </w:rPr>
        <w:t>支付依据根据财务要求合规合法，资金支付与预算相符，并对相关问题进行了说明。</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（二）项目财务管理情况</w:t>
      </w:r>
    </w:p>
    <w:p>
      <w:pPr>
        <w:pStyle w:val="37"/>
        <w:spacing w:line="560" w:lineRule="exact"/>
        <w:ind w:firstLineChars="200" w:firstLine="640"/>
        <w:rPr>
          <w:rFonts w:ascii="仿宋_GB2312" w:eastAsia="仿宋_GB2312" w:cs="仿宋_GB2312" w:hint="eastAsia"/>
          <w:sz w:val="32"/>
          <w:szCs w:val="32"/>
          <w:lang w:val="zh-CN"/>
        </w:rPr>
      </w:pPr>
      <w:r>
        <w:rPr>
          <w:rFonts w:ascii="仿宋_GB2312" w:eastAsia="仿宋_GB2312" w:cs="仿宋_GB2312" w:hint="eastAsia"/>
          <w:sz w:val="32"/>
          <w:szCs w:val="32"/>
        </w:rPr>
        <w:t>集体和个人所有天然商品林停伐补助</w:t>
      </w:r>
      <w:r>
        <w:rPr>
          <w:rFonts w:ascii="仿宋_GB2312" w:eastAsia="仿宋_GB2312" w:cs="仿宋_GB2312" w:hint="eastAsia"/>
          <w:sz w:val="32"/>
          <w:szCs w:val="32"/>
          <w:lang w:val="zh-CN"/>
        </w:rPr>
        <w:t>实行专户管理、专账核算、专款专用，对照项目资金管理办法，评价项目是严格执行财务管理制度、财务处理及时且会计核算规范。</w:t>
      </w:r>
    </w:p>
    <w:p>
      <w:pPr>
        <w:pStyle w:val="37"/>
        <w:adjustRightInd w:val="0"/>
        <w:snapToGrid w:val="0"/>
        <w:spacing w:line="600" w:lineRule="exact"/>
        <w:ind w:firstLine="720"/>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（三）项目组织实施情况</w:t>
      </w:r>
    </w:p>
    <w:p>
      <w:pPr>
        <w:pStyle w:val="37"/>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2019年兑现我县集体和个人所有天然商品林停伐补助总面积为18.7004万亩，全县资金兑现涉及涉及</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个镇，</w:t>
      </w:r>
      <w:r>
        <w:rPr>
          <w:rFonts w:ascii="仿宋_GB2312" w:eastAsia="仿宋_GB2312" w:cs="仿宋_GB2312" w:hint="eastAsia"/>
          <w:sz w:val="32"/>
          <w:szCs w:val="32"/>
          <w:lang w:val="en-US" w:eastAsia="zh-CN"/>
        </w:rPr>
        <w:t>69</w:t>
      </w:r>
      <w:r>
        <w:rPr>
          <w:rFonts w:ascii="仿宋_GB2312" w:eastAsia="仿宋_GB2312" w:cs="仿宋_GB2312" w:hint="eastAsia"/>
          <w:sz w:val="32"/>
          <w:szCs w:val="32"/>
        </w:rPr>
        <w:t>个村，农户1.7万余户，受益人口5万余人</w:t>
      </w:r>
      <w:r>
        <w:rPr>
          <w:rFonts w:ascii="仿宋_GB2312" w:eastAsia="仿宋_GB2312" w:cs="仿宋_GB2312" w:hint="eastAsia"/>
          <w:sz w:val="32"/>
          <w:szCs w:val="32"/>
          <w:lang w:eastAsia="zh-CN"/>
        </w:rPr>
        <w:t>。</w:t>
      </w:r>
    </w:p>
    <w:p>
      <w:pPr>
        <w:pStyle w:val="37"/>
        <w:ind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rPr>
        <w:t>1.建立和完善管护机制。</w:t>
      </w:r>
      <w:r>
        <w:rPr>
          <w:rFonts w:ascii="仿宋_GB2312" w:eastAsia="仿宋_GB2312" w:cs="仿宋_GB2312" w:hint="eastAsia"/>
          <w:sz w:val="32"/>
          <w:szCs w:val="32"/>
        </w:rPr>
        <w:t>制定了《茂县集体林管护制度》、《茂县集体林管护人员考核办法》；各乡镇成立集体林管护机构领导小组，制定了集体林管护制度、明确了管护职责。</w:t>
      </w:r>
    </w:p>
    <w:p>
      <w:pPr>
        <w:pStyle w:val="37"/>
        <w:ind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rPr>
        <w:t>2.落实责任。</w:t>
      </w:r>
      <w:r>
        <w:rPr>
          <w:rFonts w:ascii="仿宋_GB2312" w:eastAsia="仿宋_GB2312" w:cs="仿宋_GB2312" w:hint="eastAsia"/>
          <w:sz w:val="32"/>
          <w:szCs w:val="32"/>
        </w:rPr>
        <w:t>我县根据上级要求与工作部署，结合各乡镇实际，认真贯彻执行四川省财政厅  四川省林业厅《关于进一步加强集体公益林生态效益补偿政策落实兑现工作的意见》川财农〔2015〕216号、《阿坝州森林资源保护管理办法》阿州林发〔2013〕178号的相关要求，使我县的森林资源管护和资金兑现工作得以有章可循，规范运作。一是签订目标责任书：林业主管部门与乡镇签订目标责任书，乡镇与行政村签订目标责任书；二是签订管护协议：行政村与本村所聘用的集体林管护人员签订集体林管护协议。三是绘制管护图：以乡镇为单位绘制了集体林管护图，将管护区域落实到人头。四是建立考核聘用机制：各乡镇对自辖区内的集体林管护人员进行年终考核，主要考核管护人员的政治思想表现及工作业绩，对考核合格的予以续聘，不合格的予以辞退。</w:t>
      </w:r>
    </w:p>
    <w:p>
      <w:pPr>
        <w:pStyle w:val="37"/>
        <w:ind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rPr>
        <w:t>3.制定兑现方案，落实兑现工作。</w:t>
      </w:r>
      <w:r>
        <w:rPr>
          <w:rFonts w:ascii="仿宋_GB2312" w:eastAsia="仿宋_GB2312" w:cs="仿宋_GB2312" w:hint="eastAsia"/>
          <w:sz w:val="32"/>
          <w:szCs w:val="32"/>
        </w:rPr>
        <w:t>为全面落实森林生态效益补偿资金兑现工作，制定了《茂县</w:t>
      </w:r>
      <w:r>
        <w:rPr>
          <w:rFonts w:ascii="仿宋_GB2312" w:eastAsia="仿宋_GB2312" w:cs="仿宋_GB2312" w:hint="eastAsia"/>
          <w:sz w:val="32"/>
          <w:szCs w:val="32"/>
          <w:lang w:val="en-US" w:eastAsia="zh-CN"/>
        </w:rPr>
        <w:t>2021</w:t>
      </w:r>
      <w:r>
        <w:rPr>
          <w:rFonts w:ascii="仿宋_GB2312" w:eastAsia="仿宋_GB2312" w:cs="仿宋_GB2312" w:hint="eastAsia"/>
          <w:sz w:val="32"/>
          <w:szCs w:val="32"/>
        </w:rPr>
        <w:t>年集体公益林生态效益偿基金和商品林停伐补助兑现方案》明确了补偿范围、补偿标准、资金用途以及资金拨付程序。</w:t>
      </w:r>
    </w:p>
    <w:p>
      <w:pPr>
        <w:pStyle w:val="37"/>
        <w:adjustRightInd w:val="0"/>
        <w:snapToGrid w:val="0"/>
        <w:spacing w:line="600" w:lineRule="exact"/>
        <w:ind w:firstLine="720"/>
        <w:rPr>
          <w:rFonts w:ascii="黑体" w:eastAsia="黑体" w:cs="黑体" w:hint="eastAsia"/>
          <w:sz w:val="32"/>
          <w:szCs w:val="32"/>
          <w:lang w:val="zh-CN"/>
        </w:rPr>
      </w:pPr>
      <w:r>
        <w:rPr>
          <w:rFonts w:ascii="黑体" w:eastAsia="黑体" w:cs="黑体" w:hint="eastAsia"/>
          <w:sz w:val="32"/>
          <w:szCs w:val="32"/>
        </w:rPr>
        <w:t>三、项目绩效情况</w:t>
      </w:r>
      <w:r>
        <w:rPr>
          <w:rFonts w:ascii="黑体" w:eastAsia="黑体" w:cs="黑体" w:hint="eastAsia"/>
          <w:sz w:val="32"/>
          <w:szCs w:val="32"/>
          <w:lang w:val="zh-CN"/>
        </w:rPr>
        <w:tab/>
      </w:r>
    </w:p>
    <w:p>
      <w:pPr>
        <w:pStyle w:val="37"/>
        <w:adjustRightInd w:val="0"/>
        <w:snapToGrid w:val="0"/>
        <w:spacing w:line="600" w:lineRule="exact"/>
        <w:ind w:firstLine="720"/>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（一）项目完成情况。</w:t>
      </w:r>
      <w:r>
        <w:rPr>
          <w:rFonts w:ascii="仿宋_GB2312" w:eastAsia="仿宋_GB2312" w:cs="仿宋_GB2312" w:hint="eastAsia"/>
          <w:color w:val="000000"/>
          <w:sz w:val="32"/>
          <w:szCs w:val="32"/>
        </w:rPr>
        <w:t>截止</w:t>
      </w:r>
      <w:r>
        <w:rPr>
          <w:rFonts w:ascii="仿宋_GB2312" w:eastAsia="仿宋_GB2312" w:cs="仿宋_GB2312" w:hint="eastAsia"/>
          <w:color w:val="000000"/>
          <w:sz w:val="32"/>
          <w:szCs w:val="32"/>
          <w:lang w:val="en-US" w:eastAsia="zh-CN"/>
        </w:rPr>
        <w:t>2021</w:t>
      </w:r>
      <w:r>
        <w:rPr>
          <w:rFonts w:ascii="仿宋_GB2312" w:eastAsia="仿宋_GB2312" w:cs="仿宋_GB2312" w:hint="eastAsia"/>
          <w:color w:val="000000"/>
          <w:sz w:val="32"/>
          <w:szCs w:val="32"/>
        </w:rPr>
        <w:t>年12月31日，该年度</w:t>
      </w:r>
      <w:r>
        <w:rPr>
          <w:rFonts w:ascii="仿宋_GB2312" w:eastAsia="仿宋_GB2312" w:cs="仿宋_GB2312" w:hint="eastAsia"/>
          <w:sz w:val="32"/>
          <w:szCs w:val="32"/>
        </w:rPr>
        <w:t>集体和个人所有天然商品林停伐补助</w:t>
      </w:r>
      <w:r>
        <w:rPr>
          <w:rFonts w:ascii="仿宋_GB2312" w:eastAsia="仿宋_GB2312" w:cs="仿宋_GB2312" w:hint="eastAsia"/>
          <w:color w:val="000000"/>
          <w:sz w:val="32"/>
          <w:szCs w:val="32"/>
        </w:rPr>
        <w:t>项目已按照相关要求全面完成，并通过了县级林业主管部门验收合格。</w:t>
      </w:r>
    </w:p>
    <w:p>
      <w:pPr>
        <w:pStyle w:val="37"/>
        <w:spacing w:line="560" w:lineRule="exact"/>
        <w:ind w:firstLineChars="200" w:firstLine="640"/>
        <w:rPr>
          <w:rFonts w:ascii="仿宋_GB2312" w:eastAsia="仿宋_GB2312" w:cs="仿宋_GB2312" w:hint="eastAsia"/>
          <w:color w:val="000000"/>
          <w:kern w:val="0"/>
          <w:sz w:val="32"/>
          <w:szCs w:val="32"/>
        </w:rPr>
      </w:pPr>
      <w:r>
        <w:rPr>
          <w:rFonts w:ascii="仿宋_GB2312" w:eastAsia="仿宋_GB2312" w:cs="仿宋_GB2312" w:hint="eastAsia"/>
          <w:b/>
          <w:sz w:val="32"/>
          <w:szCs w:val="32"/>
          <w:lang w:val="zh-CN"/>
        </w:rPr>
        <w:t>（二）项目效益情况。</w:t>
      </w:r>
      <w:r>
        <w:rPr>
          <w:rFonts w:ascii="仿宋_GB2312" w:eastAsia="仿宋_GB2312" w:cs="仿宋_GB2312" w:hint="eastAsia"/>
          <w:color w:val="000000"/>
          <w:kern w:val="0"/>
          <w:sz w:val="32"/>
          <w:szCs w:val="32"/>
        </w:rPr>
        <w:t>本年度，我县</w:t>
      </w:r>
      <w:r>
        <w:rPr>
          <w:rFonts w:ascii="仿宋_GB2312" w:eastAsia="仿宋_GB2312" w:cs="仿宋_GB2312" w:hint="eastAsia"/>
          <w:sz w:val="32"/>
          <w:szCs w:val="32"/>
        </w:rPr>
        <w:t>集体和个人所有天然商品林停伐补助</w:t>
      </w:r>
      <w:r>
        <w:rPr>
          <w:rFonts w:ascii="仿宋_GB2312" w:eastAsia="仿宋_GB2312" w:cs="仿宋_GB2312" w:hint="eastAsia"/>
          <w:color w:val="000000"/>
          <w:kern w:val="0"/>
          <w:sz w:val="32"/>
          <w:szCs w:val="32"/>
        </w:rPr>
        <w:t xml:space="preserve">工作，在上级林业主管部门的帮助指导下，经过采取有效措施，得到有效管护，最大限度地满足维护国家生态安全和经济社会发展的需要。主要表现在以下方面：  </w:t>
      </w:r>
    </w:p>
    <w:p>
      <w:pPr>
        <w:pStyle w:val="37"/>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b/>
          <w:bCs/>
          <w:color w:val="000000"/>
          <w:kern w:val="0"/>
          <w:sz w:val="32"/>
          <w:szCs w:val="32"/>
        </w:rPr>
        <w:t>1.</w:t>
      </w:r>
      <w:r>
        <w:rPr>
          <w:rFonts w:ascii="仿宋_GB2312" w:eastAsia="仿宋_GB2312" w:cs="仿宋_GB2312" w:hint="eastAsia"/>
          <w:b/>
          <w:bCs/>
          <w:color w:val="000000"/>
          <w:sz w:val="32"/>
          <w:szCs w:val="32"/>
        </w:rPr>
        <w:t>社会经济效益</w:t>
      </w:r>
      <w:r>
        <w:rPr>
          <w:rFonts w:ascii="仿宋_GB2312" w:eastAsia="仿宋_GB2312" w:cs="仿宋_GB2312" w:hint="eastAsia"/>
          <w:color w:val="000000"/>
          <w:sz w:val="32"/>
          <w:szCs w:val="32"/>
        </w:rPr>
        <w:t>。通过实施</w:t>
      </w:r>
      <w:r>
        <w:rPr>
          <w:rFonts w:ascii="仿宋_GB2312" w:eastAsia="仿宋_GB2312" w:cs="仿宋_GB2312" w:hint="eastAsia"/>
          <w:sz w:val="32"/>
          <w:szCs w:val="32"/>
        </w:rPr>
        <w:t>集体和个人所有天然商品林停伐补助</w:t>
      </w:r>
      <w:r>
        <w:rPr>
          <w:rFonts w:ascii="仿宋_GB2312" w:eastAsia="仿宋_GB2312" w:cs="仿宋_GB2312" w:hint="eastAsia"/>
          <w:color w:val="000000"/>
          <w:sz w:val="32"/>
          <w:szCs w:val="32"/>
        </w:rPr>
        <w:t>，使全县</w:t>
      </w:r>
      <w:r>
        <w:rPr>
          <w:rFonts w:ascii="仿宋_GB2312" w:eastAsia="仿宋_GB2312" w:cs="仿宋_GB2312" w:hint="eastAsia"/>
          <w:sz w:val="32"/>
          <w:szCs w:val="32"/>
        </w:rPr>
        <w:t>涉及</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个镇，</w:t>
      </w:r>
      <w:r>
        <w:rPr>
          <w:rFonts w:ascii="仿宋_GB2312" w:eastAsia="仿宋_GB2312" w:cs="仿宋_GB2312" w:hint="eastAsia"/>
          <w:sz w:val="32"/>
          <w:szCs w:val="32"/>
          <w:lang w:val="en-US" w:eastAsia="zh-CN"/>
        </w:rPr>
        <w:t>69</w:t>
      </w:r>
      <w:r>
        <w:rPr>
          <w:rFonts w:ascii="仿宋_GB2312" w:eastAsia="仿宋_GB2312" w:cs="仿宋_GB2312" w:hint="eastAsia"/>
          <w:sz w:val="32"/>
          <w:szCs w:val="32"/>
        </w:rPr>
        <w:t>个村，农户1.7万余户，受益人口5万余人</w:t>
      </w:r>
      <w:r>
        <w:rPr>
          <w:rFonts w:ascii="仿宋_GB2312" w:eastAsia="仿宋_GB2312" w:cs="仿宋_GB2312" w:hint="eastAsia"/>
          <w:color w:val="000000"/>
          <w:sz w:val="32"/>
          <w:szCs w:val="32"/>
        </w:rPr>
        <w:t>。增加了群众收入，提高当地群众生活生产水平和改善了生活生产条件。</w:t>
      </w:r>
    </w:p>
    <w:p>
      <w:pPr>
        <w:pStyle w:val="37"/>
        <w:spacing w:line="56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b/>
          <w:bCs/>
          <w:sz w:val="32"/>
          <w:szCs w:val="32"/>
        </w:rPr>
        <w:t>2.</w:t>
      </w:r>
      <w:r>
        <w:rPr>
          <w:rFonts w:ascii="仿宋_GB2312" w:eastAsia="仿宋_GB2312" w:cs="仿宋_GB2312" w:hint="eastAsia"/>
          <w:b/>
          <w:bCs/>
          <w:color w:val="000000"/>
          <w:sz w:val="32"/>
          <w:szCs w:val="32"/>
        </w:rPr>
        <w:t>生态建设效益</w:t>
      </w:r>
      <w:r>
        <w:rPr>
          <w:rFonts w:ascii="仿宋_GB2312" w:eastAsia="仿宋_GB2312" w:cs="仿宋_GB2312" w:hint="eastAsia"/>
          <w:color w:val="000000"/>
          <w:sz w:val="32"/>
          <w:szCs w:val="32"/>
        </w:rPr>
        <w:t>。通过实施禁伐、森林管护、增强了水源涵养能力，保护了生态环境和生物多样性，为建设长江上游重要生态屏障作了巨大贡献。</w:t>
      </w:r>
    </w:p>
    <w:p>
      <w:pPr>
        <w:pStyle w:val="37"/>
        <w:spacing w:line="560" w:lineRule="exact"/>
        <w:ind w:firstLineChars="200" w:firstLine="640"/>
        <w:rPr>
          <w:rFonts w:ascii="仿宋_GB2312" w:eastAsia="仿宋_GB2312" w:cs="仿宋_GB2312" w:hint="eastAsia"/>
          <w:color w:val="000000"/>
          <w:kern w:val="0"/>
          <w:sz w:val="32"/>
          <w:szCs w:val="32"/>
        </w:rPr>
      </w:pPr>
      <w:r>
        <w:rPr>
          <w:rFonts w:ascii="仿宋_GB2312" w:eastAsia="仿宋_GB2312" w:cs="仿宋_GB2312" w:hint="eastAsia"/>
          <w:b/>
          <w:bCs/>
          <w:color w:val="000000"/>
          <w:sz w:val="32"/>
          <w:szCs w:val="32"/>
        </w:rPr>
        <w:t>3.受益群众满意度</w:t>
      </w:r>
      <w:r>
        <w:rPr>
          <w:rFonts w:ascii="仿宋_GB2312" w:eastAsia="仿宋_GB2312" w:cs="仿宋_GB2312" w:hint="eastAsia"/>
          <w:color w:val="000000"/>
          <w:sz w:val="32"/>
          <w:szCs w:val="32"/>
        </w:rPr>
        <w:t>。通过实施</w:t>
      </w:r>
      <w:r>
        <w:rPr>
          <w:rFonts w:ascii="仿宋_GB2312" w:eastAsia="仿宋_GB2312" w:cs="仿宋_GB2312" w:hint="eastAsia"/>
          <w:sz w:val="32"/>
          <w:szCs w:val="32"/>
        </w:rPr>
        <w:t>集体和个人所有天然商品林停伐补助</w:t>
      </w:r>
      <w:r>
        <w:rPr>
          <w:rFonts w:ascii="仿宋_GB2312" w:eastAsia="仿宋_GB2312" w:cs="仿宋_GB2312" w:hint="eastAsia"/>
          <w:color w:val="000000"/>
          <w:sz w:val="32"/>
          <w:szCs w:val="32"/>
        </w:rPr>
        <w:t>，改善了当地农牧业的生产条件，为增产增收提供了一定的条件，创造了一些就业机会，对维护社会稳定和提高人民生活水平起到了良好的促进作用，因此深受广大受益群众的好评。</w:t>
      </w:r>
    </w:p>
    <w:p>
      <w:pPr>
        <w:pStyle w:val="37"/>
        <w:adjustRightInd w:val="0"/>
        <w:snapToGrid w:val="0"/>
        <w:spacing w:line="600" w:lineRule="exact"/>
        <w:ind w:firstLine="720"/>
        <w:rPr>
          <w:rFonts w:ascii="黑体" w:eastAsia="黑体" w:cs="黑体" w:hint="eastAsia"/>
          <w:sz w:val="32"/>
          <w:szCs w:val="32"/>
        </w:rPr>
      </w:pPr>
      <w:r>
        <w:rPr>
          <w:rFonts w:ascii="黑体" w:eastAsia="黑体" w:cs="黑体" w:hint="eastAsia"/>
          <w:sz w:val="32"/>
          <w:szCs w:val="32"/>
        </w:rPr>
        <w:t>四、问题及建议</w:t>
      </w:r>
    </w:p>
    <w:p>
      <w:pPr>
        <w:pStyle w:val="37"/>
        <w:ind w:firstLineChars="200" w:firstLine="640"/>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（一）存在的问题</w:t>
      </w:r>
    </w:p>
    <w:p>
      <w:pPr>
        <w:pStyle w:val="37"/>
        <w:ind w:firstLineChars="200" w:firstLine="640"/>
        <w:rPr>
          <w:rFonts w:ascii="仿宋_GB2312" w:eastAsia="仿宋_GB2312" w:cs="仿宋_GB2312" w:hint="eastAsia"/>
          <w:snapToGrid w:val="0"/>
          <w:sz w:val="32"/>
          <w:szCs w:val="32"/>
        </w:rPr>
      </w:pPr>
      <w:r>
        <w:rPr>
          <w:rFonts w:ascii="仿宋_GB2312" w:eastAsia="仿宋_GB2312" w:cs="仿宋_GB2312" w:hint="eastAsia"/>
          <w:snapToGrid w:val="0"/>
          <w:sz w:val="32"/>
          <w:szCs w:val="32"/>
        </w:rPr>
        <w:t>补偿标准较低，补偿所获得的收入远远低于林农发展经济林果的收入，会诱发林农铤而走险开林种植经济林木或作物。因此为切实保障提升生态功能，保障提高林农收益，国家还应加大对林地建设投入，提高补偿标准。</w:t>
      </w:r>
    </w:p>
    <w:p>
      <w:pPr>
        <w:pStyle w:val="39"/>
        <w:rPr>
          <w:rFonts w:hint="eastAsia"/>
          <w:lang w:val="zh-CN"/>
        </w:rPr>
      </w:pPr>
    </w:p>
    <w:p>
      <w:pPr>
        <w:pStyle w:val="37"/>
      </w:pPr>
    </w:p>
    <w:p>
      <w:pPr>
        <w:pStyle w:val="40"/>
        <w:spacing w:line="600" w:lineRule="exact"/>
        <w:jc w:val="center"/>
        <w:rPr>
          <w:rFonts w:ascii="方正小标宋简体" w:eastAsia="方正小标宋简体" w:hint="eastAsia"/>
          <w:sz w:val="44"/>
          <w:szCs w:val="44"/>
          <w:lang w:val="en-US" w:eastAsia="zh-CN"/>
        </w:rPr>
      </w:pPr>
    </w:p>
    <w:p>
      <w:pPr>
        <w:pStyle w:val="40"/>
        <w:spacing w:line="600" w:lineRule="exact"/>
        <w:jc w:val="center"/>
        <w:rPr>
          <w:rFonts w:ascii="方正小标宋简体" w:eastAsia="方正小标宋简体" w:hint="eastAsia"/>
          <w:sz w:val="44"/>
          <w:szCs w:val="44"/>
          <w:lang w:val="en-US" w:eastAsia="zh-CN"/>
        </w:rPr>
      </w:pPr>
    </w:p>
    <w:p>
      <w:pPr>
        <w:pStyle w:val="40"/>
        <w:spacing w:line="600" w:lineRule="exact"/>
        <w:jc w:val="center"/>
        <w:rPr>
          <w:rFonts w:ascii="黑体" w:eastAsia="黑体" w:cs="仿宋_GB2312" w:hint="eastAsia"/>
          <w:sz w:val="36"/>
          <w:szCs w:val="32"/>
        </w:rPr>
      </w:pPr>
      <w:r>
        <w:rPr>
          <w:rFonts w:ascii="方正小标宋简体" w:eastAsia="方正小标宋简体" w:hint="eastAsia"/>
          <w:sz w:val="44"/>
          <w:szCs w:val="44"/>
          <w:lang w:val="en-US" w:eastAsia="zh-CN"/>
        </w:rPr>
        <w:t>2021</w:t>
      </w:r>
      <w:r>
        <w:rPr>
          <w:rFonts w:ascii="方正小标宋简体" w:eastAsia="方正小标宋简体" w:hint="eastAsia"/>
          <w:sz w:val="44"/>
          <w:szCs w:val="44"/>
          <w:lang w:val="en-US"/>
        </w:rPr>
        <w:t>年度</w:t>
      </w:r>
      <w:r>
        <w:rPr>
          <w:rFonts w:ascii="方正小标宋简体" w:eastAsia="方正小标宋简体" w:hint="eastAsia"/>
          <w:sz w:val="44"/>
          <w:szCs w:val="44"/>
        </w:rPr>
        <w:t>项目支出绩效自评报告</w:t>
      </w:r>
    </w:p>
    <w:p>
      <w:pPr>
        <w:pStyle w:val="40"/>
        <w:spacing w:line="240" w:lineRule="auto"/>
        <w:jc w:val="center"/>
        <w:rPr>
          <w:rFonts w:ascii="仿宋_GB2312" w:eastAsia="仿宋_GB2312" w:cs="仿宋_GB2312" w:hint="eastAsia"/>
          <w:color w:val="auto"/>
          <w:sz w:val="32"/>
          <w:szCs w:val="32"/>
        </w:rPr>
      </w:pPr>
      <w:r>
        <w:rPr>
          <w:rFonts w:ascii="仿宋_GB2312" w:eastAsia="仿宋_GB2312" w:cs="仿宋_GB2312" w:hint="eastAsia"/>
          <w:sz w:val="32"/>
          <w:szCs w:val="32"/>
          <w:lang w:eastAsia="zh-CN"/>
        </w:rPr>
        <w:t>（</w:t>
      </w:r>
      <w:r>
        <w:rPr>
          <w:rFonts w:ascii="仿宋_GB2312" w:eastAsia="仿宋_GB2312" w:cs="仿宋_GB2312" w:hint="eastAsia"/>
          <w:sz w:val="32"/>
          <w:szCs w:val="32"/>
        </w:rPr>
        <w:t>茂县茅香坪工区至土地岭防灭火道路项目</w:t>
      </w:r>
      <w:r>
        <w:rPr>
          <w:rFonts w:ascii="仿宋_GB2312" w:eastAsia="仿宋_GB2312" w:cs="仿宋_GB2312" w:hint="eastAsia"/>
          <w:sz w:val="32"/>
          <w:szCs w:val="32"/>
          <w:lang w:eastAsia="zh-CN"/>
        </w:rPr>
        <w:t>）</w:t>
      </w:r>
    </w:p>
    <w:p>
      <w:pPr>
        <w:pStyle w:val="37"/>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pStyle w:val="37"/>
        <w:adjustRightInd w:val="0"/>
        <w:snapToGrid w:val="0"/>
        <w:spacing w:line="600" w:lineRule="exact"/>
        <w:ind w:firstLine="720"/>
        <w:rPr>
          <w:rFonts w:ascii="楷体_GB2312" w:eastAsia="楷体_GB2312" w:hint="eastAsia"/>
          <w:b/>
          <w:sz w:val="32"/>
          <w:szCs w:val="32"/>
          <w:lang w:val="zh-CN"/>
        </w:rPr>
      </w:pPr>
      <w:r>
        <w:rPr>
          <w:rFonts w:ascii="楷体_GB2312" w:eastAsia="楷体_GB2312" w:hint="eastAsia"/>
          <w:b/>
          <w:sz w:val="32"/>
          <w:szCs w:val="32"/>
          <w:lang w:val="zh-CN"/>
        </w:rPr>
        <w:t>（一）项目基本情况</w:t>
      </w:r>
    </w:p>
    <w:p>
      <w:pPr>
        <w:pStyle w:val="37"/>
        <w:adjustRightInd w:val="0"/>
        <w:snapToGrid w:val="0"/>
        <w:spacing w:line="600" w:lineRule="exact"/>
        <w:ind w:firstLine="720"/>
        <w:rPr>
          <w:rFonts w:ascii="仿宋_GB2312" w:eastAsia="仿宋_GB2312" w:cs="仿宋_GB2312" w:hint="eastAsia"/>
          <w:sz w:val="32"/>
          <w:szCs w:val="32"/>
          <w:lang w:eastAsia="zh-CN"/>
        </w:rPr>
      </w:pPr>
      <w:r>
        <w:rPr>
          <w:rFonts w:ascii="仿宋_GB2312" w:eastAsia="仿宋_GB2312" w:cs="仿宋_GB2312" w:hint="eastAsia"/>
          <w:sz w:val="32"/>
          <w:szCs w:val="32"/>
        </w:rPr>
        <w:t>项目名称：茂县茅香坪工区至土地岭防灭火道路项目</w:t>
      </w:r>
      <w:r>
        <w:rPr>
          <w:rFonts w:ascii="仿宋_GB2312" w:eastAsia="仿宋_GB2312" w:cs="仿宋_GB2312" w:hint="eastAsia"/>
          <w:sz w:val="32"/>
          <w:szCs w:val="32"/>
          <w:lang w:eastAsia="zh-CN"/>
        </w:rPr>
        <w:t>；</w:t>
      </w:r>
      <w:r>
        <w:rPr>
          <w:rFonts w:ascii="仿宋_GB2312" w:eastAsia="仿宋_GB2312" w:cs="仿宋_GB2312" w:hint="eastAsia"/>
          <w:sz w:val="32"/>
          <w:szCs w:val="32"/>
        </w:rPr>
        <w:t>建设单位：茂县林业和草原局</w:t>
      </w:r>
      <w:r>
        <w:rPr>
          <w:rFonts w:ascii="仿宋_GB2312" w:eastAsia="仿宋_GB2312" w:cs="仿宋_GB2312" w:hint="eastAsia"/>
          <w:sz w:val="32"/>
          <w:szCs w:val="32"/>
          <w:lang w:eastAsia="zh-CN"/>
        </w:rPr>
        <w:t>；</w:t>
      </w:r>
      <w:r>
        <w:rPr>
          <w:rFonts w:ascii="仿宋_GB2312" w:eastAsia="仿宋_GB2312" w:cs="仿宋_GB2312" w:hint="eastAsia"/>
          <w:sz w:val="32"/>
          <w:szCs w:val="32"/>
        </w:rPr>
        <w:t>建设地址：</w:t>
      </w:r>
      <w:bookmarkStart w:id="78" w:name="OLE_LINK1"/>
      <w:r>
        <w:rPr>
          <w:rFonts w:ascii="仿宋_GB2312" w:eastAsia="仿宋_GB2312" w:cs="仿宋_GB2312" w:hint="eastAsia"/>
          <w:sz w:val="32"/>
          <w:szCs w:val="32"/>
        </w:rPr>
        <w:t>茂县国有林场茅香坪工区至土地岭梁子段山林区</w:t>
      </w:r>
      <w:bookmarkEnd w:id="78"/>
      <w:r>
        <w:rPr>
          <w:rFonts w:ascii="仿宋_GB2312" w:eastAsia="仿宋_GB2312" w:cs="仿宋_GB2312" w:hint="eastAsia"/>
          <w:sz w:val="32"/>
          <w:szCs w:val="32"/>
          <w:lang w:eastAsia="zh-CN"/>
        </w:rPr>
        <w:t>；</w:t>
      </w:r>
      <w:r>
        <w:rPr>
          <w:rFonts w:ascii="仿宋_GB2312" w:eastAsia="仿宋_GB2312" w:cs="仿宋_GB2312" w:hint="eastAsia"/>
          <w:sz w:val="32"/>
          <w:szCs w:val="32"/>
        </w:rPr>
        <w:t>建设工期：4个月</w:t>
      </w:r>
      <w:r>
        <w:rPr>
          <w:rFonts w:ascii="仿宋_GB2312" w:eastAsia="仿宋_GB2312" w:cs="仿宋_GB2312" w:hint="eastAsia"/>
          <w:sz w:val="32"/>
          <w:szCs w:val="32"/>
          <w:lang w:eastAsia="zh-CN"/>
        </w:rPr>
        <w:t>；</w:t>
      </w:r>
      <w:r>
        <w:rPr>
          <w:rFonts w:ascii="仿宋_GB2312" w:eastAsia="仿宋_GB2312" w:cs="仿宋_GB2312" w:hint="eastAsia"/>
          <w:sz w:val="32"/>
          <w:szCs w:val="32"/>
        </w:rPr>
        <w:t>项目批复情况：2021年2月5日，茂县发展和改革局《关于茂县茅香坪工区至土地岭防灭火道路项目可行性研究报告的批复》（茂发改行审[2021] 24号），同意该项目可行性研究报告的请示(茂林草函[2021]25号）</w:t>
      </w:r>
      <w:r>
        <w:rPr>
          <w:rFonts w:ascii="仿宋_GB2312" w:eastAsia="仿宋_GB2312" w:cs="仿宋_GB2312" w:hint="eastAsia"/>
          <w:sz w:val="32"/>
          <w:szCs w:val="32"/>
          <w:lang w:eastAsia="zh-CN"/>
        </w:rPr>
        <w:t>。</w:t>
      </w:r>
    </w:p>
    <w:p>
      <w:pPr>
        <w:pStyle w:val="37"/>
        <w:adjustRightInd w:val="0"/>
        <w:snapToGrid w:val="0"/>
        <w:spacing w:line="600" w:lineRule="exact"/>
        <w:ind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（二）资金安排情况</w:t>
      </w:r>
    </w:p>
    <w:p>
      <w:pPr>
        <w:pStyle w:val="37"/>
        <w:adjustRightInd w:val="0"/>
        <w:snapToGrid w:val="0"/>
        <w:spacing w:line="600" w:lineRule="exact"/>
        <w:ind w:firstLine="720"/>
        <w:rPr>
          <w:rFonts w:ascii="仿宋_GB2312" w:eastAsia="仿宋_GB2312" w:cs="仿宋_GB2312" w:hint="eastAsia"/>
          <w:sz w:val="32"/>
          <w:szCs w:val="32"/>
        </w:rPr>
      </w:pPr>
      <w:r>
        <w:rPr>
          <w:rFonts w:ascii="仿宋_GB2312" w:eastAsia="仿宋_GB2312" w:cs="仿宋_GB2312" w:hint="eastAsia"/>
          <w:sz w:val="32"/>
          <w:szCs w:val="32"/>
        </w:rPr>
        <w:t>资金来源为2020年第三批省级财政交通专项资金</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项目经费210万元</w:t>
      </w:r>
      <w:r>
        <w:rPr>
          <w:rFonts w:ascii="仿宋_GB2312" w:eastAsia="仿宋_GB2312" w:cs="仿宋_GB2312" w:hint="eastAsia"/>
          <w:sz w:val="32"/>
          <w:szCs w:val="32"/>
          <w:lang w:eastAsia="zh-CN"/>
        </w:rPr>
        <w:t>）</w:t>
      </w:r>
      <w:r>
        <w:rPr>
          <w:rFonts w:ascii="仿宋_GB2312" w:eastAsia="仿宋_GB2312" w:cs="仿宋_GB2312" w:hint="eastAsia"/>
          <w:sz w:val="32"/>
          <w:szCs w:val="32"/>
        </w:rPr>
        <w:t>。</w:t>
      </w:r>
    </w:p>
    <w:p>
      <w:pPr>
        <w:pStyle w:val="37"/>
        <w:tabs>
          <w:tab w:val="left" w:pos="8280"/>
        </w:tabs>
        <w:spacing w:line="520" w:lineRule="exact"/>
        <w:ind w:rightChars="12" w:right="25" w:firstLineChars="200" w:firstLine="64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（三）项目绩效目标</w:t>
      </w:r>
    </w:p>
    <w:p>
      <w:pPr>
        <w:pStyle w:val="37"/>
        <w:adjustRightInd w:val="0"/>
        <w:snapToGrid w:val="0"/>
        <w:spacing w:line="600" w:lineRule="exact"/>
        <w:ind w:firstLine="720"/>
        <w:rPr>
          <w:rFonts w:ascii="仿宋_GB2312" w:eastAsia="仿宋_GB2312" w:cs="仿宋_GB2312" w:hint="eastAsia"/>
          <w:sz w:val="32"/>
          <w:szCs w:val="32"/>
        </w:rPr>
      </w:pPr>
      <w:r>
        <w:rPr>
          <w:rFonts w:ascii="仿宋_GB2312" w:eastAsia="仿宋_GB2312" w:cs="仿宋_GB2312" w:hint="eastAsia"/>
          <w:sz w:val="32"/>
          <w:szCs w:val="32"/>
        </w:rPr>
        <w:t>改扩建森林防灭火道路7公里（其中：碎石道路7000米。排水沟7000米，过水涵洞13道，单柱式警告标志28个）。设计公路等级为四级公路（Ⅱ类）、设计速度15km/h。</w:t>
      </w:r>
    </w:p>
    <w:p>
      <w:pPr>
        <w:pStyle w:val="37"/>
        <w:adjustRightInd w:val="0"/>
        <w:snapToGrid w:val="0"/>
        <w:spacing w:line="600" w:lineRule="exact"/>
        <w:rPr>
          <w:rFonts w:ascii="宋体" w:eastAsia="宋体" w:cs="宋体" w:hint="eastAsia"/>
          <w:b/>
          <w:bCs/>
          <w:sz w:val="32"/>
          <w:szCs w:val="32"/>
          <w:lang w:val="zh-CN"/>
        </w:rPr>
      </w:pPr>
      <w:r>
        <w:rPr>
          <w:rFonts w:ascii="宋体" w:eastAsia="宋体" w:cs="宋体" w:hint="eastAsia"/>
          <w:sz w:val="32"/>
          <w:szCs w:val="32"/>
        </w:rPr>
        <w:t xml:space="preserve">   </w:t>
      </w:r>
      <w:r>
        <w:rPr>
          <w:rFonts w:ascii="黑体" w:eastAsia="黑体" w:cs="Times New Roman" w:hint="eastAsia"/>
          <w:sz w:val="32"/>
          <w:szCs w:val="32"/>
        </w:rPr>
        <w:t xml:space="preserve"> </w:t>
      </w:r>
      <w:r>
        <w:rPr>
          <w:rFonts w:ascii="黑体" w:eastAsia="黑体" w:cs="Times New Roman" w:hint="eastAsia"/>
          <w:sz w:val="32"/>
          <w:szCs w:val="32"/>
          <w:lang w:val="zh-CN"/>
        </w:rPr>
        <w:t>二、绩效自评</w:t>
      </w:r>
    </w:p>
    <w:p>
      <w:pPr>
        <w:pStyle w:val="37"/>
        <w:adjustRightInd w:val="0"/>
        <w:snapToGrid w:val="0"/>
        <w:spacing w:line="600" w:lineRule="exact"/>
        <w:ind w:firstLine="72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该项目于</w:t>
      </w:r>
      <w:r>
        <w:rPr>
          <w:rFonts w:ascii="仿宋_GB2312" w:eastAsia="仿宋_GB2312" w:cs="仿宋_GB2312" w:hint="eastAsia"/>
          <w:sz w:val="32"/>
          <w:szCs w:val="32"/>
        </w:rPr>
        <w:t>2021年11月2日</w:t>
      </w:r>
      <w:r>
        <w:rPr>
          <w:rFonts w:ascii="仿宋_GB2312" w:eastAsia="仿宋_GB2312" w:cs="仿宋_GB2312" w:hint="eastAsia"/>
          <w:sz w:val="32"/>
          <w:szCs w:val="32"/>
          <w:lang w:val="en-US" w:eastAsia="zh-CN"/>
        </w:rPr>
        <w:t>完成</w:t>
      </w:r>
      <w:r>
        <w:rPr>
          <w:rFonts w:ascii="仿宋_GB2312" w:eastAsia="仿宋_GB2312" w:cs="仿宋_GB2312" w:hint="eastAsia"/>
          <w:sz w:val="32"/>
          <w:szCs w:val="32"/>
        </w:rPr>
        <w:t>碎石道路7000米。排水沟7000米，过水涵洞13道，单柱式警告标志28个</w:t>
      </w:r>
      <w:r>
        <w:rPr>
          <w:rFonts w:ascii="仿宋_GB2312" w:eastAsia="仿宋_GB2312" w:cs="仿宋_GB2312" w:hint="eastAsia"/>
          <w:sz w:val="32"/>
          <w:szCs w:val="32"/>
          <w:lang w:val="en-US" w:eastAsia="zh-CN"/>
        </w:rPr>
        <w:t>等设计目标并</w:t>
      </w:r>
      <w:r>
        <w:rPr>
          <w:rFonts w:ascii="仿宋_GB2312" w:eastAsia="仿宋_GB2312" w:cs="仿宋_GB2312" w:hint="eastAsia"/>
          <w:sz w:val="32"/>
          <w:szCs w:val="32"/>
        </w:rPr>
        <w:t>竣工。完成</w:t>
      </w:r>
      <w:r>
        <w:rPr>
          <w:rFonts w:ascii="仿宋_GB2312" w:eastAsia="仿宋_GB2312" w:cs="仿宋_GB2312" w:hint="eastAsia"/>
          <w:sz w:val="32"/>
          <w:szCs w:val="32"/>
          <w:lang w:val="en-US" w:eastAsia="zh-CN"/>
        </w:rPr>
        <w:t>资金支付</w:t>
      </w:r>
      <w:r>
        <w:rPr>
          <w:rFonts w:ascii="仿宋_GB2312" w:eastAsia="仿宋_GB2312" w:cs="仿宋_GB2312" w:hint="eastAsia"/>
          <w:sz w:val="32"/>
          <w:szCs w:val="32"/>
        </w:rPr>
        <w:t>总额1,997,291.89元</w:t>
      </w:r>
      <w:r>
        <w:rPr>
          <w:rFonts w:ascii="仿宋_GB2312" w:eastAsia="仿宋_GB2312" w:cs="仿宋_GB2312" w:hint="eastAsia"/>
          <w:sz w:val="32"/>
          <w:szCs w:val="32"/>
          <w:lang w:eastAsia="zh-CN"/>
        </w:rPr>
        <w:t>。</w:t>
      </w:r>
    </w:p>
    <w:p>
      <w:pPr>
        <w:pStyle w:val="37"/>
        <w:adjustRightInd w:val="0"/>
        <w:snapToGrid w:val="0"/>
        <w:spacing w:line="600" w:lineRule="exact"/>
        <w:ind w:firstLineChars="200" w:firstLine="640"/>
        <w:outlineLvl w:val="0"/>
        <w:rPr>
          <w:rFonts w:ascii="宋体" w:eastAsia="宋体" w:cs="宋体" w:hint="eastAsia"/>
          <w:b/>
          <w:bCs/>
          <w:sz w:val="32"/>
          <w:szCs w:val="32"/>
          <w:lang w:val="zh-CN"/>
        </w:rPr>
      </w:pPr>
      <w:r>
        <w:rPr>
          <w:rFonts w:ascii="宋体" w:eastAsia="宋体" w:cs="宋体" w:hint="eastAsia"/>
          <w:b/>
          <w:bCs/>
          <w:sz w:val="32"/>
          <w:szCs w:val="32"/>
          <w:lang w:val="zh-CN"/>
        </w:rPr>
        <w:t>三、评价方法及过程</w:t>
      </w:r>
    </w:p>
    <w:p>
      <w:pPr>
        <w:pStyle w:val="37"/>
        <w:adjustRightInd w:val="0"/>
        <w:snapToGrid w:val="0"/>
        <w:spacing w:line="600" w:lineRule="exact"/>
        <w:ind w:firstLine="720"/>
        <w:rPr>
          <w:rFonts w:ascii="仿宋_GB2312" w:eastAsia="仿宋_GB2312" w:cs="仿宋_GB2312" w:hint="eastAsia"/>
          <w:sz w:val="32"/>
          <w:szCs w:val="32"/>
        </w:rPr>
      </w:pPr>
      <w:r>
        <w:rPr>
          <w:rFonts w:ascii="楷体_GB2312" w:eastAsia="楷体_GB2312" w:cs="Times New Roman" w:hint="eastAsia"/>
          <w:b/>
          <w:sz w:val="32"/>
          <w:szCs w:val="32"/>
          <w:lang w:val="zh-CN" w:eastAsia="zh-CN"/>
        </w:rPr>
        <w:t>（一）</w:t>
      </w:r>
      <w:r>
        <w:rPr>
          <w:rFonts w:ascii="楷体_GB2312" w:eastAsia="楷体_GB2312" w:cs="Times New Roman" w:hint="eastAsia"/>
          <w:b/>
          <w:sz w:val="32"/>
          <w:szCs w:val="32"/>
          <w:lang w:val="zh-CN"/>
        </w:rPr>
        <w:t>绩效评价方法</w:t>
      </w:r>
      <w:r>
        <w:rPr>
          <w:rFonts w:ascii="楷体_GB2312" w:eastAsia="楷体_GB2312" w:cs="Times New Roman" w:hint="eastAsia"/>
          <w:b/>
          <w:sz w:val="32"/>
          <w:szCs w:val="32"/>
          <w:lang w:val="zh-CN" w:eastAsia="zh-CN"/>
        </w:rPr>
        <w:t>：</w:t>
      </w:r>
      <w:r>
        <w:rPr>
          <w:rFonts w:ascii="仿宋_GB2312" w:eastAsia="仿宋_GB2312" w:cs="仿宋_GB2312" w:hint="eastAsia"/>
          <w:sz w:val="32"/>
          <w:szCs w:val="32"/>
          <w:lang w:val="en-US" w:eastAsia="zh-CN"/>
        </w:rPr>
        <w:t>依照项目实施方案及项目竣工验收报告作为绩效评估参考依据。</w:t>
      </w:r>
    </w:p>
    <w:p>
      <w:pPr>
        <w:pStyle w:val="37"/>
        <w:adjustRightInd w:val="0"/>
        <w:snapToGrid w:val="0"/>
        <w:spacing w:line="600" w:lineRule="exact"/>
        <w:ind w:firstLine="720"/>
        <w:rPr>
          <w:rFonts w:ascii="仿宋_GB2312" w:eastAsia="仿宋_GB2312" w:cs="仿宋_GB2312" w:hint="eastAsia"/>
          <w:sz w:val="32"/>
          <w:szCs w:val="32"/>
          <w:lang w:val="en-US"/>
        </w:rPr>
      </w:pPr>
      <w:r>
        <w:rPr>
          <w:rFonts w:ascii="楷体_GB2312" w:eastAsia="楷体_GB2312" w:cs="Times New Roman" w:hint="eastAsia"/>
          <w:b/>
          <w:sz w:val="32"/>
          <w:szCs w:val="32"/>
          <w:lang w:val="zh-CN" w:eastAsia="zh-CN"/>
        </w:rPr>
        <w:t>（二）</w:t>
      </w:r>
      <w:r>
        <w:rPr>
          <w:rFonts w:ascii="楷体_GB2312" w:eastAsia="楷体_GB2312" w:cs="Times New Roman" w:hint="eastAsia"/>
          <w:b/>
          <w:sz w:val="32"/>
          <w:szCs w:val="32"/>
          <w:lang w:val="zh-CN"/>
        </w:rPr>
        <w:t>绩效评价过程</w:t>
      </w:r>
      <w:r>
        <w:rPr>
          <w:rFonts w:ascii="楷体_GB2312" w:eastAsia="楷体_GB2312" w:cs="Times New Roman" w:hint="eastAsia"/>
          <w:b/>
          <w:sz w:val="32"/>
          <w:szCs w:val="32"/>
          <w:lang w:val="zh-CN" w:eastAsia="zh-CN"/>
        </w:rPr>
        <w:t>：</w:t>
      </w:r>
      <w:r>
        <w:rPr>
          <w:rFonts w:ascii="仿宋_GB2312" w:eastAsia="仿宋_GB2312" w:cs="仿宋_GB2312" w:hint="eastAsia"/>
          <w:sz w:val="32"/>
          <w:szCs w:val="32"/>
          <w:lang w:val="en-US" w:eastAsia="zh-CN"/>
        </w:rPr>
        <w:t>该</w:t>
      </w:r>
      <w:r>
        <w:rPr>
          <w:rFonts w:ascii="仿宋_GB2312" w:eastAsia="仿宋_GB2312" w:cs="仿宋_GB2312" w:hint="eastAsia"/>
          <w:sz w:val="32"/>
          <w:szCs w:val="32"/>
        </w:rPr>
        <w:t>项目</w:t>
      </w:r>
      <w:r>
        <w:rPr>
          <w:rFonts w:ascii="仿宋_GB2312" w:eastAsia="仿宋_GB2312" w:cs="仿宋_GB2312" w:hint="eastAsia"/>
          <w:sz w:val="32"/>
          <w:szCs w:val="32"/>
          <w:lang w:val="en-US" w:eastAsia="zh-CN"/>
        </w:rPr>
        <w:t>联合项目办</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计财股</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参考</w:t>
      </w:r>
      <w:r>
        <w:rPr>
          <w:rFonts w:ascii="仿宋_GB2312" w:eastAsia="仿宋_GB2312" w:cs="仿宋_GB2312" w:hint="eastAsia"/>
          <w:sz w:val="32"/>
          <w:szCs w:val="32"/>
        </w:rPr>
        <w:t>项目</w:t>
      </w:r>
      <w:r>
        <w:rPr>
          <w:rFonts w:ascii="仿宋_GB2312" w:eastAsia="仿宋_GB2312" w:cs="仿宋_GB2312" w:hint="eastAsia"/>
          <w:sz w:val="32"/>
          <w:szCs w:val="32"/>
          <w:lang w:val="en-US" w:eastAsia="zh-CN"/>
        </w:rPr>
        <w:t>绩效评估办法</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进行项目资金绩效评价。</w:t>
      </w:r>
    </w:p>
    <w:p>
      <w:pPr>
        <w:pStyle w:val="37"/>
        <w:adjustRightInd w:val="0"/>
        <w:snapToGrid w:val="0"/>
        <w:spacing w:line="600" w:lineRule="exact"/>
        <w:ind w:firstLine="642"/>
        <w:outlineLvl w:val="0"/>
        <w:rPr>
          <w:rFonts w:ascii="宋体" w:eastAsia="宋体" w:cs="宋体" w:hint="eastAsia"/>
          <w:b/>
          <w:bCs/>
          <w:sz w:val="32"/>
          <w:szCs w:val="32"/>
        </w:rPr>
      </w:pPr>
      <w:r>
        <w:rPr>
          <w:rFonts w:ascii="宋体" w:eastAsia="宋体" w:cs="宋体" w:hint="eastAsia"/>
          <w:b/>
          <w:bCs/>
          <w:sz w:val="32"/>
          <w:szCs w:val="32"/>
        </w:rPr>
        <w:t>四、绩效评价分析（</w:t>
      </w:r>
      <w:r>
        <w:rPr>
          <w:rFonts w:ascii="宋体" w:eastAsia="宋体" w:cs="宋体" w:hint="eastAsia"/>
          <w:b/>
          <w:bCs/>
          <w:sz w:val="32"/>
          <w:szCs w:val="32"/>
          <w:lang w:val="zh-CN"/>
        </w:rPr>
        <w:t>含问题分析说明</w:t>
      </w:r>
      <w:r>
        <w:rPr>
          <w:rFonts w:ascii="宋体" w:eastAsia="宋体" w:cs="宋体" w:hint="eastAsia"/>
          <w:b/>
          <w:bCs/>
          <w:sz w:val="32"/>
          <w:szCs w:val="32"/>
        </w:rPr>
        <w:t>）</w:t>
      </w:r>
    </w:p>
    <w:p>
      <w:pPr>
        <w:pStyle w:val="37"/>
        <w:adjustRightInd w:val="0"/>
        <w:snapToGrid w:val="0"/>
        <w:spacing w:line="600" w:lineRule="exact"/>
        <w:ind w:firstLine="642"/>
        <w:outlineLvl w:val="0"/>
        <w:rPr>
          <w:rFonts w:ascii="仿宋_GB2312" w:eastAsia="仿宋_GB2312" w:cs="仿宋_GB2312" w:hint="eastAsia"/>
          <w:sz w:val="32"/>
          <w:szCs w:val="32"/>
        </w:rPr>
      </w:pPr>
      <w:r>
        <w:rPr>
          <w:rFonts w:ascii="楷体_GB2312" w:eastAsia="楷体_GB2312" w:cs="Times New Roman" w:hint="eastAsia"/>
          <w:b/>
          <w:sz w:val="32"/>
          <w:szCs w:val="32"/>
          <w:lang w:val="zh-CN"/>
        </w:rPr>
        <w:t xml:space="preserve">（一）资金使用管理  </w:t>
      </w:r>
    </w:p>
    <w:p>
      <w:pPr>
        <w:pStyle w:val="37"/>
        <w:adjustRightInd w:val="0"/>
        <w:snapToGrid w:val="0"/>
        <w:spacing w:line="600" w:lineRule="exact"/>
        <w:ind w:firstLine="720"/>
        <w:rPr>
          <w:rFonts w:ascii="仿宋_GB2312" w:eastAsia="仿宋_GB2312" w:cs="仿宋_GB2312" w:hint="eastAsia"/>
          <w:sz w:val="32"/>
          <w:szCs w:val="32"/>
        </w:rPr>
      </w:pPr>
      <w:r>
        <w:rPr>
          <w:rFonts w:ascii="仿宋_GB2312" w:eastAsia="仿宋_GB2312" w:cs="仿宋_GB2312" w:hint="eastAsia"/>
          <w:b/>
          <w:bCs/>
          <w:sz w:val="32"/>
          <w:szCs w:val="32"/>
        </w:rPr>
        <w:t>1.资金到位情况</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2020年12月31号茂财建【2020】136号文件</w:t>
      </w:r>
      <w:r>
        <w:rPr>
          <w:rFonts w:ascii="仿宋_GB2312" w:eastAsia="仿宋_GB2312" w:cs="仿宋_GB2312" w:hint="eastAsia"/>
          <w:sz w:val="32"/>
          <w:szCs w:val="32"/>
        </w:rPr>
        <w:t>下达</w:t>
      </w:r>
      <w:r>
        <w:rPr>
          <w:rFonts w:ascii="仿宋_GB2312" w:eastAsia="仿宋_GB2312" w:cs="仿宋_GB2312" w:hint="eastAsia"/>
          <w:sz w:val="32"/>
          <w:szCs w:val="32"/>
          <w:lang w:val="en-US" w:eastAsia="zh-CN"/>
        </w:rPr>
        <w:t>资金210万</w:t>
      </w:r>
      <w:r>
        <w:rPr>
          <w:rFonts w:ascii="仿宋_GB2312" w:eastAsia="仿宋_GB2312" w:cs="仿宋_GB2312" w:hint="eastAsia"/>
          <w:sz w:val="32"/>
          <w:szCs w:val="32"/>
        </w:rPr>
        <w:t>。</w:t>
      </w:r>
    </w:p>
    <w:p>
      <w:pPr>
        <w:pStyle w:val="37"/>
        <w:adjustRightInd w:val="0"/>
        <w:snapToGrid w:val="0"/>
        <w:spacing w:line="600" w:lineRule="exact"/>
        <w:ind w:firstLine="720"/>
        <w:rPr>
          <w:rFonts w:ascii="仿宋_GB2312" w:eastAsia="仿宋_GB2312" w:cs="仿宋_GB2312"/>
          <w:sz w:val="32"/>
          <w:szCs w:val="32"/>
          <w:lang w:val="en-US" w:eastAsia="zh-CN"/>
        </w:rPr>
      </w:pPr>
      <w:r>
        <w:rPr>
          <w:rFonts w:ascii="仿宋_GB2312" w:eastAsia="仿宋_GB2312" w:cs="仿宋_GB2312" w:hint="eastAsia"/>
          <w:b/>
          <w:bCs/>
          <w:sz w:val="32"/>
          <w:szCs w:val="32"/>
        </w:rPr>
        <w:t>2.资金使用情况</w:t>
      </w:r>
      <w:r>
        <w:rPr>
          <w:rFonts w:ascii="仿宋_GB2312" w:eastAsia="仿宋_GB2312" w:cs="仿宋_GB2312" w:hint="eastAsia"/>
          <w:sz w:val="32"/>
          <w:szCs w:val="32"/>
          <w:lang w:eastAsia="zh-CN"/>
        </w:rPr>
        <w:t>：</w:t>
      </w:r>
      <w:r>
        <w:rPr>
          <w:rFonts w:ascii="仿宋_GB2312" w:eastAsia="仿宋_GB2312" w:cs="仿宋_GB2312" w:hint="eastAsia"/>
          <w:sz w:val="32"/>
          <w:szCs w:val="32"/>
        </w:rPr>
        <w:t>完成投资总额1,997,291.89元，其中：建筑安装工程投资1,697,146.00元、待摊投资300,145.89元</w:t>
      </w:r>
      <w:r>
        <w:rPr>
          <w:rFonts w:ascii="仿宋_GB2312" w:eastAsia="仿宋_GB2312" w:cs="仿宋_GB2312" w:hint="eastAsia"/>
          <w:sz w:val="32"/>
          <w:szCs w:val="32"/>
          <w:lang w:val="en-US" w:eastAsia="zh-CN"/>
        </w:rPr>
        <w:t>.已支付1938596.11元。</w:t>
      </w:r>
    </w:p>
    <w:p>
      <w:pPr>
        <w:pStyle w:val="37"/>
        <w:adjustRightInd w:val="0"/>
        <w:snapToGrid w:val="0"/>
        <w:spacing w:line="600" w:lineRule="exact"/>
        <w:ind w:firstLine="720"/>
        <w:rPr>
          <w:rFonts w:ascii="仿宋_GB2312" w:eastAsia="仿宋_GB2312" w:cs="仿宋_GB2312" w:hint="eastAsia"/>
          <w:sz w:val="32"/>
          <w:szCs w:val="32"/>
        </w:rPr>
      </w:pPr>
      <w:r>
        <w:rPr>
          <w:rFonts w:ascii="仿宋_GB2312" w:eastAsia="仿宋_GB2312" w:cs="仿宋_GB2312" w:hint="eastAsia"/>
          <w:b/>
          <w:bCs/>
          <w:sz w:val="32"/>
          <w:szCs w:val="32"/>
        </w:rPr>
        <w:t>3.资金管理情况</w:t>
      </w:r>
      <w:r>
        <w:rPr>
          <w:rFonts w:ascii="仿宋_GB2312" w:eastAsia="仿宋_GB2312" w:cs="仿宋_GB2312" w:hint="eastAsia"/>
          <w:sz w:val="32"/>
          <w:szCs w:val="32"/>
          <w:lang w:eastAsia="zh-CN"/>
        </w:rPr>
        <w:t>：</w:t>
      </w:r>
      <w:r>
        <w:rPr>
          <w:rFonts w:ascii="仿宋_GB2312" w:eastAsia="仿宋_GB2312" w:cs="仿宋_GB2312" w:hint="eastAsia"/>
          <w:sz w:val="32"/>
          <w:szCs w:val="32"/>
        </w:rPr>
        <w:t>财务管理制度健全，</w:t>
      </w:r>
      <w:r>
        <w:rPr>
          <w:rFonts w:ascii="仿宋_GB2312" w:eastAsia="仿宋_GB2312" w:cs="仿宋_GB2312" w:hint="eastAsia"/>
          <w:sz w:val="32"/>
          <w:szCs w:val="32"/>
          <w:lang w:val="en-US" w:eastAsia="zh-CN"/>
        </w:rPr>
        <w:t>并</w:t>
      </w:r>
      <w:r>
        <w:rPr>
          <w:rFonts w:ascii="仿宋_GB2312" w:eastAsia="仿宋_GB2312" w:cs="仿宋_GB2312" w:hint="eastAsia"/>
          <w:sz w:val="32"/>
          <w:szCs w:val="32"/>
        </w:rPr>
        <w:t>严格执行财务管理制度，账务处理及时，会计核算规范。</w:t>
      </w:r>
    </w:p>
    <w:p>
      <w:pPr>
        <w:pStyle w:val="37"/>
        <w:adjustRightInd w:val="0"/>
        <w:snapToGrid w:val="0"/>
        <w:spacing w:line="600" w:lineRule="exact"/>
        <w:ind w:firstLine="642"/>
        <w:outlineLvl w:val="0"/>
        <w:rPr>
          <w:rFonts w:ascii="楷体_GB2312" w:eastAsia="楷体_GB2312" w:cs="Times New Roman" w:hint="eastAsia"/>
          <w:b/>
          <w:sz w:val="32"/>
          <w:szCs w:val="32"/>
          <w:lang w:val="zh-CN"/>
        </w:rPr>
      </w:pPr>
      <w:r>
        <w:rPr>
          <w:rFonts w:ascii="楷体_GB2312" w:eastAsia="楷体_GB2312" w:cs="Times New Roman" w:hint="eastAsia"/>
          <w:b/>
          <w:sz w:val="32"/>
          <w:szCs w:val="32"/>
          <w:lang w:val="zh-CN"/>
        </w:rPr>
        <w:t>（二）项目实施管理</w:t>
      </w:r>
    </w:p>
    <w:p>
      <w:pPr>
        <w:pStyle w:val="37"/>
        <w:adjustRightInd w:val="0"/>
        <w:snapToGrid w:val="0"/>
        <w:spacing w:line="600" w:lineRule="exact"/>
        <w:ind w:firstLine="642"/>
        <w:outlineLvl w:val="0"/>
        <w:rPr>
          <w:rFonts w:ascii="仿宋_GB2312" w:eastAsia="仿宋_GB2312" w:cs="仿宋_GB2312" w:hint="eastAsia"/>
          <w:sz w:val="32"/>
          <w:szCs w:val="32"/>
          <w:lang w:eastAsia="zh-CN"/>
        </w:rPr>
      </w:pPr>
      <w:r>
        <w:rPr>
          <w:rFonts w:ascii="仿宋_GB2312" w:eastAsia="仿宋_GB2312" w:cs="仿宋_GB2312" w:hint="eastAsia"/>
          <w:b/>
          <w:bCs/>
          <w:sz w:val="32"/>
          <w:szCs w:val="32"/>
        </w:rPr>
        <w:t>1.</w:t>
      </w:r>
      <w:r>
        <w:rPr>
          <w:rFonts w:ascii="仿宋_GB2312" w:eastAsia="仿宋_GB2312" w:cs="仿宋_GB2312" w:hint="eastAsia"/>
          <w:b/>
          <w:bCs/>
          <w:sz w:val="32"/>
          <w:szCs w:val="32"/>
          <w:lang w:val="zh-CN"/>
        </w:rPr>
        <w:t>项目完成数量</w:t>
      </w:r>
      <w:r>
        <w:rPr>
          <w:rFonts w:ascii="仿宋_GB2312" w:eastAsia="仿宋_GB2312" w:cs="仿宋_GB2312" w:hint="eastAsia"/>
          <w:sz w:val="32"/>
          <w:szCs w:val="32"/>
          <w:lang w:val="zh-CN"/>
        </w:rPr>
        <w:t>：</w:t>
      </w:r>
      <w:r>
        <w:rPr>
          <w:rFonts w:ascii="仿宋_GB2312" w:eastAsia="仿宋_GB2312" w:cs="仿宋_GB2312" w:hint="eastAsia"/>
          <w:sz w:val="32"/>
          <w:szCs w:val="32"/>
        </w:rPr>
        <w:t>碎石道路7000米。排水沟7000米，过水涵洞13道，单柱式警告标志28个</w:t>
      </w:r>
      <w:r>
        <w:rPr>
          <w:rFonts w:ascii="仿宋_GB2312" w:eastAsia="仿宋_GB2312" w:cs="仿宋_GB2312" w:hint="eastAsia"/>
          <w:sz w:val="32"/>
          <w:szCs w:val="32"/>
          <w:lang w:eastAsia="zh-CN"/>
        </w:rPr>
        <w:t>；</w:t>
      </w:r>
    </w:p>
    <w:p>
      <w:pPr>
        <w:pStyle w:val="37"/>
        <w:adjustRightInd w:val="0"/>
        <w:snapToGrid w:val="0"/>
        <w:spacing w:line="600" w:lineRule="exact"/>
        <w:ind w:firstLine="642"/>
        <w:outlineLvl w:val="0"/>
        <w:rPr>
          <w:rFonts w:ascii="仿宋_GB2312" w:eastAsia="仿宋_GB2312" w:cs="仿宋_GB2312" w:hint="eastAsia"/>
          <w:sz w:val="32"/>
          <w:szCs w:val="32"/>
          <w:lang w:val="zh-CN"/>
        </w:rPr>
      </w:pPr>
      <w:r>
        <w:rPr>
          <w:rFonts w:ascii="仿宋_GB2312" w:eastAsia="仿宋_GB2312" w:cs="仿宋_GB2312" w:hint="eastAsia"/>
          <w:b/>
          <w:bCs/>
          <w:sz w:val="32"/>
          <w:szCs w:val="32"/>
        </w:rPr>
        <w:t>2.</w:t>
      </w:r>
      <w:r>
        <w:rPr>
          <w:rFonts w:ascii="仿宋_GB2312" w:eastAsia="仿宋_GB2312" w:cs="仿宋_GB2312" w:hint="eastAsia"/>
          <w:b/>
          <w:bCs/>
          <w:sz w:val="32"/>
          <w:szCs w:val="32"/>
          <w:lang w:val="zh-CN"/>
        </w:rPr>
        <w:t>项目完成质量</w:t>
      </w:r>
      <w:r>
        <w:rPr>
          <w:rFonts w:ascii="仿宋_GB2312" w:eastAsia="仿宋_GB2312" w:cs="仿宋_GB2312" w:hint="eastAsia"/>
          <w:sz w:val="32"/>
          <w:szCs w:val="32"/>
          <w:lang w:val="zh-CN"/>
        </w:rPr>
        <w:t>：</w:t>
      </w:r>
      <w:r>
        <w:rPr>
          <w:rFonts w:ascii="仿宋_GB2312" w:eastAsia="仿宋_GB2312" w:cs="仿宋_GB2312" w:hint="eastAsia"/>
          <w:sz w:val="32"/>
          <w:szCs w:val="32"/>
          <w:lang w:val="en-US" w:eastAsia="zh-CN"/>
        </w:rPr>
        <w:t>该</w:t>
      </w:r>
      <w:r>
        <w:rPr>
          <w:rFonts w:ascii="仿宋_GB2312" w:eastAsia="仿宋_GB2312" w:cs="仿宋_GB2312" w:hint="eastAsia"/>
          <w:sz w:val="32"/>
          <w:szCs w:val="32"/>
          <w:lang w:val="zh-CN"/>
        </w:rPr>
        <w:t>项目完成</w:t>
      </w:r>
      <w:r>
        <w:rPr>
          <w:rFonts w:ascii="仿宋_GB2312" w:eastAsia="仿宋_GB2312" w:cs="仿宋_GB2312" w:hint="eastAsia"/>
          <w:sz w:val="32"/>
          <w:szCs w:val="32"/>
          <w:lang w:val="en-US" w:eastAsia="zh-CN"/>
        </w:rPr>
        <w:t>预计</w:t>
      </w:r>
      <w:r>
        <w:rPr>
          <w:rFonts w:ascii="仿宋_GB2312" w:eastAsia="仿宋_GB2312" w:cs="仿宋_GB2312" w:hint="eastAsia"/>
          <w:sz w:val="32"/>
          <w:szCs w:val="32"/>
          <w:lang w:val="zh-CN"/>
        </w:rPr>
        <w:t>质量；</w:t>
      </w:r>
    </w:p>
    <w:p>
      <w:pPr>
        <w:pStyle w:val="37"/>
        <w:adjustRightInd w:val="0"/>
        <w:snapToGrid w:val="0"/>
        <w:spacing w:line="600" w:lineRule="exact"/>
        <w:ind w:firstLine="642"/>
        <w:outlineLvl w:val="0"/>
        <w:rPr>
          <w:rFonts w:ascii="仿宋_GB2312" w:eastAsia="仿宋_GB2312" w:cs="仿宋_GB2312" w:hint="eastAsia"/>
          <w:sz w:val="32"/>
          <w:szCs w:val="32"/>
          <w:lang w:val="zh-CN"/>
        </w:rPr>
      </w:pPr>
      <w:r>
        <w:rPr>
          <w:rFonts w:ascii="仿宋_GB2312" w:eastAsia="仿宋_GB2312" w:cs="仿宋_GB2312" w:hint="eastAsia"/>
          <w:b/>
          <w:bCs/>
          <w:sz w:val="32"/>
          <w:szCs w:val="32"/>
        </w:rPr>
        <w:t>3.</w:t>
      </w:r>
      <w:r>
        <w:rPr>
          <w:rFonts w:ascii="仿宋_GB2312" w:eastAsia="仿宋_GB2312" w:cs="仿宋_GB2312" w:hint="eastAsia"/>
          <w:b/>
          <w:bCs/>
          <w:sz w:val="32"/>
          <w:szCs w:val="32"/>
          <w:lang w:val="zh-CN"/>
        </w:rPr>
        <w:t>项目完成进度</w:t>
      </w:r>
      <w:r>
        <w:rPr>
          <w:rFonts w:ascii="仿宋_GB2312" w:eastAsia="仿宋_GB2312" w:cs="仿宋_GB2312" w:hint="eastAsia"/>
          <w:sz w:val="32"/>
          <w:szCs w:val="32"/>
          <w:lang w:val="zh-CN"/>
        </w:rPr>
        <w:t>：</w:t>
      </w:r>
      <w:r>
        <w:rPr>
          <w:rFonts w:ascii="仿宋_GB2312" w:eastAsia="仿宋_GB2312" w:cs="仿宋_GB2312" w:hint="eastAsia"/>
          <w:sz w:val="32"/>
          <w:szCs w:val="32"/>
          <w:lang w:val="en-US" w:eastAsia="zh-CN"/>
        </w:rPr>
        <w:t>该项目按</w:t>
      </w:r>
      <w:r>
        <w:rPr>
          <w:rFonts w:ascii="仿宋_GB2312" w:eastAsia="仿宋_GB2312" w:cs="仿宋_GB2312" w:hint="eastAsia"/>
          <w:sz w:val="32"/>
          <w:szCs w:val="32"/>
          <w:lang w:val="zh-CN"/>
        </w:rPr>
        <w:t>计划完成进度；</w:t>
      </w:r>
    </w:p>
    <w:p>
      <w:pPr>
        <w:pStyle w:val="37"/>
        <w:adjustRightInd w:val="0"/>
        <w:snapToGrid w:val="0"/>
        <w:spacing w:line="600" w:lineRule="exact"/>
        <w:ind w:firstLine="642"/>
        <w:outlineLvl w:val="0"/>
        <w:rPr>
          <w:rFonts w:ascii="仿宋_GB2312" w:eastAsia="仿宋_GB2312" w:cs="仿宋_GB2312" w:hint="eastAsia"/>
          <w:sz w:val="32"/>
          <w:szCs w:val="32"/>
          <w:lang w:val="zh-CN"/>
        </w:rPr>
      </w:pPr>
      <w:r>
        <w:rPr>
          <w:rFonts w:ascii="仿宋_GB2312" w:eastAsia="仿宋_GB2312" w:cs="仿宋_GB2312" w:hint="eastAsia"/>
          <w:b/>
          <w:bCs/>
          <w:sz w:val="32"/>
          <w:szCs w:val="32"/>
        </w:rPr>
        <w:t>4.</w:t>
      </w:r>
      <w:r>
        <w:rPr>
          <w:rFonts w:ascii="仿宋_GB2312" w:eastAsia="仿宋_GB2312" w:cs="仿宋_GB2312" w:hint="eastAsia"/>
          <w:b/>
          <w:bCs/>
          <w:sz w:val="32"/>
          <w:szCs w:val="32"/>
          <w:lang w:val="zh-CN"/>
        </w:rPr>
        <w:t>项目管理情况</w:t>
      </w:r>
      <w:r>
        <w:rPr>
          <w:rFonts w:ascii="仿宋_GB2312" w:eastAsia="仿宋_GB2312" w:cs="仿宋_GB2312" w:hint="eastAsia"/>
          <w:sz w:val="32"/>
          <w:szCs w:val="32"/>
          <w:lang w:val="zh-CN"/>
        </w:rPr>
        <w:t>：</w:t>
      </w:r>
      <w:r>
        <w:rPr>
          <w:rFonts w:ascii="仿宋_GB2312" w:eastAsia="仿宋_GB2312" w:cs="仿宋_GB2312" w:hint="eastAsia"/>
          <w:sz w:val="32"/>
          <w:szCs w:val="32"/>
          <w:lang w:val="en-US" w:eastAsia="zh-CN"/>
        </w:rPr>
        <w:t>该项目委托</w:t>
      </w:r>
      <w:r>
        <w:rPr>
          <w:rFonts w:ascii="仿宋_GB2312" w:eastAsia="仿宋_GB2312" w:cs="仿宋_GB2312" w:hint="eastAsia"/>
          <w:sz w:val="32"/>
          <w:szCs w:val="32"/>
        </w:rPr>
        <w:t>上励建设工程有限公司（监理单位）、四川省凯锐建设有限公司（项目管理单位）</w:t>
      </w:r>
      <w:r>
        <w:rPr>
          <w:rFonts w:ascii="仿宋_GB2312" w:eastAsia="仿宋_GB2312" w:cs="仿宋_GB2312" w:hint="eastAsia"/>
          <w:sz w:val="32"/>
          <w:szCs w:val="32"/>
          <w:lang w:val="en-US" w:eastAsia="zh-CN"/>
        </w:rPr>
        <w:t>及业主方茂县国有林场严格依照现场施工</w:t>
      </w:r>
      <w:r>
        <w:rPr>
          <w:rFonts w:ascii="仿宋_GB2312" w:eastAsia="仿宋_GB2312" w:cs="仿宋_GB2312" w:hint="eastAsia"/>
          <w:sz w:val="32"/>
          <w:szCs w:val="32"/>
          <w:lang w:val="zh-CN"/>
        </w:rPr>
        <w:t>监管</w:t>
      </w:r>
      <w:r>
        <w:rPr>
          <w:rFonts w:ascii="仿宋_GB2312" w:eastAsia="仿宋_GB2312" w:cs="仿宋_GB2312" w:hint="eastAsia"/>
          <w:sz w:val="32"/>
          <w:szCs w:val="32"/>
          <w:lang w:val="en-US" w:eastAsia="zh-CN"/>
        </w:rPr>
        <w:t>到位，监管程序规范</w:t>
      </w:r>
      <w:r>
        <w:rPr>
          <w:rFonts w:ascii="仿宋_GB2312" w:eastAsia="仿宋_GB2312" w:cs="仿宋_GB2312" w:hint="eastAsia"/>
          <w:sz w:val="32"/>
          <w:szCs w:val="32"/>
          <w:lang w:val="zh-CN"/>
        </w:rPr>
        <w:t>。</w:t>
      </w:r>
    </w:p>
    <w:p>
      <w:pPr>
        <w:pStyle w:val="37"/>
        <w:adjustRightInd w:val="0"/>
        <w:snapToGrid w:val="0"/>
        <w:spacing w:line="600" w:lineRule="exact"/>
        <w:ind w:firstLine="640"/>
        <w:rPr>
          <w:rFonts w:ascii="宋体" w:eastAsia="宋体" w:cs="宋体" w:hint="eastAsia"/>
          <w:b/>
          <w:bCs/>
          <w:sz w:val="32"/>
          <w:szCs w:val="32"/>
        </w:rPr>
      </w:pPr>
      <w:r>
        <w:rPr>
          <w:rFonts w:ascii="宋体" w:eastAsia="宋体" w:cs="宋体" w:hint="eastAsia"/>
          <w:b/>
          <w:bCs/>
          <w:sz w:val="32"/>
          <w:szCs w:val="32"/>
        </w:rPr>
        <w:t>五、绩效评价结论</w:t>
      </w:r>
    </w:p>
    <w:p>
      <w:pPr>
        <w:pStyle w:val="37"/>
        <w:adjustRightInd w:val="0"/>
        <w:snapToGrid w:val="0"/>
        <w:spacing w:line="600" w:lineRule="exact"/>
        <w:ind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1.</w:t>
      </w:r>
      <w:r>
        <w:rPr>
          <w:rFonts w:ascii="仿宋_GB2312" w:eastAsia="仿宋_GB2312" w:cs="仿宋_GB2312" w:hint="eastAsia"/>
          <w:b/>
          <w:bCs/>
          <w:sz w:val="32"/>
          <w:szCs w:val="32"/>
        </w:rPr>
        <w:t xml:space="preserve"> 生态</w:t>
      </w:r>
      <w:r>
        <w:rPr>
          <w:rFonts w:ascii="仿宋_GB2312" w:eastAsia="仿宋_GB2312" w:cs="仿宋_GB2312" w:hint="eastAsia"/>
          <w:b/>
          <w:bCs/>
          <w:sz w:val="32"/>
          <w:szCs w:val="32"/>
          <w:lang w:val="en-US" w:eastAsia="zh-CN"/>
        </w:rPr>
        <w:t>效益</w:t>
      </w:r>
      <w:r>
        <w:rPr>
          <w:rFonts w:ascii="仿宋_GB2312" w:eastAsia="仿宋_GB2312" w:cs="仿宋_GB2312" w:hint="eastAsia"/>
          <w:sz w:val="32"/>
          <w:szCs w:val="32"/>
          <w:lang w:val="en-US" w:eastAsia="zh-CN"/>
        </w:rPr>
        <w:t>：通过项目建，有效提升土地岭防灭火能；</w:t>
      </w:r>
    </w:p>
    <w:p>
      <w:pPr>
        <w:pStyle w:val="37"/>
        <w:adjustRightInd w:val="0"/>
        <w:snapToGrid w:val="0"/>
        <w:spacing w:line="600" w:lineRule="exact"/>
        <w:ind w:firstLine="640"/>
        <w:rPr>
          <w:rFonts w:ascii="仿宋_GB2312" w:eastAsia="仿宋_GB2312" w:cs="仿宋_GB2312" w:hint="eastAsia"/>
          <w:sz w:val="32"/>
          <w:szCs w:val="32"/>
          <w:lang w:eastAsia="zh-CN"/>
        </w:rPr>
      </w:pPr>
      <w:r>
        <w:rPr>
          <w:rFonts w:ascii="仿宋_GB2312" w:eastAsia="仿宋_GB2312" w:cs="仿宋_GB2312" w:hint="eastAsia"/>
          <w:b/>
          <w:bCs/>
          <w:sz w:val="32"/>
          <w:szCs w:val="32"/>
          <w:lang w:val="en-US" w:eastAsia="zh-CN"/>
        </w:rPr>
        <w:t>2.</w:t>
      </w:r>
      <w:r>
        <w:rPr>
          <w:rFonts w:ascii="仿宋_GB2312" w:eastAsia="仿宋_GB2312" w:cs="仿宋_GB2312" w:hint="eastAsia"/>
          <w:b/>
          <w:bCs/>
          <w:sz w:val="32"/>
          <w:szCs w:val="32"/>
        </w:rPr>
        <w:t>经济</w:t>
      </w:r>
      <w:r>
        <w:rPr>
          <w:rFonts w:ascii="仿宋_GB2312" w:eastAsia="仿宋_GB2312" w:cs="仿宋_GB2312" w:hint="eastAsia"/>
          <w:b/>
          <w:bCs/>
          <w:sz w:val="32"/>
          <w:szCs w:val="32"/>
          <w:lang w:val="en-US" w:eastAsia="zh-CN"/>
        </w:rPr>
        <w:t>效益</w:t>
      </w:r>
      <w:r>
        <w:rPr>
          <w:rFonts w:ascii="仿宋_GB2312" w:eastAsia="仿宋_GB2312" w:cs="仿宋_GB2312" w:hint="eastAsia"/>
          <w:sz w:val="32"/>
          <w:szCs w:val="32"/>
          <w:lang w:val="en-US" w:eastAsia="zh-CN"/>
        </w:rPr>
        <w:t>：通过项目建设</w:t>
      </w:r>
      <w:r>
        <w:rPr>
          <w:rFonts w:ascii="仿宋_GB2312" w:eastAsia="仿宋_GB2312" w:cs="仿宋_GB2312" w:hint="eastAsia"/>
          <w:sz w:val="32"/>
          <w:szCs w:val="32"/>
        </w:rPr>
        <w:t>可减少森林火灾的发生，维护自然生态环境的健康发展，这必将减少森林火灾造成的人、财、物损失，促进当地旅游业以及社会经济的持续发展，这是项目建设带来的间接经济效益</w:t>
      </w:r>
      <w:r>
        <w:rPr>
          <w:rFonts w:ascii="仿宋_GB2312" w:eastAsia="仿宋_GB2312" w:cs="仿宋_GB2312" w:hint="eastAsia"/>
          <w:sz w:val="32"/>
          <w:szCs w:val="32"/>
          <w:lang w:eastAsia="zh-CN"/>
        </w:rPr>
        <w:t>。</w:t>
      </w:r>
    </w:p>
    <w:p>
      <w:pPr>
        <w:pStyle w:val="37"/>
        <w:adjustRightInd w:val="0"/>
        <w:snapToGrid w:val="0"/>
        <w:spacing w:line="600" w:lineRule="exact"/>
        <w:ind w:firstLine="720"/>
        <w:rPr>
          <w:rFonts w:ascii="仿宋_GB2312" w:eastAsia="仿宋_GB2312" w:cs="仿宋_GB2312" w:hint="eastAsia"/>
          <w:sz w:val="32"/>
          <w:szCs w:val="32"/>
          <w:lang w:val="zh-CN" w:eastAsia="zh-CN"/>
        </w:rPr>
      </w:pP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rPr>
        <w:t>社会</w:t>
      </w:r>
      <w:r>
        <w:rPr>
          <w:rFonts w:ascii="仿宋_GB2312" w:eastAsia="仿宋_GB2312" w:cs="仿宋_GB2312" w:hint="eastAsia"/>
          <w:b/>
          <w:bCs/>
          <w:sz w:val="32"/>
          <w:szCs w:val="32"/>
          <w:lang w:val="en-US" w:eastAsia="zh-CN"/>
        </w:rPr>
        <w:t>效益</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项目实施有利于保护</w:t>
      </w:r>
      <w:r>
        <w:rPr>
          <w:rFonts w:ascii="仿宋_GB2312" w:eastAsia="仿宋_GB2312" w:cs="仿宋_GB2312" w:hint="eastAsia"/>
          <w:sz w:val="32"/>
          <w:szCs w:val="32"/>
          <w:lang w:val="en-US" w:eastAsia="zh-CN"/>
        </w:rPr>
        <w:t>土地岭国有林区</w:t>
      </w:r>
      <w:r>
        <w:rPr>
          <w:rFonts w:ascii="仿宋_GB2312" w:eastAsia="仿宋_GB2312" w:cs="仿宋_GB2312" w:hint="eastAsia"/>
          <w:sz w:val="32"/>
          <w:szCs w:val="32"/>
        </w:rPr>
        <w:t>森林资源的稳定，促进林业事业发展，维护人居生态环境，改善人们生产、生活条件。同时，有效保护以森林为主的自然生态系统，维护生物多样性</w:t>
      </w:r>
      <w:r>
        <w:rPr>
          <w:rFonts w:ascii="仿宋_GB2312" w:eastAsia="仿宋_GB2312" w:cs="仿宋_GB2312" w:hint="eastAsia"/>
          <w:sz w:val="32"/>
          <w:szCs w:val="32"/>
          <w:lang w:eastAsia="zh-CN"/>
        </w:rPr>
        <w:t>。</w:t>
      </w:r>
    </w:p>
    <w:p>
      <w:pPr>
        <w:pStyle w:val="37"/>
        <w:adjustRightInd w:val="0"/>
        <w:snapToGrid w:val="0"/>
        <w:spacing w:line="600" w:lineRule="exact"/>
        <w:rPr>
          <w:rFonts w:ascii="宋体" w:eastAsia="宋体" w:cs="宋体" w:hint="eastAsia"/>
          <w:b/>
          <w:bCs/>
          <w:sz w:val="32"/>
          <w:szCs w:val="32"/>
        </w:rPr>
      </w:pPr>
      <w:r>
        <w:rPr>
          <w:rFonts w:ascii="宋体" w:eastAsia="宋体" w:cs="宋体" w:hint="eastAsia"/>
          <w:sz w:val="32"/>
          <w:szCs w:val="32"/>
        </w:rPr>
        <w:t xml:space="preserve">    </w:t>
      </w:r>
      <w:r>
        <w:rPr>
          <w:rFonts w:ascii="宋体" w:eastAsia="宋体" w:cs="宋体" w:hint="eastAsia"/>
          <w:b/>
          <w:bCs/>
          <w:sz w:val="32"/>
          <w:szCs w:val="32"/>
        </w:rPr>
        <w:t>六、绩效评价意见</w:t>
      </w:r>
    </w:p>
    <w:p>
      <w:pPr>
        <w:pStyle w:val="37"/>
        <w:adjustRightInd w:val="0"/>
        <w:snapToGrid w:val="0"/>
        <w:spacing w:line="600" w:lineRule="exact"/>
        <w:ind w:firstLine="720"/>
        <w:rPr>
          <w:rFonts w:ascii="仿宋_GB2312" w:eastAsia="仿宋_GB2312" w:cs="仿宋_GB2312" w:hint="eastAsia"/>
          <w:sz w:val="32"/>
          <w:szCs w:val="32"/>
        </w:rPr>
      </w:pPr>
      <w:r>
        <w:rPr>
          <w:rFonts w:ascii="仿宋_GB2312" w:eastAsia="仿宋_GB2312" w:cs="仿宋_GB2312" w:hint="eastAsia"/>
          <w:sz w:val="32"/>
          <w:szCs w:val="32"/>
        </w:rPr>
        <w:t>为确保</w:t>
      </w:r>
      <w:r>
        <w:rPr>
          <w:rFonts w:ascii="仿宋_GB2312" w:eastAsia="仿宋_GB2312" w:cs="仿宋_GB2312" w:hint="eastAsia"/>
          <w:sz w:val="32"/>
          <w:szCs w:val="32"/>
          <w:lang w:val="en-US" w:eastAsia="zh-CN"/>
        </w:rPr>
        <w:t>防灭火通道</w:t>
      </w:r>
      <w:r>
        <w:rPr>
          <w:rFonts w:ascii="仿宋_GB2312" w:eastAsia="仿宋_GB2312" w:cs="仿宋_GB2312" w:hint="eastAsia"/>
          <w:sz w:val="32"/>
          <w:szCs w:val="32"/>
        </w:rPr>
        <w:t>正常运行，</w:t>
      </w:r>
      <w:r>
        <w:rPr>
          <w:rFonts w:ascii="仿宋_GB2312" w:eastAsia="仿宋_GB2312" w:cs="仿宋_GB2312" w:hint="eastAsia"/>
          <w:sz w:val="32"/>
          <w:szCs w:val="32"/>
          <w:lang w:val="en-US" w:eastAsia="zh-CN"/>
        </w:rPr>
        <w:t>后期</w:t>
      </w:r>
      <w:r>
        <w:rPr>
          <w:rFonts w:ascii="仿宋_GB2312" w:eastAsia="仿宋_GB2312" w:cs="仿宋_GB2312" w:hint="eastAsia"/>
          <w:sz w:val="32"/>
          <w:szCs w:val="32"/>
        </w:rPr>
        <w:t>需要</w:t>
      </w:r>
      <w:r>
        <w:rPr>
          <w:rFonts w:ascii="仿宋_GB2312" w:eastAsia="仿宋_GB2312" w:cs="仿宋_GB2312" w:hint="eastAsia"/>
          <w:sz w:val="32"/>
          <w:szCs w:val="32"/>
          <w:lang w:val="en-US" w:eastAsia="zh-CN"/>
        </w:rPr>
        <w:t>长期</w:t>
      </w:r>
      <w:r>
        <w:rPr>
          <w:rFonts w:ascii="仿宋_GB2312" w:eastAsia="仿宋_GB2312" w:cs="仿宋_GB2312" w:hint="eastAsia"/>
          <w:sz w:val="32"/>
          <w:szCs w:val="32"/>
        </w:rPr>
        <w:t>维护管理，建议安排</w:t>
      </w:r>
      <w:r>
        <w:rPr>
          <w:rFonts w:ascii="仿宋_GB2312" w:eastAsia="仿宋_GB2312" w:cs="仿宋_GB2312" w:hint="eastAsia"/>
          <w:sz w:val="32"/>
          <w:szCs w:val="32"/>
          <w:lang w:val="en-US" w:eastAsia="zh-CN"/>
        </w:rPr>
        <w:t>道路维护</w:t>
      </w:r>
      <w:r>
        <w:rPr>
          <w:rFonts w:ascii="仿宋_GB2312" w:eastAsia="仿宋_GB2312" w:cs="仿宋_GB2312" w:hint="eastAsia"/>
          <w:sz w:val="32"/>
          <w:szCs w:val="32"/>
        </w:rPr>
        <w:t>资金，确保项目建设成效。</w:t>
      </w:r>
    </w:p>
    <w:p>
      <w:pPr>
        <w:pStyle w:val="39"/>
        <w:rPr>
          <w:rFonts w:hint="eastAsia"/>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ind w:firstLineChars="200" w:firstLine="880"/>
        <w:jc w:val="both"/>
        <w:rPr>
          <w:rFonts w:ascii="方正小标宋简体" w:eastAsia="方正小标宋简体" w:cs="Times New Roman" w:hint="eastAsia"/>
          <w:sz w:val="44"/>
          <w:szCs w:val="44"/>
          <w:lang w:val="en-US" w:eastAsia="zh-CN"/>
        </w:rPr>
      </w:pPr>
      <w:r>
        <w:rPr>
          <w:rFonts w:ascii="方正小标宋简体" w:eastAsia="方正小标宋简体" w:cs="Times New Roman" w:hint="eastAsia"/>
          <w:sz w:val="44"/>
          <w:szCs w:val="44"/>
          <w:lang w:val="en-US" w:eastAsia="zh-CN"/>
        </w:rPr>
        <w:t>2021年度项目支出绩效自评报告</w:t>
      </w:r>
    </w:p>
    <w:p>
      <w:pPr>
        <w:pStyle w:val="40"/>
        <w:spacing w:line="600" w:lineRule="exact"/>
        <w:jc w:val="cente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（集体和个人所有公益林生态效益补偿项目）</w:t>
      </w:r>
    </w:p>
    <w:p>
      <w:pPr>
        <w:pStyle w:val="40"/>
        <w:spacing w:line="600" w:lineRule="exact"/>
        <w:ind w:firstLine="640"/>
        <w:jc w:val="center"/>
        <w:rPr>
          <w:rFonts w:ascii="仿宋_GB2312" w:eastAsia="仿宋_GB2312" w:cs="仿宋_GB2312" w:hint="eastAsia"/>
          <w:color w:val="auto"/>
          <w:kern w:val="2"/>
          <w:sz w:val="32"/>
          <w:szCs w:val="32"/>
        </w:rPr>
      </w:pPr>
    </w:p>
    <w:p>
      <w:pPr>
        <w:pStyle w:val="37"/>
        <w:adjustRightInd w:val="0"/>
        <w:snapToGrid w:val="0"/>
        <w:spacing w:line="600" w:lineRule="exact"/>
        <w:ind w:firstLine="72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pStyle w:val="37"/>
        <w:adjustRightInd w:val="0"/>
        <w:snapToGrid w:val="0"/>
        <w:spacing w:line="600" w:lineRule="exact"/>
        <w:ind w:firstLine="720"/>
        <w:rPr>
          <w:rFonts w:ascii="楷体_GB2312" w:eastAsia="楷体_GB2312" w:hint="eastAsia"/>
          <w:b/>
          <w:sz w:val="32"/>
          <w:szCs w:val="32"/>
          <w:lang w:val="zh-CN"/>
        </w:rPr>
      </w:pPr>
      <w:r>
        <w:rPr>
          <w:rFonts w:ascii="楷体_GB2312" w:eastAsia="楷体_GB2312" w:hint="eastAsia"/>
          <w:b/>
          <w:sz w:val="32"/>
          <w:szCs w:val="32"/>
          <w:lang w:val="zh-CN"/>
        </w:rPr>
        <w:t>（一）项目基本情况</w:t>
      </w:r>
    </w:p>
    <w:p>
      <w:pPr>
        <w:pStyle w:val="37"/>
        <w:adjustRightInd w:val="0"/>
        <w:snapToGrid w:val="0"/>
        <w:spacing w:line="600" w:lineRule="exact"/>
        <w:ind w:firstLine="720"/>
        <w:rPr>
          <w:rFonts w:ascii="仿宋_GB2312" w:eastAsia="仿宋_GB2312" w:cs="仿宋_GB2312" w:hint="eastAsia"/>
          <w:color w:val="000000"/>
          <w:sz w:val="32"/>
          <w:szCs w:val="32"/>
        </w:rPr>
      </w:pPr>
      <w:r>
        <w:rPr>
          <w:rFonts w:ascii="仿宋_GB2312" w:eastAsia="仿宋_GB2312" w:cs="仿宋_GB2312" w:hint="eastAsia"/>
          <w:color w:val="000000"/>
          <w:sz w:val="32"/>
          <w:szCs w:val="32"/>
        </w:rPr>
        <w:t>为保护公益林资源，维护生态安全，根据《中华人民共和国森</w:t>
      </w:r>
      <w:r>
        <w:rPr>
          <w:rFonts w:ascii="仿宋_GB2312" w:eastAsia="仿宋_GB2312" w:cs="仿宋_GB2312" w:hint="eastAsia"/>
          <w:sz w:val="32"/>
          <w:szCs w:val="32"/>
        </w:rPr>
        <w:t>林法》和中共中央、国务院《关于加快林业发展的决定》(中发〔2003〕9号</w:t>
      </w:r>
      <w:r>
        <w:rPr>
          <w:rFonts w:ascii="仿宋_GB2312" w:eastAsia="仿宋_GB2312" w:cs="仿宋_GB2312" w:hint="eastAsia"/>
          <w:color w:val="000000"/>
          <w:sz w:val="32"/>
          <w:szCs w:val="32"/>
        </w:rPr>
        <w:t>)，各级政府按照事权划分建立森林生态效益补偿基金。202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 xml:space="preserve">年集体公益林管护补助标准为15.75元/亩，全县集体公益林总面积为213. </w:t>
      </w:r>
      <w:r>
        <w:rPr>
          <w:rFonts w:ascii="仿宋_GB2312" w:eastAsia="仿宋_GB2312" w:cs="仿宋_GB2312" w:hint="eastAsia"/>
          <w:color w:val="000000"/>
          <w:sz w:val="32"/>
          <w:szCs w:val="32"/>
          <w:lang w:val="en-US" w:eastAsia="zh-CN"/>
        </w:rPr>
        <w:t>955344</w:t>
      </w:r>
      <w:r>
        <w:rPr>
          <w:rFonts w:ascii="仿宋_GB2312" w:eastAsia="仿宋_GB2312" w:cs="仿宋_GB2312" w:hint="eastAsia"/>
          <w:color w:val="000000"/>
          <w:sz w:val="32"/>
          <w:szCs w:val="32"/>
        </w:rPr>
        <w:t>万亩，补助资金</w:t>
      </w:r>
      <w:r>
        <w:rPr>
          <w:rFonts w:ascii="仿宋_GB2312" w:eastAsia="仿宋_GB2312" w:cs="仿宋_GB2312" w:hint="eastAsia"/>
          <w:color w:val="000000"/>
          <w:sz w:val="32"/>
          <w:szCs w:val="32"/>
          <w:lang w:val="en-US" w:eastAsia="zh-CN"/>
        </w:rPr>
        <w:t>3369.8</w:t>
      </w:r>
      <w:r>
        <w:rPr>
          <w:rFonts w:ascii="仿宋_GB2312" w:eastAsia="仿宋_GB2312" w:cs="仿宋_GB2312" w:hint="eastAsia"/>
          <w:color w:val="000000"/>
          <w:sz w:val="32"/>
          <w:szCs w:val="32"/>
        </w:rPr>
        <w:t>万元，涉及11个镇，104个村，农户2万余户，受益人口8万余人。</w:t>
      </w:r>
    </w:p>
    <w:p>
      <w:pPr>
        <w:pStyle w:val="37"/>
        <w:numPr>
          <w:ilvl w:val="0"/>
          <w:numId w:val="6"/>
        </w:numPr>
        <w:adjustRightInd w:val="0"/>
        <w:snapToGrid w:val="0"/>
        <w:spacing w:line="600" w:lineRule="exact"/>
        <w:ind w:left="0" w:firstLine="720"/>
        <w:rPr>
          <w:rFonts w:ascii="楷体_GB2312" w:eastAsia="楷体_GB2312" w:cs="Times New Roman" w:hint="eastAsia"/>
          <w:b/>
          <w:sz w:val="32"/>
          <w:szCs w:val="32"/>
          <w:lang w:val="zh-CN"/>
        </w:rPr>
      </w:pPr>
      <w:r>
        <w:rPr>
          <w:rFonts w:ascii="楷体_GB2312" w:eastAsia="楷体_GB2312" w:cs="Times New Roman" w:hint="eastAsia"/>
          <w:b/>
          <w:sz w:val="32"/>
          <w:szCs w:val="32"/>
          <w:lang w:val="zh-CN" w:eastAsia="zh-CN"/>
        </w:rPr>
        <w:t>项目</w:t>
      </w:r>
      <w:r>
        <w:rPr>
          <w:rFonts w:ascii="楷体_GB2312" w:eastAsia="楷体_GB2312" w:cs="Times New Roman" w:hint="eastAsia"/>
          <w:b/>
          <w:sz w:val="32"/>
          <w:szCs w:val="32"/>
          <w:lang w:val="zh-CN"/>
        </w:rPr>
        <w:t>绩效目标</w:t>
      </w:r>
    </w:p>
    <w:p>
      <w:pPr>
        <w:pStyle w:val="37"/>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年我县集体</w:t>
      </w:r>
      <w:r>
        <w:rPr>
          <w:rFonts w:ascii="仿宋_GB2312" w:eastAsia="仿宋_GB2312" w:cs="仿宋_GB2312" w:hint="eastAsia"/>
          <w:color w:val="000000"/>
          <w:sz w:val="32"/>
          <w:szCs w:val="32"/>
        </w:rPr>
        <w:t>公益林总面积为213.</w:t>
      </w:r>
      <w:r>
        <w:rPr>
          <w:rFonts w:ascii="仿宋_GB2312" w:eastAsia="仿宋_GB2312" w:cs="仿宋_GB2312" w:hint="eastAsia"/>
          <w:color w:val="000000"/>
          <w:sz w:val="32"/>
          <w:szCs w:val="32"/>
          <w:lang w:val="en-US" w:eastAsia="zh-CN"/>
        </w:rPr>
        <w:t>955344</w:t>
      </w:r>
      <w:r>
        <w:rPr>
          <w:rFonts w:ascii="仿宋_GB2312" w:eastAsia="仿宋_GB2312" w:cs="仿宋_GB2312" w:hint="eastAsia"/>
          <w:color w:val="000000"/>
          <w:sz w:val="32"/>
          <w:szCs w:val="32"/>
        </w:rPr>
        <w:t>万亩，全县资金兑现涉及11个乡镇，104个村</w:t>
      </w:r>
      <w:r>
        <w:rPr>
          <w:rFonts w:ascii="仿宋_GB2312" w:eastAsia="仿宋_GB2312" w:cs="仿宋_GB2312" w:hint="eastAsia"/>
          <w:sz w:val="32"/>
          <w:szCs w:val="32"/>
        </w:rPr>
        <w:t>，农户2万余户，受益人口8万余人。</w:t>
      </w:r>
    </w:p>
    <w:p>
      <w:pPr>
        <w:pStyle w:val="37"/>
        <w:numPr>
          <w:ilvl w:val="0"/>
          <w:numId w:val="6"/>
        </w:numPr>
        <w:adjustRightInd w:val="0"/>
        <w:snapToGrid w:val="0"/>
        <w:spacing w:line="600" w:lineRule="exact"/>
        <w:ind w:left="0" w:firstLine="720"/>
        <w:rPr>
          <w:rFonts w:ascii="楷体_GB2312" w:eastAsia="楷体_GB2312" w:cs="Times New Roman" w:hint="eastAsia"/>
          <w:b/>
          <w:sz w:val="32"/>
          <w:szCs w:val="32"/>
          <w:lang w:val="zh-CN" w:eastAsia="zh-CN"/>
        </w:rPr>
      </w:pPr>
      <w:r>
        <w:rPr>
          <w:rFonts w:ascii="楷体_GB2312" w:eastAsia="楷体_GB2312" w:cs="Times New Roman" w:hint="eastAsia"/>
          <w:b/>
          <w:sz w:val="32"/>
          <w:szCs w:val="32"/>
          <w:lang w:val="zh-CN" w:eastAsia="zh-CN"/>
        </w:rPr>
        <w:t>项目自评步骤及方法</w:t>
      </w:r>
    </w:p>
    <w:p>
      <w:pPr>
        <w:pStyle w:val="39"/>
        <w:keepNext w:val="0"/>
        <w:keepLines w:val="0"/>
        <w:pageBreakBefore w:val="0"/>
        <w:widowControl w:val="0"/>
        <w:kinsoku/>
        <w:wordWrap/>
        <w:overflowPunct/>
        <w:topLinePunct w:val="0"/>
        <w:autoSpaceDE/>
        <w:autoSpaceDN/>
        <w:bidi w:val="0"/>
        <w:adjustRightInd/>
        <w:snapToGrid/>
        <w:ind w:firstLineChars="200" w:firstLine="640"/>
        <w:textAlignment w:val="auto"/>
        <w:rPr>
          <w:rFonts w:ascii="仿宋_GB2312" w:eastAsia="仿宋_GB2312" w:cs="仿宋_GB2312" w:hint="eastAsia"/>
          <w:color w:val="000000"/>
          <w:kern w:val="2"/>
          <w:sz w:val="32"/>
          <w:szCs w:val="32"/>
          <w:lang w:val="zh-CN" w:eastAsia="zh-CN" w:bidi="ar-SA"/>
        </w:rPr>
      </w:pPr>
      <w:r>
        <w:rPr>
          <w:rFonts w:ascii="仿宋_GB2312" w:eastAsia="仿宋_GB2312" w:cs="仿宋_GB2312" w:hint="eastAsia"/>
          <w:color w:val="000000"/>
          <w:kern w:val="2"/>
          <w:sz w:val="32"/>
          <w:szCs w:val="32"/>
          <w:lang w:val="zh-CN" w:eastAsia="zh-CN" w:bidi="ar-SA"/>
        </w:rPr>
        <w:t>开展绩效自评。</w:t>
      </w:r>
    </w:p>
    <w:p>
      <w:pPr>
        <w:pStyle w:val="37"/>
        <w:keepNext w:val="0"/>
        <w:keepLines w:val="0"/>
        <w:pageBreakBefore w:val="0"/>
        <w:widowControl w:val="0"/>
        <w:kinsoku/>
        <w:wordWrap/>
        <w:overflowPunct/>
        <w:topLinePunct w:val="0"/>
        <w:autoSpaceDE/>
        <w:autoSpaceDN/>
        <w:bidi w:val="0"/>
        <w:adjustRightInd/>
        <w:snapToGrid/>
        <w:ind w:firstLineChars="200" w:firstLine="640"/>
        <w:textAlignment w:val="auto"/>
        <w:rPr>
          <w:rFonts w:ascii="黑体" w:eastAsia="黑体" w:cs="黑体" w:hint="eastAsia"/>
          <w:sz w:val="32"/>
          <w:szCs w:val="32"/>
          <w:lang w:val="zh-CN" w:eastAsia="zh-CN"/>
        </w:rPr>
      </w:pPr>
      <w:r>
        <w:rPr>
          <w:rFonts w:ascii="黑体" w:eastAsia="黑体" w:cs="黑体" w:hint="eastAsia"/>
          <w:color w:val="000000"/>
          <w:kern w:val="2"/>
          <w:sz w:val="32"/>
          <w:szCs w:val="32"/>
          <w:lang w:val="zh-CN" w:eastAsia="zh-CN" w:bidi="ar-SA"/>
        </w:rPr>
        <w:t>二、项目资金申报及使用情况</w:t>
      </w:r>
    </w:p>
    <w:p>
      <w:pPr>
        <w:pStyle w:val="37"/>
        <w:adjustRightInd w:val="0"/>
        <w:snapToGrid w:val="0"/>
        <w:spacing w:line="600" w:lineRule="exact"/>
        <w:rPr>
          <w:rFonts w:ascii="仿宋_GB2312" w:eastAsia="仿宋_GB2312" w:cs="仿宋_GB2312" w:hint="eastAsia"/>
          <w:sz w:val="32"/>
          <w:szCs w:val="32"/>
          <w:lang w:val="zh-CN"/>
        </w:rPr>
      </w:pPr>
      <w:r>
        <w:rPr>
          <w:rFonts w:ascii="仿宋_GB2312" w:eastAsia="仿宋_GB2312" w:cs="仿宋_GB2312" w:hint="eastAsia"/>
          <w:sz w:val="32"/>
          <w:szCs w:val="32"/>
          <w:lang w:val="zh-CN"/>
        </w:rPr>
        <w:tab/>
      </w:r>
      <w:r>
        <w:rPr>
          <w:rFonts w:ascii="仿宋_GB2312" w:eastAsia="仿宋_GB2312" w:cs="仿宋_GB2312" w:hint="eastAsia"/>
          <w:b/>
          <w:sz w:val="32"/>
          <w:szCs w:val="32"/>
          <w:lang w:val="zh-CN"/>
        </w:rPr>
        <w:t>1．资金到位使用。</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年度集体和个人所有国家级公益林生态效益补偿项目</w:t>
      </w:r>
      <w:r>
        <w:rPr>
          <w:rFonts w:ascii="仿宋_GB2312" w:eastAsia="仿宋_GB2312" w:cs="仿宋_GB2312" w:hint="eastAsia"/>
          <w:sz w:val="32"/>
          <w:szCs w:val="32"/>
          <w:lang w:val="zh-CN"/>
        </w:rPr>
        <w:t>资金计划为</w:t>
      </w:r>
      <w:r>
        <w:rPr>
          <w:rFonts w:ascii="仿宋_GB2312" w:eastAsia="仿宋_GB2312" w:cs="仿宋_GB2312" w:hint="eastAsia"/>
          <w:sz w:val="32"/>
          <w:szCs w:val="32"/>
          <w:lang w:val="en-US" w:eastAsia="zh-CN"/>
        </w:rPr>
        <w:t>3369.8</w:t>
      </w:r>
      <w:r>
        <w:rPr>
          <w:rFonts w:ascii="仿宋_GB2312" w:eastAsia="仿宋_GB2312" w:cs="仿宋_GB2312" w:hint="eastAsia"/>
          <w:sz w:val="32"/>
          <w:szCs w:val="32"/>
        </w:rPr>
        <w:t>万元，</w:t>
      </w:r>
      <w:r>
        <w:rPr>
          <w:rFonts w:ascii="仿宋_GB2312" w:eastAsia="仿宋_GB2312" w:cs="仿宋_GB2312" w:hint="eastAsia"/>
          <w:sz w:val="32"/>
          <w:szCs w:val="32"/>
          <w:lang w:val="zh-CN"/>
        </w:rPr>
        <w:t>截止评价时点实际到位</w:t>
      </w:r>
      <w:r>
        <w:rPr>
          <w:rFonts w:ascii="仿宋_GB2312" w:eastAsia="仿宋_GB2312" w:cs="仿宋_GB2312" w:hint="eastAsia"/>
          <w:sz w:val="32"/>
          <w:szCs w:val="32"/>
          <w:lang w:val="en-US" w:eastAsia="zh-CN"/>
        </w:rPr>
        <w:t>3369.8</w:t>
      </w:r>
      <w:r>
        <w:rPr>
          <w:rFonts w:ascii="仿宋_GB2312" w:eastAsia="仿宋_GB2312" w:cs="仿宋_GB2312" w:hint="eastAsia"/>
          <w:sz w:val="32"/>
          <w:szCs w:val="32"/>
        </w:rPr>
        <w:t>万元</w:t>
      </w:r>
      <w:r>
        <w:rPr>
          <w:rFonts w:ascii="仿宋_GB2312" w:eastAsia="仿宋_GB2312" w:cs="仿宋_GB2312" w:hint="eastAsia"/>
          <w:sz w:val="32"/>
          <w:szCs w:val="32"/>
          <w:lang w:val="zh-CN"/>
        </w:rPr>
        <w:t>，全部为中央财政资金。就资金到位情况与资金计划比较后资金到位率为</w:t>
      </w:r>
      <w:r>
        <w:rPr>
          <w:rFonts w:ascii="仿宋_GB2312" w:eastAsia="仿宋_GB2312" w:cs="仿宋_GB2312" w:hint="eastAsia"/>
          <w:sz w:val="32"/>
          <w:szCs w:val="32"/>
        </w:rPr>
        <w:t>100%</w:t>
      </w:r>
      <w:r>
        <w:rPr>
          <w:rFonts w:ascii="仿宋_GB2312" w:eastAsia="仿宋_GB2312" w:cs="仿宋_GB2312" w:hint="eastAsia"/>
          <w:sz w:val="32"/>
          <w:szCs w:val="32"/>
          <w:lang w:val="zh-CN"/>
        </w:rPr>
        <w:t>，且到位及时；截止目前项目资金的实际支出</w:t>
      </w:r>
      <w:r>
        <w:rPr>
          <w:rFonts w:ascii="仿宋_GB2312" w:eastAsia="仿宋_GB2312" w:cs="仿宋_GB2312" w:hint="eastAsia"/>
          <w:sz w:val="32"/>
          <w:szCs w:val="32"/>
        </w:rPr>
        <w:t>3369</w:t>
      </w:r>
      <w:r>
        <w:rPr>
          <w:rFonts w:ascii="仿宋_GB2312" w:eastAsia="仿宋_GB2312" w:cs="仿宋_GB2312" w:hint="eastAsia"/>
          <w:sz w:val="32"/>
          <w:szCs w:val="32"/>
          <w:lang w:val="en-US" w:eastAsia="zh-CN"/>
        </w:rPr>
        <w:t>.</w:t>
      </w:r>
      <w:r>
        <w:rPr>
          <w:rFonts w:ascii="仿宋_GB2312" w:eastAsia="仿宋_GB2312" w:cs="仿宋_GB2312" w:hint="eastAsia"/>
          <w:sz w:val="32"/>
          <w:szCs w:val="32"/>
        </w:rPr>
        <w:t>796665万元</w:t>
      </w:r>
      <w:r>
        <w:rPr>
          <w:rFonts w:ascii="仿宋_GB2312" w:eastAsia="仿宋_GB2312" w:cs="仿宋_GB2312" w:hint="eastAsia"/>
          <w:sz w:val="32"/>
          <w:szCs w:val="32"/>
          <w:lang w:val="zh-CN"/>
        </w:rPr>
        <w:t>，资金开支用于兑现</w:t>
      </w:r>
      <w:r>
        <w:rPr>
          <w:rFonts w:ascii="仿宋_GB2312" w:eastAsia="仿宋_GB2312" w:cs="仿宋_GB2312" w:hint="eastAsia"/>
          <w:sz w:val="32"/>
          <w:szCs w:val="32"/>
        </w:rPr>
        <w:t>集体和个人所有国家级公益林生态效益补偿补助标准为15.75元/亩，</w:t>
      </w:r>
      <w:r>
        <w:rPr>
          <w:rFonts w:ascii="仿宋_GB2312" w:eastAsia="仿宋_GB2312" w:cs="仿宋_GB2312" w:hint="eastAsia"/>
          <w:sz w:val="32"/>
          <w:szCs w:val="32"/>
          <w:lang w:val="zh-CN"/>
        </w:rPr>
        <w:t>支付进度</w:t>
      </w:r>
      <w:r>
        <w:rPr>
          <w:rFonts w:ascii="仿宋_GB2312" w:eastAsia="仿宋_GB2312" w:cs="仿宋_GB2312" w:hint="eastAsia"/>
          <w:sz w:val="32"/>
          <w:szCs w:val="32"/>
        </w:rPr>
        <w:t>100%。</w:t>
      </w:r>
      <w:r>
        <w:rPr>
          <w:rFonts w:ascii="仿宋_GB2312" w:eastAsia="仿宋_GB2312" w:cs="仿宋_GB2312" w:hint="eastAsia"/>
          <w:sz w:val="32"/>
          <w:szCs w:val="32"/>
          <w:lang w:val="zh-CN"/>
        </w:rPr>
        <w:t>支付依据根据财务要求合规合法，资金支付与预算相符，并对相关问题进行了说明。</w:t>
      </w:r>
    </w:p>
    <w:p>
      <w:pPr>
        <w:pStyle w:val="37"/>
        <w:adjustRightInd w:val="0"/>
        <w:snapToGrid w:val="0"/>
        <w:spacing w:line="600" w:lineRule="exact"/>
        <w:ind w:firstLine="720"/>
        <w:rPr>
          <w:rFonts w:ascii="仿宋_GB2312" w:eastAsia="仿宋_GB2312" w:cs="仿宋_GB2312" w:hint="eastAsia"/>
          <w:sz w:val="32"/>
          <w:szCs w:val="32"/>
          <w:lang w:val="zh-CN"/>
        </w:rPr>
      </w:pPr>
      <w:r>
        <w:rPr>
          <w:rFonts w:ascii="仿宋_GB2312" w:eastAsia="仿宋_GB2312" w:cs="仿宋_GB2312" w:hint="eastAsia"/>
          <w:b/>
          <w:sz w:val="32"/>
          <w:szCs w:val="32"/>
          <w:lang w:val="zh-CN"/>
        </w:rPr>
        <w:t>2.项目财务管理情况。</w:t>
      </w:r>
      <w:r>
        <w:rPr>
          <w:rFonts w:ascii="仿宋_GB2312" w:eastAsia="仿宋_GB2312" w:cs="仿宋_GB2312" w:hint="eastAsia"/>
          <w:sz w:val="32"/>
          <w:szCs w:val="32"/>
          <w:lang w:val="zh-CN"/>
        </w:rPr>
        <w:t>生态补偿资金实行专户管理、专账核算、专款专用，县林草局依据各</w:t>
      </w:r>
      <w:r>
        <w:rPr>
          <w:rFonts w:ascii="仿宋_GB2312" w:eastAsia="仿宋_GB2312" w:cs="仿宋_GB2312" w:hint="eastAsia"/>
          <w:sz w:val="32"/>
          <w:szCs w:val="32"/>
        </w:rPr>
        <w:t>村“一事一议”形式议定集体公益林生态补偿基金分配方案、表（票）决情况表</w:t>
      </w:r>
      <w:r>
        <w:rPr>
          <w:rFonts w:ascii="仿宋_GB2312" w:eastAsia="仿宋_GB2312" w:cs="仿宋_GB2312" w:hint="eastAsia"/>
          <w:sz w:val="32"/>
          <w:szCs w:val="32"/>
          <w:lang w:val="zh-CN"/>
        </w:rPr>
        <w:t>和兑现农户的签字花名册将集体林生态效益补偿资金、村提留的资金通过按农户花名册通过“一卡通”系统直接拨付给农户。对照项目资金管理办法，评价项目是严格执行财务管理制度、财务处理及时且会计核算规范。</w:t>
      </w:r>
    </w:p>
    <w:p>
      <w:pPr>
        <w:pStyle w:val="37"/>
        <w:keepNext w:val="0"/>
        <w:keepLines w:val="0"/>
        <w:pageBreakBefore w:val="0"/>
        <w:widowControl w:val="0"/>
        <w:kinsoku/>
        <w:wordWrap/>
        <w:overflowPunct/>
        <w:topLinePunct w:val="0"/>
        <w:autoSpaceDE/>
        <w:autoSpaceDN/>
        <w:bidi w:val="0"/>
        <w:adjustRightInd/>
        <w:snapToGrid/>
        <w:ind w:firstLineChars="200" w:firstLine="640"/>
        <w:textAlignment w:val="auto"/>
        <w:rPr>
          <w:rFonts w:ascii="黑体" w:eastAsia="黑体" w:cs="黑体" w:hint="eastAsia"/>
          <w:color w:val="000000"/>
          <w:kern w:val="2"/>
          <w:sz w:val="32"/>
          <w:szCs w:val="32"/>
          <w:lang w:val="zh-CN" w:eastAsia="zh-CN" w:bidi="ar-SA"/>
        </w:rPr>
      </w:pPr>
      <w:r>
        <w:rPr>
          <w:rFonts w:ascii="黑体" w:eastAsia="黑体" w:cs="黑体" w:hint="eastAsia"/>
          <w:color w:val="000000"/>
          <w:kern w:val="2"/>
          <w:sz w:val="32"/>
          <w:szCs w:val="32"/>
          <w:lang w:val="zh-CN" w:eastAsia="zh-CN" w:bidi="ar-SA"/>
        </w:rPr>
        <w:t>三、项目实施及管理情况</w:t>
      </w:r>
    </w:p>
    <w:p>
      <w:pPr>
        <w:pStyle w:val="37"/>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年我县集体</w:t>
      </w:r>
      <w:r>
        <w:rPr>
          <w:rFonts w:ascii="仿宋_GB2312" w:eastAsia="仿宋_GB2312" w:cs="仿宋_GB2312" w:hint="eastAsia"/>
          <w:color w:val="000000"/>
          <w:sz w:val="32"/>
          <w:szCs w:val="32"/>
        </w:rPr>
        <w:t>公益林总面积为213.</w:t>
      </w:r>
      <w:r>
        <w:rPr>
          <w:rFonts w:ascii="仿宋_GB2312" w:eastAsia="仿宋_GB2312" w:cs="仿宋_GB2312" w:hint="eastAsia"/>
          <w:color w:val="000000"/>
          <w:sz w:val="32"/>
          <w:szCs w:val="32"/>
          <w:lang w:val="en-US" w:eastAsia="zh-CN"/>
        </w:rPr>
        <w:t>955344</w:t>
      </w:r>
      <w:r>
        <w:rPr>
          <w:rFonts w:ascii="仿宋_GB2312" w:eastAsia="仿宋_GB2312" w:cs="仿宋_GB2312" w:hint="eastAsia"/>
          <w:color w:val="000000"/>
          <w:sz w:val="32"/>
          <w:szCs w:val="32"/>
        </w:rPr>
        <w:t>万亩，全县资金兑现涉及11个乡镇，104个村</w:t>
      </w:r>
      <w:r>
        <w:rPr>
          <w:rFonts w:ascii="仿宋_GB2312" w:eastAsia="仿宋_GB2312" w:cs="仿宋_GB2312" w:hint="eastAsia"/>
          <w:sz w:val="32"/>
          <w:szCs w:val="32"/>
        </w:rPr>
        <w:t>，农户2万余户，受益人口8万余人。</w:t>
      </w:r>
    </w:p>
    <w:p>
      <w:pPr>
        <w:pStyle w:val="37"/>
        <w:ind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rPr>
        <w:t>1.建立和完善管护机制。</w:t>
      </w:r>
      <w:r>
        <w:rPr>
          <w:rFonts w:ascii="仿宋_GB2312" w:eastAsia="仿宋_GB2312" w:cs="仿宋_GB2312" w:hint="eastAsia"/>
          <w:sz w:val="32"/>
          <w:szCs w:val="32"/>
        </w:rPr>
        <w:t>制定了《茂县集体林管护制度》、《茂县集体林管护人员考核办法》；各乡镇成立集体林管护机构领导小组，制定了集体林管护制度、明确了管护职责。</w:t>
      </w:r>
    </w:p>
    <w:p>
      <w:pPr>
        <w:pStyle w:val="37"/>
        <w:ind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rPr>
        <w:t>2.落实责任。</w:t>
      </w:r>
      <w:r>
        <w:rPr>
          <w:rFonts w:ascii="仿宋_GB2312" w:eastAsia="仿宋_GB2312" w:cs="仿宋_GB2312" w:hint="eastAsia"/>
          <w:sz w:val="32"/>
          <w:szCs w:val="32"/>
        </w:rPr>
        <w:t>我县根据上级要求与工作部署，结合各乡镇实际，认真贯彻执行四川省财政厅  四川省林业厅《关于进一步加强集体公益林生态效益补偿政策落实兑现工作的意见》川财农〔2015〕216号、《阿坝州森林资源保护管理办法》阿州林发〔2013〕178号的相关要求，使我县的森林资源管护和资金兑现工作得以有章可循，规范运作。一是签订目标责任书：林业主管部门与乡镇签订目标责任书，乡镇与行政村签订目标责任书；二是签订管护协议：行政村与本村所聘用的集体林管护人员签订集体林管护协议。三是绘制管护图：以乡镇为单位绘制了集体林管护图，将管护区域落实到人头。四是建立考核聘用机制：各乡镇对自辖区内的集体林管护人员进行年终考核，主要考核管护人员的政治思想表现及工作业绩，对考核合格的予以续聘，不合格的予以辞退。</w:t>
      </w:r>
    </w:p>
    <w:p>
      <w:pPr>
        <w:pStyle w:val="37"/>
        <w:ind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rPr>
        <w:t>3.制定兑现方案，落实兑现工作。</w:t>
      </w:r>
      <w:r>
        <w:rPr>
          <w:rFonts w:ascii="仿宋_GB2312" w:eastAsia="仿宋_GB2312" w:cs="仿宋_GB2312" w:hint="eastAsia"/>
          <w:sz w:val="32"/>
          <w:szCs w:val="32"/>
        </w:rPr>
        <w:t>为全面落实森林生态效益补偿资金兑现工作，制定了《茂县202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年度集体公益林生态效益补偿资金兑现方案》明确了补偿范围、资金到位情况和补偿标准、资金用途以及资金拨付程序。</w:t>
      </w:r>
    </w:p>
    <w:p>
      <w:pPr>
        <w:pStyle w:val="37"/>
        <w:ind w:firstLineChars="200" w:firstLine="640"/>
        <w:jc w:val="left"/>
        <w:rPr>
          <w:rFonts w:ascii="仿宋_GB2312" w:eastAsia="仿宋_GB2312" w:cs="仿宋_GB2312" w:hint="eastAsia"/>
          <w:color w:val="000000"/>
          <w:sz w:val="32"/>
          <w:szCs w:val="32"/>
        </w:rPr>
      </w:pPr>
      <w:r>
        <w:rPr>
          <w:rFonts w:ascii="仿宋_GB2312" w:eastAsia="仿宋_GB2312" w:cs="仿宋_GB2312" w:hint="eastAsia"/>
          <w:sz w:val="32"/>
          <w:szCs w:val="32"/>
        </w:rPr>
        <w:t>截</w:t>
      </w:r>
      <w:r>
        <w:rPr>
          <w:rFonts w:ascii="仿宋_GB2312" w:eastAsia="仿宋_GB2312" w:cs="仿宋_GB2312" w:hint="eastAsia"/>
          <w:color w:val="000000"/>
          <w:sz w:val="32"/>
          <w:szCs w:val="32"/>
        </w:rPr>
        <w:t>止202</w:t>
      </w:r>
      <w:r>
        <w:rPr>
          <w:rFonts w:ascii="仿宋_GB2312" w:eastAsia="仿宋_GB2312" w:cs="仿宋_GB2312" w:hint="eastAsia"/>
          <w:color w:val="000000"/>
          <w:sz w:val="32"/>
          <w:szCs w:val="32"/>
          <w:lang w:val="en-US" w:eastAsia="zh-CN"/>
        </w:rPr>
        <w:t>1</w:t>
      </w:r>
      <w:r>
        <w:rPr>
          <w:rFonts w:ascii="仿宋_GB2312" w:eastAsia="仿宋_GB2312" w:cs="仿宋_GB2312" w:hint="eastAsia"/>
          <w:color w:val="000000"/>
          <w:sz w:val="32"/>
          <w:szCs w:val="32"/>
        </w:rPr>
        <w:t>年12月31日，该年度集体公益林生态效益补偿项目已按照相关要求全面完成，并通过了县级林业主管部门验收合格。</w:t>
      </w:r>
    </w:p>
    <w:p>
      <w:pPr>
        <w:pStyle w:val="37"/>
        <w:keepNext w:val="0"/>
        <w:keepLines w:val="0"/>
        <w:pageBreakBefore w:val="0"/>
        <w:widowControl w:val="0"/>
        <w:kinsoku/>
        <w:wordWrap/>
        <w:overflowPunct/>
        <w:topLinePunct w:val="0"/>
        <w:autoSpaceDE/>
        <w:autoSpaceDN/>
        <w:bidi w:val="0"/>
        <w:adjustRightInd/>
        <w:snapToGrid/>
        <w:ind w:firstLineChars="200" w:firstLine="640"/>
        <w:textAlignment w:val="auto"/>
        <w:rPr>
          <w:rFonts w:ascii="黑体" w:eastAsia="黑体" w:cs="黑体" w:hint="eastAsia"/>
          <w:color w:val="000000"/>
          <w:kern w:val="2"/>
          <w:sz w:val="32"/>
          <w:szCs w:val="32"/>
          <w:lang w:val="zh-CN" w:eastAsia="zh-CN" w:bidi="ar-SA"/>
        </w:rPr>
      </w:pPr>
      <w:r>
        <w:rPr>
          <w:rFonts w:ascii="黑体" w:eastAsia="黑体" w:cs="黑体" w:hint="eastAsia"/>
          <w:color w:val="000000"/>
          <w:kern w:val="2"/>
          <w:sz w:val="32"/>
          <w:szCs w:val="32"/>
          <w:lang w:val="zh-CN" w:eastAsia="zh-CN" w:bidi="ar-SA"/>
        </w:rPr>
        <w:t>四、项目绩效情况</w:t>
      </w:r>
    </w:p>
    <w:p>
      <w:pPr>
        <w:pStyle w:val="37"/>
        <w:keepNext w:val="0"/>
        <w:keepLines w:val="0"/>
        <w:pageBreakBefore w:val="0"/>
        <w:widowControl w:val="0"/>
        <w:kinsoku/>
        <w:wordWrap/>
        <w:overflowPunct/>
        <w:topLinePunct w:val="0"/>
        <w:autoSpaceDE/>
        <w:autoSpaceDN/>
        <w:bidi w:val="0"/>
        <w:adjustRightInd/>
        <w:snapToGrid/>
        <w:ind w:left="0" w:firstLineChars="200" w:firstLine="640"/>
        <w:jc w:val="left"/>
        <w:textAlignment w:val="auto"/>
        <w:rPr>
          <w:rFonts w:ascii="仿宋_GB2312" w:eastAsia="仿宋_GB2312" w:cs="仿宋_GB2312" w:hint="eastAsia"/>
          <w:b/>
          <w:sz w:val="32"/>
          <w:szCs w:val="32"/>
          <w:lang w:val="zh-CN"/>
        </w:rPr>
      </w:pPr>
      <w:r>
        <w:rPr>
          <w:rFonts w:ascii="仿宋_GB2312" w:eastAsia="仿宋_GB2312" w:cs="仿宋_GB2312" w:hint="eastAsia"/>
          <w:color w:val="000000"/>
          <w:kern w:val="0"/>
          <w:sz w:val="32"/>
          <w:szCs w:val="32"/>
        </w:rPr>
        <w:t xml:space="preserve">本年度，我县森林生态效益补偿工作，在上级林业主管部门的帮助指导下，经过采取有效措施，公益林得到有效管护，公益林真正形成高效、稳定的森林生态系统，发挥了最大的生态效益和社会效益，最大限度地满足维护国家生态安全和经济社会可持续发展的需要。主要表现在以下方面：  </w:t>
      </w:r>
    </w:p>
    <w:p>
      <w:pPr>
        <w:pStyle w:val="37"/>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b/>
          <w:bCs/>
          <w:color w:val="000000"/>
          <w:kern w:val="0"/>
          <w:sz w:val="32"/>
          <w:szCs w:val="32"/>
        </w:rPr>
        <w:t>1.</w:t>
      </w:r>
      <w:r>
        <w:rPr>
          <w:rFonts w:ascii="仿宋_GB2312" w:eastAsia="仿宋_GB2312" w:cs="仿宋_GB2312" w:hint="eastAsia"/>
          <w:b/>
          <w:bCs/>
          <w:color w:val="000000"/>
          <w:sz w:val="32"/>
          <w:szCs w:val="32"/>
        </w:rPr>
        <w:t>社会经济效益</w:t>
      </w:r>
      <w:r>
        <w:rPr>
          <w:rFonts w:ascii="仿宋_GB2312" w:eastAsia="仿宋_GB2312" w:cs="仿宋_GB2312" w:hint="eastAsia"/>
          <w:color w:val="000000"/>
          <w:sz w:val="32"/>
          <w:szCs w:val="32"/>
        </w:rPr>
        <w:t>。通过实施天保工程二期集体公益林生态效益补偿，使全县11个乡镇104个村。2.2万户，8.9万人受益。平均人均增收月400元，增加了群众收入，提高当地群众生活生产水平和改善了生活生产条件。为茂县精准扶贫、精准脱贫打下了坚实的基础，</w:t>
      </w:r>
      <w:r>
        <w:rPr>
          <w:rFonts w:ascii="仿宋_GB2312" w:eastAsia="仿宋_GB2312" w:cs="仿宋_GB2312" w:hint="eastAsia"/>
          <w:sz w:val="32"/>
          <w:szCs w:val="32"/>
        </w:rPr>
        <w:t>有效地改善民生，有力地促进林区社会的和谐稳定。</w:t>
      </w:r>
    </w:p>
    <w:p>
      <w:pPr>
        <w:pStyle w:val="37"/>
        <w:spacing w:line="56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b/>
          <w:bCs/>
          <w:sz w:val="32"/>
          <w:szCs w:val="32"/>
        </w:rPr>
        <w:t>2.</w:t>
      </w:r>
      <w:r>
        <w:rPr>
          <w:rFonts w:ascii="仿宋_GB2312" w:eastAsia="仿宋_GB2312" w:cs="仿宋_GB2312" w:hint="eastAsia"/>
          <w:b/>
          <w:bCs/>
          <w:color w:val="000000"/>
          <w:sz w:val="32"/>
          <w:szCs w:val="32"/>
        </w:rPr>
        <w:t>生态建设效益</w:t>
      </w:r>
      <w:r>
        <w:rPr>
          <w:rFonts w:ascii="仿宋_GB2312" w:eastAsia="仿宋_GB2312" w:cs="仿宋_GB2312" w:hint="eastAsia"/>
          <w:color w:val="000000"/>
          <w:sz w:val="32"/>
          <w:szCs w:val="32"/>
        </w:rPr>
        <w:t>。通过实施天保工程二期集体公益林生态效益补偿通过实施禁伐、森林管护、增强了水源涵养能力，保护了生态环境和生物多样性，为建设长江上游重要生态屏障作了巨大贡献。同时</w:t>
      </w:r>
      <w:r>
        <w:rPr>
          <w:rFonts w:ascii="仿宋_GB2312" w:eastAsia="仿宋_GB2312" w:cs="仿宋_GB2312" w:hint="eastAsia"/>
          <w:color w:val="000000"/>
          <w:kern w:val="0"/>
          <w:sz w:val="32"/>
          <w:szCs w:val="32"/>
        </w:rPr>
        <w:t>以实施森林生态效益补偿为契机，带动了森林资源保护管理能力的提升，尤其是森林防火、林业有害生物防治、森林资源监测、资源档案建立和管理等基础设施得到改善。 </w:t>
      </w:r>
    </w:p>
    <w:p>
      <w:pPr>
        <w:pStyle w:val="37"/>
        <w:spacing w:line="560" w:lineRule="exact"/>
        <w:ind w:firstLineChars="200" w:firstLine="640"/>
        <w:rPr>
          <w:rFonts w:ascii="仿宋_GB2312" w:eastAsia="仿宋_GB2312" w:cs="仿宋_GB2312" w:hint="eastAsia"/>
          <w:color w:val="000000"/>
          <w:kern w:val="0"/>
          <w:sz w:val="32"/>
          <w:szCs w:val="32"/>
        </w:rPr>
      </w:pPr>
      <w:r>
        <w:rPr>
          <w:rFonts w:ascii="仿宋_GB2312" w:eastAsia="仿宋_GB2312" w:cs="仿宋_GB2312" w:hint="eastAsia"/>
          <w:b w:val="0"/>
          <w:bCs w:val="0"/>
          <w:color w:val="000000"/>
          <w:sz w:val="32"/>
          <w:szCs w:val="32"/>
        </w:rPr>
        <w:t>3.受益群众满意度</w:t>
      </w:r>
      <w:r>
        <w:rPr>
          <w:rFonts w:ascii="仿宋_GB2312" w:eastAsia="仿宋_GB2312" w:cs="仿宋_GB2312" w:hint="eastAsia"/>
          <w:color w:val="000000"/>
          <w:sz w:val="32"/>
          <w:szCs w:val="32"/>
        </w:rPr>
        <w:t>。通过实施天保工程二期公益林生态效益补偿，改善了当地农牧业的生产条件，为增产增收提供了一定的条件，创造了一些就业机会，对维护社会稳定和提高人民生活水平起到了良好的促进作用，因此深受广大受益群众的好评。</w:t>
      </w:r>
      <w:r>
        <w:rPr>
          <w:rFonts w:ascii="仿宋_GB2312" w:eastAsia="仿宋_GB2312" w:cs="仿宋_GB2312" w:hint="eastAsia"/>
          <w:color w:val="000000"/>
          <w:kern w:val="0"/>
          <w:sz w:val="32"/>
          <w:szCs w:val="32"/>
        </w:rPr>
        <w:t>森林生态效益补偿政策的实施，搭建起比较完备的森林生态体系结构，为促进我县生态建设起到极为重要的作用。</w:t>
      </w:r>
    </w:p>
    <w:p>
      <w:pPr>
        <w:pStyle w:val="37"/>
        <w:ind w:firstLineChars="200" w:firstLine="640"/>
        <w:rPr>
          <w:rFonts w:ascii="黑体" w:eastAsia="黑体" w:cs="黑体" w:hint="eastAsia"/>
          <w:bCs/>
          <w:sz w:val="32"/>
          <w:szCs w:val="32"/>
          <w:lang w:eastAsia="zh-CN"/>
        </w:rPr>
      </w:pPr>
      <w:r>
        <w:rPr>
          <w:rFonts w:ascii="黑体" w:eastAsia="黑体" w:cs="黑体" w:hint="eastAsia"/>
          <w:bCs/>
          <w:sz w:val="32"/>
          <w:szCs w:val="32"/>
          <w:lang w:eastAsia="zh-CN"/>
        </w:rPr>
        <w:t>五、评价结论及建议</w:t>
      </w:r>
    </w:p>
    <w:p>
      <w:pPr>
        <w:pStyle w:val="37"/>
        <w:spacing w:line="560" w:lineRule="exact"/>
        <w:ind w:firstLineChars="200" w:firstLine="640"/>
      </w:pPr>
      <w:r>
        <w:rPr>
          <w:rFonts w:ascii="仿宋_GB2312" w:eastAsia="仿宋_GB2312" w:cs="仿宋_GB2312" w:hint="eastAsia"/>
          <w:b/>
          <w:sz w:val="32"/>
          <w:szCs w:val="32"/>
          <w:lang w:eastAsia="zh-CN"/>
        </w:rPr>
        <w:t>（一）评价结论</w:t>
      </w:r>
      <w:r>
        <w:rPr>
          <w:rFonts w:ascii="仿宋_GB2312" w:eastAsia="仿宋_GB2312" w:cs="仿宋_GB2312" w:hint="eastAsia"/>
          <w:b/>
          <w:sz w:val="32"/>
          <w:szCs w:val="32"/>
        </w:rPr>
        <w:t>：</w:t>
      </w:r>
      <w:r>
        <w:rPr>
          <w:rFonts w:ascii="仿宋_GB2312" w:eastAsia="仿宋_GB2312" w:cs="仿宋_GB2312" w:hint="eastAsia"/>
          <w:sz w:val="32"/>
          <w:szCs w:val="32"/>
        </w:rPr>
        <w:t>我县森林生态效益补偿基金在资金使用和管理中，实际支出与规定的用途一致，资金收支平衡，资金使用都能做到公开、公平、程序到位，严格执行财务制度，无截留、挤占、挪用补偿基金等违规行为。通过茂县政务公开网站进行了公示，同时各村在醒目位置公示。根据《评价内容和指标，对我县公益林生态效益补偿基金绩效自评得分为98分，综合评价结果为优。</w:t>
      </w:r>
    </w:p>
    <w:p>
      <w:pPr>
        <w:pStyle w:val="37"/>
        <w:ind w:firstLineChars="200" w:firstLine="640"/>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（二）存在的问题</w:t>
      </w:r>
    </w:p>
    <w:p>
      <w:pPr>
        <w:pStyle w:val="37"/>
        <w:ind w:firstLineChars="200" w:firstLine="640"/>
        <w:rPr>
          <w:rFonts w:ascii="仿宋_GB2312" w:eastAsia="仿宋_GB2312" w:cs="仿宋_GB2312" w:hint="eastAsia"/>
          <w:snapToGrid w:val="0"/>
          <w:sz w:val="32"/>
          <w:szCs w:val="32"/>
        </w:rPr>
      </w:pPr>
      <w:r>
        <w:rPr>
          <w:rFonts w:ascii="仿宋_GB2312" w:eastAsia="仿宋_GB2312" w:cs="仿宋_GB2312" w:hint="eastAsia"/>
          <w:b/>
          <w:sz w:val="32"/>
          <w:szCs w:val="32"/>
          <w:lang w:val="zh-CN"/>
        </w:rPr>
        <w:t>1.</w:t>
      </w:r>
      <w:r>
        <w:rPr>
          <w:rFonts w:ascii="仿宋_GB2312" w:eastAsia="仿宋_GB2312" w:cs="仿宋_GB2312" w:hint="eastAsia"/>
          <w:snapToGrid w:val="0"/>
          <w:sz w:val="32"/>
          <w:szCs w:val="32"/>
        </w:rPr>
        <w:t>补偿标准较低，补偿所获得的收入远远低于林农发展经济林果的收入，会诱发林农铤而走险开林种植经济林木或作物。因此为切实保障提升生态功能，保障提高林农收益，国家还应加大对集体公益林建设投入，提高生态效益补偿标准。</w:t>
      </w:r>
    </w:p>
    <w:p>
      <w:pPr>
        <w:pStyle w:val="37"/>
        <w:ind w:firstLineChars="200" w:firstLine="640"/>
        <w:rPr>
          <w:rFonts w:ascii="仿宋_GB2312" w:eastAsia="仿宋_GB2312" w:cs="仿宋_GB2312" w:hint="eastAsia"/>
          <w:b/>
          <w:sz w:val="32"/>
          <w:szCs w:val="32"/>
          <w:lang w:val="zh-CN"/>
        </w:rPr>
      </w:pPr>
      <w:r>
        <w:rPr>
          <w:rFonts w:ascii="仿宋_GB2312" w:eastAsia="仿宋_GB2312" w:cs="仿宋_GB2312" w:hint="eastAsia"/>
          <w:kern w:val="0"/>
          <w:sz w:val="32"/>
          <w:szCs w:val="32"/>
        </w:rPr>
        <w:t>2.资金兑现系统还需要进一步完善，尽量避免实际未到账，补偿金退回，但系统显示成功的问题。</w:t>
      </w:r>
    </w:p>
    <w:p>
      <w:pPr>
        <w:pStyle w:val="37"/>
        <w:spacing w:line="560" w:lineRule="exact"/>
        <w:ind w:firstLineChars="200" w:firstLine="640"/>
        <w:jc w:val="left"/>
        <w:rPr>
          <w:rFonts w:ascii="仿宋_GB2312" w:eastAsia="仿宋_GB2312" w:cs="仿宋_GB2312" w:hint="eastAsia"/>
          <w:b/>
          <w:sz w:val="32"/>
          <w:szCs w:val="32"/>
          <w:lang w:val="zh-CN"/>
        </w:rPr>
      </w:pPr>
      <w:r>
        <w:rPr>
          <w:rFonts w:ascii="仿宋_GB2312" w:eastAsia="仿宋_GB2312" w:cs="仿宋_GB2312" w:hint="eastAsia"/>
          <w:b/>
          <w:sz w:val="32"/>
          <w:szCs w:val="32"/>
          <w:lang w:val="zh-CN"/>
        </w:rPr>
        <w:t>（三）相关建议</w:t>
      </w:r>
    </w:p>
    <w:p>
      <w:pPr>
        <w:pStyle w:val="37"/>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生态公益林建设与管理具有是社会性、长期性、艰巨性的工作，为进一步做好生态公益林保护与利用工作，建议上级必须硬性规定县级林业主管部门设置专门的机构和增配专职人员。</w:t>
      </w:r>
    </w:p>
    <w:p>
      <w:pPr>
        <w:pStyle w:val="39"/>
        <w:rPr>
          <w:rFonts w:hint="eastAsia"/>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p>
    <w:p>
      <w:pPr>
        <w:pStyle w:val="40"/>
        <w:spacing w:line="600" w:lineRule="exact"/>
        <w:jc w:val="center"/>
        <w:rPr>
          <w:rFonts w:ascii="方正小标宋简体" w:eastAsia="方正小标宋简体" w:cs="Times New Roman" w:hint="eastAsia"/>
          <w:sz w:val="44"/>
          <w:szCs w:val="44"/>
          <w:lang w:val="en-US" w:eastAsia="zh-CN"/>
        </w:rPr>
      </w:pPr>
      <w:r>
        <w:rPr>
          <w:rFonts w:ascii="方正小标宋简体" w:eastAsia="方正小标宋简体" w:cs="Times New Roman" w:hint="eastAsia"/>
          <w:sz w:val="44"/>
          <w:szCs w:val="44"/>
          <w:lang w:val="en-US" w:eastAsia="zh-CN"/>
        </w:rPr>
        <w:t>2021年度项目支出绩效自评报告</w:t>
      </w:r>
    </w:p>
    <w:p>
      <w:pPr>
        <w:pStyle w:val="40"/>
        <w:spacing w:line="600" w:lineRule="exact"/>
        <w:jc w:val="center"/>
        <w:rPr>
          <w:rFonts w:ascii="仿宋_GB2312" w:eastAsia="仿宋_GB2312" w:cs="仿宋_GB2312" w:hint="eastAsia"/>
          <w:color w:val="auto"/>
          <w:kern w:val="0"/>
          <w:sz w:val="32"/>
          <w:szCs w:val="32"/>
          <w:lang w:val="en-US" w:eastAsia="zh-CN" w:bidi="ar-SA"/>
        </w:rPr>
      </w:pPr>
      <w:r>
        <w:rPr>
          <w:rFonts w:ascii="仿宋_GB2312" w:eastAsia="仿宋_GB2312" w:cs="仿宋_GB2312" w:hint="eastAsia"/>
          <w:color w:val="auto"/>
          <w:kern w:val="0"/>
          <w:sz w:val="32"/>
          <w:szCs w:val="32"/>
          <w:lang w:val="en-US" w:eastAsia="zh-CN" w:bidi="ar-SA"/>
        </w:rPr>
        <w:t>（防火阻隔系统建设项目）</w:t>
      </w:r>
    </w:p>
    <w:p>
      <w:pPr>
        <w:pStyle w:val="37"/>
        <w:adjustRightInd w:val="0"/>
        <w:snapToGrid w:val="0"/>
        <w:spacing w:line="600" w:lineRule="exact"/>
        <w:ind w:firstLineChars="200" w:firstLine="640"/>
        <w:outlineLvl w:val="0"/>
        <w:rPr>
          <w:rFonts w:ascii="黑体" w:eastAsia="黑体" w:cs="仿宋_GB2312" w:hint="eastAsia"/>
          <w:b/>
          <w:bCs/>
          <w:sz w:val="32"/>
          <w:szCs w:val="32"/>
          <w:lang w:val="zh-CN"/>
        </w:rPr>
      </w:pPr>
    </w:p>
    <w:p>
      <w:pPr>
        <w:pStyle w:val="37"/>
        <w:adjustRightInd w:val="0"/>
        <w:snapToGrid w:val="0"/>
        <w:spacing w:line="600" w:lineRule="exact"/>
        <w:ind w:firstLineChars="200" w:firstLine="640"/>
        <w:outlineLvl w:val="0"/>
        <w:rPr>
          <w:rFonts w:ascii="仿宋" w:eastAsia="仿宋" w:cs="仿宋_GB2312" w:hint="eastAsia"/>
          <w:sz w:val="32"/>
          <w:szCs w:val="32"/>
          <w:lang w:val="zh-CN"/>
        </w:rPr>
      </w:pPr>
      <w:r>
        <w:rPr>
          <w:rFonts w:ascii="黑体" w:eastAsia="黑体" w:cs="仿宋_GB2312" w:hint="eastAsia"/>
          <w:b/>
          <w:bCs/>
          <w:sz w:val="32"/>
          <w:szCs w:val="32"/>
          <w:lang w:val="zh-CN"/>
        </w:rPr>
        <w:t>一、基本情况</w:t>
      </w:r>
    </w:p>
    <w:p>
      <w:pPr>
        <w:pStyle w:val="37"/>
        <w:adjustRightInd w:val="0"/>
        <w:snapToGrid w:val="0"/>
        <w:spacing w:line="600" w:lineRule="exact"/>
        <w:rPr>
          <w:rFonts w:ascii="楷体" w:eastAsia="楷体" w:cs="楷体" w:hint="eastAsia"/>
          <w:b/>
          <w:bCs/>
          <w:sz w:val="32"/>
          <w:szCs w:val="32"/>
          <w:lang w:val="zh-CN"/>
        </w:rPr>
      </w:pPr>
      <w:r>
        <w:rPr>
          <w:rFonts w:ascii="仿宋" w:eastAsia="仿宋" w:cs="仿宋_GB2312" w:hint="eastAsia"/>
          <w:sz w:val="32"/>
          <w:szCs w:val="32"/>
        </w:rPr>
        <w:t xml:space="preserve">   </w:t>
      </w:r>
      <w:r>
        <w:rPr>
          <w:rFonts w:ascii="楷体" w:eastAsia="楷体" w:cs="楷体" w:hint="eastAsia"/>
          <w:b/>
          <w:bCs/>
          <w:sz w:val="32"/>
          <w:szCs w:val="32"/>
          <w:lang w:val="zh-CN"/>
        </w:rPr>
        <w:t>（一）资金安排情况</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 w:eastAsia="仿宋" w:cs="仿宋_GB2312"/>
          <w:sz w:val="32"/>
          <w:szCs w:val="32"/>
          <w:lang w:val="en-US" w:eastAsia="zh-CN"/>
        </w:rPr>
      </w:pPr>
      <w:r>
        <w:rPr>
          <w:rFonts w:ascii="仿宋_GB2312" w:eastAsia="仿宋_GB2312" w:cs="仿宋_GB2312" w:hint="eastAsia"/>
          <w:sz w:val="32"/>
          <w:szCs w:val="32"/>
        </w:rPr>
        <w:t>1.2020年度</w:t>
      </w:r>
      <w:r>
        <w:rPr>
          <w:rFonts w:ascii="仿宋_GB2312" w:eastAsia="仿宋_GB2312" w:cs="仿宋_GB2312" w:hint="eastAsia"/>
          <w:sz w:val="32"/>
          <w:szCs w:val="32"/>
          <w:lang w:val="en-US" w:eastAsia="zh-CN"/>
        </w:rPr>
        <w:t>茂财资环[2020]22号文件下达省级资金126万元，主要用于防火阻隔系统建设</w:t>
      </w:r>
      <w:r>
        <w:rPr>
          <w:rFonts w:ascii="仿宋" w:eastAsia="仿宋" w:cs="仿宋_GB2312" w:hint="eastAsia"/>
          <w:sz w:val="32"/>
          <w:szCs w:val="32"/>
          <w:lang w:val="en-US" w:eastAsia="zh-CN"/>
        </w:rPr>
        <w:t>。</w:t>
      </w:r>
    </w:p>
    <w:p>
      <w:pPr>
        <w:pStyle w:val="37"/>
        <w:adjustRightInd w:val="0"/>
        <w:snapToGrid w:val="0"/>
        <w:spacing w:line="600" w:lineRule="exact"/>
        <w:rPr>
          <w:rFonts w:ascii="仿宋" w:eastAsia="仿宋" w:cs="仿宋_GB2312" w:hint="eastAsia"/>
          <w:sz w:val="32"/>
          <w:szCs w:val="32"/>
          <w:lang w:val="zh-CN"/>
        </w:rPr>
      </w:pPr>
      <w:r>
        <w:rPr>
          <w:rFonts w:ascii="仿宋" w:eastAsia="仿宋" w:cs="仿宋_GB2312" w:hint="eastAsia"/>
          <w:sz w:val="32"/>
          <w:szCs w:val="32"/>
        </w:rPr>
        <w:t xml:space="preserve">   </w:t>
      </w:r>
      <w:r>
        <w:rPr>
          <w:rFonts w:ascii="楷体" w:eastAsia="楷体" w:cs="楷体" w:hint="eastAsia"/>
          <w:b/>
          <w:bCs/>
          <w:sz w:val="32"/>
          <w:szCs w:val="32"/>
          <w:lang w:val="zh-CN"/>
        </w:rPr>
        <w:t>（二）项目绩效目标</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lang w:val="en-US" w:eastAsia="zh-CN"/>
        </w:rPr>
        <w:t>新建1800亩防火阻隔带，在县城周边林农交界地带建防火隔离带675亩，在凤仪镇小沟炸药库周围及土地岭、松坪沟等重点林区建设防火隔离带1125亩。</w:t>
      </w:r>
    </w:p>
    <w:p>
      <w:pPr>
        <w:pStyle w:val="37"/>
        <w:adjustRightInd w:val="0"/>
        <w:snapToGrid w:val="0"/>
        <w:spacing w:line="600" w:lineRule="exact"/>
        <w:rPr>
          <w:rFonts w:ascii="黑体" w:eastAsia="黑体" w:cs="仿宋_GB2312" w:hint="eastAsia"/>
          <w:b/>
          <w:bCs/>
          <w:sz w:val="32"/>
          <w:szCs w:val="32"/>
          <w:lang w:val="zh-CN"/>
        </w:rPr>
      </w:pPr>
      <w:r>
        <w:rPr>
          <w:rFonts w:ascii="仿宋" w:eastAsia="仿宋" w:cs="仿宋_GB2312" w:hint="eastAsia"/>
          <w:sz w:val="32"/>
          <w:szCs w:val="32"/>
        </w:rPr>
        <w:t xml:space="preserve">    </w:t>
      </w:r>
      <w:r>
        <w:rPr>
          <w:rFonts w:ascii="黑体" w:eastAsia="黑体" w:cs="仿宋_GB2312" w:hint="eastAsia"/>
          <w:b/>
          <w:bCs/>
          <w:sz w:val="32"/>
          <w:szCs w:val="32"/>
          <w:lang w:val="zh-CN"/>
        </w:rPr>
        <w:t>二、绩效自评</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项目建设完全符合资金使用要求。总体目标和绩效目标均达标。</w:t>
      </w:r>
    </w:p>
    <w:p>
      <w:pPr>
        <w:pStyle w:val="37"/>
        <w:adjustRightInd w:val="0"/>
        <w:snapToGrid w:val="0"/>
        <w:spacing w:line="600" w:lineRule="exact"/>
        <w:ind w:firstLineChars="200" w:firstLine="640"/>
        <w:outlineLvl w:val="0"/>
        <w:rPr>
          <w:rFonts w:ascii="黑体" w:eastAsia="黑体" w:cs="仿宋_GB2312" w:hint="eastAsia"/>
          <w:b/>
          <w:bCs/>
          <w:sz w:val="32"/>
          <w:szCs w:val="32"/>
          <w:lang w:val="zh-CN"/>
        </w:rPr>
      </w:pPr>
      <w:r>
        <w:rPr>
          <w:rFonts w:ascii="黑体" w:eastAsia="黑体" w:cs="仿宋_GB2312" w:hint="eastAsia"/>
          <w:b/>
          <w:bCs/>
          <w:sz w:val="32"/>
          <w:szCs w:val="32"/>
          <w:lang w:val="zh-CN"/>
        </w:rPr>
        <w:t>三、评价方法及过程</w:t>
      </w:r>
    </w:p>
    <w:p>
      <w:pPr>
        <w:pStyle w:val="37"/>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绩效评价方法</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按照《森林草原防灭火项目绩效评价表》（附表2-1）逐一开展自评。</w:t>
      </w:r>
    </w:p>
    <w:p>
      <w:pPr>
        <w:pStyle w:val="37"/>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绩效评价过程</w:t>
      </w:r>
    </w:p>
    <w:p>
      <w:pPr>
        <w:pStyle w:val="37"/>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1.资金投入与使用-2.资金项目管理-3.资金实际产出-4.政策实施效果。</w:t>
      </w:r>
    </w:p>
    <w:p>
      <w:pPr>
        <w:pStyle w:val="37"/>
        <w:adjustRightInd w:val="0"/>
        <w:snapToGrid w:val="0"/>
        <w:spacing w:line="600" w:lineRule="exact"/>
        <w:outlineLvl w:val="0"/>
        <w:rPr>
          <w:rFonts w:ascii="黑体" w:eastAsia="黑体" w:cs="仿宋_GB2312" w:hint="eastAsia"/>
          <w:b/>
          <w:bCs/>
          <w:sz w:val="32"/>
          <w:szCs w:val="32"/>
        </w:rPr>
      </w:pPr>
      <w:r>
        <w:rPr>
          <w:rFonts w:ascii="黑体" w:eastAsia="黑体" w:cs="仿宋_GB2312" w:hint="eastAsia"/>
          <w:b/>
          <w:bCs/>
          <w:sz w:val="32"/>
          <w:szCs w:val="32"/>
        </w:rPr>
        <w:t xml:space="preserve">    四、绩效评价分析（</w:t>
      </w:r>
      <w:r>
        <w:rPr>
          <w:rFonts w:ascii="黑体" w:eastAsia="黑体" w:cs="仿宋_GB2312" w:hint="eastAsia"/>
          <w:b/>
          <w:bCs/>
          <w:sz w:val="32"/>
          <w:szCs w:val="32"/>
          <w:lang w:val="zh-CN"/>
        </w:rPr>
        <w:t>含问题分析说明</w:t>
      </w:r>
      <w:r>
        <w:rPr>
          <w:rFonts w:ascii="黑体" w:eastAsia="黑体" w:cs="仿宋_GB2312" w:hint="eastAsia"/>
          <w:b/>
          <w:bCs/>
          <w:sz w:val="32"/>
          <w:szCs w:val="32"/>
        </w:rPr>
        <w:t>）</w:t>
      </w:r>
    </w:p>
    <w:p>
      <w:pPr>
        <w:pStyle w:val="37"/>
        <w:adjustRightInd w:val="0"/>
        <w:snapToGrid w:val="0"/>
        <w:spacing w:line="600" w:lineRule="exact"/>
        <w:rPr>
          <w:rFonts w:ascii="仿宋" w:eastAsia="仿宋" w:cs="仿宋_GB2312" w:hint="eastAsia"/>
          <w:sz w:val="32"/>
          <w:szCs w:val="32"/>
        </w:rPr>
      </w:pPr>
      <w:r>
        <w:rPr>
          <w:rFonts w:ascii="仿宋" w:eastAsia="仿宋" w:cs="仿宋_GB2312" w:hint="eastAsia"/>
          <w:sz w:val="32"/>
          <w:szCs w:val="32"/>
        </w:rPr>
        <w:t xml:space="preserve">    </w:t>
      </w:r>
      <w:r>
        <w:rPr>
          <w:rFonts w:ascii="楷体" w:eastAsia="楷体" w:cs="楷体" w:hint="eastAsia"/>
          <w:b/>
          <w:bCs/>
          <w:sz w:val="32"/>
          <w:szCs w:val="32"/>
        </w:rPr>
        <w:t xml:space="preserve">（一）资金使用管理 </w:t>
      </w:r>
      <w:r>
        <w:rPr>
          <w:rFonts w:ascii="仿宋" w:eastAsia="仿宋" w:cs="仿宋_GB2312" w:hint="eastAsia"/>
          <w:sz w:val="32"/>
          <w:szCs w:val="32"/>
        </w:rPr>
        <w:t xml:space="preserve"> </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 xml:space="preserve"> 1.资金到位情况。</w:t>
      </w:r>
      <w:r>
        <w:rPr>
          <w:rFonts w:ascii="仿宋_GB2312" w:eastAsia="仿宋_GB2312" w:cs="仿宋_GB2312" w:hint="eastAsia"/>
          <w:sz w:val="32"/>
          <w:szCs w:val="32"/>
          <w:lang w:val="en-US" w:eastAsia="zh-CN"/>
        </w:rPr>
        <w:t>2020年11月5日，县财政下达2020年第二批省级林业草原改革发展专项资金126万元。</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rPr>
        <w:t>2.资金使用情况。</w:t>
      </w:r>
      <w:r>
        <w:rPr>
          <w:rFonts w:ascii="仿宋_GB2312" w:eastAsia="仿宋_GB2312" w:cs="仿宋_GB2312" w:hint="eastAsia"/>
          <w:sz w:val="32"/>
          <w:szCs w:val="32"/>
          <w:lang w:val="zh-CN"/>
        </w:rPr>
        <w:t>统计截止评价时点项目资金</w:t>
      </w:r>
      <w:r>
        <w:rPr>
          <w:rFonts w:ascii="仿宋_GB2312" w:eastAsia="仿宋_GB2312" w:cs="仿宋_GB2312" w:hint="eastAsia"/>
          <w:sz w:val="32"/>
          <w:szCs w:val="32"/>
          <w:lang w:val="en-US" w:eastAsia="zh-CN"/>
        </w:rPr>
        <w:t>已使用579342.71元，今年预计还需支付140814.91元，主要用于支付施工质量保证金、招标控制价评审费和竣工结算审核费等，剩余资金本将退回县财政。项目资金支付安全、规范，资金支付范围、支付标准进行支付、支付进度、</w:t>
      </w:r>
      <w:r>
        <w:rPr>
          <w:rFonts w:ascii="仿宋_GB2312" w:eastAsia="仿宋_GB2312" w:cs="仿宋_GB2312" w:hint="eastAsia"/>
          <w:sz w:val="32"/>
          <w:szCs w:val="32"/>
          <w:lang w:val="zh-CN"/>
        </w:rPr>
        <w:t>支付依据等合规合法，与预算相符。</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3.资金管理情况。财务管理制度健全，</w:t>
      </w:r>
      <w:r>
        <w:rPr>
          <w:rFonts w:ascii="仿宋_GB2312" w:eastAsia="仿宋_GB2312" w:cs="仿宋_GB2312" w:hint="eastAsia"/>
          <w:sz w:val="32"/>
          <w:szCs w:val="32"/>
          <w:lang w:val="en-US" w:eastAsia="zh-CN"/>
        </w:rPr>
        <w:t>该项目</w:t>
      </w:r>
      <w:r>
        <w:rPr>
          <w:rFonts w:ascii="仿宋_GB2312" w:eastAsia="仿宋_GB2312" w:cs="仿宋_GB2312" w:hint="eastAsia"/>
          <w:sz w:val="32"/>
          <w:szCs w:val="32"/>
        </w:rPr>
        <w:t>严格执行财务管理制度，账务处理及时，会计核算规范。</w:t>
      </w:r>
    </w:p>
    <w:p>
      <w:pPr>
        <w:pStyle w:val="37"/>
        <w:adjustRightInd w:val="0"/>
        <w:snapToGrid w:val="0"/>
        <w:spacing w:line="600" w:lineRule="exact"/>
        <w:rPr>
          <w:rFonts w:ascii="仿宋" w:eastAsia="仿宋" w:cs="仿宋_GB2312" w:hint="eastAsia"/>
          <w:sz w:val="32"/>
          <w:szCs w:val="32"/>
        </w:rPr>
      </w:pPr>
      <w:r>
        <w:rPr>
          <w:rFonts w:ascii="仿宋" w:eastAsia="仿宋" w:cs="仿宋_GB2312" w:hint="eastAsia"/>
          <w:sz w:val="32"/>
          <w:szCs w:val="32"/>
        </w:rPr>
        <w:t xml:space="preserve">   </w:t>
      </w:r>
      <w:r>
        <w:rPr>
          <w:rFonts w:ascii="楷体" w:eastAsia="楷体" w:cs="楷体" w:hint="eastAsia"/>
          <w:b/>
          <w:bCs/>
          <w:sz w:val="32"/>
          <w:szCs w:val="32"/>
        </w:rPr>
        <w:t>（二）项目实施管理</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color w:val="FF0000"/>
          <w:sz w:val="32"/>
          <w:szCs w:val="32"/>
          <w:lang w:val="zh-CN"/>
        </w:rPr>
      </w:pPr>
      <w:r>
        <w:rPr>
          <w:rFonts w:ascii="仿宋_GB2312" w:eastAsia="仿宋_GB2312" w:cs="仿宋_GB2312" w:hint="eastAsia"/>
          <w:sz w:val="32"/>
          <w:szCs w:val="32"/>
        </w:rPr>
        <w:t>1.</w:t>
      </w:r>
      <w:r>
        <w:rPr>
          <w:rFonts w:ascii="仿宋_GB2312" w:eastAsia="仿宋_GB2312" w:cs="仿宋_GB2312" w:hint="eastAsia"/>
          <w:sz w:val="32"/>
          <w:szCs w:val="32"/>
          <w:lang w:val="zh-CN"/>
        </w:rPr>
        <w:t>项目完成数量。</w:t>
      </w:r>
      <w:r>
        <w:rPr>
          <w:rFonts w:ascii="仿宋_GB2312" w:eastAsia="仿宋_GB2312" w:cs="仿宋_GB2312" w:hint="eastAsia"/>
          <w:sz w:val="32"/>
          <w:szCs w:val="32"/>
          <w:lang w:val="en-US" w:eastAsia="zh-CN"/>
        </w:rPr>
        <w:t>新建1800亩防火阻隔带，完成率100%。</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rPr>
        <w:t>2.</w:t>
      </w:r>
      <w:r>
        <w:rPr>
          <w:rFonts w:ascii="仿宋_GB2312" w:eastAsia="仿宋_GB2312" w:cs="仿宋_GB2312" w:hint="eastAsia"/>
          <w:sz w:val="32"/>
          <w:szCs w:val="32"/>
          <w:lang w:val="zh-CN"/>
        </w:rPr>
        <w:t>项目完成质量。</w:t>
      </w:r>
      <w:r>
        <w:rPr>
          <w:rFonts w:ascii="仿宋_GB2312" w:eastAsia="仿宋_GB2312" w:cs="仿宋_GB2312" w:hint="eastAsia"/>
          <w:sz w:val="32"/>
          <w:szCs w:val="32"/>
          <w:lang w:val="en-US" w:eastAsia="zh-CN"/>
        </w:rPr>
        <w:t>项目</w:t>
      </w:r>
      <w:r>
        <w:rPr>
          <w:rFonts w:ascii="仿宋_GB2312" w:eastAsia="仿宋_GB2312" w:cs="仿宋_GB2312" w:hint="eastAsia"/>
          <w:sz w:val="32"/>
          <w:szCs w:val="32"/>
          <w:lang w:val="zh-CN"/>
        </w:rPr>
        <w:t>验收</w:t>
      </w:r>
      <w:r>
        <w:rPr>
          <w:rFonts w:ascii="仿宋_GB2312" w:eastAsia="仿宋_GB2312" w:cs="仿宋_GB2312" w:hint="eastAsia"/>
          <w:sz w:val="32"/>
          <w:szCs w:val="32"/>
          <w:lang w:val="en-US" w:eastAsia="zh-CN"/>
        </w:rPr>
        <w:t>合格</w:t>
      </w:r>
      <w:r>
        <w:rPr>
          <w:rFonts w:ascii="仿宋_GB2312" w:eastAsia="仿宋_GB2312" w:cs="仿宋_GB2312" w:hint="eastAsia"/>
          <w:sz w:val="32"/>
          <w:szCs w:val="32"/>
          <w:lang w:val="zh-CN"/>
        </w:rPr>
        <w:t>。</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rPr>
        <w:t>3.</w:t>
      </w:r>
      <w:r>
        <w:rPr>
          <w:rFonts w:ascii="仿宋_GB2312" w:eastAsia="仿宋_GB2312" w:cs="仿宋_GB2312" w:hint="eastAsia"/>
          <w:sz w:val="32"/>
          <w:szCs w:val="32"/>
          <w:lang w:val="zh-CN"/>
        </w:rPr>
        <w:t>项目完成进度。</w:t>
      </w:r>
      <w:r>
        <w:rPr>
          <w:rFonts w:ascii="仿宋_GB2312" w:eastAsia="仿宋_GB2312" w:cs="仿宋_GB2312" w:hint="eastAsia"/>
          <w:sz w:val="32"/>
          <w:szCs w:val="32"/>
          <w:lang w:val="en-US" w:eastAsia="zh-CN"/>
        </w:rPr>
        <w:t>已完成</w:t>
      </w:r>
      <w:r>
        <w:rPr>
          <w:rFonts w:ascii="仿宋_GB2312" w:eastAsia="仿宋_GB2312" w:cs="仿宋_GB2312" w:hint="eastAsia"/>
          <w:sz w:val="32"/>
          <w:szCs w:val="32"/>
          <w:lang w:val="zh-CN"/>
        </w:rPr>
        <w:t>。</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rPr>
        <w:t>4.</w:t>
      </w:r>
      <w:r>
        <w:rPr>
          <w:rFonts w:ascii="仿宋_GB2312" w:eastAsia="仿宋_GB2312" w:cs="仿宋_GB2312" w:hint="eastAsia"/>
          <w:sz w:val="32"/>
          <w:szCs w:val="32"/>
          <w:lang w:val="zh-CN"/>
        </w:rPr>
        <w:t>项目管理情况。</w:t>
      </w:r>
      <w:r>
        <w:rPr>
          <w:rFonts w:ascii="仿宋_GB2312" w:eastAsia="仿宋_GB2312" w:cs="仿宋_GB2312" w:hint="eastAsia"/>
          <w:sz w:val="32"/>
          <w:szCs w:val="32"/>
        </w:rPr>
        <w:t>为保障项目建设质量，</w:t>
      </w:r>
      <w:r>
        <w:rPr>
          <w:rFonts w:ascii="仿宋_GB2312" w:eastAsia="仿宋_GB2312" w:cs="仿宋_GB2312" w:hint="eastAsia"/>
          <w:sz w:val="32"/>
          <w:szCs w:val="32"/>
          <w:lang w:val="en-US" w:eastAsia="zh-CN"/>
        </w:rPr>
        <w:t>工程类项目</w:t>
      </w:r>
      <w:r>
        <w:rPr>
          <w:rFonts w:ascii="仿宋_GB2312" w:eastAsia="仿宋_GB2312" w:cs="仿宋_GB2312" w:hint="eastAsia"/>
          <w:sz w:val="32"/>
          <w:szCs w:val="32"/>
          <w:lang w:eastAsia="zh-CN"/>
        </w:rPr>
        <w:t>选派业主代表、</w:t>
      </w:r>
      <w:r>
        <w:rPr>
          <w:rFonts w:ascii="仿宋_GB2312" w:eastAsia="仿宋_GB2312" w:cs="仿宋_GB2312" w:hint="eastAsia"/>
          <w:sz w:val="32"/>
          <w:szCs w:val="32"/>
        </w:rPr>
        <w:t>聘请第三方监理机构对项目建设的质量及进度进行监督</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并按照要求开展验收工作。</w:t>
      </w:r>
    </w:p>
    <w:p>
      <w:pPr>
        <w:pStyle w:val="37"/>
        <w:adjustRightInd w:val="0"/>
        <w:snapToGrid w:val="0"/>
        <w:spacing w:line="600" w:lineRule="exact"/>
        <w:ind w:firstLine="640"/>
        <w:rPr>
          <w:rFonts w:ascii="黑体" w:eastAsia="黑体" w:cs="仿宋_GB2312" w:hint="eastAsia"/>
          <w:b/>
          <w:bCs/>
          <w:sz w:val="32"/>
          <w:szCs w:val="32"/>
        </w:rPr>
      </w:pPr>
      <w:r>
        <w:rPr>
          <w:rFonts w:ascii="黑体" w:eastAsia="黑体" w:cs="仿宋_GB2312" w:hint="eastAsia"/>
          <w:b/>
          <w:bCs/>
          <w:sz w:val="32"/>
          <w:szCs w:val="32"/>
        </w:rPr>
        <w:t>五、绩效评价结论</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一</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在项目决策上，项目建设严格按照上级文件要求与茂县森林草原防火基础设施建设需求进行决策。</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（二）在项目管理上，严格按照项目工程管理相关法律法规及程序要求进行。</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（三）项目完成上，项目已保质保量完成，并通过验收。</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（四）在</w:t>
      </w:r>
      <w:r>
        <w:rPr>
          <w:rFonts w:ascii="仿宋_GB2312" w:eastAsia="仿宋_GB2312" w:cs="仿宋_GB2312" w:hint="eastAsia"/>
          <w:sz w:val="32"/>
          <w:szCs w:val="32"/>
          <w:lang w:val="zh-CN"/>
        </w:rPr>
        <w:t>项目</w:t>
      </w:r>
      <w:r>
        <w:rPr>
          <w:rFonts w:ascii="仿宋_GB2312" w:eastAsia="仿宋_GB2312" w:cs="仿宋_GB2312" w:hint="eastAsia"/>
          <w:sz w:val="32"/>
          <w:szCs w:val="32"/>
          <w:lang w:val="en-US" w:eastAsia="zh-CN"/>
        </w:rPr>
        <w:t>效果上，主要体现如下：</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1.生态效益。防火阻隔系统的建成，极大地提升了茂县重点林区森林草原防灭火能力；</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2.经济效益。项目建设过程会产生大量的劳务用工，增加了当地农户的经济收入。</w:t>
      </w:r>
    </w:p>
    <w:p>
      <w:pPr>
        <w:pStyle w:val="37"/>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仿宋_GB2312" w:eastAsia="仿宋_GB2312" w:cs="仿宋_GB2312" w:hint="eastAsia"/>
          <w:sz w:val="32"/>
          <w:szCs w:val="32"/>
          <w:lang w:val="en-US" w:eastAsia="zh-CN"/>
        </w:rPr>
        <w:t>3.社会效益。项目建设，预期会减少项目实施区域森林草原火灾受灾面积，老百姓对此反响积极，产生了较好的社会效益。</w:t>
      </w:r>
    </w:p>
    <w:p>
      <w:pPr>
        <w:pStyle w:val="37"/>
        <w:adjustRightInd w:val="0"/>
        <w:snapToGrid w:val="0"/>
        <w:spacing w:line="600" w:lineRule="exact"/>
        <w:rPr>
          <w:rFonts w:ascii="黑体" w:eastAsia="黑体" w:cs="仿宋_GB2312" w:hint="eastAsia"/>
          <w:b/>
          <w:bCs/>
          <w:sz w:val="32"/>
          <w:szCs w:val="32"/>
        </w:rPr>
      </w:pPr>
      <w:r>
        <w:rPr>
          <w:rFonts w:ascii="仿宋" w:eastAsia="仿宋" w:cs="仿宋_GB2312" w:hint="eastAsia"/>
          <w:sz w:val="32"/>
          <w:szCs w:val="32"/>
        </w:rPr>
        <w:t xml:space="preserve">    </w:t>
      </w:r>
      <w:r>
        <w:rPr>
          <w:rFonts w:ascii="黑体" w:eastAsia="黑体" w:cs="仿宋_GB2312" w:hint="eastAsia"/>
          <w:b/>
          <w:bCs/>
          <w:sz w:val="32"/>
          <w:szCs w:val="32"/>
        </w:rPr>
        <w:t>六、绩效评价意见</w:t>
      </w:r>
    </w:p>
    <w:p>
      <w:pPr>
        <w:pStyle w:val="37"/>
        <w:adjustRightInd w:val="0"/>
        <w:snapToGrid w:val="0"/>
        <w:spacing w:line="600" w:lineRule="exact"/>
        <w:ind w:firstLineChars="200" w:firstLine="640"/>
        <w:rPr>
          <w:rFonts w:ascii="黑体" w:eastAsia="黑体" w:cs="仿宋_GB2312" w:hint="eastAsia"/>
          <w:b/>
          <w:bCs/>
          <w:sz w:val="32"/>
          <w:szCs w:val="32"/>
          <w:lang w:val="en-US" w:eastAsia="zh-CN"/>
        </w:rPr>
      </w:pPr>
      <w:r>
        <w:rPr>
          <w:rFonts w:ascii="仿宋_GB2312" w:eastAsia="仿宋_GB2312" w:cs="仿宋_GB2312" w:hint="eastAsia"/>
          <w:sz w:val="32"/>
          <w:szCs w:val="32"/>
          <w:lang w:val="en-US" w:eastAsia="zh-CN"/>
        </w:rPr>
        <w:t>无</w:t>
      </w:r>
      <w:r>
        <w:rPr>
          <w:rFonts w:ascii="仿宋" w:eastAsia="仿宋" w:cs="仿宋_GB2312" w:hint="eastAsia"/>
          <w:sz w:val="32"/>
          <w:szCs w:val="32"/>
          <w:lang w:val="en-US" w:eastAsia="zh-CN"/>
        </w:rPr>
        <w:t>。</w:t>
      </w:r>
    </w:p>
    <w:p>
      <w:pPr>
        <w:pStyle w:val="37"/>
      </w:pPr>
    </w:p>
    <w:p>
      <w:pPr>
        <w:pStyle w:val="1"/>
        <w:jc w:val="center"/>
        <w:rPr>
          <w:rFonts w:ascii="黑体" w:eastAsia="黑体" w:cs="黑体"/>
        </w:rPr>
      </w:pPr>
      <w:bookmarkStart w:id="79" w:name="_Toc79163885"/>
      <w:bookmarkStart w:id="80" w:name="_Toc79163635"/>
      <w:bookmarkStart w:id="81" w:name="_Toc111208512"/>
      <w:bookmarkStart w:id="82" w:name="_Toc113981025"/>
      <w:r>
        <w:rPr>
          <w:rFonts w:ascii="黑体" w:eastAsia="黑体" w:cs="黑体" w:hint="eastAsia"/>
        </w:rPr>
        <w:t>第五部分 附表</w:t>
      </w:r>
      <w:bookmarkEnd w:id="79"/>
      <w:bookmarkEnd w:id="80"/>
      <w:bookmarkEnd w:id="81"/>
      <w:bookmarkEnd w:id="82"/>
    </w:p>
    <w:p>
      <w:pPr>
        <w:pStyle w:val="2"/>
        <w:ind w:firstLineChars="200" w:firstLine="640"/>
        <w:rPr>
          <w:rFonts w:ascii="黑体" w:eastAsia="黑体" w:cs="Times New Roman"/>
          <w:bCs w:val="0"/>
          <w:color w:val="000000"/>
        </w:rPr>
      </w:pPr>
      <w:bookmarkStart w:id="83" w:name="_Toc79163636"/>
      <w:bookmarkStart w:id="84" w:name="_Toc79163886"/>
      <w:bookmarkStart w:id="85" w:name="_Toc111208513"/>
      <w:bookmarkStart w:id="86" w:name="_Toc113981026"/>
      <w:r>
        <w:rPr>
          <w:rFonts w:ascii="黑体" w:eastAsia="黑体" w:cs="Times New Roman" w:hint="eastAsia"/>
          <w:bCs w:val="0"/>
          <w:color w:val="000000"/>
        </w:rPr>
        <w:t>一、收入支出决算总表</w:t>
      </w:r>
      <w:bookmarkEnd w:id="83"/>
      <w:bookmarkEnd w:id="84"/>
      <w:bookmarkEnd w:id="85"/>
      <w:bookmarkEnd w:id="86"/>
    </w:p>
    <w:p>
      <w:pPr>
        <w:pStyle w:val="2"/>
        <w:ind w:firstLineChars="200" w:firstLine="640"/>
        <w:rPr>
          <w:rFonts w:ascii="黑体" w:eastAsia="黑体" w:cs="Times New Roman"/>
          <w:bCs w:val="0"/>
          <w:color w:val="000000"/>
        </w:rPr>
      </w:pPr>
      <w:bookmarkStart w:id="87" w:name="_Toc113981027"/>
      <w:bookmarkStart w:id="88" w:name="_Toc111208514"/>
      <w:bookmarkStart w:id="89" w:name="_Toc79163637"/>
      <w:bookmarkStart w:id="90" w:name="_Toc79163887"/>
      <w:r>
        <w:rPr>
          <w:rFonts w:ascii="黑体" w:eastAsia="黑体" w:cs="Times New Roman" w:hint="eastAsia"/>
          <w:bCs w:val="0"/>
          <w:color w:val="000000"/>
        </w:rPr>
        <w:t>二、收入决算表</w:t>
      </w:r>
      <w:bookmarkEnd w:id="87"/>
      <w:bookmarkEnd w:id="88"/>
      <w:bookmarkEnd w:id="89"/>
      <w:bookmarkEnd w:id="90"/>
    </w:p>
    <w:p>
      <w:pPr>
        <w:pStyle w:val="2"/>
        <w:ind w:firstLineChars="200" w:firstLine="640"/>
        <w:rPr>
          <w:rFonts w:ascii="黑体" w:eastAsia="黑体" w:cs="Times New Roman"/>
          <w:b w:val="0"/>
          <w:color w:val="000000"/>
        </w:rPr>
      </w:pPr>
      <w:bookmarkStart w:id="91" w:name="_Toc111208515"/>
      <w:bookmarkStart w:id="92" w:name="_Toc113981028"/>
      <w:bookmarkStart w:id="93" w:name="_Toc79163888"/>
      <w:bookmarkStart w:id="94" w:name="_Toc79163638"/>
      <w:r>
        <w:rPr>
          <w:rFonts w:ascii="黑体" w:eastAsia="黑体" w:cs="Times New Roman" w:hint="eastAsia"/>
          <w:bCs w:val="0"/>
          <w:color w:val="000000"/>
        </w:rPr>
        <w:t>三、支出决算表</w:t>
      </w:r>
      <w:bookmarkEnd w:id="91"/>
      <w:bookmarkEnd w:id="92"/>
      <w:bookmarkEnd w:id="93"/>
      <w:bookmarkEnd w:id="94"/>
    </w:p>
    <w:p>
      <w:pPr>
        <w:pStyle w:val="2"/>
        <w:ind w:firstLineChars="200" w:firstLine="640"/>
        <w:rPr>
          <w:rFonts w:ascii="黑体" w:eastAsia="黑体" w:cs="Times New Roman"/>
          <w:bCs w:val="0"/>
          <w:color w:val="000000"/>
        </w:rPr>
      </w:pPr>
      <w:bookmarkStart w:id="95" w:name="_Toc79163889"/>
      <w:bookmarkStart w:id="96" w:name="_Toc79163639"/>
      <w:bookmarkStart w:id="97" w:name="_Toc111208516"/>
      <w:bookmarkStart w:id="98" w:name="_Toc113981029"/>
      <w:r>
        <w:rPr>
          <w:rFonts w:ascii="黑体" w:eastAsia="黑体" w:cs="Times New Roman" w:hint="eastAsia"/>
          <w:bCs w:val="0"/>
          <w:color w:val="000000"/>
        </w:rPr>
        <w:t>四、财政拨款收入支出决算总表</w:t>
      </w:r>
      <w:bookmarkEnd w:id="95"/>
      <w:bookmarkEnd w:id="96"/>
      <w:bookmarkEnd w:id="97"/>
      <w:bookmarkEnd w:id="98"/>
    </w:p>
    <w:p>
      <w:pPr>
        <w:pStyle w:val="2"/>
        <w:ind w:firstLineChars="200" w:firstLine="640"/>
        <w:rPr>
          <w:rFonts w:ascii="黑体" w:eastAsia="黑体" w:cs="Times New Roman"/>
          <w:bCs w:val="0"/>
          <w:color w:val="000000"/>
        </w:rPr>
      </w:pPr>
      <w:bookmarkStart w:id="99" w:name="_Toc79163890"/>
      <w:bookmarkStart w:id="100" w:name="_Toc79163640"/>
      <w:bookmarkStart w:id="101" w:name="_Toc111208517"/>
      <w:bookmarkStart w:id="102" w:name="_Toc113981030"/>
      <w:r>
        <w:rPr>
          <w:rFonts w:ascii="黑体" w:eastAsia="黑体" w:cs="Times New Roman" w:hint="eastAsia"/>
          <w:bCs w:val="0"/>
          <w:color w:val="000000"/>
        </w:rPr>
        <w:t>五、财政拨款支出决算明细表</w:t>
      </w:r>
      <w:bookmarkEnd w:id="99"/>
      <w:bookmarkEnd w:id="100"/>
      <w:bookmarkEnd w:id="101"/>
      <w:bookmarkEnd w:id="102"/>
    </w:p>
    <w:p>
      <w:pPr>
        <w:pStyle w:val="2"/>
        <w:ind w:firstLineChars="200" w:firstLine="640"/>
        <w:rPr>
          <w:rFonts w:ascii="黑体" w:eastAsia="黑体" w:cs="Times New Roman"/>
          <w:bCs w:val="0"/>
          <w:color w:val="000000"/>
        </w:rPr>
      </w:pPr>
      <w:bookmarkStart w:id="103" w:name="_Toc79163891"/>
      <w:bookmarkStart w:id="104" w:name="_Toc79163641"/>
      <w:bookmarkStart w:id="105" w:name="_Toc111208518"/>
      <w:bookmarkStart w:id="106" w:name="_Toc113981031"/>
      <w:r>
        <w:rPr>
          <w:rFonts w:ascii="黑体" w:eastAsia="黑体" w:cs="Times New Roman" w:hint="eastAsia"/>
          <w:bCs w:val="0"/>
          <w:color w:val="000000"/>
        </w:rPr>
        <w:t>六、一般公共预算财政拨款支出决算表</w:t>
      </w:r>
      <w:bookmarkEnd w:id="103"/>
      <w:bookmarkEnd w:id="104"/>
      <w:bookmarkEnd w:id="105"/>
      <w:bookmarkEnd w:id="106"/>
    </w:p>
    <w:p>
      <w:pPr>
        <w:pStyle w:val="2"/>
        <w:ind w:firstLineChars="200" w:firstLine="640"/>
        <w:rPr>
          <w:rFonts w:ascii="黑体" w:eastAsia="黑体" w:cs="Times New Roman"/>
          <w:bCs w:val="0"/>
          <w:color w:val="000000"/>
        </w:rPr>
      </w:pPr>
      <w:bookmarkStart w:id="107" w:name="_Toc79163892"/>
      <w:bookmarkStart w:id="108" w:name="_Toc79163642"/>
      <w:bookmarkStart w:id="109" w:name="_Toc111208519"/>
      <w:bookmarkStart w:id="110" w:name="_Toc113981032"/>
      <w:r>
        <w:rPr>
          <w:rFonts w:ascii="黑体" w:eastAsia="黑体" w:cs="Times New Roman" w:hint="eastAsia"/>
          <w:bCs w:val="0"/>
          <w:color w:val="000000"/>
        </w:rPr>
        <w:t>七、一般公共预算财政拨款支出决算明细表</w:t>
      </w:r>
      <w:bookmarkEnd w:id="107"/>
      <w:bookmarkEnd w:id="108"/>
      <w:bookmarkEnd w:id="109"/>
      <w:bookmarkEnd w:id="110"/>
    </w:p>
    <w:p>
      <w:pPr>
        <w:pStyle w:val="2"/>
        <w:ind w:firstLineChars="200" w:firstLine="640"/>
        <w:rPr>
          <w:rFonts w:ascii="黑体" w:eastAsia="黑体" w:cs="Times New Roman"/>
          <w:bCs w:val="0"/>
          <w:color w:val="000000"/>
        </w:rPr>
      </w:pPr>
      <w:bookmarkStart w:id="111" w:name="_Toc79163893"/>
      <w:bookmarkStart w:id="112" w:name="_Toc79163643"/>
      <w:bookmarkStart w:id="113" w:name="_Toc111208520"/>
      <w:bookmarkStart w:id="114" w:name="_Toc113981033"/>
      <w:r>
        <w:rPr>
          <w:rFonts w:ascii="黑体" w:eastAsia="黑体" w:cs="Times New Roman" w:hint="eastAsia"/>
          <w:bCs w:val="0"/>
          <w:color w:val="000000"/>
        </w:rPr>
        <w:t>八、一般公共预算财政拨款基本支出决算表</w:t>
      </w:r>
      <w:bookmarkEnd w:id="111"/>
      <w:bookmarkEnd w:id="112"/>
      <w:bookmarkEnd w:id="113"/>
      <w:bookmarkEnd w:id="114"/>
    </w:p>
    <w:p>
      <w:pPr>
        <w:pStyle w:val="2"/>
        <w:ind w:firstLineChars="200" w:firstLine="640"/>
        <w:rPr>
          <w:rFonts w:ascii="黑体" w:eastAsia="黑体" w:cs="Times New Roman"/>
          <w:bCs w:val="0"/>
          <w:color w:val="000000"/>
        </w:rPr>
      </w:pPr>
      <w:bookmarkStart w:id="115" w:name="_Toc79163644"/>
      <w:bookmarkStart w:id="116" w:name="_Toc79163894"/>
      <w:bookmarkStart w:id="117" w:name="_Toc111208521"/>
      <w:bookmarkStart w:id="118" w:name="_Toc113981034"/>
      <w:r>
        <w:rPr>
          <w:rFonts w:ascii="黑体" w:eastAsia="黑体" w:cs="Times New Roman" w:hint="eastAsia"/>
          <w:bCs w:val="0"/>
          <w:color w:val="000000"/>
        </w:rPr>
        <w:t>九、一般公共预算财政拨款项目支出决算表</w:t>
      </w:r>
      <w:bookmarkEnd w:id="115"/>
      <w:bookmarkEnd w:id="116"/>
      <w:bookmarkEnd w:id="117"/>
      <w:bookmarkEnd w:id="118"/>
    </w:p>
    <w:p>
      <w:pPr>
        <w:pStyle w:val="2"/>
        <w:ind w:firstLineChars="200" w:firstLine="640"/>
        <w:rPr>
          <w:rFonts w:ascii="黑体" w:eastAsia="黑体" w:cs="Times New Roman"/>
          <w:bCs w:val="0"/>
          <w:color w:val="000000"/>
        </w:rPr>
      </w:pPr>
      <w:bookmarkStart w:id="119" w:name="_Toc79163645"/>
      <w:bookmarkStart w:id="120" w:name="_Toc79163895"/>
      <w:bookmarkStart w:id="121" w:name="_Toc111208522"/>
      <w:bookmarkStart w:id="122" w:name="_Toc113981035"/>
      <w:r>
        <w:rPr>
          <w:rFonts w:ascii="黑体" w:eastAsia="黑体" w:cs="Times New Roman" w:hint="eastAsia"/>
          <w:bCs w:val="0"/>
          <w:color w:val="000000"/>
        </w:rPr>
        <w:t>十、一般公共预算财政拨款“三公”经费支出决算表</w:t>
      </w:r>
      <w:bookmarkEnd w:id="119"/>
      <w:bookmarkEnd w:id="120"/>
      <w:bookmarkEnd w:id="121"/>
      <w:bookmarkEnd w:id="122"/>
    </w:p>
    <w:p>
      <w:pPr>
        <w:pStyle w:val="2"/>
        <w:ind w:firstLineChars="200" w:firstLine="640"/>
        <w:rPr>
          <w:rFonts w:ascii="黑体" w:eastAsia="黑体" w:cs="Times New Roman"/>
          <w:bCs w:val="0"/>
          <w:color w:val="000000"/>
        </w:rPr>
      </w:pPr>
      <w:bookmarkStart w:id="123" w:name="_Toc79163646"/>
      <w:bookmarkStart w:id="124" w:name="_Toc79163896"/>
      <w:bookmarkStart w:id="125" w:name="_Toc111208523"/>
      <w:bookmarkStart w:id="126" w:name="_Toc113981036"/>
      <w:r>
        <w:rPr>
          <w:rFonts w:ascii="黑体" w:eastAsia="黑体" w:cs="Times New Roman" w:hint="eastAsia"/>
          <w:bCs w:val="0"/>
          <w:color w:val="000000"/>
        </w:rPr>
        <w:t>十一、政府性基金预算财政拨款收入支出决算表</w:t>
      </w:r>
      <w:bookmarkEnd w:id="123"/>
      <w:bookmarkEnd w:id="124"/>
      <w:bookmarkEnd w:id="125"/>
      <w:bookmarkEnd w:id="126"/>
    </w:p>
    <w:p>
      <w:pPr>
        <w:pStyle w:val="2"/>
        <w:ind w:firstLineChars="200" w:firstLine="640"/>
        <w:rPr>
          <w:rFonts w:ascii="黑体" w:eastAsia="黑体" w:cs="Times New Roman"/>
          <w:bCs w:val="0"/>
          <w:color w:val="000000"/>
        </w:rPr>
      </w:pPr>
      <w:bookmarkStart w:id="127" w:name="_Toc79163897"/>
      <w:bookmarkStart w:id="128" w:name="_Toc79163647"/>
      <w:bookmarkStart w:id="129" w:name="_Toc111208524"/>
      <w:bookmarkStart w:id="130" w:name="_Toc113981037"/>
      <w:r>
        <w:rPr>
          <w:rFonts w:ascii="黑体" w:eastAsia="黑体" w:cs="Times New Roman" w:hint="eastAsia"/>
          <w:bCs w:val="0"/>
          <w:color w:val="000000"/>
        </w:rPr>
        <w:t>十二、政府性基金预算财政拨款“三公”经费支出决算表</w:t>
      </w:r>
      <w:bookmarkEnd w:id="127"/>
      <w:bookmarkEnd w:id="128"/>
      <w:bookmarkEnd w:id="129"/>
      <w:bookmarkEnd w:id="130"/>
    </w:p>
    <w:p>
      <w:pPr>
        <w:pStyle w:val="2"/>
        <w:ind w:firstLineChars="200" w:firstLine="640"/>
        <w:rPr>
          <w:rFonts w:ascii="黑体" w:eastAsia="黑体" w:cs="Times New Roman"/>
          <w:bCs w:val="0"/>
          <w:color w:val="000000"/>
        </w:rPr>
      </w:pPr>
      <w:bookmarkStart w:id="131" w:name="_Toc79163898"/>
      <w:bookmarkStart w:id="132" w:name="_Toc79163648"/>
      <w:bookmarkStart w:id="133" w:name="_Toc111208525"/>
      <w:bookmarkStart w:id="134" w:name="_Toc113981038"/>
      <w:r>
        <w:rPr>
          <w:rFonts w:ascii="黑体" w:eastAsia="黑体" w:cs="Times New Roman" w:hint="eastAsia"/>
          <w:bCs w:val="0"/>
          <w:color w:val="000000"/>
        </w:rPr>
        <w:t>十三、</w:t>
      </w:r>
      <w:bookmarkEnd w:id="131"/>
      <w:bookmarkEnd w:id="132"/>
      <w:r>
        <w:rPr>
          <w:rFonts w:ascii="黑体" w:eastAsia="黑体" w:cs="Times New Roman" w:hint="eastAsia"/>
          <w:bCs w:val="0"/>
          <w:color w:val="000000"/>
        </w:rPr>
        <w:t>国有资本经营预算财政拨款收入支出决算表</w:t>
      </w:r>
      <w:bookmarkEnd w:id="133"/>
      <w:bookmarkEnd w:id="134"/>
    </w:p>
    <w:p>
      <w:pPr>
        <w:pStyle w:val="2"/>
        <w:ind w:firstLineChars="200" w:firstLine="640"/>
        <w:rPr>
          <w:rFonts w:ascii="黑体" w:eastAsia="黑体" w:cs="Times New Roman"/>
          <w:b w:val="0"/>
          <w:color w:val="000000"/>
        </w:rPr>
      </w:pPr>
      <w:bookmarkStart w:id="135" w:name="_Toc111208526"/>
      <w:bookmarkStart w:id="136" w:name="_Toc113981039"/>
      <w:r>
        <w:rPr>
          <w:rFonts w:ascii="黑体" w:eastAsia="黑体" w:cs="Times New Roman" w:hint="eastAsia"/>
          <w:bCs w:val="0"/>
          <w:color w:val="000000"/>
        </w:rPr>
        <w:t>十四、国有资本经营预算财政拨款支出决算表</w:t>
      </w:r>
      <w:bookmarkEnd w:id="135"/>
      <w:bookmarkEnd w:id="136"/>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方正小标宋简体">
    <w:panose1 w:val="02010601030101010101"/>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10002FF" w:usb1="4000ACFF" w:usb2="00000009"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0000000000000000000"/>
    <w:charset w:val="00"/>
    <w:family w:val="auto"/>
    <w:pitch w:val="variable"/>
    <w:sig w:usb0="00000000" w:usb1="00000000" w:usb2="00000000" w:usb3="00000000" w:csb0="00000000" w:csb1="00000000"/>
  </w:font>
  <w:font w:name="Cambria">
    <w:altName w:val="DejaVu Sans"/>
    <w:panose1 w:val="02040503050406030204"/>
    <w:charset w:val="00"/>
    <w:family w:val="roman"/>
    <w:pitch w:val="variable"/>
    <w:sig w:usb0="E00002FF" w:usb1="400004FF" w:usb2="00000000" w:usb3="00000000" w:csb0="2000019F" w:csb1="00000000"/>
  </w:font>
  <w:font w:name="??">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55400133"/>
    </w:sdtPr>
    <w:sdtContent>
      <w:p>
        <w:pPr>
          <w:pStyle w:val="20"/>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C0DB677"/>
    <w:multiLevelType w:val="singleLevel"/>
    <w:tmpl w:val="6C0DB677"/>
    <w:lvl w:ilvl="0">
      <w:start w:val="4"/>
      <w:numFmt w:val="chineseCounting"/>
      <w:lvlRestart w:val="0"/>
      <w:suff w:val="nothing"/>
      <w:lvlText w:val="%1、"/>
      <w:lvlJc w:val="left"/>
      <w:pPr>
        <w:ind w:left="0" w:hanging="0"/>
      </w:pPr>
      <w:rPr>
        <w:rFonts w:hint="eastAsia"/>
      </w:rPr>
    </w:lvl>
  </w:abstractNum>
  <w:abstractNum w:abstractNumId="1">
    <w:nsid w:val="2ED0099F"/>
    <w:multiLevelType w:val="singleLevel"/>
    <w:tmpl w:val="2ED0099F"/>
    <w:lvl w:ilvl="0">
      <w:start w:val="1"/>
      <w:numFmt w:val="decimal"/>
      <w:lvlRestart w:val="0"/>
      <w:lvlText w:val="%1."/>
      <w:lvlJc w:val="left"/>
      <w:pPr>
        <w:ind w:left="0" w:hanging="0"/>
      </w:pPr>
    </w:lvl>
  </w:abstractNum>
  <w:abstractNum w:abstractNumId="2">
    <w:nsid w:val="0053208E"/>
    <w:multiLevelType w:val="singleLevel"/>
    <w:tmpl w:val="0053208E"/>
    <w:lvl w:ilvl="0">
      <w:start w:val="2"/>
      <w:numFmt w:val="chineseCounting"/>
      <w:lvlRestart w:val="0"/>
      <w:suff w:val="nothing"/>
      <w:lvlText w:val="（%1）"/>
      <w:lvlJc w:val="left"/>
      <w:pPr>
        <w:ind w:left="0" w:hanging="0"/>
      </w:pPr>
      <w:rPr>
        <w:rFonts w:hint="eastAsia"/>
        <w:b/>
        <w:bCs/>
      </w:rPr>
    </w:lvl>
  </w:abstractNum>
  <w:abstractNum w:abstractNumId="3">
    <w:nsid w:val="CF092B84"/>
    <w:multiLevelType w:val="singleLevel"/>
    <w:tmpl w:val="CF092B84"/>
    <w:lvl w:ilvl="0">
      <w:start w:val="3"/>
      <w:numFmt w:val="chineseCounting"/>
      <w:lvlRestart w:val="0"/>
      <w:suff w:val="nothing"/>
      <w:lvlText w:val="（%1）"/>
      <w:lvlJc w:val="left"/>
      <w:pPr>
        <w:ind w:left="0" w:hanging="0"/>
      </w:pPr>
      <w:rPr>
        <w:rFonts w:hint="eastAsia"/>
      </w:rPr>
    </w:lvl>
  </w:abstractNum>
  <w:abstractNum w:abstractNumId="4">
    <w:nsid w:val="0B715968"/>
    <w:multiLevelType w:val="singleLevel"/>
    <w:tmpl w:val="0B715968"/>
    <w:lvl w:ilvl="0">
      <w:start w:val="2"/>
      <w:numFmt w:val="chineseCounting"/>
      <w:lvlRestart w:val="0"/>
      <w:suff w:val="nothing"/>
      <w:lvlText w:val="（%1）"/>
      <w:lvlJc w:val="left"/>
      <w:pPr>
        <w:ind w:left="0" w:hanging="0"/>
      </w:pPr>
      <w:rPr>
        <w:rFonts w:hint="eastAsia"/>
      </w:rPr>
    </w:lvl>
  </w:abstractNum>
  <w:abstractNum w:abstractNumId="5">
    <w:nsid w:val="59ADCABA"/>
    <w:multiLevelType w:val="singleLevel"/>
    <w:tmpl w:val="59ADCABA"/>
    <w:lvl w:ilvl="0">
      <w:start w:val="2"/>
      <w:numFmt w:val="chineseCounting"/>
      <w:lvlRestart w:val="0"/>
      <w:suff w:val="nothing"/>
      <w:lvlText w:val="（%1）"/>
      <w:lvlJc w:val="left"/>
      <w:pPr>
        <w:ind w:left="0" w:hanging="0"/>
      </w:pPr>
      <w:rPr>
        <w:rFonts w:hint="eastAsia"/>
      </w:rPr>
    </w:lvl>
  </w:abstractNum>
  <w:abstractNum w:abstractNumId="6">
    <w:nsid w:val="BF205925"/>
    <w:multiLevelType w:val="singleLevel"/>
    <w:tmpl w:val="BF205925"/>
    <w:lvl w:ilvl="0">
      <w:start w:val="1"/>
      <w:numFmt w:val="chineseCounting"/>
      <w:lvlRestart w:val="0"/>
      <w:suff w:val="nothing"/>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MjQ1ZDRmYmY2MTk1MDlhODgzMGYzYTcwMDUwOTg2YT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character" w:styleId="27">
    <w:name w:val="annotation reference"/>
    <w:basedOn w:val="10"/>
    <w:rPr>
      <w:sz w:val="21"/>
      <w:szCs w:val="21"/>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Header Char"/>
    <w:basedOn w:val="10"/>
    <w:rPr>
      <w:rFonts w:ascii="Times New Roman" w:hAnsi="Times New Roman"/>
      <w:sz w:val="18"/>
      <w:szCs w:val="18"/>
    </w:rPr>
  </w:style>
  <w:style w:type="character" w:customStyle="1" w:styleId="30">
    <w:name w:val="Footer Char"/>
    <w:basedOn w:val="10"/>
    <w:rPr>
      <w:rFonts w:ascii="Times New Roman" w:hAnsi="Times New Roman"/>
      <w:sz w:val="18"/>
      <w:szCs w:val="18"/>
    </w:rPr>
  </w:style>
  <w:style w:type="character" w:customStyle="1" w:styleId="31">
    <w:name w:val="Body Text Char"/>
    <w:basedOn w:val="10"/>
    <w:rPr>
      <w:rFonts w:ascii="Times New Roman" w:hAnsi="Times New Roman"/>
      <w:szCs w:val="24"/>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66091"/>
      <w:kern w:val="0"/>
      <w:sz w:val="28"/>
      <w:szCs w:val="28"/>
    </w:rPr>
  </w:style>
  <w:style w:type="paragraph" w:customStyle="1" w:styleId="34">
    <w:name w:val="Normal7dfacf90"/>
    <w:next w:val="2"/>
    <w:pPr>
      <w:widowControl w:val="0"/>
      <w:jc w:val="both"/>
    </w:pPr>
    <w:rPr>
      <w:rFonts w:ascii="Times New Roman" w:eastAsia="宋体" w:cs="Times New Roman" w:hAnsi="Times New Roman"/>
      <w:kern w:val="2"/>
      <w:sz w:val="21"/>
      <w:szCs w:val="24"/>
      <w:lang w:val="en-US" w:eastAsia="zh-CN" w:bidi="ar-SA"/>
    </w:rPr>
  </w:style>
  <w:style w:type="character" w:customStyle="1" w:styleId="35">
    <w:name w:val="Default Paragraph Font4"/>
  </w:style>
  <w:style w:type="paragraph" w:customStyle="1" w:styleId="36">
    <w:name w:val="Salutation64f74ac6"/>
    <w:basedOn w:val="34"/>
    <w:next w:val="1"/>
  </w:style>
  <w:style w:type="paragraph" w:customStyle="1" w:styleId="37">
    <w:name w:val="Normal39fdbaa5"/>
    <w:next w:val="2"/>
    <w:pPr>
      <w:widowControl w:val="0"/>
      <w:jc w:val="both"/>
    </w:pPr>
    <w:rPr>
      <w:rFonts w:ascii="Times New Roman" w:eastAsia="仿宋_GB2312" w:cs="Times New Roman" w:hAnsi="Times New Roman"/>
      <w:kern w:val="2"/>
      <w:sz w:val="32"/>
      <w:szCs w:val="24"/>
      <w:lang w:val="en-US" w:eastAsia="zh-CN" w:bidi="ar-SA"/>
    </w:rPr>
  </w:style>
  <w:style w:type="character" w:customStyle="1" w:styleId="38">
    <w:name w:val="Default Paragraph Font21e45a53"/>
  </w:style>
  <w:style w:type="paragraph" w:customStyle="1" w:styleId="39">
    <w:name w:val="Salutation5e5acfcb"/>
    <w:basedOn w:val="37"/>
    <w:next w:val="1"/>
  </w:style>
  <w:style w:type="paragraph" w:customStyle="1" w:styleId="40">
    <w:name w:val="四号正文5"/>
    <w:basedOn w:val="37"/>
    <w:pPr>
      <w:spacing w:line="360" w:lineRule="auto"/>
    </w:pPr>
    <w:rPr>
      <w:rFonts w:ascii="??" w:eastAsia="宋体" w:hAnsi="??"/>
      <w:color w:val="000000"/>
      <w:kern w:val="0"/>
      <w:sz w:val="28"/>
      <w:szCs w:val="21"/>
      <w:lang w:val="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14542.57</c:v>
                </c:pt>
                <c:pt idx="1">
                  <c:v>15512.36</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14542.57</c:v>
                </c:pt>
                <c:pt idx="1">
                  <c:v>15512.36</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1.2406033684E8</c:v>
                </c:pt>
                <c:pt idx="1">
                  <c:v>6782114.71</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2.284941868E7</c:v>
                </c:pt>
                <c:pt idx="1">
                  <c:v>1.3227416738E8</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14542.57</c:v>
                </c:pt>
                <c:pt idx="1">
                  <c:v>15512.36</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14542.57</c:v>
                </c:pt>
                <c:pt idx="1">
                  <c:v>15512.36</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11259.86</c:v>
                </c:pt>
              </c:numCache>
            </c:numRef>
          </c:val>
        </c:ser>
        <c:ser>
          <c:idx val="2"/>
          <c:order val="1"/>
          <c:tx>
            <c:v>2021</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14834.15</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8"/>
              <c:pt idx="0">
                <c:v>社会保障和就业支出</c:v>
              </c:pt>
              <c:pt idx="1">
                <c:v>卫生健康支出</c:v>
              </c:pt>
              <c:pt idx="2">
                <c:v>节能环保支出</c:v>
              </c:pt>
              <c:pt idx="3">
                <c:v>农林水支出</c:v>
              </c:pt>
              <c:pt idx="4">
                <c:v>交通运输支出</c:v>
              </c:pt>
              <c:pt idx="5">
                <c:v>住房保障支出</c:v>
              </c:pt>
              <c:pt idx="6">
                <c:v>灾害防治及应急管理支出</c:v>
              </c:pt>
              <c:pt idx="7">
                <c:v>其他支出</c:v>
              </c:pt>
            </c:strLit>
          </c:cat>
          <c:val>
            <c:numRef>
              <c:f/>
              <c:numCache>
                <c:formatCode>General</c:formatCode>
                <c:ptCount val="8"/>
                <c:pt idx="0">
                  <c:v>197.92</c:v>
                </c:pt>
                <c:pt idx="1">
                  <c:v>112.93</c:v>
                </c:pt>
                <c:pt idx="2">
                  <c:v>4873.1</c:v>
                </c:pt>
                <c:pt idx="3">
                  <c:v>8774.49</c:v>
                </c:pt>
                <c:pt idx="4">
                  <c:v>193.86</c:v>
                </c:pt>
                <c:pt idx="5">
                  <c:v>136.44</c:v>
                </c:pt>
                <c:pt idx="6">
                  <c:v>236.21</c:v>
                </c:pt>
                <c:pt idx="7">
                  <c:v>309.2</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7.31</c:v>
                </c:pt>
                <c:pt idx="2">
                  <c:v>1.7</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TotalTime>
  <Application>Yozo_Office27021597764231179</Application>
  <Pages>1</Pages>
  <Words>19</Words>
  <Characters>19</Characters>
  <Lines>2</Lines>
  <Paragraphs>0</Paragraphs>
  <CharactersWithSpaces>19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303</cp:revision>
  <cp:lastPrinted>2021-09-26T08:39:00Z</cp:lastPrinted>
  <dcterms:created xsi:type="dcterms:W3CDTF">2022-08-17T01:31:00Z</dcterms:created>
  <dcterms:modified xsi:type="dcterms:W3CDTF">2026-08-21T01:16:55Z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2270E6A41045478381B5F20DDA134F81</vt:lpwstr>
  </property>
</Properties>
</file>