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林业和草原局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5"/>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5"/>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default" w:ascii="楷体_GB2312" w:hAnsi="楷体" w:eastAsia="楷体_GB2312"/>
          <w:b/>
          <w:sz w:val="32"/>
          <w:szCs w:val="32"/>
        </w:rPr>
        <w:t>（一）</w:t>
      </w:r>
      <w:r>
        <w:rPr>
          <w:rFonts w:hint="eastAsia" w:ascii="楷体_GB2312" w:hAnsi="楷体" w:eastAsia="楷体_GB2312"/>
          <w:b/>
          <w:sz w:val="32"/>
          <w:szCs w:val="32"/>
        </w:rPr>
        <w:t>部门职能简介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bookmarkStart w:id="0" w:name="_Toc15377200"/>
      <w:bookmarkStart w:id="1" w:name="_Toc15396601"/>
      <w:r>
        <w:rPr>
          <w:rFonts w:hint="eastAsia" w:ascii="仿宋_GB2312" w:hAnsi="仿宋_GB2312" w:eastAsia="仿宋_GB2312" w:cs="仿宋_GB2312"/>
          <w:color w:val="000000"/>
          <w:sz w:val="32"/>
          <w:szCs w:val="32"/>
        </w:rPr>
        <w:t>1.负责全县林业和草原及其生态保护修复的监督管理。拟订全县林业和草原及其生态保护修复的规划并组织实施。起草相关规范性文件草案。组织开展全县森林、草原、湿地、荒漠和陆生野生动植物资源动态监测与评价，推进全县林业和草原数字化建设。</w:t>
      </w:r>
      <w:bookmarkEnd w:id="0"/>
      <w:bookmarkEnd w:id="1"/>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组织全县林业和草原生态保护修复和造林绿化工作。组织实施林业和草原重点生态保护修复工程，指导公益林和商品林的培育，指导、监督全民义务植树、城乡绿化工作。指导林业和草原有害生物防治、检疫工作。承担林业和草原应对气候变化的相关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负责全县森林、草原、湿地资源的监督管理。组织编制并监督执行全县森林采伐限额。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4.负责监督管理全县荒漠化防治工作。组织开展荒漠调查，组织拟订防沙治沙及沙化土地封禁保护区建设规划，监督管理沙化土地的开发利用。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负责全县陆生野生动植物资源监督管理。组织开展陆生野生动植物资源调查，拟订及调整全县重点保护陆生野生动物、植物名录，指导陆生野生动植物的救护繁育、栖息地恢复发展、疫源疫病监测，监督管理陆生野生动植物猎捕或采集、驯养繁殖或培植、经营利用，按分工监督管理野生动植物进出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负责监督管理全县各类自然保护地。拟订各类自然保护地规划。负责国家公园申报设立、规划、建设和特许经营等工作，负责县级政府直接行使和代理行使全民所有权的国家公园等自然保护地的自然资源资产管理和国土空间用途管制。提出新建、调整各类自然保护地的审核建议并按程序报批。组织世界自然遗产的申报，会同有关部门对世界自然与文化双重遗产的申报。负责生物多样性保护相关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负责推进全县林业和草原改革相关工作。拟订集体林权制度、国有林区、国有林场、草原等重大改革意见并监督实施。监督实施农村林业发展、维护林业经营者合法权益的政策措施。指导农村林地承包经营工作。开展退耕（牧）还林还草，负责天然林保护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实施全县林业和草原资源优化配置及木材利用政策，组织林草产品质量监督，统筹生态扶贫相关工作。负责林业和草原现代园区建设、花卉、特色经济林、森林林下经济、森林康养和生态旅游产业发展。推进林业和草原绿色产业发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负责全县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负责落实全县森林草原防灾减灾规划相关要求，组织编制森林和草原火灾防治规划并指导实施，组织、负责开展森林草原防火巡护、防火设施建设等工作。负责森林和草原火情监测预警、火灾预防工作，发送森林和草原火险信息。组织国有林场、林区和草原开展防火宣传教育、监测预警、督促检查等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11.负责林业和草原科技、教育和对外交流工作，负责全县林业和草原人才队伍建设，组织实施林业和草原对外交流与合作事务，承担湿地、防治荒漠化、濒危野生动植物等国际公约履约有关工作。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12.承担职责范围内的安全生产和职业健康、生态环境保护、公共机构节能减排、审批服务便民化等工作。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13.完成县委、县政府交办的其他任务。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职能转变。围绕高质量筑牢长江上游生态屏障，加强森林、草原、湿地监督管理的统筹协调，切实加大生态系统保护力度，实施重要生态系统保护和修复工程，高质量实施绿化全县行动，高水平推进数字林业草原建设，加快实现林业草原生态、经济、社会三大效益。统一推进全县各类自然保护地的清理规范和归并整合。承担大熊猫国家公园试点建设期间的相关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与县应急管理局的有关职责分工。县林草局和县应急管理局要做到各司其职、无缝对接。县应急管理局负责统一组织、统一指挥、统一协调自然灾害类突发事件应急救援救灾工作。县林草局依法依规承担林业草原领域的灾害监测、预警、防治工作及抢险救援的技术保障工作。必要时，县林草局可以提请县应急管理局，以县应急指挥机构名义部署相关防治工作。</w:t>
      </w:r>
    </w:p>
    <w:p>
      <w:pPr>
        <w:ind w:firstLine="642" w:firstLineChars="200"/>
        <w:rPr>
          <w:rFonts w:hint="eastAsia" w:ascii="黑体" w:hAnsi="黑体" w:eastAsia="黑体" w:cs="黑体"/>
          <w:b/>
          <w:sz w:val="32"/>
          <w:szCs w:val="32"/>
        </w:rPr>
      </w:pPr>
      <w:r>
        <w:rPr>
          <w:rFonts w:hint="eastAsia" w:ascii="黑体" w:hAnsi="黑体" w:eastAsia="黑体" w:cs="黑体"/>
          <w:b/>
          <w:sz w:val="32"/>
          <w:szCs w:val="32"/>
        </w:rPr>
        <w:t>（二）</w:t>
      </w:r>
      <w:r>
        <w:rPr>
          <w:rFonts w:hint="eastAsia" w:ascii="黑体" w:hAnsi="黑体" w:eastAsia="黑体" w:cs="黑体"/>
          <w:b/>
          <w:sz w:val="32"/>
          <w:szCs w:val="32"/>
        </w:rPr>
        <w:t>202</w:t>
      </w:r>
      <w:r>
        <w:rPr>
          <w:rFonts w:hint="eastAsia" w:ascii="黑体" w:hAnsi="黑体" w:eastAsia="黑体" w:cs="黑体"/>
          <w:b/>
          <w:sz w:val="32"/>
          <w:szCs w:val="32"/>
          <w:lang w:val="en-US" w:eastAsia="zh-CN"/>
        </w:rPr>
        <w:t>5</w:t>
      </w:r>
      <w:r>
        <w:rPr>
          <w:rFonts w:hint="eastAsia" w:ascii="黑体" w:hAnsi="黑体" w:eastAsia="黑体" w:cs="黑体"/>
          <w:b/>
          <w:sz w:val="32"/>
          <w:szCs w:val="32"/>
        </w:rPr>
        <w:t>年重点工作</w:t>
      </w:r>
      <w:bookmarkStart w:id="2" w:name="_GoBack"/>
      <w:bookmarkEnd w:id="2"/>
    </w:p>
    <w:p>
      <w:pPr>
        <w:keepNext w:val="0"/>
        <w:keepLines w:val="0"/>
        <w:pageBreakBefore w:val="0"/>
        <w:widowControl w:val="0"/>
        <w:kinsoku/>
        <w:wordWrap/>
        <w:overflowPunct/>
        <w:topLinePunct w:val="0"/>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以“林长制”为抓手加强资源保护</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全力做好要素保障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积极推进国省重点项目川汶高速、川渝特高压、疆电入川用地保障，配合主管部门和业主单位全力做好查验、审核、上报和监督工作。严格执行森林采伐限额制度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按照 “严管林”要求，规范林木采伐审批流程，加强对采伐作业全过程的监督检查。严禁破坏资源违法行为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定期开展专项打击行动，严厉打击破坏森林草原资源违法行为。深化集体林权制度改革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sz w:val="32"/>
          <w:szCs w:val="32"/>
        </w:rPr>
        <w:t>完成茂县深化集体林权制度改革方案编制</w:t>
      </w:r>
      <w:r>
        <w:rPr>
          <w:rFonts w:hint="eastAsia" w:ascii="仿宋_GB2312" w:hAnsi="仿宋_GB2312" w:eastAsia="仿宋_GB2312" w:cs="仿宋_GB2312"/>
          <w:b w:val="0"/>
          <w:bCs w:val="0"/>
          <w:sz w:val="32"/>
          <w:szCs w:val="32"/>
        </w:rPr>
        <w:t>。切实做好资源底数调查，开展森林草原湿地荒漠化普查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开展新一轮林地保护利用规划方案和天然林保护修复中长期规划编制。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做好森林病虫害监测与防治。通过“线下线上”相结合方式，广泛宣传无公害防治相关知识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对全县森林开展病虫害监测，对松林进行松材线虫监测，加强监测预报，落实</w:t>
      </w:r>
      <w:r>
        <w:rPr>
          <w:rFonts w:hint="eastAsia" w:ascii="仿宋_GB2312" w:hAnsi="仿宋_GB2312" w:eastAsia="仿宋_GB2312" w:cs="仿宋_GB2312"/>
          <w:b w:val="0"/>
          <w:bCs w:val="0"/>
          <w:sz w:val="32"/>
          <w:szCs w:val="32"/>
          <w:lang w:eastAsia="zh-CN"/>
        </w:rPr>
        <w:t>监测责任，科学开展监测工作，严格执行虫情报告制度。</w:t>
      </w:r>
      <w:r>
        <w:rPr>
          <w:rFonts w:hint="eastAsia" w:ascii="仿宋_GB2312" w:hAnsi="仿宋_GB2312" w:eastAsia="仿宋_GB2312" w:cs="仿宋_GB2312"/>
          <w:b w:val="0"/>
          <w:bCs w:val="0"/>
          <w:sz w:val="32"/>
          <w:szCs w:val="32"/>
        </w:rPr>
        <w:t>做实森林草原防火各项工作。开展“开学第一课”，普及全民防火、安全用火基本知识，营造全民安全用火、文明用火良好氛围。加强重要时段火源管控，严格控制祭祀用火、农事用火，严把进山入口，严格火种收缴，坚决把火源堵在山下林外。分区分级分类开展“五周五缘”关键区域和周边地带火灾隐患清理排查整治。严格落实用火审批和值班值守制度。持续推进基础设施建设</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以项目为统领持续推进生态修复治理</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sz w:val="32"/>
          <w:szCs w:val="32"/>
        </w:rPr>
        <w:t>加快推进新建项目建设进度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根据城乡环境质量提升行动“2+5”专项工作，拟开展全县重点区域绿化美化专项整治工作</w:t>
      </w:r>
      <w:r>
        <w:rPr>
          <w:rFonts w:hint="eastAsia" w:ascii="仿宋_GB2312" w:hAnsi="仿宋_GB2312" w:eastAsia="仿宋_GB2312" w:cs="仿宋_GB2312"/>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高质量建设大熊猫国家公园茂县园区加快续建项目建设。</w:t>
      </w:r>
      <w:r>
        <w:rPr>
          <w:rFonts w:hint="eastAsia" w:ascii="仿宋_GB2312" w:eastAsia="仿宋_GB2312"/>
          <w:sz w:val="32"/>
          <w:szCs w:val="32"/>
        </w:rPr>
        <w:t>重点推进大熊猫保护管理设施项目；加快推进园区车行道、人行道路、生态修复建设，逐步提升园区巡护能力建设；有序推进共建共管、社区融合发展、友好社区示范建设、野生动物肇事保险补助建设，推进人与自然和谐发展；着力推进茂县园区自然教育与生态体验提升建设</w:t>
      </w:r>
      <w:r>
        <w:rPr>
          <w:rFonts w:hint="eastAsia" w:ascii="仿宋_GB2312" w:eastAsia="仿宋_GB2312"/>
          <w:sz w:val="32"/>
          <w:szCs w:val="32"/>
          <w:lang w:eastAsia="zh-CN"/>
        </w:rPr>
        <w:t>，</w:t>
      </w:r>
      <w:r>
        <w:rPr>
          <w:rFonts w:hint="eastAsia" w:ascii="仿宋_GB2312" w:eastAsia="仿宋_GB2312"/>
          <w:sz w:val="32"/>
          <w:szCs w:val="32"/>
        </w:rPr>
        <w:t>适时开展自然</w:t>
      </w:r>
      <w:r>
        <w:rPr>
          <w:rFonts w:hint="eastAsia" w:ascii="仿宋_GB2312" w:eastAsia="仿宋_GB2312"/>
          <w:sz w:val="32"/>
          <w:szCs w:val="32"/>
          <w:lang w:eastAsia="zh-CN"/>
        </w:rPr>
        <w:t>教育活动，提升茂县园区知名度。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茂县林业和草原局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茂县林业和草原局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18,841,663.2</w:t>
      </w:r>
      <w:r>
        <w:rPr>
          <w:rFonts w:hint="eastAsia" w:ascii="仿宋_GB2312" w:eastAsia="仿宋_GB2312"/>
          <w:sz w:val="32"/>
          <w:szCs w:val="32"/>
          <w:lang w:val="en-US" w:eastAsia="zh-CN"/>
        </w:rPr>
        <w:t>1</w:t>
      </w:r>
      <w:r>
        <w:rPr>
          <w:rFonts w:ascii="仿宋_GB2312" w:eastAsia="仿宋_GB2312"/>
          <w:sz w:val="32"/>
          <w:szCs w:val="32"/>
        </w:rPr>
        <w:t>元；支出包括：社会保障和就业支出</w:t>
      </w:r>
      <w:r>
        <w:rPr>
          <w:rFonts w:hint="eastAsia" w:ascii="仿宋_GB2312" w:eastAsia="仿宋_GB2312"/>
          <w:sz w:val="32"/>
          <w:szCs w:val="32"/>
        </w:rPr>
        <w:t>2,053,638.12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1,152,918.2</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rPr>
        <w:t>农林水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s="仿宋_GB2312"/>
          <w:kern w:val="2"/>
          <w:sz w:val="32"/>
          <w:szCs w:val="32"/>
          <w:lang w:eastAsia="zh-CN"/>
        </w:rPr>
      </w:pPr>
      <w:r>
        <w:rPr>
          <w:rFonts w:hint="eastAsia" w:ascii="仿宋_GB2312" w:eastAsia="仿宋_GB2312"/>
          <w:sz w:val="32"/>
          <w:szCs w:val="32"/>
        </w:rPr>
        <w:t>支出14,079,906.89</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1,555,200.00</w:t>
      </w:r>
      <w:r>
        <w:rPr>
          <w:rFonts w:ascii="仿宋_GB2312" w:eastAsia="仿宋_GB2312"/>
          <w:sz w:val="32"/>
          <w:szCs w:val="32"/>
        </w:rPr>
        <w:t>元。</w:t>
      </w:r>
      <w:r>
        <w:rPr>
          <w:rFonts w:hint="eastAsia" w:ascii="仿宋_GB2312" w:eastAsia="仿宋_GB2312"/>
          <w:sz w:val="32"/>
          <w:szCs w:val="32"/>
          <w:lang w:eastAsia="zh-CN"/>
        </w:rPr>
        <w:t>茂县林业和草原局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rPr>
        <w:t>18,841,663.21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433,967.02</w:t>
      </w:r>
      <w:r>
        <w:rPr>
          <w:rFonts w:ascii="仿宋_GB2312" w:eastAsia="仿宋_GB2312"/>
          <w:sz w:val="32"/>
          <w:szCs w:val="32"/>
        </w:rPr>
        <w:t>元，主要原因</w:t>
      </w:r>
      <w:r>
        <w:rPr>
          <w:rFonts w:hint="eastAsia" w:ascii="仿宋_GB2312" w:eastAsia="仿宋_GB2312"/>
          <w:sz w:val="32"/>
          <w:szCs w:val="32"/>
          <w:lang w:eastAsia="zh-CN"/>
        </w:rPr>
        <w:t>是：人员</w:t>
      </w:r>
      <w:r>
        <w:rPr>
          <w:rFonts w:hint="eastAsia" w:eastAsia="仿宋_GB2312" w:cs="仿宋_GB2312"/>
          <w:kern w:val="2"/>
          <w:sz w:val="32"/>
          <w:szCs w:val="32"/>
          <w:lang w:eastAsia="zh-CN"/>
        </w:rPr>
        <w:t>预算经费增加。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18,841,663.2</w:t>
      </w:r>
      <w:r>
        <w:rPr>
          <w:rFonts w:hint="eastAsia" w:ascii="仿宋_GB2312" w:eastAsia="仿宋_GB2312"/>
          <w:sz w:val="32"/>
          <w:szCs w:val="32"/>
          <w:lang w:val="en-US" w:eastAsia="zh-CN"/>
        </w:rPr>
        <w:t>1</w:t>
      </w:r>
      <w:r>
        <w:rPr>
          <w:rFonts w:ascii="仿宋_GB2312" w:eastAsia="仿宋_GB2312"/>
          <w:sz w:val="32"/>
          <w:szCs w:val="32"/>
        </w:rPr>
        <w:t>元；一般公共预算拨款收入</w:t>
      </w:r>
      <w:r>
        <w:rPr>
          <w:rFonts w:hint="eastAsia" w:ascii="仿宋_GB2312" w:eastAsia="仿宋_GB2312"/>
          <w:sz w:val="32"/>
          <w:szCs w:val="32"/>
        </w:rPr>
        <w:t>18,841,663.2</w:t>
      </w:r>
      <w:r>
        <w:rPr>
          <w:rFonts w:hint="eastAsia" w:ascii="仿宋_GB2312" w:eastAsia="仿宋_GB2312"/>
          <w:sz w:val="32"/>
          <w:szCs w:val="32"/>
          <w:lang w:val="en-US" w:eastAsia="zh-CN"/>
        </w:rPr>
        <w:t>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18,841,663.2</w:t>
      </w:r>
      <w:r>
        <w:rPr>
          <w:rFonts w:hint="eastAsia" w:ascii="仿宋_GB2312" w:eastAsia="仿宋_GB2312"/>
          <w:sz w:val="32"/>
          <w:szCs w:val="32"/>
          <w:lang w:val="en-US" w:eastAsia="zh-CN"/>
        </w:rPr>
        <w:t>1</w:t>
      </w:r>
      <w:r>
        <w:rPr>
          <w:rFonts w:ascii="仿宋_GB2312" w:eastAsia="仿宋_GB2312"/>
          <w:sz w:val="32"/>
          <w:szCs w:val="32"/>
        </w:rPr>
        <w:t>元，其中：基本支出</w:t>
      </w:r>
      <w:r>
        <w:rPr>
          <w:rFonts w:hint="eastAsia" w:ascii="仿宋_GB2312" w:eastAsia="仿宋_GB2312"/>
          <w:sz w:val="32"/>
          <w:szCs w:val="32"/>
        </w:rPr>
        <w:t>18,811,663.2</w:t>
      </w:r>
      <w:r>
        <w:rPr>
          <w:rFonts w:hint="eastAsia" w:ascii="仿宋_GB2312" w:eastAsia="仿宋_GB2312"/>
          <w:sz w:val="32"/>
          <w:szCs w:val="32"/>
          <w:lang w:val="en-US" w:eastAsia="zh-CN"/>
        </w:rPr>
        <w:t>1</w:t>
      </w:r>
      <w:r>
        <w:rPr>
          <w:rFonts w:ascii="仿宋_GB2312" w:eastAsia="仿宋_GB2312"/>
          <w:sz w:val="32"/>
          <w:szCs w:val="32"/>
        </w:rPr>
        <w:t>元，占</w:t>
      </w:r>
      <w:r>
        <w:rPr>
          <w:rFonts w:hint="eastAsia" w:ascii="仿宋_GB2312" w:eastAsia="仿宋_GB2312"/>
          <w:sz w:val="32"/>
          <w:szCs w:val="32"/>
          <w:lang w:val="en-US" w:eastAsia="zh-CN"/>
        </w:rPr>
        <w:t>99.84</w:t>
      </w:r>
      <w:r>
        <w:rPr>
          <w:rFonts w:ascii="仿宋_GB2312" w:eastAsia="仿宋_GB2312"/>
          <w:sz w:val="32"/>
          <w:szCs w:val="32"/>
        </w:rPr>
        <w:t>%，项目支出</w:t>
      </w:r>
      <w:r>
        <w:rPr>
          <w:rFonts w:hint="eastAsia" w:ascii="仿宋_GB2312" w:eastAsia="仿宋_GB2312"/>
          <w:sz w:val="32"/>
          <w:szCs w:val="32"/>
        </w:rPr>
        <w:t>30,000.00</w:t>
      </w:r>
      <w:r>
        <w:rPr>
          <w:rFonts w:ascii="仿宋_GB2312" w:eastAsia="仿宋_GB2312"/>
          <w:sz w:val="32"/>
          <w:szCs w:val="32"/>
        </w:rPr>
        <w:t>元，占</w:t>
      </w:r>
      <w:r>
        <w:rPr>
          <w:rFonts w:hint="eastAsia" w:ascii="仿宋_GB2312" w:eastAsia="仿宋_GB2312"/>
          <w:sz w:val="32"/>
          <w:szCs w:val="32"/>
          <w:lang w:val="en-US" w:eastAsia="zh-CN"/>
        </w:rPr>
        <w:t>0.16</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18,841,663.2</w:t>
      </w:r>
      <w:r>
        <w:rPr>
          <w:rFonts w:hint="eastAsia" w:ascii="仿宋_GB2312" w:eastAsia="仿宋_GB2312"/>
          <w:sz w:val="32"/>
          <w:szCs w:val="32"/>
          <w:lang w:val="en-US" w:eastAsia="zh-CN"/>
        </w:rPr>
        <w:t>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433,967.02</w:t>
      </w:r>
      <w:r>
        <w:rPr>
          <w:rFonts w:ascii="仿宋_GB2312" w:eastAsia="仿宋_GB2312"/>
          <w:sz w:val="32"/>
          <w:szCs w:val="32"/>
        </w:rPr>
        <w:t>元，主要原因</w:t>
      </w:r>
      <w:r>
        <w:rPr>
          <w:rFonts w:hint="eastAsia" w:ascii="仿宋_GB2312" w:eastAsia="仿宋_GB2312"/>
          <w:sz w:val="32"/>
          <w:szCs w:val="32"/>
          <w:lang w:eastAsia="zh-CN"/>
        </w:rPr>
        <w:t>是：人员</w:t>
      </w:r>
      <w:r>
        <w:rPr>
          <w:rFonts w:hint="eastAsia" w:eastAsia="仿宋_GB2312" w:cs="仿宋_GB2312"/>
          <w:kern w:val="2"/>
          <w:sz w:val="32"/>
          <w:szCs w:val="32"/>
          <w:lang w:eastAsia="zh-CN"/>
        </w:rPr>
        <w:t>预算经费增加。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18,841,663.2</w:t>
      </w:r>
      <w:r>
        <w:rPr>
          <w:rFonts w:hint="eastAsia" w:ascii="仿宋_GB2312" w:eastAsia="仿宋_GB2312"/>
          <w:sz w:val="32"/>
          <w:szCs w:val="32"/>
          <w:lang w:val="en-US" w:eastAsia="zh-CN"/>
        </w:rPr>
        <w:t>1</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rPr>
        <w:t>2,053,638.12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1,152,918.2</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rPr>
        <w:t>农林水支出14,079,906.89</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1,555,200.00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6"/>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18,841,663.2</w:t>
      </w:r>
      <w:r>
        <w:rPr>
          <w:rFonts w:hint="eastAsia" w:ascii="仿宋_GB2312" w:eastAsia="仿宋_GB2312"/>
          <w:sz w:val="32"/>
          <w:szCs w:val="32"/>
          <w:lang w:val="en-US" w:eastAsia="zh-CN"/>
        </w:rPr>
        <w:t>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433,967.02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w:t>
      </w:r>
      <w:r>
        <w:rPr>
          <w:rFonts w:hint="eastAsia" w:ascii="仿宋_GB2312" w:eastAsia="仿宋_GB2312"/>
          <w:sz w:val="32"/>
          <w:szCs w:val="32"/>
          <w:lang w:eastAsia="zh-CN"/>
        </w:rPr>
        <w:t>人员</w:t>
      </w:r>
      <w:r>
        <w:rPr>
          <w:rFonts w:hint="eastAsia" w:eastAsia="仿宋_GB2312" w:cs="仿宋_GB2312"/>
          <w:kern w:val="2"/>
          <w:sz w:val="32"/>
          <w:szCs w:val="32"/>
          <w:lang w:eastAsia="zh-CN"/>
        </w:rPr>
        <w:t>预算经费增加。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社会保障和就业支出2,053,638.1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10.90</w:t>
      </w:r>
      <w:r>
        <w:rPr>
          <w:rFonts w:hint="eastAsia" w:ascii="仿宋_GB2312" w:hAnsi="仿宋_GB2312" w:eastAsia="仿宋_GB2312" w:cs="仿宋_GB2312"/>
          <w:sz w:val="32"/>
          <w:szCs w:val="32"/>
        </w:rPr>
        <w:t xml:space="preserve"> %；卫生健康支出1,152,918.2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6.12</w:t>
      </w:r>
      <w:r>
        <w:rPr>
          <w:rFonts w:hint="eastAsia" w:ascii="仿宋_GB2312" w:hAnsi="仿宋_GB2312" w:eastAsia="仿宋_GB2312" w:cs="仿宋_GB2312"/>
          <w:sz w:val="32"/>
          <w:szCs w:val="32"/>
        </w:rPr>
        <w:t>%；农林水支出14,079,906.89</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74.73</w:t>
      </w:r>
      <w:r>
        <w:rPr>
          <w:rFonts w:hint="eastAsia" w:ascii="仿宋_GB2312" w:hAnsi="仿宋_GB2312" w:eastAsia="仿宋_GB2312" w:cs="仿宋_GB2312"/>
          <w:sz w:val="32"/>
          <w:szCs w:val="32"/>
        </w:rPr>
        <w:t xml:space="preserve"> %；住房保障支出1,555,200.00元，占</w:t>
      </w:r>
      <w:r>
        <w:rPr>
          <w:rFonts w:hint="eastAsia" w:ascii="仿宋_GB2312" w:hAnsi="仿宋_GB2312" w:eastAsia="仿宋_GB2312" w:cs="仿宋_GB2312"/>
          <w:sz w:val="32"/>
          <w:szCs w:val="32"/>
          <w:lang w:val="en-US" w:eastAsia="zh-CN"/>
        </w:rPr>
        <w:t>8.25</w:t>
      </w:r>
      <w:r>
        <w:rPr>
          <w:rFonts w:hint="eastAsia" w:ascii="仿宋_GB2312" w:hAnsi="仿宋_GB2312" w:eastAsia="仿宋_GB2312" w:cs="仿宋_GB2312"/>
          <w:sz w:val="32"/>
          <w:szCs w:val="32"/>
        </w:rPr>
        <w:t>%。</w:t>
      </w:r>
    </w:p>
    <w:p>
      <w:pPr>
        <w:pStyle w:val="6"/>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1.农林水支出</w:t>
      </w:r>
      <w:r>
        <w:rPr>
          <w:rFonts w:ascii="仿宋_GB2312" w:eastAsia="仿宋_GB2312"/>
          <w:sz w:val="32"/>
          <w:szCs w:val="32"/>
        </w:rPr>
        <w:t>（</w:t>
      </w:r>
      <w:r>
        <w:rPr>
          <w:rFonts w:hint="eastAsia" w:ascii="仿宋_GB2312" w:eastAsia="仿宋_GB2312"/>
          <w:sz w:val="32"/>
          <w:szCs w:val="32"/>
        </w:rPr>
        <w:t>213</w:t>
      </w:r>
      <w:r>
        <w:rPr>
          <w:rFonts w:ascii="仿宋_GB2312" w:eastAsia="仿宋_GB2312"/>
          <w:sz w:val="32"/>
          <w:szCs w:val="32"/>
        </w:rPr>
        <w:t>）</w:t>
      </w:r>
      <w:r>
        <w:rPr>
          <w:rFonts w:hint="eastAsia" w:ascii="仿宋_GB2312" w:eastAsia="仿宋_GB2312"/>
          <w:sz w:val="32"/>
          <w:szCs w:val="32"/>
        </w:rPr>
        <w:t>林业和草原</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rPr>
        <w:t>行政运行</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2,703,790.15</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2.农林水支出</w:t>
      </w:r>
      <w:r>
        <w:rPr>
          <w:rFonts w:ascii="仿宋_GB2312" w:eastAsia="仿宋_GB2312"/>
          <w:sz w:val="32"/>
          <w:szCs w:val="32"/>
        </w:rPr>
        <w:t>（</w:t>
      </w:r>
      <w:r>
        <w:rPr>
          <w:rFonts w:hint="eastAsia" w:ascii="仿宋_GB2312" w:eastAsia="仿宋_GB2312"/>
          <w:sz w:val="32"/>
          <w:szCs w:val="32"/>
        </w:rPr>
        <w:t>213</w:t>
      </w:r>
      <w:r>
        <w:rPr>
          <w:rFonts w:ascii="仿宋_GB2312" w:eastAsia="仿宋_GB2312"/>
          <w:sz w:val="32"/>
          <w:szCs w:val="32"/>
        </w:rPr>
        <w:t>）</w:t>
      </w:r>
      <w:r>
        <w:rPr>
          <w:rFonts w:hint="eastAsia" w:ascii="仿宋_GB2312" w:eastAsia="仿宋_GB2312"/>
          <w:sz w:val="32"/>
          <w:szCs w:val="32"/>
        </w:rPr>
        <w:t>林业和草原</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rPr>
        <w:t>事业机构</w:t>
      </w:r>
      <w:r>
        <w:rPr>
          <w:rFonts w:ascii="仿宋_GB2312" w:eastAsia="仿宋_GB2312"/>
          <w:sz w:val="32"/>
          <w:szCs w:val="32"/>
        </w:rPr>
        <w:t>（</w:t>
      </w:r>
      <w:r>
        <w:rPr>
          <w:rFonts w:hint="eastAsia" w:ascii="仿宋_GB2312" w:eastAsia="仿宋_GB2312"/>
          <w:sz w:val="32"/>
          <w:szCs w:val="32"/>
        </w:rPr>
        <w:t>04</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11,346,116.74</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1,369,092.16</w:t>
      </w:r>
      <w:r>
        <w:rPr>
          <w:rFonts w:ascii="仿宋_GB2312" w:eastAsia="仿宋_GB2312"/>
          <w:sz w:val="32"/>
          <w:szCs w:val="32"/>
        </w:rPr>
        <w:t>元，主要用于单位缴纳基本养老保险费。</w:t>
      </w:r>
    </w:p>
    <w:p>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684,545.96</w:t>
      </w:r>
      <w:r>
        <w:rPr>
          <w:rFonts w:ascii="仿宋_GB2312" w:eastAsia="仿宋_GB2312"/>
          <w:sz w:val="32"/>
          <w:szCs w:val="32"/>
        </w:rPr>
        <w:t>元，主要用于单位缴纳职业年金。</w:t>
      </w:r>
    </w:p>
    <w:p>
      <w:pPr>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215,054.24</w:t>
      </w:r>
      <w:r>
        <w:rPr>
          <w:rFonts w:ascii="仿宋_GB2312" w:eastAsia="仿宋_GB2312"/>
          <w:sz w:val="32"/>
          <w:szCs w:val="32"/>
        </w:rPr>
        <w:t>元，主要用于行政单位缴纳基本医疗保险。</w:t>
      </w:r>
    </w:p>
    <w:p>
      <w:pPr>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937,863.96</w:t>
      </w:r>
      <w:r>
        <w:rPr>
          <w:rFonts w:ascii="仿宋_GB2312" w:eastAsia="仿宋_GB2312"/>
          <w:sz w:val="32"/>
          <w:szCs w:val="32"/>
        </w:rPr>
        <w:t>元，主要用于事业单位缴纳基本医疗保险。</w:t>
      </w:r>
    </w:p>
    <w:p>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1,555,200.00</w:t>
      </w:r>
      <w:r>
        <w:rPr>
          <w:rFonts w:ascii="仿宋_GB2312" w:eastAsia="仿宋_GB2312"/>
          <w:sz w:val="32"/>
          <w:szCs w:val="32"/>
        </w:rPr>
        <w:t>元，主要用于单位为职工缴纳住房公积金。</w:t>
      </w:r>
    </w:p>
    <w:p>
      <w:pPr>
        <w:ind w:firstLine="640" w:firstLineChars="200"/>
        <w:rPr>
          <w:rFonts w:ascii="仿宋_GB2312" w:eastAsia="仿宋_GB2312"/>
          <w:sz w:val="32"/>
          <w:szCs w:val="32"/>
        </w:rPr>
      </w:pPr>
      <w:r>
        <w:rPr>
          <w:rFonts w:hint="eastAsia" w:ascii="仿宋_GB2312" w:eastAsia="仿宋_GB2312"/>
          <w:sz w:val="32"/>
          <w:szCs w:val="32"/>
        </w:rPr>
        <w:t>8.农林水支出（213）林业和草原（02）林业草原防灾减灾（34）202</w:t>
      </w:r>
      <w:r>
        <w:rPr>
          <w:rFonts w:hint="eastAsia" w:ascii="仿宋_GB2312" w:eastAsia="仿宋_GB2312"/>
          <w:sz w:val="32"/>
          <w:szCs w:val="32"/>
          <w:lang w:val="en-US" w:eastAsia="zh-CN"/>
        </w:rPr>
        <w:t>5</w:t>
      </w:r>
      <w:r>
        <w:rPr>
          <w:rFonts w:hint="eastAsia" w:ascii="仿宋_GB2312" w:eastAsia="仿宋_GB2312"/>
          <w:sz w:val="32"/>
          <w:szCs w:val="32"/>
        </w:rPr>
        <w:t>年预算数为30,000.00元，主要用于全县森林防灭火工作开展。</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6"/>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18,811,663.21元，其中：人员经费17,513,859.94元，主要包括：基本工资、津贴补贴、奖金、其他社会保障缴费、绩效工资、机关事业单位基本养老保险缴费、职业年金缴费、其他工资福利支出、离休费、奖励金、住房公积金、其他对个人和家庭的补助支出。</w:t>
      </w:r>
    </w:p>
    <w:p>
      <w:pPr>
        <w:pStyle w:val="6"/>
        <w:spacing w:before="0" w:line="360" w:lineRule="auto"/>
        <w:ind w:firstLine="640" w:firstLineChars="200"/>
        <w:rPr>
          <w:rFonts w:ascii="黑体" w:eastAsia="黑体"/>
          <w:sz w:val="32"/>
          <w:szCs w:val="32"/>
        </w:rPr>
      </w:pPr>
      <w:r>
        <w:rPr>
          <w:rFonts w:hint="eastAsia" w:cs="仿宋_GB2312"/>
          <w:kern w:val="2"/>
          <w:sz w:val="32"/>
          <w:szCs w:val="32"/>
        </w:rPr>
        <w:t>公用经费1,297,803.27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6"/>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年“三公”经费财政拨款预算数55,520.00元，其中：</w:t>
      </w:r>
      <w:r>
        <w:rPr>
          <w:sz w:val="32"/>
          <w:szCs w:val="32"/>
          <w:highlight w:val="none"/>
        </w:rPr>
        <w:t>无因公出国（境）经费，</w:t>
      </w:r>
      <w:r>
        <w:rPr>
          <w:rFonts w:hint="eastAsia" w:cs="仿宋_GB2312"/>
          <w:kern w:val="2"/>
          <w:sz w:val="32"/>
          <w:szCs w:val="32"/>
          <w:highlight w:val="none"/>
        </w:rPr>
        <w:t>公务接待费15,520.00元，公务用车购置及运行维护费40,000.00元。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6"/>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kern w:val="2"/>
          <w:sz w:val="32"/>
          <w:szCs w:val="32"/>
          <w:highlight w:val="none"/>
        </w:rPr>
        <w:t>15,520.00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无变化。</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kern w:val="2"/>
          <w:sz w:val="32"/>
          <w:szCs w:val="32"/>
          <w:highlight w:val="none"/>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无变化。其中：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无变化；</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kern w:val="2"/>
          <w:sz w:val="32"/>
          <w:szCs w:val="32"/>
          <w:highlight w:val="none"/>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无变化。</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6"/>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6"/>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6"/>
        <w:spacing w:before="0" w:line="360" w:lineRule="auto"/>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rPr>
        <w:t>284,468.26</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108,468.26</w:t>
      </w:r>
      <w:r>
        <w:rPr>
          <w:rFonts w:ascii="仿宋_GB2312" w:eastAsia="仿宋_GB2312"/>
          <w:sz w:val="32"/>
          <w:szCs w:val="32"/>
        </w:rPr>
        <w:t>元，增长</w:t>
      </w:r>
      <w:r>
        <w:rPr>
          <w:rFonts w:hint="eastAsia"/>
          <w:sz w:val="32"/>
          <w:szCs w:val="32"/>
          <w:lang w:val="en-US" w:eastAsia="zh-CN"/>
        </w:rPr>
        <w:t>61.63</w:t>
      </w:r>
      <w:r>
        <w:rPr>
          <w:rFonts w:ascii="仿宋_GB2312" w:eastAsia="仿宋_GB2312"/>
          <w:sz w:val="32"/>
          <w:szCs w:val="32"/>
        </w:rPr>
        <w:t>%。主要原因是</w:t>
      </w:r>
      <w:r>
        <w:rPr>
          <w:rFonts w:hint="eastAsia"/>
          <w:sz w:val="32"/>
          <w:szCs w:val="32"/>
          <w:lang w:eastAsia="zh-CN"/>
        </w:rPr>
        <w:t>：人员预算经费增加。</w:t>
      </w:r>
    </w:p>
    <w:p>
      <w:pPr>
        <w:pStyle w:val="6"/>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6"/>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rFonts w:hint="eastAsia" w:eastAsia="仿宋_GB2312"/>
          <w:lang w:eastAsia="zh-CN"/>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76,948,799.78</w:t>
      </w:r>
      <w:r>
        <w:rPr>
          <w:rFonts w:ascii="仿宋_GB2312" w:eastAsia="仿宋_GB2312"/>
          <w:sz w:val="32"/>
          <w:szCs w:val="32"/>
        </w:rPr>
        <w:t>元，其中：房屋</w:t>
      </w:r>
      <w:r>
        <w:rPr>
          <w:rFonts w:hint="eastAsia" w:ascii="仿宋_GB2312" w:eastAsia="仿宋_GB2312"/>
          <w:sz w:val="32"/>
          <w:szCs w:val="32"/>
          <w:lang w:val="en-US" w:eastAsia="zh-CN"/>
        </w:rPr>
        <w:t>15,433.89</w:t>
      </w:r>
      <w:r>
        <w:rPr>
          <w:rFonts w:ascii="仿宋_GB2312" w:eastAsia="仿宋_GB2312"/>
          <w:sz w:val="32"/>
          <w:szCs w:val="32"/>
        </w:rPr>
        <w:t>平方米，价值</w:t>
      </w:r>
      <w:r>
        <w:rPr>
          <w:rFonts w:hint="eastAsia" w:ascii="仿宋_GB2312" w:eastAsia="仿宋_GB2312"/>
          <w:sz w:val="32"/>
          <w:szCs w:val="32"/>
          <w:lang w:val="en-US" w:eastAsia="zh-CN"/>
        </w:rPr>
        <w:t>31,685,177.64</w:t>
      </w:r>
      <w:r>
        <w:rPr>
          <w:rFonts w:ascii="仿宋_GB2312" w:eastAsia="仿宋_GB2312"/>
          <w:sz w:val="32"/>
          <w:szCs w:val="32"/>
        </w:rPr>
        <w:t>元；公务用车</w:t>
      </w:r>
      <w:r>
        <w:rPr>
          <w:rFonts w:hint="eastAsia" w:ascii="仿宋_GB2312" w:eastAsia="仿宋_GB2312"/>
          <w:sz w:val="32"/>
          <w:szCs w:val="32"/>
        </w:rPr>
        <w:t>26</w:t>
      </w:r>
      <w:r>
        <w:rPr>
          <w:rFonts w:ascii="仿宋_GB2312" w:eastAsia="仿宋_GB2312"/>
          <w:sz w:val="32"/>
          <w:szCs w:val="32"/>
        </w:rPr>
        <w:t>辆，价值</w:t>
      </w:r>
      <w:r>
        <w:rPr>
          <w:rFonts w:hint="eastAsia" w:ascii="仿宋_GB2312" w:eastAsia="仿宋_GB2312"/>
          <w:sz w:val="32"/>
          <w:szCs w:val="32"/>
        </w:rPr>
        <w:t>5,713,663.81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39,549,958.33</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30,000.00</w:t>
      </w:r>
      <w:r>
        <w:rPr>
          <w:rFonts w:hint="eastAsia" w:ascii="仿宋_GB2312" w:eastAsia="仿宋_GB2312"/>
          <w:sz w:val="32"/>
          <w:szCs w:val="32"/>
        </w:rPr>
        <w:t>元。</w:t>
      </w:r>
    </w:p>
    <w:p>
      <w:pPr>
        <w:pStyle w:val="6"/>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附件:茂县林业和草原局2025年部门预算公开表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茂县林业和草原局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2025年3月26日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13D1D"/>
    <w:rsid w:val="1C7A1738"/>
    <w:rsid w:val="1F132C50"/>
    <w:rsid w:val="22E316B6"/>
    <w:rsid w:val="2A975AE4"/>
    <w:rsid w:val="37D81B55"/>
    <w:rsid w:val="476A1E53"/>
    <w:rsid w:val="48561790"/>
    <w:rsid w:val="4DE12FA0"/>
    <w:rsid w:val="5DD24287"/>
    <w:rsid w:val="76A02EDF"/>
    <w:rsid w:val="7FDFE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style>
  <w:style w:type="paragraph" w:customStyle="1" w:styleId="6">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5180</Words>
  <Characters>5915</Characters>
  <Lines>0</Lines>
  <Paragraphs>0</Paragraphs>
  <TotalTime>10</TotalTime>
  <ScaleCrop>false</ScaleCrop>
  <LinksUpToDate>false</LinksUpToDate>
  <CharactersWithSpaces>6015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2025-03-18T16:54:00Z</dcterms:created>
  <dc:creator>Administrator</dc:creator>
  <cp:lastModifiedBy>user</cp:lastModifiedBy>
  <dcterms:modified xsi:type="dcterms:W3CDTF">2025-03-24T11:38:55Z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eyJoZGlkIjoiOTg3NmZhOTBhZjA4MmExM2JhM2ZmMjFjNzU5YzIwYzkiLCJ1c2VySWQiOiIyNDI2MzYwODAifQ==</vt:lpwstr>
  </property>
  <property fmtid="{D5CDD505-2E9C-101B-9397-08002B2CF9AE}" pid="4" name="ICV">
    <vt:lpwstr>FC182FA4E4F04EEDB86D5B161711EDA3_12</vt:lpwstr>
  </property>
</Properties>
</file>