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2" w:name="_GoBack"/>
      <w:bookmarkEnd w:id="72"/>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outlineLvl w:val="0"/>
        <w:rPr>
          <w:rFonts w:ascii="方正小标宋简体" w:hAnsi="宋体" w:eastAsia="方正小标宋简体"/>
          <w:color w:val="000000"/>
          <w:sz w:val="44"/>
          <w:szCs w:val="44"/>
        </w:rPr>
      </w:pPr>
    </w:p>
    <w:p>
      <w:pPr>
        <w:adjustRightInd w:val="0"/>
        <w:snapToGrid w:val="0"/>
        <w:spacing w:line="360" w:lineRule="auto"/>
        <w:jc w:val="center"/>
        <w:outlineLvl w:val="0"/>
        <w:rPr>
          <w:rFonts w:ascii="方正小标宋简体" w:hAnsi="宋体" w:eastAsia="方正小标宋简体"/>
          <w:color w:val="000000"/>
          <w:sz w:val="44"/>
          <w:szCs w:val="44"/>
        </w:rPr>
      </w:pPr>
      <w:bookmarkStart w:id="1" w:name="_Toc15377193"/>
      <w:bookmarkStart w:id="2" w:name="_Toc15378441"/>
      <w:bookmarkStart w:id="3" w:name="_Toc15377425"/>
      <w:bookmarkStart w:id="4" w:name="_Toc15396475"/>
      <w:bookmarkStart w:id="5" w:name="_Toc15396597"/>
      <w:r>
        <w:rPr>
          <w:rFonts w:ascii="黑体" w:hAnsi="黑体" w:eastAsia="黑体"/>
          <w:color w:val="000000"/>
          <w:sz w:val="44"/>
          <w:szCs w:val="44"/>
        </w:rPr>
        <w:t>201</w:t>
      </w:r>
      <w:r>
        <w:rPr>
          <w:rFonts w:hint="eastAsia" w:ascii="黑体" w:hAnsi="黑体" w:eastAsia="黑体"/>
          <w:color w:val="000000"/>
          <w:sz w:val="44"/>
          <w:szCs w:val="44"/>
        </w:rPr>
        <w:t>9</w:t>
      </w:r>
      <w:r>
        <w:rPr>
          <w:rFonts w:hint="eastAsia" w:ascii="方正小标宋简体" w:hAnsi="宋体" w:eastAsia="方正小标宋简体"/>
          <w:color w:val="000000"/>
          <w:sz w:val="44"/>
          <w:szCs w:val="44"/>
        </w:rPr>
        <w:t>年度</w:t>
      </w:r>
      <w:bookmarkEnd w:id="1"/>
      <w:bookmarkEnd w:id="2"/>
      <w:bookmarkEnd w:id="3"/>
      <w:bookmarkEnd w:id="4"/>
      <w:bookmarkEnd w:id="5"/>
      <w:bookmarkStart w:id="6" w:name="_Toc15378442"/>
      <w:bookmarkStart w:id="7" w:name="_Toc15396598"/>
      <w:bookmarkStart w:id="8" w:name="_Toc15377194"/>
      <w:bookmarkStart w:id="9" w:name="_Toc15377426"/>
      <w:bookmarkStart w:id="10" w:name="_Toc15396476"/>
      <w:r>
        <w:rPr>
          <w:rFonts w:hint="eastAsia" w:ascii="方正小标宋简体" w:hAnsi="宋体" w:eastAsia="方正小标宋简体"/>
          <w:color w:val="000000"/>
          <w:sz w:val="44"/>
          <w:szCs w:val="44"/>
        </w:rPr>
        <w:t>四川省阿坝州</w:t>
      </w:r>
      <w:bookmarkEnd w:id="0"/>
      <w:bookmarkStart w:id="11" w:name="_Toc15306268"/>
      <w:r>
        <w:rPr>
          <w:rFonts w:hint="eastAsia" w:ascii="方正小标宋简体" w:hAnsi="宋体" w:eastAsia="方正小标宋简体"/>
          <w:color w:val="000000"/>
          <w:sz w:val="44"/>
          <w:szCs w:val="44"/>
        </w:rPr>
        <w:t>茂县医疗保障局</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44"/>
          <w:szCs w:val="44"/>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adjustRightInd w:val="0"/>
        <w:snapToGrid w:val="0"/>
        <w:spacing w:line="360" w:lineRule="auto"/>
        <w:jc w:val="center"/>
        <w:outlineLvl w:val="0"/>
        <w:rPr>
          <w:rFonts w:ascii="方正小标宋简体" w:hAnsi="方正小标宋简体" w:eastAsia="方正小标宋简体" w:cs="方正小标宋简体"/>
          <w:color w:val="000000"/>
          <w:sz w:val="44"/>
          <w:szCs w:val="44"/>
        </w:rPr>
      </w:pPr>
      <w:r>
        <w:rPr>
          <w:rFonts w:ascii="方正小标宋简体" w:hAnsi="宋体" w:eastAsia="方正小标宋简体"/>
          <w:color w:val="000000"/>
          <w:sz w:val="36"/>
          <w:szCs w:val="36"/>
        </w:rPr>
        <w:br w:type="page"/>
      </w:r>
      <w:r>
        <w:rPr>
          <w:rFonts w:hint="eastAsia" w:ascii="方正小标宋简体" w:hAnsi="方正小标宋简体" w:eastAsia="方正小标宋简体" w:cs="方正小标宋简体"/>
          <w:color w:val="000000"/>
          <w:sz w:val="44"/>
          <w:szCs w:val="44"/>
        </w:rPr>
        <w:t>目  录</w:t>
      </w:r>
    </w:p>
    <w:p>
      <w:pPr>
        <w:widowControl/>
        <w:adjustRightInd w:val="0"/>
        <w:snapToGrid w:val="0"/>
        <w:spacing w:line="576" w:lineRule="exact"/>
        <w:jc w:val="left"/>
        <w:rPr>
          <w:rFonts w:ascii="仿宋_GB2312" w:hAnsi="仿宋_GB2312" w:eastAsia="仿宋_GB2312" w:cs="仿宋_GB2312"/>
          <w:sz w:val="32"/>
          <w:szCs w:val="32"/>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"_Toc15396599" </w:instrText>
      </w:r>
      <w:r>
        <w:fldChar w:fldCharType="separate"/>
      </w:r>
      <w:r>
        <w:rPr>
          <w:rStyle w:val="15"/>
          <w:rFonts w:hint="eastAsia" w:ascii="仿宋_GB2312" w:hAnsi="仿宋_GB2312" w:eastAsia="仿宋_GB2312" w:cs="仿宋_GB2312"/>
          <w:sz w:val="32"/>
          <w:szCs w:val="32"/>
        </w:rPr>
        <w:t>第一部分 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"_Toc15396600" </w:instrText>
      </w:r>
      <w:r>
        <w:fldChar w:fldCharType="separate"/>
      </w:r>
      <w:r>
        <w:rPr>
          <w:rStyle w:val="15"/>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"_Toc15396601" </w:instrText>
      </w:r>
      <w:r>
        <w:fldChar w:fldCharType="separate"/>
      </w:r>
      <w:r>
        <w:rPr>
          <w:rStyle w:val="15"/>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pPr>
        <w:pStyle w:val="10"/>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"_Toc15396602" </w:instrText>
      </w:r>
      <w:r>
        <w:fldChar w:fldCharType="separate"/>
      </w:r>
      <w:r>
        <w:rPr>
          <w:rStyle w:val="15"/>
          <w:rFonts w:hint="eastAsia" w:ascii="仿宋_GB2312" w:hAnsi="仿宋_GB2312" w:eastAsia="仿宋_GB2312" w:cs="仿宋_GB2312"/>
          <w:sz w:val="32"/>
          <w:szCs w:val="32"/>
        </w:rPr>
        <w:t>第二部分 2019年度部门决算情况说明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"_Toc15396603" </w:instrText>
      </w:r>
      <w:r>
        <w:fldChar w:fldCharType="separate"/>
      </w:r>
      <w:r>
        <w:rPr>
          <w:rStyle w:val="15"/>
          <w:rFonts w:hint="eastAsia" w:ascii="仿宋_GB2312" w:hAnsi="仿宋_GB2312" w:eastAsia="仿宋_GB2312" w:cs="仿宋_GB2312"/>
          <w:bCs/>
          <w:sz w:val="32"/>
          <w:szCs w:val="32"/>
        </w:rPr>
        <w:t>一、</w:t>
      </w:r>
      <w:r>
        <w:rPr>
          <w:rStyle w:val="15"/>
          <w:rFonts w:hint="eastAsia" w:ascii="仿宋_GB2312" w:hAnsi="仿宋_GB2312" w:eastAsia="仿宋_GB2312" w:cs="仿宋_GB2312"/>
          <w:sz w:val="32"/>
          <w:szCs w:val="32"/>
        </w:rPr>
        <w:t>收</w:t>
      </w:r>
      <w:r>
        <w:rPr>
          <w:rStyle w:val="15"/>
          <w:rFonts w:hint="eastAsia" w:ascii="仿宋_GB2312" w:hAnsi="仿宋_GB2312" w:eastAsia="仿宋_GB2312" w:cs="仿宋_GB2312"/>
          <w:bCs/>
          <w:sz w:val="32"/>
          <w:szCs w:val="32"/>
        </w:rPr>
        <w:t>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"_Toc15396604" </w:instrText>
      </w:r>
      <w:r>
        <w:fldChar w:fldCharType="separate"/>
      </w:r>
      <w:r>
        <w:rPr>
          <w:rStyle w:val="15"/>
          <w:rFonts w:hint="eastAsia" w:ascii="仿宋_GB2312" w:hAnsi="仿宋_GB2312" w:eastAsia="仿宋_GB2312" w:cs="仿宋_GB2312"/>
          <w:bCs/>
          <w:sz w:val="32"/>
          <w:szCs w:val="32"/>
        </w:rPr>
        <w:t>二、</w:t>
      </w:r>
      <w:r>
        <w:rPr>
          <w:rStyle w:val="15"/>
          <w:rFonts w:hint="eastAsia" w:ascii="仿宋_GB2312" w:hAnsi="仿宋_GB2312" w:eastAsia="仿宋_GB2312" w:cs="仿宋_GB2312"/>
          <w:sz w:val="32"/>
          <w:szCs w:val="32"/>
        </w:rPr>
        <w:t>收</w:t>
      </w:r>
      <w:r>
        <w:rPr>
          <w:rStyle w:val="15"/>
          <w:rFonts w:hint="eastAsia" w:ascii="仿宋_GB2312" w:hAnsi="仿宋_GB2312" w:eastAsia="仿宋_GB2312" w:cs="仿宋_GB2312"/>
          <w:bCs/>
          <w:sz w:val="32"/>
          <w:szCs w:val="32"/>
        </w:rPr>
        <w:t>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"_Toc15396605" </w:instrText>
      </w:r>
      <w:r>
        <w:fldChar w:fldCharType="separate"/>
      </w:r>
      <w:r>
        <w:rPr>
          <w:rStyle w:val="15"/>
          <w:rFonts w:hint="eastAsia" w:ascii="仿宋_GB2312" w:hAnsi="仿宋_GB2312" w:eastAsia="仿宋_GB2312" w:cs="仿宋_GB2312"/>
          <w:bCs/>
          <w:sz w:val="32"/>
          <w:szCs w:val="32"/>
        </w:rPr>
        <w:t>三、</w:t>
      </w:r>
      <w:r>
        <w:rPr>
          <w:rStyle w:val="15"/>
          <w:rFonts w:hint="eastAsia" w:ascii="仿宋_GB2312" w:hAnsi="仿宋_GB2312" w:eastAsia="仿宋_GB2312" w:cs="仿宋_GB2312"/>
          <w:sz w:val="32"/>
          <w:szCs w:val="32"/>
        </w:rPr>
        <w:t>支</w:t>
      </w:r>
      <w:r>
        <w:rPr>
          <w:rStyle w:val="15"/>
          <w:rFonts w:hint="eastAsia" w:ascii="仿宋_GB2312" w:hAnsi="仿宋_GB2312" w:eastAsia="仿宋_GB2312" w:cs="仿宋_GB2312"/>
          <w:bCs/>
          <w:sz w:val="32"/>
          <w:szCs w:val="32"/>
        </w:rPr>
        <w:t>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"_Toc15396606" </w:instrText>
      </w:r>
      <w:r>
        <w:fldChar w:fldCharType="separate"/>
      </w:r>
      <w:r>
        <w:rPr>
          <w:rStyle w:val="15"/>
          <w:rFonts w:hint="eastAsia" w:ascii="仿宋_GB2312" w:hAnsi="仿宋_GB2312" w:eastAsia="仿宋_GB2312" w:cs="仿宋_GB2312"/>
          <w:sz w:val="32"/>
          <w:szCs w:val="32"/>
        </w:rPr>
        <w:t>四、财</w:t>
      </w:r>
      <w:r>
        <w:rPr>
          <w:rStyle w:val="15"/>
          <w:rFonts w:hint="eastAsia" w:ascii="仿宋_GB2312" w:hAnsi="仿宋_GB2312" w:eastAsia="仿宋_GB2312" w:cs="仿宋_GB2312"/>
          <w:bCs/>
          <w:sz w:val="32"/>
          <w:szCs w:val="32"/>
        </w:rPr>
        <w:t>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"_Toc15396607" </w:instrText>
      </w:r>
      <w:r>
        <w:fldChar w:fldCharType="separate"/>
      </w:r>
      <w:r>
        <w:rPr>
          <w:rStyle w:val="15"/>
          <w:rFonts w:hint="eastAsia" w:ascii="仿宋_GB2312" w:hAnsi="仿宋_GB2312" w:eastAsia="仿宋_GB2312" w:cs="仿宋_GB2312"/>
          <w:sz w:val="32"/>
          <w:szCs w:val="32"/>
        </w:rPr>
        <w:t>五、一</w:t>
      </w:r>
      <w:r>
        <w:rPr>
          <w:rStyle w:val="15"/>
          <w:rFonts w:hint="eastAsia" w:ascii="仿宋_GB2312" w:hAnsi="仿宋_GB2312" w:eastAsia="仿宋_GB2312" w:cs="仿宋_GB2312"/>
          <w:bCs/>
          <w:sz w:val="32"/>
          <w:szCs w:val="32"/>
        </w:rPr>
        <w:t>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"_Toc15396608" </w:instrText>
      </w:r>
      <w:r>
        <w:fldChar w:fldCharType="separate"/>
      </w:r>
      <w:r>
        <w:rPr>
          <w:rStyle w:val="15"/>
          <w:rFonts w:hint="eastAsia" w:ascii="仿宋_GB2312" w:hAnsi="仿宋_GB2312" w:eastAsia="仿宋_GB2312" w:cs="仿宋_GB2312"/>
          <w:sz w:val="32"/>
          <w:szCs w:val="32"/>
        </w:rPr>
        <w:t>六、一</w:t>
      </w:r>
      <w:r>
        <w:rPr>
          <w:rStyle w:val="15"/>
          <w:rFonts w:hint="eastAsia" w:ascii="仿宋_GB2312" w:hAnsi="仿宋_GB2312" w:eastAsia="仿宋_GB2312" w:cs="仿宋_GB2312"/>
          <w:bCs/>
          <w:sz w:val="32"/>
          <w:szCs w:val="32"/>
        </w:rPr>
        <w:t>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"_Toc15396609" </w:instrText>
      </w:r>
      <w:r>
        <w:fldChar w:fldCharType="separate"/>
      </w:r>
      <w:r>
        <w:rPr>
          <w:rStyle w:val="15"/>
          <w:rFonts w:hint="eastAsia" w:ascii="仿宋_GB2312" w:hAnsi="仿宋_GB2312" w:eastAsia="仿宋_GB2312" w:cs="仿宋_GB2312"/>
          <w:sz w:val="32"/>
          <w:szCs w:val="32"/>
        </w:rPr>
        <w:t>七、“</w:t>
      </w:r>
      <w:r>
        <w:rPr>
          <w:rStyle w:val="15"/>
          <w:rFonts w:hint="eastAsia" w:ascii="仿宋_GB2312" w:hAnsi="仿宋_GB2312" w:eastAsia="仿宋_GB2312" w:cs="仿宋_GB2312"/>
          <w:bCs/>
          <w:sz w:val="32"/>
          <w:szCs w:val="32"/>
        </w:rPr>
        <w:t>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_Toc15396609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"_Toc15396610" </w:instrText>
      </w:r>
      <w:r>
        <w:fldChar w:fldCharType="separate"/>
      </w:r>
      <w:r>
        <w:rPr>
          <w:rStyle w:val="15"/>
          <w:rFonts w:hint="eastAsia" w:ascii="仿宋_GB2312" w:hAnsi="仿宋_GB2312" w:eastAsia="仿宋_GB2312" w:cs="仿宋_GB2312"/>
          <w:sz w:val="32"/>
          <w:szCs w:val="32"/>
        </w:rPr>
        <w:t>八、</w:t>
      </w:r>
      <w:r>
        <w:rPr>
          <w:rStyle w:val="15"/>
          <w:rFonts w:hint="eastAsia" w:ascii="仿宋_GB2312" w:hAnsi="仿宋_GB2312" w:eastAsia="仿宋_GB2312" w:cs="仿宋_GB2312"/>
          <w:bCs/>
          <w:sz w:val="32"/>
          <w:szCs w:val="32"/>
        </w:rPr>
        <w:t>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_Toc15396610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"_Toc15396611" </w:instrText>
      </w:r>
      <w:r>
        <w:fldChar w:fldCharType="separate"/>
      </w:r>
      <w:r>
        <w:rPr>
          <w:rStyle w:val="15"/>
          <w:rFonts w:hint="eastAsia" w:ascii="仿宋_GB2312" w:hAnsi="仿宋_GB2312" w:eastAsia="仿宋_GB2312" w:cs="仿宋_GB2312"/>
          <w:bCs/>
          <w:sz w:val="32"/>
          <w:szCs w:val="32"/>
        </w:rPr>
        <w:t>九、</w:t>
      </w:r>
      <w:r>
        <w:rPr>
          <w:rStyle w:val="15"/>
          <w:rFonts w:hint="eastAsia" w:ascii="仿宋_GB2312" w:hAnsi="仿宋_GB2312" w:eastAsia="仿宋_GB2312" w:cs="仿宋_GB2312"/>
          <w:sz w:val="32"/>
          <w:szCs w:val="32"/>
        </w:rPr>
        <w:t>国</w:t>
      </w:r>
      <w:r>
        <w:rPr>
          <w:rStyle w:val="15"/>
          <w:rFonts w:hint="eastAsia" w:ascii="仿宋_GB2312" w:hAnsi="仿宋_GB2312" w:eastAsia="仿宋_GB2312" w:cs="仿宋_GB2312"/>
          <w:bCs/>
          <w:sz w:val="32"/>
          <w:szCs w:val="32"/>
        </w:rPr>
        <w:t>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_Toc15396611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"_Toc15396611" </w:instrText>
      </w:r>
      <w:r>
        <w:fldChar w:fldCharType="separate"/>
      </w:r>
      <w:r>
        <w:rPr>
          <w:rStyle w:val="15"/>
          <w:rFonts w:hint="eastAsia" w:ascii="仿宋_GB2312" w:hAnsi="仿宋_GB2312" w:eastAsia="仿宋_GB2312" w:cs="仿宋_GB2312"/>
          <w:bCs/>
          <w:sz w:val="32"/>
          <w:szCs w:val="32"/>
        </w:rPr>
        <w:t>十、预算绩效情况说明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_Toc15396611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"_Toc15396613" </w:instrText>
      </w:r>
      <w:r>
        <w:fldChar w:fldCharType="separate"/>
      </w:r>
      <w:r>
        <w:rPr>
          <w:rStyle w:val="15"/>
          <w:rFonts w:hint="eastAsia" w:ascii="仿宋_GB2312" w:hAnsi="仿宋_GB2312" w:eastAsia="仿宋_GB2312" w:cs="仿宋_GB2312"/>
          <w:bCs/>
          <w:kern w:val="44"/>
          <w:sz w:val="32"/>
          <w:szCs w:val="32"/>
        </w:rPr>
        <w:t>第三部分</w:t>
      </w:r>
      <w:r>
        <w:rPr>
          <w:rStyle w:val="15"/>
          <w:rFonts w:hint="eastAsia" w:ascii="仿宋_GB2312" w:hAnsi="仿宋_GB2312" w:eastAsia="仿宋_GB2312" w:cs="仿宋_GB2312"/>
          <w:sz w:val="32"/>
          <w:szCs w:val="32"/>
        </w:rPr>
        <w:t xml:space="preserve"> 名</w:t>
      </w:r>
      <w:r>
        <w:rPr>
          <w:rStyle w:val="15"/>
          <w:rFonts w:hint="eastAsia" w:ascii="仿宋_GB2312" w:hAnsi="仿宋_GB2312" w:eastAsia="仿宋_GB2312" w:cs="仿宋_GB2312"/>
          <w:bCs/>
          <w:kern w:val="44"/>
          <w:sz w:val="32"/>
          <w:szCs w:val="32"/>
        </w:rPr>
        <w:t>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p>
    <w:p>
      <w:pPr>
        <w:pStyle w:val="10"/>
        <w:adjustRightInd w:val="0"/>
        <w:snapToGrid w:val="0"/>
        <w:spacing w:line="576" w:lineRule="exact"/>
        <w:jc w:val="left"/>
        <w:rPr>
          <w:rFonts w:ascii="仿宋_GB2312" w:hAnsi="仿宋_GB2312" w:eastAsia="仿宋_GB2312" w:cs="仿宋_GB2312"/>
          <w:sz w:val="32"/>
          <w:szCs w:val="32"/>
        </w:rPr>
      </w:pPr>
      <w:r>
        <w:rPr>
          <w:rStyle w:val="15"/>
          <w:rFonts w:hint="eastAsia" w:ascii="仿宋_GB2312" w:hAnsi="仿宋_GB2312" w:eastAsia="仿宋_GB2312" w:cs="仿宋_GB2312"/>
          <w:sz w:val="32"/>
          <w:szCs w:val="32"/>
          <w:u w:val="none"/>
        </w:rPr>
        <w:t>第</w:t>
      </w:r>
      <w:r>
        <w:rPr>
          <w:rStyle w:val="15"/>
          <w:rFonts w:hint="eastAsia" w:ascii="仿宋_GB2312" w:hAnsi="仿宋_GB2312" w:eastAsia="仿宋_GB2312" w:cs="仿宋_GB2312"/>
          <w:bCs/>
          <w:kern w:val="44"/>
          <w:sz w:val="32"/>
          <w:szCs w:val="32"/>
          <w:u w:val="none"/>
        </w:rPr>
        <w:t xml:space="preserve">四部分 </w:t>
      </w:r>
      <w:r>
        <w:fldChar w:fldCharType="begin"/>
      </w:r>
      <w:r>
        <w:instrText xml:space="preserve"> HYPERLINK \l "_Toc15396614" </w:instrText>
      </w:r>
      <w:r>
        <w:fldChar w:fldCharType="separate"/>
      </w:r>
      <w:r>
        <w:rPr>
          <w:rStyle w:val="15"/>
          <w:rFonts w:hint="eastAsia" w:ascii="仿宋_GB2312" w:hAnsi="仿宋_GB2312" w:eastAsia="仿宋_GB2312" w:cs="仿宋_GB2312"/>
          <w:bCs/>
          <w:kern w:val="44"/>
          <w:sz w:val="32"/>
          <w:szCs w:val="32"/>
        </w:rPr>
        <w:t>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22</w:t>
      </w:r>
    </w:p>
    <w:p>
      <w:pPr>
        <w:pStyle w:val="10"/>
        <w:adjustRightInd w:val="0"/>
        <w:snapToGrid w:val="0"/>
        <w:spacing w:line="576" w:lineRule="exact"/>
        <w:ind w:left="420" w:leftChars="200"/>
        <w:jc w:val="left"/>
        <w:rPr>
          <w:rFonts w:ascii="仿宋_GB2312" w:hAnsi="仿宋_GB2312" w:eastAsia="仿宋_GB2312" w:cs="仿宋_GB2312"/>
          <w:bCs/>
          <w:color w:val="0000FF" w:themeColor="hyperlink"/>
          <w:kern w:val="44"/>
          <w:sz w:val="32"/>
          <w:szCs w:val="32"/>
          <w:u w:val="single"/>
        </w:rPr>
      </w:pPr>
      <w:r>
        <w:fldChar w:fldCharType="begin"/>
      </w:r>
      <w:r>
        <w:instrText xml:space="preserve"> HYPERLINK \l "_Toc15396619" </w:instrText>
      </w:r>
      <w:r>
        <w:fldChar w:fldCharType="separate"/>
      </w:r>
      <w:r>
        <w:rPr>
          <w:rStyle w:val="15"/>
          <w:rFonts w:hint="eastAsia" w:ascii="仿宋_GB2312" w:hAnsi="仿宋_GB2312" w:eastAsia="仿宋_GB2312" w:cs="仿宋_GB2312"/>
          <w:sz w:val="32"/>
          <w:szCs w:val="32"/>
        </w:rPr>
        <w:t>附件1茂县医疗保障局2019年部门整体支出绩效评价报告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w:t>
      </w:r>
    </w:p>
    <w:p>
      <w:pPr>
        <w:pStyle w:val="10"/>
        <w:adjustRightInd w:val="0"/>
        <w:snapToGrid w:val="0"/>
        <w:spacing w:line="576" w:lineRule="exact"/>
        <w:ind w:left="420" w:leftChars="200"/>
        <w:jc w:val="left"/>
        <w:rPr>
          <w:rFonts w:ascii="仿宋_GB2312" w:hAnsi="仿宋_GB2312" w:eastAsia="仿宋_GB2312" w:cs="仿宋_GB2312"/>
          <w:bCs/>
          <w:color w:val="0000FF" w:themeColor="hyperlink"/>
          <w:kern w:val="44"/>
          <w:sz w:val="32"/>
          <w:szCs w:val="32"/>
          <w:u w:val="single"/>
        </w:rPr>
      </w:pPr>
      <w:r>
        <w:fldChar w:fldCharType="begin"/>
      </w:r>
      <w:r>
        <w:instrText xml:space="preserve"> HYPERLINK \l "_Toc15396619" </w:instrText>
      </w:r>
      <w:r>
        <w:fldChar w:fldCharType="separate"/>
      </w:r>
      <w:r>
        <w:rPr>
          <w:rStyle w:val="15"/>
          <w:rFonts w:hint="eastAsia" w:ascii="仿宋_GB2312" w:hAnsi="仿宋_GB2312" w:eastAsia="仿宋_GB2312" w:cs="仿宋_GB2312"/>
          <w:sz w:val="32"/>
          <w:szCs w:val="32"/>
        </w:rPr>
        <w:t>附件2“建档立卡贫困人口大病补充医疗保险费用”项目2019年绩效评价报告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p>
    <w:p>
      <w:pPr>
        <w:pStyle w:val="10"/>
        <w:adjustRightInd w:val="0"/>
        <w:snapToGrid w:val="0"/>
        <w:spacing w:line="576" w:lineRule="exact"/>
        <w:ind w:left="420" w:leftChars="200"/>
        <w:jc w:val="left"/>
        <w:rPr>
          <w:rFonts w:ascii="仿宋_GB2312" w:hAnsi="仿宋_GB2312" w:eastAsia="仿宋_GB2312" w:cs="仿宋_GB2312"/>
          <w:bCs/>
          <w:color w:val="0000FF" w:themeColor="hyperlink"/>
          <w:kern w:val="44"/>
          <w:sz w:val="32"/>
          <w:szCs w:val="32"/>
          <w:u w:val="single"/>
        </w:rPr>
      </w:pPr>
      <w:r>
        <w:fldChar w:fldCharType="begin"/>
      </w:r>
      <w:r>
        <w:instrText xml:space="preserve"> HYPERLINK \l "_Toc15396619" </w:instrText>
      </w:r>
      <w:r>
        <w:fldChar w:fldCharType="separate"/>
      </w:r>
      <w:r>
        <w:rPr>
          <w:rStyle w:val="15"/>
          <w:rFonts w:hint="eastAsia" w:ascii="仿宋_GB2312" w:hAnsi="仿宋_GB2312" w:eastAsia="仿宋_GB2312" w:cs="仿宋_GB2312"/>
          <w:sz w:val="32"/>
          <w:szCs w:val="32"/>
        </w:rPr>
        <w:t>附件3“医疗服务与保障能力提升补助资金”项目2019年绩效评价报告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p>
    <w:p>
      <w:pPr>
        <w:pStyle w:val="10"/>
        <w:adjustRightInd w:val="0"/>
        <w:snapToGrid w:val="0"/>
        <w:spacing w:line="576" w:lineRule="exact"/>
        <w:ind w:left="420" w:leftChars="200"/>
        <w:jc w:val="left"/>
        <w:rPr>
          <w:rFonts w:ascii="仿宋_GB2312" w:hAnsi="仿宋_GB2312" w:eastAsia="仿宋_GB2312" w:cs="仿宋_GB2312"/>
          <w:bCs/>
          <w:color w:val="0000FF" w:themeColor="hyperlink"/>
          <w:kern w:val="44"/>
          <w:sz w:val="32"/>
          <w:szCs w:val="32"/>
          <w:u w:val="single"/>
        </w:rPr>
      </w:pPr>
      <w:r>
        <w:fldChar w:fldCharType="begin"/>
      </w:r>
      <w:r>
        <w:instrText xml:space="preserve"> HYPERLINK \l "_Toc15396619" </w:instrText>
      </w:r>
      <w:r>
        <w:fldChar w:fldCharType="separate"/>
      </w:r>
      <w:r>
        <w:rPr>
          <w:rStyle w:val="15"/>
          <w:rFonts w:hint="eastAsia" w:ascii="仿宋_GB2312" w:hAnsi="仿宋_GB2312" w:eastAsia="仿宋_GB2312" w:cs="仿宋_GB2312"/>
          <w:sz w:val="32"/>
          <w:szCs w:val="32"/>
        </w:rPr>
        <w:t>附件4“驻村干部临岗补贴”项目2019年绩效评价报告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fldChar w:fldCharType="begin"/>
      </w:r>
      <w:r>
        <w:instrText xml:space="preserve"> HYPERLINK \l "_Toc15396618" </w:instrText>
      </w:r>
      <w:r>
        <w:fldChar w:fldCharType="separate"/>
      </w:r>
      <w:r>
        <w:rPr>
          <w:rStyle w:val="15"/>
          <w:rFonts w:hint="eastAsia" w:ascii="仿宋_GB2312" w:hAnsi="仿宋_GB2312" w:eastAsia="仿宋_GB2312" w:cs="仿宋_GB2312"/>
          <w:bCs/>
          <w:kern w:val="44"/>
          <w:sz w:val="32"/>
          <w:szCs w:val="32"/>
        </w:rPr>
        <w:t>第五部分 附表</w:t>
      </w:r>
      <w:r>
        <w:rPr>
          <w:rStyle w:val="15"/>
          <w:rFonts w:hint="eastAsia" w:ascii="仿宋_GB2312" w:hAnsi="仿宋_GB2312" w:eastAsia="仿宋_GB2312" w:cs="仿宋_GB2312"/>
          <w:bCs/>
          <w:kern w:val="44"/>
          <w:sz w:val="32"/>
          <w:szCs w:val="32"/>
        </w:rPr>
        <w:tab/>
      </w:r>
      <w:r>
        <w:rPr>
          <w:rStyle w:val="15"/>
          <w:rFonts w:hint="eastAsia" w:ascii="仿宋_GB2312" w:hAnsi="仿宋_GB2312" w:eastAsia="仿宋_GB2312" w:cs="仿宋_GB2312"/>
          <w:bCs/>
          <w:kern w:val="44"/>
          <w:sz w:val="32"/>
          <w:szCs w:val="32"/>
        </w:rPr>
        <w:fldChar w:fldCharType="end"/>
      </w:r>
      <w:r>
        <w:rPr>
          <w:rStyle w:val="15"/>
          <w:rFonts w:hint="eastAsia" w:ascii="仿宋_GB2312" w:hAnsi="仿宋_GB2312" w:eastAsia="仿宋_GB2312" w:cs="仿宋_GB2312"/>
          <w:bCs/>
          <w:kern w:val="44"/>
          <w:sz w:val="32"/>
          <w:szCs w:val="32"/>
          <w:u w:val="none"/>
        </w:rPr>
        <w:t>41</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fldChar w:fldCharType="begin"/>
      </w:r>
      <w:r>
        <w:instrText xml:space="preserve"> HYPERLINK \l "_Toc15396619" </w:instrText>
      </w:r>
      <w:r>
        <w:fldChar w:fldCharType="separate"/>
      </w:r>
      <w:r>
        <w:rPr>
          <w:rStyle w:val="15"/>
          <w:rFonts w:hint="eastAsia" w:ascii="仿宋_GB2312" w:hAnsi="仿宋_GB2312" w:eastAsia="仿宋_GB2312" w:cs="仿宋_GB2312"/>
          <w:sz w:val="32"/>
          <w:szCs w:val="32"/>
        </w:rPr>
        <w:t>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fldChar w:fldCharType="begin"/>
      </w:r>
      <w:r>
        <w:instrText xml:space="preserve"> HYPERLINK \l "_Toc15396620" </w:instrText>
      </w:r>
      <w:r>
        <w:fldChar w:fldCharType="separate"/>
      </w:r>
      <w:r>
        <w:rPr>
          <w:rStyle w:val="15"/>
          <w:rFonts w:hint="eastAsia" w:ascii="仿宋_GB2312" w:hAnsi="仿宋_GB2312" w:eastAsia="仿宋_GB2312" w:cs="仿宋_GB2312"/>
          <w:sz w:val="32"/>
          <w:szCs w:val="32"/>
        </w:rPr>
        <w:t>收入总表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fldChar w:fldCharType="begin"/>
      </w:r>
      <w:r>
        <w:instrText xml:space="preserve"> HYPERLINK \l "_Toc15396621" </w:instrText>
      </w:r>
      <w:r>
        <w:fldChar w:fldCharType="separate"/>
      </w:r>
      <w:r>
        <w:rPr>
          <w:rStyle w:val="15"/>
          <w:rFonts w:hint="eastAsia" w:ascii="仿宋_GB2312" w:hAnsi="仿宋_GB2312" w:eastAsia="仿宋_GB2312" w:cs="仿宋_GB2312"/>
          <w:sz w:val="32"/>
          <w:szCs w:val="32"/>
        </w:rPr>
        <w:t>支出总表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fldChar w:fldCharType="begin"/>
      </w:r>
      <w:r>
        <w:instrText xml:space="preserve"> HYPERLINK \l "_Toc15396622" </w:instrText>
      </w:r>
      <w:r>
        <w:fldChar w:fldCharType="separate"/>
      </w:r>
      <w:r>
        <w:rPr>
          <w:rStyle w:val="15"/>
          <w:rFonts w:hint="eastAsia" w:ascii="仿宋_GB2312" w:hAnsi="仿宋_GB2312" w:eastAsia="仿宋_GB2312" w:cs="仿宋_GB2312"/>
          <w:sz w:val="32"/>
          <w:szCs w:val="32"/>
        </w:rPr>
        <w:t>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fldChar w:fldCharType="begin"/>
      </w:r>
      <w:r>
        <w:instrText xml:space="preserve"> HYPERLINK \l "_Toc15396623" </w:instrText>
      </w:r>
      <w:r>
        <w:fldChar w:fldCharType="separate"/>
      </w:r>
      <w:r>
        <w:rPr>
          <w:rFonts w:hint="eastAsia" w:ascii="仿宋_GB2312" w:hAnsi="仿宋_GB2312" w:eastAsia="仿宋_GB2312" w:cs="仿宋_GB2312"/>
          <w:sz w:val="32"/>
          <w:szCs w:val="32"/>
        </w:rPr>
        <w:t>财政拨款支出决算明细表（政府经济分类科目）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fldChar w:fldCharType="begin"/>
      </w:r>
      <w:r>
        <w:instrText xml:space="preserve"> HYPERLINK \l "_Toc15396624" </w:instrText>
      </w:r>
      <w:r>
        <w:fldChar w:fldCharType="separate"/>
      </w:r>
      <w:r>
        <w:rPr>
          <w:rStyle w:val="15"/>
          <w:rFonts w:hint="eastAsia" w:ascii="仿宋_GB2312" w:hAnsi="仿宋_GB2312" w:eastAsia="仿宋_GB2312" w:cs="仿宋_GB2312"/>
          <w:sz w:val="32"/>
          <w:szCs w:val="32"/>
        </w:rPr>
        <w:t>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fldChar w:fldCharType="begin"/>
      </w:r>
      <w:r>
        <w:instrText xml:space="preserve"> HYPERLINK \l "_Toc15396625" </w:instrText>
      </w:r>
      <w:r>
        <w:fldChar w:fldCharType="separate"/>
      </w:r>
      <w:r>
        <w:rPr>
          <w:rStyle w:val="15"/>
          <w:rFonts w:hint="eastAsia" w:ascii="仿宋_GB2312" w:hAnsi="仿宋_GB2312" w:eastAsia="仿宋_GB2312" w:cs="仿宋_GB2312"/>
          <w:sz w:val="32"/>
          <w:szCs w:val="32"/>
        </w:rPr>
        <w:t>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w:t>
      </w:r>
      <w:r>
        <w:fldChar w:fldCharType="begin"/>
      </w:r>
      <w:r>
        <w:instrText xml:space="preserve"> HYPERLINK \l "_Toc15396626" </w:instrText>
      </w:r>
      <w:r>
        <w:fldChar w:fldCharType="separate"/>
      </w:r>
      <w:r>
        <w:rPr>
          <w:rStyle w:val="15"/>
          <w:rFonts w:hint="eastAsia" w:ascii="仿宋_GB2312" w:hAnsi="仿宋_GB2312" w:eastAsia="仿宋_GB2312" w:cs="仿宋_GB2312"/>
          <w:sz w:val="32"/>
          <w:szCs w:val="32"/>
        </w:rPr>
        <w:t>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w:t>
      </w:r>
      <w:r>
        <w:fldChar w:fldCharType="begin"/>
      </w:r>
      <w:r>
        <w:instrText xml:space="preserve"> HYPERLINK \l "_Toc15396627" </w:instrText>
      </w:r>
      <w:r>
        <w:fldChar w:fldCharType="separate"/>
      </w:r>
      <w:r>
        <w:rPr>
          <w:rStyle w:val="15"/>
          <w:rFonts w:hint="eastAsia" w:ascii="仿宋_GB2312" w:hAnsi="仿宋_GB2312" w:eastAsia="仿宋_GB2312" w:cs="仿宋_GB2312"/>
          <w:sz w:val="32"/>
          <w:szCs w:val="32"/>
        </w:rPr>
        <w:t>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fldChar w:fldCharType="begin"/>
      </w:r>
      <w:r>
        <w:instrText xml:space="preserve"> HYPERLINK \l "_Toc15396628" </w:instrText>
      </w:r>
      <w:r>
        <w:fldChar w:fldCharType="separate"/>
      </w:r>
      <w:r>
        <w:rPr>
          <w:rStyle w:val="15"/>
          <w:rFonts w:hint="eastAsia" w:ascii="仿宋_GB2312" w:hAnsi="仿宋_GB2312" w:eastAsia="仿宋_GB2312" w:cs="仿宋_GB2312"/>
          <w:sz w:val="32"/>
          <w:szCs w:val="32"/>
        </w:rPr>
        <w:t>一般公共预算财政拨款“三公”经费支出决算表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w:t>
      </w:r>
      <w:r>
        <w:fldChar w:fldCharType="begin"/>
      </w:r>
      <w:r>
        <w:instrText xml:space="preserve"> HYPERLINK \l "_Toc15396629" </w:instrText>
      </w:r>
      <w:r>
        <w:fldChar w:fldCharType="separate"/>
      </w:r>
      <w:r>
        <w:rPr>
          <w:rStyle w:val="15"/>
          <w:rFonts w:hint="eastAsia" w:ascii="仿宋_GB2312" w:hAnsi="仿宋_GB2312" w:eastAsia="仿宋_GB2312" w:cs="仿宋_GB2312"/>
          <w:sz w:val="32"/>
          <w:szCs w:val="32"/>
        </w:rPr>
        <w:t>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w:t>
      </w:r>
      <w:r>
        <w:fldChar w:fldCharType="begin"/>
      </w:r>
      <w:r>
        <w:instrText xml:space="preserve"> HYPERLINK \l "_Toc15396630" </w:instrText>
      </w:r>
      <w:r>
        <w:fldChar w:fldCharType="separate"/>
      </w:r>
      <w:r>
        <w:rPr>
          <w:rStyle w:val="15"/>
          <w:rFonts w:hint="eastAsia" w:ascii="仿宋_GB2312" w:hAnsi="仿宋_GB2312" w:eastAsia="仿宋_GB2312" w:cs="仿宋_GB2312"/>
          <w:sz w:val="32"/>
          <w:szCs w:val="32"/>
        </w:rPr>
        <w:t>政府性基金预算财政拨款“三公”经费支出决算表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p>
    <w:p>
      <w:pPr>
        <w:pStyle w:val="11"/>
        <w:adjustRightInd w:val="0"/>
        <w:snapToGrid w:val="0"/>
        <w:spacing w:line="576" w:lineRule="exact"/>
        <w:jc w:val="left"/>
        <w:rPr>
          <w:rFonts w:ascii="仿宋" w:hAnsi="仿宋" w:eastAsia="仿宋"/>
          <w:color w:val="000000"/>
          <w:sz w:val="24"/>
        </w:rPr>
      </w:pPr>
      <w:r>
        <w:rPr>
          <w:rFonts w:hint="eastAsia" w:ascii="仿宋_GB2312" w:hAnsi="仿宋_GB2312" w:eastAsia="仿宋_GB2312" w:cs="仿宋_GB2312"/>
          <w:sz w:val="32"/>
          <w:szCs w:val="32"/>
        </w:rPr>
        <w:t>十三、</w:t>
      </w:r>
      <w:r>
        <w:fldChar w:fldCharType="begin"/>
      </w:r>
      <w:r>
        <w:instrText xml:space="preserve"> HYPERLINK \l "_Toc15396631" </w:instrText>
      </w:r>
      <w:r>
        <w:fldChar w:fldCharType="separate"/>
      </w:r>
      <w:r>
        <w:rPr>
          <w:rStyle w:val="15"/>
          <w:rFonts w:hint="eastAsia" w:ascii="仿宋_GB2312" w:hAnsi="仿宋_GB2312" w:eastAsia="仿宋_GB2312" w:cs="仿宋_GB2312"/>
          <w:sz w:val="32"/>
          <w:szCs w:val="32"/>
        </w:rPr>
        <w:t>国有资本经营预算支出决算表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rPr>
          <w:rFonts w:ascii="仿宋" w:hAnsi="仿宋" w:eastAsia="仿宋"/>
          <w:color w:val="000000"/>
          <w:sz w:val="24"/>
        </w:rPr>
        <w:fldChar w:fldCharType="end"/>
      </w:r>
    </w:p>
    <w:p>
      <w:pPr>
        <w:widowControl/>
        <w:adjustRightInd w:val="0"/>
        <w:snapToGrid w:val="0"/>
        <w:spacing w:line="576" w:lineRule="exact"/>
        <w:rPr>
          <w:rFonts w:ascii="黑体" w:hAnsi="黑体" w:eastAsia="黑体"/>
        </w:rPr>
      </w:pPr>
      <w:bookmarkStart w:id="12" w:name="_Toc15377196"/>
      <w:bookmarkStart w:id="13" w:name="_Toc15396599"/>
    </w:p>
    <w:p>
      <w:pPr>
        <w:adjustRightInd w:val="0"/>
        <w:snapToGrid w:val="0"/>
        <w:spacing w:line="576" w:lineRule="exact"/>
        <w:jc w:val="center"/>
        <w:outlineLvl w:val="0"/>
        <w:rPr>
          <w:rFonts w:ascii="黑体" w:hAnsi="黑体" w:eastAsia="黑体"/>
          <w:sz w:val="48"/>
          <w:szCs w:val="48"/>
        </w:rPr>
      </w:pPr>
      <w:r>
        <w:rPr>
          <w:rFonts w:hint="eastAsia" w:ascii="方正小标宋简体" w:hAnsi="方正小标宋简体" w:eastAsia="方正小标宋简体" w:cs="方正小标宋简体"/>
          <w:sz w:val="44"/>
          <w:szCs w:val="44"/>
        </w:rPr>
        <w:t xml:space="preserve">第一部分 </w:t>
      </w:r>
      <w:r>
        <w:rPr>
          <w:rStyle w:val="24"/>
          <w:rFonts w:hint="eastAsia" w:ascii="方正小标宋简体" w:hAnsi="方正小标宋简体" w:eastAsia="方正小标宋简体" w:cs="方正小标宋简体"/>
          <w:b w:val="0"/>
          <w:bCs w:val="0"/>
        </w:rPr>
        <w:t>部门概况</w:t>
      </w:r>
      <w:bookmarkEnd w:id="12"/>
      <w:bookmarkEnd w:id="13"/>
    </w:p>
    <w:p>
      <w:pPr>
        <w:adjustRightInd w:val="0"/>
        <w:snapToGrid w:val="0"/>
        <w:spacing w:line="576" w:lineRule="exact"/>
        <w:ind w:firstLine="640" w:firstLineChars="200"/>
        <w:rPr>
          <w:rFonts w:ascii="仿宋_GB2312" w:hAnsi="仿宋_GB2312" w:eastAsia="仿宋_GB2312" w:cs="仿宋_GB2312"/>
          <w:sz w:val="32"/>
          <w:szCs w:val="32"/>
        </w:rPr>
      </w:pPr>
    </w:p>
    <w:p>
      <w:pPr>
        <w:adjustRightInd w:val="0"/>
        <w:snapToGrid w:val="0"/>
        <w:spacing w:line="576" w:lineRule="exact"/>
        <w:ind w:firstLine="640" w:firstLineChars="200"/>
        <w:rPr>
          <w:rFonts w:ascii="仿宋_GB2312" w:eastAsia="仿宋_GB2312" w:cs="Calibri"/>
          <w:sz w:val="32"/>
          <w:szCs w:val="32"/>
        </w:rPr>
      </w:pPr>
      <w:r>
        <w:rPr>
          <w:rFonts w:hint="eastAsia" w:ascii="仿宋_GB2312" w:hAnsi="仿宋_GB2312" w:eastAsia="仿宋_GB2312" w:cs="仿宋_GB2312"/>
          <w:sz w:val="32"/>
          <w:szCs w:val="32"/>
        </w:rPr>
        <w:t>茂县医疗保障局属财政全额拨款一级预算单位。单位核定编制27名，在编在职人员24名。其中行政人员4名，参公人员9名，事业人员11名。</w:t>
      </w:r>
    </w:p>
    <w:p>
      <w:pPr>
        <w:pStyle w:val="3"/>
        <w:adjustRightInd w:val="0"/>
        <w:snapToGrid w:val="0"/>
        <w:spacing w:line="576" w:lineRule="exact"/>
        <w:ind w:firstLine="640" w:firstLineChars="200"/>
        <w:rPr>
          <w:rFonts w:ascii="黑体" w:hAnsi="黑体" w:eastAsia="黑体" w:cs="黑体"/>
          <w:b w:val="0"/>
        </w:rPr>
      </w:pPr>
      <w:bookmarkStart w:id="14" w:name="_Toc15396600"/>
      <w:bookmarkStart w:id="15" w:name="_Toc15377197"/>
      <w:r>
        <w:rPr>
          <w:rFonts w:hint="eastAsia" w:ascii="黑体" w:hAnsi="黑体" w:eastAsia="黑体" w:cs="黑体"/>
          <w:b w:val="0"/>
        </w:rPr>
        <w:t>一、基</w:t>
      </w:r>
      <w:r>
        <w:rPr>
          <w:rStyle w:val="25"/>
          <w:rFonts w:hint="eastAsia" w:ascii="黑体" w:hAnsi="黑体" w:eastAsia="黑体" w:cs="黑体"/>
          <w:b w:val="0"/>
          <w:bCs/>
        </w:rPr>
        <w:t>本职能及主要工作</w:t>
      </w:r>
      <w:bookmarkEnd w:id="14"/>
      <w:bookmarkEnd w:id="15"/>
      <w:bookmarkStart w:id="16" w:name="_Toc15378445"/>
      <w:bookmarkStart w:id="17" w:name="_Toc15377198"/>
    </w:p>
    <w:p>
      <w:pPr>
        <w:adjustRightInd w:val="0"/>
        <w:snapToGrid w:val="0"/>
        <w:spacing w:line="576"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（一）主要职能</w:t>
      </w:r>
      <w:bookmarkEnd w:id="16"/>
      <w:bookmarkEnd w:id="17"/>
    </w:p>
    <w:p>
      <w:pPr>
        <w:adjustRightInd w:val="0"/>
        <w:snapToGrid w:val="0"/>
        <w:spacing w:line="576" w:lineRule="exact"/>
        <w:ind w:firstLine="640" w:firstLineChars="200"/>
        <w:rPr>
          <w:rFonts w:ascii="仿宋" w:hAnsi="仿宋" w:eastAsia="仿宋"/>
          <w:bCs/>
          <w:sz w:val="32"/>
          <w:szCs w:val="32"/>
        </w:rPr>
      </w:pPr>
      <w:r>
        <w:rPr>
          <w:rFonts w:hint="eastAsia" w:ascii="仿宋_GB2312" w:eastAsia="仿宋_GB2312" w:cs="Calibri"/>
          <w:sz w:val="32"/>
          <w:szCs w:val="32"/>
        </w:rPr>
        <w:t>茂县医疗保障局</w:t>
      </w:r>
      <w:r>
        <w:rPr>
          <w:rFonts w:hint="eastAsia" w:ascii="仿宋_GB2312" w:hAnsi="仿宋_GB2312" w:eastAsia="仿宋_GB2312" w:cs="仿宋_GB2312"/>
          <w:sz w:val="32"/>
          <w:szCs w:val="32"/>
        </w:rPr>
        <w:t>宣传和贯彻执行医疗保险的有关政策；负责医疗保险基金的收缴、汇集、存储及保险基金运营管理，建立业务台账，统计有关数据；负责为参保人员建立个人账户，办理保险关系转移、退保等手续；负责医疗保险审核，核算医疗金给付标准和拨付医疗金；负责跟踪监督医疗金发放情况。</w:t>
      </w:r>
    </w:p>
    <w:p>
      <w:pPr>
        <w:adjustRightInd w:val="0"/>
        <w:snapToGrid w:val="0"/>
        <w:spacing w:line="576" w:lineRule="exact"/>
        <w:ind w:firstLine="642" w:firstLineChars="200"/>
        <w:rPr>
          <w:rFonts w:ascii="楷体_GB2312" w:hAnsi="楷体_GB2312" w:eastAsia="楷体_GB2312" w:cs="楷体_GB2312"/>
          <w:b/>
          <w:sz w:val="32"/>
          <w:szCs w:val="32"/>
        </w:rPr>
      </w:pPr>
      <w:bookmarkStart w:id="18" w:name="_Toc15377199"/>
      <w:bookmarkStart w:id="19" w:name="_Toc15378446"/>
      <w:r>
        <w:rPr>
          <w:rFonts w:hint="eastAsia" w:ascii="楷体_GB2312" w:hAnsi="楷体_GB2312" w:eastAsia="楷体_GB2312" w:cs="楷体_GB2312"/>
          <w:b/>
          <w:sz w:val="32"/>
          <w:szCs w:val="32"/>
        </w:rPr>
        <w:t>（二）2019年重点工作完成情况</w:t>
      </w:r>
      <w:bookmarkEnd w:id="18"/>
      <w:bookmarkEnd w:id="19"/>
    </w:p>
    <w:p>
      <w:pPr>
        <w:adjustRightInd w:val="0"/>
        <w:snapToGrid w:val="0"/>
        <w:spacing w:line="576" w:lineRule="exact"/>
        <w:ind w:firstLine="640" w:firstLineChars="200"/>
        <w:rPr>
          <w:rFonts w:ascii="仿宋_GB2312" w:eastAsia="仿宋_GB2312" w:cs="Calibri"/>
          <w:sz w:val="32"/>
          <w:szCs w:val="32"/>
        </w:rPr>
      </w:pPr>
      <w:r>
        <w:rPr>
          <w:rFonts w:hint="eastAsia" w:ascii="仿宋_GB2312" w:eastAsia="仿宋_GB2312" w:cs="Calibri"/>
          <w:sz w:val="32"/>
          <w:szCs w:val="32"/>
        </w:rPr>
        <w:t>2019年，我局在县委县政府的领导下，在州医保的业务指导下认真贯彻执行国家、省有关医疗保险新政策，通过各乡镇、各医疗机构的大力支持和职工们的共同努力，全面提前并超额完成全年医疗目标任务。</w:t>
      </w:r>
    </w:p>
    <w:p>
      <w:pPr>
        <w:pStyle w:val="3"/>
        <w:adjustRightInd w:val="0"/>
        <w:snapToGrid w:val="0"/>
        <w:spacing w:line="576" w:lineRule="exact"/>
        <w:ind w:firstLine="640" w:firstLineChars="200"/>
        <w:rPr>
          <w:rStyle w:val="25"/>
          <w:b w:val="0"/>
          <w:bCs w:val="0"/>
        </w:rPr>
      </w:pPr>
      <w:bookmarkStart w:id="20" w:name="_Toc15396601"/>
      <w:bookmarkStart w:id="21" w:name="_Toc15377200"/>
      <w:r>
        <w:rPr>
          <w:rFonts w:hint="eastAsia" w:ascii="黑体" w:eastAsia="黑体"/>
          <w:b w:val="0"/>
        </w:rPr>
        <w:t>二、</w:t>
      </w:r>
      <w:r>
        <w:rPr>
          <w:rFonts w:hint="eastAsia" w:ascii="黑体" w:hAnsi="黑体" w:eastAsia="黑体"/>
          <w:b w:val="0"/>
        </w:rPr>
        <w:t>机</w:t>
      </w:r>
      <w:r>
        <w:rPr>
          <w:rStyle w:val="25"/>
          <w:rFonts w:hint="eastAsia" w:ascii="黑体" w:hAnsi="黑体" w:eastAsia="黑体"/>
          <w:b w:val="0"/>
          <w:bCs w:val="0"/>
        </w:rPr>
        <w:t>构设置</w:t>
      </w:r>
      <w:bookmarkEnd w:id="20"/>
      <w:bookmarkEnd w:id="21"/>
    </w:p>
    <w:p>
      <w:pPr>
        <w:adjustRightInd w:val="0"/>
        <w:snapToGrid w:val="0"/>
        <w:spacing w:line="576"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茂县医疗保障局下属二级单位2个，其中行政单位1个，参照公务员法管理的事业单位</w:t>
      </w: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个，其他事业单位1个。</w:t>
      </w:r>
    </w:p>
    <w:p>
      <w:pPr>
        <w:adjustRightInd w:val="0"/>
        <w:snapToGrid w:val="0"/>
        <w:spacing w:line="576"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纳入茂县医疗保障局2019年度部门决算编制范围的预算单位包括：</w:t>
      </w:r>
    </w:p>
    <w:p>
      <w:pPr>
        <w:adjustRightInd w:val="0"/>
        <w:snapToGrid w:val="0"/>
        <w:spacing w:line="576"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1.茂县医疗保险管理事务中心</w:t>
      </w:r>
    </w:p>
    <w:p>
      <w:pPr>
        <w:adjustRightInd w:val="0"/>
        <w:snapToGrid w:val="0"/>
        <w:spacing w:line="576"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2.茂县城乡居民基本医疗保险管理服务中心</w:t>
      </w:r>
    </w:p>
    <w:p>
      <w:pPr>
        <w:widowControl/>
        <w:adjustRightInd w:val="0"/>
        <w:snapToGrid w:val="0"/>
        <w:spacing w:line="576" w:lineRule="exact"/>
        <w:jc w:val="left"/>
        <w:rPr>
          <w:rFonts w:ascii="仿宋" w:hAnsi="仿宋" w:eastAsia="仿宋"/>
          <w:sz w:val="32"/>
          <w:szCs w:val="32"/>
        </w:rPr>
      </w:pPr>
    </w:p>
    <w:p>
      <w:pPr>
        <w:numPr>
          <w:ilvl w:val="0"/>
          <w:numId w:val="1"/>
        </w:numPr>
        <w:adjustRightInd w:val="0"/>
        <w:snapToGrid w:val="0"/>
        <w:spacing w:line="576" w:lineRule="exact"/>
        <w:jc w:val="center"/>
        <w:outlineLvl w:val="0"/>
        <w:rPr>
          <w:rStyle w:val="24"/>
          <w:rFonts w:ascii="方正小标宋简体" w:hAnsi="方正小标宋简体" w:eastAsia="方正小标宋简体" w:cs="方正小标宋简体"/>
          <w:b w:val="0"/>
          <w:bCs w:val="0"/>
        </w:rPr>
      </w:pPr>
      <w:bookmarkStart w:id="22" w:name="_Toc15396602"/>
      <w:bookmarkStart w:id="23" w:name="_Toc15377204"/>
      <w:r>
        <w:rPr>
          <w:rStyle w:val="24"/>
          <w:rFonts w:hint="eastAsia" w:ascii="方正小标宋简体" w:hAnsi="方正小标宋简体" w:eastAsia="方正小标宋简体" w:cs="方正小标宋简体"/>
          <w:b w:val="0"/>
          <w:bCs w:val="0"/>
        </w:rPr>
        <w:t>2019年度部门决算情况说明</w:t>
      </w:r>
      <w:bookmarkEnd w:id="22"/>
      <w:bookmarkEnd w:id="23"/>
    </w:p>
    <w:p>
      <w:pPr>
        <w:adjustRightInd w:val="0"/>
        <w:snapToGrid w:val="0"/>
        <w:spacing w:line="576" w:lineRule="exact"/>
        <w:jc w:val="left"/>
      </w:pPr>
    </w:p>
    <w:p>
      <w:pPr>
        <w:pStyle w:val="23"/>
        <w:numPr>
          <w:ilvl w:val="0"/>
          <w:numId w:val="2"/>
        </w:numPr>
        <w:adjustRightInd w:val="0"/>
        <w:snapToGrid w:val="0"/>
        <w:spacing w:line="576" w:lineRule="exact"/>
        <w:ind w:firstLineChars="0"/>
        <w:jc w:val="left"/>
        <w:outlineLvl w:val="1"/>
        <w:rPr>
          <w:rStyle w:val="25"/>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24"/>
      <w:bookmarkEnd w:id="25"/>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2019年度收、支总计326.57万元。与2018年相比，收、支总计各减少72.58万元，减少18%。主要变动原因是</w:t>
      </w:r>
      <w:r>
        <w:rPr>
          <w:rFonts w:hint="eastAsia" w:ascii="仿宋_GB2312" w:hAnsi="仿宋" w:eastAsia="仿宋_GB2312" w:cs="仿宋"/>
          <w:sz w:val="32"/>
          <w:szCs w:val="32"/>
        </w:rPr>
        <w:t>2019年未将财政代缴城乡居民参加医疗保险的费用纳入项目支出</w:t>
      </w:r>
      <w:r>
        <w:rPr>
          <w:rFonts w:hint="eastAsia" w:ascii="仿宋_GB2312" w:hAnsi="仿宋_GB2312" w:eastAsia="仿宋_GB2312" w:cs="仿宋_GB2312"/>
          <w:sz w:val="32"/>
          <w:szCs w:val="32"/>
        </w:rPr>
        <w:t>。</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ind w:firstLine="1470" w:firstLineChars="700"/>
      </w:pPr>
      <w:r>
        <w:drawing>
          <wp:inline distT="0" distB="0" distL="0" distR="0">
            <wp:extent cx="3324225" cy="2400300"/>
            <wp:effectExtent l="19050" t="0" r="9525" b="0"/>
            <wp:docPr id="1"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2"/>
        </w:numPr>
        <w:adjustRightInd w:val="0"/>
        <w:snapToGrid w:val="0"/>
        <w:spacing w:line="576"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adjustRightInd w:val="0"/>
        <w:snapToGrid w:val="0"/>
        <w:spacing w:line="576"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326.57万元，其中：一般公共预算财政拨款收入326.57万元，占100%；政府性基金预算财政拨款收入0万元，占0%；国有资本经营预算财政拨款收入0万元，占0%；事业收入0万元，占0%；经营收入0万元，占0%；附属单位上缴收入0万元，占0%；其他收入0万元，占0%。</w:t>
      </w:r>
    </w:p>
    <w:p>
      <w:pPr>
        <w:adjustRightInd w:val="0"/>
        <w:snapToGrid w:val="0"/>
        <w:spacing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（图2：收入决算结构图）（饼状图）</w:t>
      </w:r>
    </w:p>
    <w:p>
      <w:pPr>
        <w:ind w:firstLine="945" w:firstLineChars="450"/>
      </w:pPr>
      <w:r>
        <w:drawing>
          <wp:inline distT="0" distB="0" distL="0" distR="0">
            <wp:extent cx="3829050" cy="1866900"/>
            <wp:effectExtent l="19050" t="0" r="19050" b="0"/>
            <wp:docPr id="10" name="对象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2"/>
        </w:numPr>
        <w:adjustRightInd w:val="0"/>
        <w:snapToGrid w:val="0"/>
        <w:spacing w:line="576"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adjustRightInd w:val="0"/>
        <w:snapToGrid w:val="0"/>
        <w:spacing w:line="576" w:lineRule="exact"/>
        <w:ind w:firstLine="640"/>
        <w:rPr>
          <w:rFonts w:ascii="仿宋_GB2312" w:hAnsi="仿宋_GB2312" w:eastAsia="仿宋_GB2312" w:cs="仿宋_GB2312"/>
          <w:color w:val="000000"/>
          <w:sz w:val="32"/>
          <w:szCs w:val="32"/>
          <w:shd w:val="pct10" w:color="auto" w:fill="FFFFFF"/>
        </w:rPr>
      </w:pPr>
      <w:r>
        <w:rPr>
          <w:rFonts w:hint="eastAsia" w:ascii="仿宋_GB2312" w:hAnsi="仿宋_GB2312" w:eastAsia="仿宋_GB2312" w:cs="仿宋_GB2312"/>
          <w:color w:val="000000"/>
          <w:sz w:val="32"/>
          <w:szCs w:val="32"/>
        </w:rPr>
        <w:t>2019年本年支出合计314.45万元，其中：基本支出304.96万元，占97%；项目支出9.49万元，占3%；上缴上级支出0万元，占0%；经营支出0万元，占0%；对附属单位补助支出0万元，占0%。</w:t>
      </w:r>
    </w:p>
    <w:p>
      <w:pPr>
        <w:adjustRightInd w:val="0"/>
        <w:snapToGrid w:val="0"/>
        <w:spacing w:line="576" w:lineRule="exact"/>
        <w:ind w:firstLine="640" w:firstLineChars="200"/>
        <w:rPr>
          <w:rFonts w:ascii="仿宋" w:hAnsi="仿宋" w:eastAsia="仿宋"/>
          <w:color w:val="000000" w:themeColor="text1"/>
          <w:sz w:val="32"/>
          <w:szCs w:val="32"/>
        </w:rPr>
      </w:pPr>
      <w:r>
        <w:rPr>
          <w:rFonts w:hint="eastAsia" w:ascii="仿宋_GB2312" w:hAnsi="仿宋_GB2312" w:eastAsia="仿宋_GB2312" w:cs="仿宋_GB2312"/>
          <w:color w:val="000000" w:themeColor="text1"/>
          <w:sz w:val="32"/>
          <w:szCs w:val="32"/>
        </w:rPr>
        <w:t>（图3：支出决算结构图）（饼状图）</w:t>
      </w:r>
    </w:p>
    <w:p>
      <w:pPr>
        <w:ind w:firstLine="945" w:firstLineChars="450"/>
      </w:pPr>
      <w:r>
        <w:drawing>
          <wp:inline distT="0" distB="0" distL="0" distR="0">
            <wp:extent cx="3829050" cy="1866900"/>
            <wp:effectExtent l="19050" t="0" r="19050" b="0"/>
            <wp:docPr id="15" name="对象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
        <w:adjustRightInd w:val="0"/>
        <w:snapToGrid w:val="0"/>
        <w:spacing w:line="576" w:lineRule="exact"/>
        <w:ind w:firstLine="640" w:firstLineChars="200"/>
        <w:rPr>
          <w:rStyle w:val="25"/>
          <w:rFonts w:ascii="黑体" w:hAnsi="黑体" w:eastAsia="黑体" w:cs="黑体"/>
          <w:b w:val="0"/>
          <w:bCs w:val="0"/>
        </w:rPr>
      </w:pPr>
      <w:bookmarkStart w:id="30" w:name="_Toc15396606"/>
      <w:bookmarkStart w:id="31" w:name="_Toc15377208"/>
      <w:r>
        <w:rPr>
          <w:rFonts w:hint="eastAsia" w:ascii="黑体" w:hAnsi="黑体" w:eastAsia="黑体" w:cs="黑体"/>
          <w:b w:val="0"/>
          <w:bCs w:val="0"/>
          <w:color w:val="000000"/>
        </w:rPr>
        <w:t>四、财</w:t>
      </w:r>
      <w:r>
        <w:rPr>
          <w:rStyle w:val="25"/>
          <w:rFonts w:hint="eastAsia" w:ascii="黑体" w:hAnsi="黑体" w:eastAsia="黑体" w:cs="黑体"/>
          <w:b w:val="0"/>
          <w:bCs w:val="0"/>
        </w:rPr>
        <w:t>政拨款收入支出决算总体情况说明</w:t>
      </w:r>
      <w:bookmarkEnd w:id="30"/>
      <w:bookmarkEnd w:id="31"/>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2019年财政拨款收、支总计326.57万元。与2018年相比，财政拨款收入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减少72.58万元；减少18%。主要变动原因是1.</w:t>
      </w:r>
      <w:r>
        <w:rPr>
          <w:rFonts w:hint="eastAsia" w:ascii="仿宋_GB2312" w:hAnsi="仿宋" w:eastAsia="仿宋_GB2312" w:cs="仿宋"/>
          <w:sz w:val="32"/>
          <w:szCs w:val="32"/>
        </w:rPr>
        <w:t>2019年未将财政代缴城乡居民参加医疗保险的费用纳入项目支出，2.年底事业人员绩效工资未在当年发放</w:t>
      </w:r>
      <w:r>
        <w:rPr>
          <w:rFonts w:hint="eastAsia" w:ascii="仿宋_GB2312" w:hAnsi="仿宋_GB2312" w:eastAsia="仿宋_GB2312" w:cs="仿宋_GB2312"/>
          <w:sz w:val="32"/>
          <w:szCs w:val="32"/>
        </w:rPr>
        <w:t>。</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ind w:firstLine="1470" w:firstLineChars="700"/>
      </w:pPr>
      <w:r>
        <w:drawing>
          <wp:inline distT="0" distB="0" distL="0" distR="0">
            <wp:extent cx="3324225" cy="2400300"/>
            <wp:effectExtent l="19050" t="0" r="9525" b="0"/>
            <wp:docPr id="2"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
        <w:adjustRightInd w:val="0"/>
        <w:snapToGrid w:val="0"/>
        <w:spacing w:line="576" w:lineRule="exact"/>
        <w:ind w:firstLine="640" w:firstLineChars="200"/>
        <w:rPr>
          <w:rFonts w:ascii="黑体" w:hAnsi="黑体" w:eastAsia="黑体" w:cs="黑体"/>
          <w:b w:val="0"/>
          <w:bCs w:val="0"/>
          <w:color w:val="000000"/>
        </w:rPr>
      </w:pPr>
      <w:bookmarkStart w:id="32" w:name="_Toc15396607"/>
      <w:bookmarkStart w:id="33" w:name="_Toc15377209"/>
      <w:r>
        <w:rPr>
          <w:rFonts w:hint="eastAsia" w:ascii="黑体" w:hAnsi="黑体" w:eastAsia="黑体" w:cs="黑体"/>
          <w:b w:val="0"/>
          <w:bCs w:val="0"/>
          <w:color w:val="000000"/>
        </w:rPr>
        <w:t>五、一</w:t>
      </w:r>
      <w:r>
        <w:rPr>
          <w:rStyle w:val="25"/>
          <w:rFonts w:hint="eastAsia" w:ascii="黑体" w:hAnsi="黑体" w:eastAsia="黑体" w:cs="黑体"/>
          <w:b w:val="0"/>
          <w:bCs w:val="0"/>
        </w:rPr>
        <w:t>般公共预算财政拨款支出决算情况说明</w:t>
      </w:r>
      <w:bookmarkEnd w:id="32"/>
      <w:bookmarkEnd w:id="33"/>
      <w:bookmarkStart w:id="34" w:name="_Toc15377210"/>
    </w:p>
    <w:p>
      <w:pPr>
        <w:adjustRightInd w:val="0"/>
        <w:snapToGrid w:val="0"/>
        <w:spacing w:line="576" w:lineRule="exact"/>
        <w:ind w:firstLine="642" w:firstLineChars="200"/>
        <w:outlineLvl w:val="1"/>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（一）一般公共预算财政拨款支出决算总体情况</w:t>
      </w:r>
      <w:bookmarkEnd w:id="34"/>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2019年一般公共预算财政拨款支出314.45万元，占本年支出合计的100%。与2018年相比，一般公共预算财政拨款减少了60.46万元，减少15%。主要变动原因是1.</w:t>
      </w:r>
      <w:r>
        <w:rPr>
          <w:rFonts w:hint="eastAsia" w:ascii="仿宋_GB2312" w:hAnsi="仿宋" w:eastAsia="仿宋_GB2312" w:cs="仿宋"/>
          <w:sz w:val="32"/>
          <w:szCs w:val="32"/>
        </w:rPr>
        <w:t>2019年未将财政代缴城乡居民参加医疗保险的费用纳入项目支出，2.年底事业人员绩效工资未在当年发放</w:t>
      </w:r>
      <w:r>
        <w:rPr>
          <w:rFonts w:hint="eastAsia" w:ascii="仿宋_GB2312" w:hAnsi="仿宋_GB2312" w:eastAsia="仿宋_GB2312" w:cs="仿宋_GB2312"/>
          <w:sz w:val="32"/>
          <w:szCs w:val="32"/>
        </w:rPr>
        <w:t>。</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ind w:firstLine="1470" w:firstLineChars="700"/>
      </w:pPr>
      <w:r>
        <w:drawing>
          <wp:inline distT="0" distB="0" distL="0" distR="0">
            <wp:extent cx="3324225" cy="2400300"/>
            <wp:effectExtent l="19050" t="0" r="9525" b="0"/>
            <wp:docPr id="37" name="对象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adjustRightInd w:val="0"/>
        <w:snapToGrid w:val="0"/>
        <w:spacing w:line="576" w:lineRule="exact"/>
        <w:ind w:firstLine="642" w:firstLineChars="200"/>
        <w:jc w:val="left"/>
        <w:outlineLvl w:val="1"/>
        <w:rPr>
          <w:rFonts w:ascii="楷体_GB2312" w:hAnsi="楷体_GB2312" w:eastAsia="楷体_GB2312" w:cs="楷体_GB2312"/>
          <w:b/>
          <w:color w:val="000000"/>
          <w:sz w:val="32"/>
          <w:szCs w:val="32"/>
        </w:rPr>
      </w:pPr>
      <w:bookmarkStart w:id="35" w:name="_Toc15377211"/>
      <w:r>
        <w:rPr>
          <w:rFonts w:hint="eastAsia" w:ascii="楷体_GB2312" w:hAnsi="楷体_GB2312" w:eastAsia="楷体_GB2312" w:cs="楷体_GB2312"/>
          <w:b/>
          <w:color w:val="000000"/>
          <w:sz w:val="32"/>
          <w:szCs w:val="32"/>
        </w:rPr>
        <w:t>（二）一般公共预算财政拨款支出决算结构情况</w:t>
      </w:r>
      <w:bookmarkEnd w:id="35"/>
    </w:p>
    <w:p>
      <w:pPr>
        <w:adjustRightInd w:val="0"/>
        <w:snapToGrid w:val="0"/>
        <w:spacing w:line="576"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2019年一般公共预算财</w:t>
      </w:r>
      <w:r>
        <w:rPr>
          <w:rFonts w:hint="eastAsia" w:ascii="仿宋_GB2312" w:hAnsi="仿宋_GB2312" w:eastAsia="仿宋_GB2312" w:cs="仿宋_GB2312"/>
          <w:color w:val="000000" w:themeColor="text1"/>
          <w:sz w:val="32"/>
          <w:szCs w:val="32"/>
        </w:rPr>
        <w:t>政拨款支出314.45万元，主要用于以下方面:社会保障和就业（类）支出43.85万元，占13.95%；健康卫生支出（类）236.51万元，占75.21%；农林水（类）支出5.49万元，占1.75%；住房保障（类）支出28.60万元，占9.09%。</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（图6：一般公共预算财政拨款支出决算结构）（饼状图）</w:t>
      </w:r>
    </w:p>
    <w:p>
      <w:pPr>
        <w:ind w:firstLine="1470" w:firstLineChars="700"/>
      </w:pPr>
      <w:r>
        <w:drawing>
          <wp:inline distT="0" distB="0" distL="0" distR="0">
            <wp:extent cx="3638550" cy="2286000"/>
            <wp:effectExtent l="19050" t="0" r="19050" b="0"/>
            <wp:docPr id="5" name="对象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000000"/>
          <w:sz w:val="32"/>
          <w:szCs w:val="32"/>
        </w:rPr>
      </w:pPr>
    </w:p>
    <w:p>
      <w:pPr>
        <w:adjustRightInd w:val="0"/>
        <w:snapToGrid w:val="0"/>
        <w:spacing w:line="576" w:lineRule="exact"/>
        <w:ind w:firstLine="642" w:firstLineChars="200"/>
        <w:jc w:val="left"/>
        <w:outlineLvl w:val="1"/>
        <w:rPr>
          <w:rFonts w:ascii="楷体_GB2312" w:hAnsi="楷体_GB2312" w:eastAsia="楷体_GB2312" w:cs="楷体_GB2312"/>
          <w:b/>
          <w:color w:val="000000"/>
          <w:sz w:val="32"/>
          <w:szCs w:val="32"/>
        </w:rPr>
      </w:pPr>
      <w:bookmarkStart w:id="36" w:name="_Toc15377212"/>
      <w:r>
        <w:rPr>
          <w:rFonts w:hint="eastAsia" w:ascii="楷体_GB2312" w:hAnsi="楷体_GB2312" w:eastAsia="楷体_GB2312" w:cs="楷体_GB2312"/>
          <w:b/>
          <w:color w:val="000000"/>
          <w:sz w:val="32"/>
          <w:szCs w:val="32"/>
        </w:rPr>
        <w:t>（三）一般公共预算财政拨款支出决算具体情况</w:t>
      </w:r>
      <w:bookmarkEnd w:id="36"/>
    </w:p>
    <w:p>
      <w:pPr>
        <w:adjustRightInd w:val="0"/>
        <w:snapToGrid w:val="0"/>
        <w:spacing w:line="576" w:lineRule="exact"/>
        <w:ind w:firstLine="640" w:firstLineChars="200"/>
        <w:outlineLvl w:val="2"/>
        <w:rPr>
          <w:rFonts w:ascii="仿宋_GB2312" w:hAnsi="仿宋_GB2312" w:eastAsia="仿宋_GB2312" w:cs="仿宋_GB2312"/>
          <w:bCs/>
          <w:color w:val="FF0000"/>
          <w:sz w:val="32"/>
          <w:szCs w:val="32"/>
        </w:rPr>
      </w:pPr>
      <w:bookmarkStart w:id="37" w:name="_Toc15378460"/>
      <w:bookmarkStart w:id="38" w:name="_Toc15377213"/>
      <w:bookmarkStart w:id="39" w:name="_Toc15377444"/>
      <w:r>
        <w:rPr>
          <w:rFonts w:hint="eastAsia" w:ascii="仿宋_GB2312" w:hAnsi="仿宋_GB2312" w:eastAsia="仿宋_GB2312" w:cs="仿宋_GB2312"/>
          <w:bCs/>
          <w:color w:val="000000" w:themeColor="text1"/>
          <w:sz w:val="32"/>
          <w:szCs w:val="32"/>
        </w:rPr>
        <w:t>2019年一般公共预算支出决算数为314.45万元，</w:t>
      </w:r>
      <w:r>
        <w:rPr>
          <w:rStyle w:val="14"/>
          <w:rFonts w:hint="eastAsia" w:ascii="仿宋_GB2312" w:hAnsi="仿宋_GB2312" w:eastAsia="仿宋_GB2312" w:cs="仿宋_GB2312"/>
          <w:b w:val="0"/>
          <w:bCs/>
          <w:color w:val="000000" w:themeColor="text1"/>
          <w:sz w:val="32"/>
          <w:szCs w:val="32"/>
        </w:rPr>
        <w:t>完成</w:t>
      </w:r>
      <w:r>
        <w:rPr>
          <w:rStyle w:val="14"/>
          <w:rFonts w:hint="eastAsia" w:ascii="仿宋_GB2312" w:hAnsi="仿宋_GB2312" w:eastAsia="仿宋_GB2312" w:cs="仿宋_GB2312"/>
          <w:b w:val="0"/>
          <w:bCs/>
          <w:color w:val="000000"/>
          <w:sz w:val="32"/>
          <w:szCs w:val="32"/>
        </w:rPr>
        <w:t>预算100%。其中：</w:t>
      </w:r>
      <w:bookmarkEnd w:id="37"/>
      <w:bookmarkEnd w:id="38"/>
      <w:bookmarkEnd w:id="39"/>
    </w:p>
    <w:p>
      <w:pPr>
        <w:adjustRightInd w:val="0"/>
        <w:snapToGrid w:val="0"/>
        <w:spacing w:line="576" w:lineRule="exact"/>
        <w:ind w:firstLine="642"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1.社会保障和就业（208类）行政事业单位离退休（05款）机关事业单位基本养老保险缴费支出（05项）:</w:t>
      </w:r>
      <w:r>
        <w:rPr>
          <w:rStyle w:val="14"/>
          <w:rFonts w:hint="eastAsia" w:ascii="仿宋_GB2312" w:hAnsi="仿宋_GB2312" w:eastAsia="仿宋_GB2312" w:cs="仿宋_GB2312"/>
          <w:b w:val="0"/>
          <w:bCs/>
          <w:color w:val="000000"/>
          <w:sz w:val="32"/>
          <w:szCs w:val="32"/>
        </w:rPr>
        <w:t>支出决算为30.03万元，完成预算100%。</w:t>
      </w:r>
    </w:p>
    <w:p>
      <w:pPr>
        <w:adjustRightInd w:val="0"/>
        <w:snapToGrid w:val="0"/>
        <w:spacing w:line="576" w:lineRule="exact"/>
        <w:ind w:firstLine="642"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2.社会保障和就业（208类）行政事业单位离退休（05款）机关事业单位职业年金缴费支出（06项）:</w:t>
      </w:r>
      <w:r>
        <w:rPr>
          <w:rStyle w:val="14"/>
          <w:rFonts w:hint="eastAsia" w:ascii="仿宋_GB2312" w:hAnsi="仿宋_GB2312" w:eastAsia="仿宋_GB2312" w:cs="仿宋_GB2312"/>
          <w:b w:val="0"/>
          <w:bCs/>
          <w:color w:val="000000"/>
          <w:sz w:val="32"/>
          <w:szCs w:val="32"/>
        </w:rPr>
        <w:t>支出决算为13.82万元，完成预算100%。</w:t>
      </w:r>
    </w:p>
    <w:p>
      <w:pPr>
        <w:adjustRightInd w:val="0"/>
        <w:snapToGrid w:val="0"/>
        <w:spacing w:line="576" w:lineRule="exact"/>
        <w:ind w:firstLine="642"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3.卫生健康支出（210类）行政事业单位医疗（11款）行政单位医疗（01项）:</w:t>
      </w:r>
      <w:r>
        <w:rPr>
          <w:rStyle w:val="14"/>
          <w:rFonts w:hint="eastAsia" w:ascii="仿宋_GB2312" w:hAnsi="仿宋_GB2312" w:eastAsia="仿宋_GB2312" w:cs="仿宋_GB2312"/>
          <w:b w:val="0"/>
          <w:bCs/>
          <w:color w:val="000000"/>
          <w:sz w:val="32"/>
          <w:szCs w:val="32"/>
        </w:rPr>
        <w:t>支出决算为11.23万元，完成预算100%。</w:t>
      </w:r>
    </w:p>
    <w:p>
      <w:pPr>
        <w:adjustRightInd w:val="0"/>
        <w:snapToGrid w:val="0"/>
        <w:spacing w:line="576" w:lineRule="exact"/>
        <w:ind w:firstLine="642"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4.卫生健康支出（210类）行政事业单位医疗（11款）事业单位医疗（02项）:</w:t>
      </w:r>
      <w:r>
        <w:rPr>
          <w:rStyle w:val="14"/>
          <w:rFonts w:hint="eastAsia" w:ascii="仿宋_GB2312" w:hAnsi="仿宋_GB2312" w:eastAsia="仿宋_GB2312" w:cs="仿宋_GB2312"/>
          <w:b w:val="0"/>
          <w:bCs/>
          <w:color w:val="000000"/>
          <w:sz w:val="32"/>
          <w:szCs w:val="32"/>
        </w:rPr>
        <w:t>支出决算为9.42万元，完成预算100%。</w:t>
      </w:r>
    </w:p>
    <w:p>
      <w:pPr>
        <w:adjustRightInd w:val="0"/>
        <w:snapToGrid w:val="0"/>
        <w:spacing w:line="576" w:lineRule="exact"/>
        <w:ind w:firstLine="642"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5.卫生健康支出（210类）医疗保障管理事务（15款）行政运行（01项）:</w:t>
      </w:r>
      <w:r>
        <w:rPr>
          <w:rStyle w:val="14"/>
          <w:rFonts w:hint="eastAsia" w:ascii="仿宋_GB2312" w:hAnsi="仿宋_GB2312" w:eastAsia="仿宋_GB2312" w:cs="仿宋_GB2312"/>
          <w:b w:val="0"/>
          <w:bCs/>
          <w:color w:val="000000"/>
          <w:sz w:val="32"/>
          <w:szCs w:val="32"/>
        </w:rPr>
        <w:t>支出决算为117.80万元，完成预算100%。</w:t>
      </w:r>
    </w:p>
    <w:p>
      <w:pPr>
        <w:adjustRightInd w:val="0"/>
        <w:snapToGrid w:val="0"/>
        <w:spacing w:line="576" w:lineRule="exact"/>
        <w:ind w:firstLine="642"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6.卫生健康支出（210类）医疗保障管理事务（15款）事业运行（50项）:</w:t>
      </w:r>
      <w:r>
        <w:rPr>
          <w:rStyle w:val="14"/>
          <w:rFonts w:hint="eastAsia" w:ascii="仿宋_GB2312" w:hAnsi="仿宋_GB2312" w:eastAsia="仿宋_GB2312" w:cs="仿宋_GB2312"/>
          <w:b w:val="0"/>
          <w:bCs/>
          <w:color w:val="000000"/>
          <w:sz w:val="32"/>
          <w:szCs w:val="32"/>
        </w:rPr>
        <w:t>支出决算为94.06万元，完成预算100%。</w:t>
      </w:r>
    </w:p>
    <w:p>
      <w:pPr>
        <w:adjustRightInd w:val="0"/>
        <w:snapToGrid w:val="0"/>
        <w:spacing w:line="576" w:lineRule="exact"/>
        <w:ind w:firstLine="642"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7.卫生健康支出（210类）医疗保障管理事务（15款）其他医疗保障管理事务支出（99项）:</w:t>
      </w:r>
      <w:r>
        <w:rPr>
          <w:rStyle w:val="14"/>
          <w:rFonts w:hint="eastAsia" w:ascii="仿宋_GB2312" w:hAnsi="仿宋_GB2312" w:eastAsia="仿宋_GB2312" w:cs="仿宋_GB2312"/>
          <w:b w:val="0"/>
          <w:bCs/>
          <w:color w:val="000000"/>
          <w:sz w:val="32"/>
          <w:szCs w:val="32"/>
        </w:rPr>
        <w:t>支出决算为4万元，完成预算100%。</w:t>
      </w:r>
    </w:p>
    <w:p>
      <w:pPr>
        <w:adjustRightInd w:val="0"/>
        <w:snapToGrid w:val="0"/>
        <w:spacing w:line="576" w:lineRule="exact"/>
        <w:ind w:firstLine="642"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8.农林水支出（213类）扶贫（05款）社会发展（06项）:</w:t>
      </w:r>
      <w:r>
        <w:rPr>
          <w:rStyle w:val="14"/>
          <w:rFonts w:hint="eastAsia" w:ascii="仿宋_GB2312" w:hAnsi="仿宋_GB2312" w:eastAsia="仿宋_GB2312" w:cs="仿宋_GB2312"/>
          <w:b w:val="0"/>
          <w:bCs/>
          <w:color w:val="000000"/>
          <w:sz w:val="32"/>
          <w:szCs w:val="32"/>
        </w:rPr>
        <w:t>支出决算为4.95万元，完成预算100%。</w:t>
      </w:r>
    </w:p>
    <w:p>
      <w:pPr>
        <w:adjustRightInd w:val="0"/>
        <w:snapToGrid w:val="0"/>
        <w:spacing w:line="576" w:lineRule="exact"/>
        <w:ind w:firstLine="642"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9.农林水支出（213类）扶贫（05款）其他扶贫支出（99项）:</w:t>
      </w:r>
      <w:r>
        <w:rPr>
          <w:rStyle w:val="14"/>
          <w:rFonts w:hint="eastAsia" w:ascii="仿宋_GB2312" w:hAnsi="仿宋_GB2312" w:eastAsia="仿宋_GB2312" w:cs="仿宋_GB2312"/>
          <w:b w:val="0"/>
          <w:bCs/>
          <w:color w:val="000000"/>
          <w:sz w:val="32"/>
          <w:szCs w:val="32"/>
        </w:rPr>
        <w:t>支出决算为0.54万元，完成预算100%。</w:t>
      </w:r>
    </w:p>
    <w:p>
      <w:pPr>
        <w:adjustRightInd w:val="0"/>
        <w:snapToGrid w:val="0"/>
        <w:spacing w:line="576" w:lineRule="exact"/>
        <w:ind w:firstLine="642"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10.住房保障（221类）住房改革支出（02款）住房公积金（01项）:</w:t>
      </w:r>
      <w:r>
        <w:rPr>
          <w:rStyle w:val="14"/>
          <w:rFonts w:hint="eastAsia" w:ascii="仿宋_GB2312" w:hAnsi="仿宋_GB2312" w:eastAsia="仿宋_GB2312" w:cs="仿宋_GB2312"/>
          <w:b w:val="0"/>
          <w:bCs/>
          <w:color w:val="000000"/>
          <w:sz w:val="32"/>
          <w:szCs w:val="32"/>
        </w:rPr>
        <w:t>支出决算为28.60万元，完成预算100%。</w:t>
      </w:r>
    </w:p>
    <w:p>
      <w:pPr>
        <w:pStyle w:val="3"/>
        <w:adjustRightInd w:val="0"/>
        <w:snapToGrid w:val="0"/>
        <w:spacing w:line="576" w:lineRule="exact"/>
        <w:ind w:firstLine="640" w:firstLineChars="200"/>
        <w:rPr>
          <w:rStyle w:val="25"/>
          <w:b w:val="0"/>
          <w:bCs w:val="0"/>
        </w:rPr>
      </w:pPr>
      <w:bookmarkStart w:id="40" w:name="_Toc15396608"/>
      <w:bookmarkStart w:id="41" w:name="_Toc15377214"/>
      <w:r>
        <w:rPr>
          <w:rFonts w:hint="eastAsia" w:ascii="黑体" w:eastAsia="黑体"/>
          <w:b w:val="0"/>
          <w:bCs w:val="0"/>
          <w:color w:val="000000"/>
        </w:rPr>
        <w:t>六、</w:t>
      </w:r>
      <w:r>
        <w:rPr>
          <w:rFonts w:hint="eastAsia" w:ascii="黑体" w:hAnsi="黑体" w:eastAsia="黑体"/>
          <w:b w:val="0"/>
          <w:bCs w:val="0"/>
          <w:color w:val="000000"/>
        </w:rPr>
        <w:t>一</w:t>
      </w:r>
      <w:r>
        <w:rPr>
          <w:rStyle w:val="25"/>
          <w:rFonts w:hint="eastAsia" w:ascii="黑体" w:hAnsi="黑体" w:eastAsia="黑体"/>
          <w:b w:val="0"/>
          <w:bCs w:val="0"/>
        </w:rPr>
        <w:t>般公共预算财政拨款基本支出决算情况说明</w:t>
      </w:r>
      <w:bookmarkEnd w:id="40"/>
      <w:bookmarkEnd w:id="41"/>
    </w:p>
    <w:p>
      <w:pPr>
        <w:adjustRightInd w:val="0"/>
        <w:snapToGrid w:val="0"/>
        <w:spacing w:line="576"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2019年一般公共预算财政拨款基本支出304.96万元，其中：</w:t>
      </w:r>
    </w:p>
    <w:p>
      <w:pPr>
        <w:adjustRightInd w:val="0"/>
        <w:snapToGrid w:val="0"/>
        <w:spacing w:line="576"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人员经费261.71万元，主要包括：基本工资、津贴补贴、奖金、机关事业单位基本养老保险缴费、职业年金缴费、其他社会保障缴费、医疗费、奖励金、住房公积金等。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公用经费43.25万元，主要包括：办公费、邮电费、差旅费、培训费、公务接待费、工会经费、其他交通费等。</w:t>
      </w:r>
    </w:p>
    <w:p>
      <w:pPr>
        <w:pStyle w:val="3"/>
        <w:adjustRightInd w:val="0"/>
        <w:snapToGrid w:val="0"/>
        <w:spacing w:line="576" w:lineRule="exact"/>
        <w:ind w:firstLine="640" w:firstLineChars="200"/>
        <w:rPr>
          <w:rStyle w:val="25"/>
          <w:rFonts w:ascii="黑体" w:hAnsi="黑体" w:eastAsia="黑体" w:cs="黑体"/>
          <w:b w:val="0"/>
          <w:bCs w:val="0"/>
        </w:rPr>
      </w:pPr>
      <w:bookmarkStart w:id="42" w:name="_Toc15396609"/>
      <w:bookmarkStart w:id="43" w:name="_Toc15377215"/>
      <w:r>
        <w:rPr>
          <w:rFonts w:hint="eastAsia" w:ascii="黑体" w:hAnsi="黑体" w:eastAsia="黑体" w:cs="黑体"/>
          <w:b w:val="0"/>
          <w:bCs w:val="0"/>
          <w:color w:val="000000"/>
        </w:rPr>
        <w:t>七、</w:t>
      </w:r>
      <w:r>
        <w:rPr>
          <w:rStyle w:val="25"/>
          <w:rFonts w:hint="eastAsia" w:ascii="黑体" w:hAnsi="黑体" w:eastAsia="黑体" w:cs="黑体"/>
          <w:b w:val="0"/>
          <w:bCs w:val="0"/>
        </w:rPr>
        <w:t>“三公”经费财政拨款支出决算情况说明</w:t>
      </w:r>
      <w:bookmarkEnd w:id="42"/>
      <w:bookmarkEnd w:id="43"/>
    </w:p>
    <w:p>
      <w:pPr>
        <w:adjustRightInd w:val="0"/>
        <w:snapToGrid w:val="0"/>
        <w:spacing w:line="576" w:lineRule="exact"/>
        <w:ind w:firstLine="642" w:firstLineChars="200"/>
        <w:outlineLvl w:val="1"/>
        <w:rPr>
          <w:rFonts w:ascii="楷体_GB2312" w:hAnsi="楷体_GB2312" w:eastAsia="楷体_GB2312" w:cs="楷体_GB2312"/>
          <w:b/>
          <w:color w:val="000000"/>
          <w:sz w:val="32"/>
          <w:szCs w:val="32"/>
        </w:rPr>
      </w:pPr>
      <w:bookmarkStart w:id="44" w:name="_Toc15377216"/>
      <w:r>
        <w:rPr>
          <w:rFonts w:hint="eastAsia" w:ascii="楷体_GB2312" w:hAnsi="楷体_GB2312" w:eastAsia="楷体_GB2312" w:cs="楷体_GB2312"/>
          <w:b/>
          <w:color w:val="000000"/>
          <w:sz w:val="32"/>
          <w:szCs w:val="32"/>
        </w:rPr>
        <w:t>（一）“三公”经费财政拨款支出决算总体情况说明</w:t>
      </w:r>
      <w:bookmarkEnd w:id="44"/>
    </w:p>
    <w:p>
      <w:pPr>
        <w:adjustRightInd w:val="0"/>
        <w:snapToGrid w:val="0"/>
        <w:spacing w:line="576" w:lineRule="exact"/>
        <w:ind w:firstLine="640"/>
        <w:rPr>
          <w:rFonts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sz w:val="32"/>
          <w:szCs w:val="32"/>
        </w:rPr>
        <w:t>2019年“三公”经费财政拨款支出决算为0.34万元，完成预算100%。</w:t>
      </w:r>
    </w:p>
    <w:p>
      <w:pPr>
        <w:adjustRightInd w:val="0"/>
        <w:snapToGrid w:val="0"/>
        <w:spacing w:line="576" w:lineRule="exact"/>
        <w:ind w:firstLine="642" w:firstLineChars="200"/>
        <w:outlineLvl w:val="1"/>
        <w:rPr>
          <w:rFonts w:ascii="仿宋" w:hAnsi="仿宋" w:eastAsia="仿宋"/>
          <w:b/>
          <w:color w:val="000000"/>
          <w:sz w:val="32"/>
          <w:szCs w:val="32"/>
        </w:rPr>
      </w:pPr>
      <w:bookmarkStart w:id="45" w:name="_Toc15377217"/>
      <w:r>
        <w:rPr>
          <w:rFonts w:hint="eastAsia" w:ascii="楷体_GB2312" w:hAnsi="楷体_GB2312" w:eastAsia="楷体_GB2312" w:cs="楷体_GB2312"/>
          <w:b/>
          <w:color w:val="000000"/>
          <w:sz w:val="32"/>
          <w:szCs w:val="32"/>
        </w:rPr>
        <w:t>（二）“三公”经费财政拨款支出决算具体情况说明</w:t>
      </w:r>
      <w:bookmarkEnd w:id="45"/>
    </w:p>
    <w:p>
      <w:pPr>
        <w:adjustRightInd w:val="0"/>
        <w:snapToGrid w:val="0"/>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2019年“三公”经费财政拨款支出决算中，因公出国（境）费支出决算0万元，占0%；公务用车购置及运行维护费支出决算0万元，占0%；公务接待费支出决算0.34万元，占100%。具体情况如下：</w:t>
      </w:r>
    </w:p>
    <w:p>
      <w:pPr>
        <w:adjustRightInd w:val="0"/>
        <w:snapToGrid w:val="0"/>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（图8：“三公”经费财政拨款支出结构）（饼状图）</w:t>
      </w:r>
    </w:p>
    <w:p>
      <w:pPr>
        <w:widowControl/>
        <w:ind w:firstLine="1470" w:firstLineChars="700"/>
      </w:pPr>
      <w:r>
        <w:drawing>
          <wp:inline distT="0" distB="0" distL="0" distR="0">
            <wp:extent cx="3600450" cy="1885950"/>
            <wp:effectExtent l="19050" t="0" r="19050" b="0"/>
            <wp:docPr id="34" name="对象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adjustRightInd w:val="0"/>
        <w:snapToGrid w:val="0"/>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color w:val="000000"/>
          <w:sz w:val="32"/>
          <w:szCs w:val="32"/>
        </w:rPr>
        <w:t>0万元，</w:t>
      </w:r>
      <w:r>
        <w:rPr>
          <w:rStyle w:val="14"/>
          <w:rFonts w:hint="eastAsia" w:ascii="仿宋_GB2312" w:hAnsi="仿宋_GB2312" w:eastAsia="仿宋_GB2312" w:cs="仿宋_GB2312"/>
          <w:b w:val="0"/>
          <w:bCs/>
          <w:color w:val="000000"/>
          <w:sz w:val="32"/>
          <w:szCs w:val="32"/>
        </w:rPr>
        <w:t>完成预算0%。</w:t>
      </w:r>
    </w:p>
    <w:p>
      <w:pPr>
        <w:adjustRightInd w:val="0"/>
        <w:snapToGrid w:val="0"/>
        <w:spacing w:line="576" w:lineRule="exact"/>
        <w:ind w:firstLine="64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rPr>
        <w:t>0万元,</w:t>
      </w:r>
      <w:r>
        <w:rPr>
          <w:rStyle w:val="14"/>
          <w:rFonts w:hint="eastAsia" w:ascii="仿宋_GB2312" w:hAnsi="仿宋_GB2312" w:eastAsia="仿宋_GB2312" w:cs="仿宋_GB2312"/>
          <w:b w:val="0"/>
          <w:bCs/>
          <w:color w:val="000000"/>
          <w:sz w:val="32"/>
          <w:szCs w:val="32"/>
        </w:rPr>
        <w:t>完成预算0%。</w:t>
      </w:r>
    </w:p>
    <w:p>
      <w:pPr>
        <w:adjustRightInd w:val="0"/>
        <w:snapToGrid w:val="0"/>
        <w:spacing w:line="576" w:lineRule="exact"/>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其中：公务用车购置支出0万元。</w:t>
      </w:r>
    </w:p>
    <w:p>
      <w:pPr>
        <w:adjustRightInd w:val="0"/>
        <w:snapToGrid w:val="0"/>
        <w:spacing w:line="576" w:lineRule="exact"/>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公务用车运行维护费支出0万元。</w:t>
      </w:r>
    </w:p>
    <w:p>
      <w:pPr>
        <w:adjustRightInd w:val="0"/>
        <w:snapToGrid w:val="0"/>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rPr>
        <w:t>0.34万元，</w:t>
      </w:r>
      <w:r>
        <w:rPr>
          <w:rStyle w:val="14"/>
          <w:rFonts w:hint="eastAsia" w:ascii="仿宋_GB2312" w:hAnsi="仿宋_GB2312" w:eastAsia="仿宋_GB2312" w:cs="仿宋_GB2312"/>
          <w:b w:val="0"/>
          <w:bCs/>
          <w:color w:val="000000"/>
          <w:sz w:val="32"/>
          <w:szCs w:val="32"/>
        </w:rPr>
        <w:t>完成预算100%。</w:t>
      </w:r>
      <w:r>
        <w:rPr>
          <w:rFonts w:hint="eastAsia" w:ascii="仿宋_GB2312" w:hAnsi="仿宋_GB2312" w:eastAsia="仿宋_GB2312" w:cs="仿宋_GB2312"/>
          <w:color w:val="000000"/>
          <w:sz w:val="32"/>
          <w:szCs w:val="32"/>
        </w:rPr>
        <w:t>公务接待费支出决算比2018年减少0.16万元，减少31.37%。主要</w:t>
      </w:r>
      <w:r>
        <w:rPr>
          <w:rFonts w:hint="default" w:ascii="仿宋_GB2312" w:hAnsi="仿宋_GB2312" w:eastAsia="仿宋_GB2312" w:cs="仿宋_GB2312"/>
          <w:color w:val="000000"/>
          <w:sz w:val="32"/>
          <w:szCs w:val="32"/>
        </w:rPr>
        <w:t>原因是</w:t>
      </w:r>
      <w:r>
        <w:rPr>
          <w:rFonts w:hint="eastAsia" w:ascii="仿宋_GB2312" w:hAnsi="仿宋_GB2312" w:eastAsia="仿宋_GB2312" w:cs="仿宋_GB2312"/>
          <w:color w:val="000000"/>
          <w:sz w:val="32"/>
          <w:szCs w:val="32"/>
        </w:rPr>
        <w:t>接待人次、接待批次减少，导致单位年底“三公”经费减少。</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用于执行公务、开展业务活动开支的交通费、住宿费、用餐费等。国内公务接待11批次，53人次（不包括陪同人员），共计支出0.34万元，具体内容包括接待州级单位检查、各地方交叉检查共计支付0.34万元。其中：外事接待支出0万元</w:t>
      </w:r>
      <w:r>
        <w:rPr>
          <w:rFonts w:hint="eastAsia" w:ascii="仿宋_GB2312" w:hAnsi="仿宋_GB2312" w:eastAsia="仿宋_GB2312" w:cs="仿宋_GB2312"/>
          <w:color w:val="000000" w:themeColor="text1"/>
          <w:sz w:val="32"/>
          <w:szCs w:val="32"/>
        </w:rPr>
        <w:t>，外事接待0批次，0人，共计支出0万元。</w:t>
      </w:r>
    </w:p>
    <w:p>
      <w:pPr>
        <w:adjustRightInd w:val="0"/>
        <w:snapToGrid w:val="0"/>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其他国内公务接待支出0.34万元，主要用于</w:t>
      </w:r>
      <w:bookmarkStart w:id="46" w:name="_Toc15396610"/>
      <w:bookmarkStart w:id="47" w:name="_Toc15377218"/>
      <w:r>
        <w:rPr>
          <w:rFonts w:hint="eastAsia" w:ascii="仿宋_GB2312" w:hAnsi="仿宋_GB2312" w:eastAsia="仿宋_GB2312" w:cs="仿宋_GB2312"/>
          <w:sz w:val="32"/>
          <w:szCs w:val="32"/>
        </w:rPr>
        <w:t>执行公务、开展业务活动开支的交通费、住宿费、用餐费等。</w:t>
      </w:r>
    </w:p>
    <w:p>
      <w:pPr>
        <w:pStyle w:val="3"/>
        <w:adjustRightInd w:val="0"/>
        <w:snapToGrid w:val="0"/>
        <w:spacing w:line="576" w:lineRule="exact"/>
        <w:ind w:firstLine="640" w:firstLineChars="200"/>
        <w:rPr>
          <w:rStyle w:val="25"/>
          <w:rFonts w:ascii="黑体" w:hAnsi="黑体" w:eastAsia="黑体"/>
          <w:b/>
          <w:bCs/>
        </w:rPr>
      </w:pPr>
      <w:r>
        <w:rPr>
          <w:rFonts w:hint="eastAsia" w:ascii="黑体" w:hAnsi="黑体" w:eastAsia="黑体" w:cs="黑体"/>
          <w:b w:val="0"/>
          <w:bCs w:val="0"/>
          <w:color w:val="000000"/>
        </w:rPr>
        <w:t>八、</w:t>
      </w:r>
      <w:r>
        <w:rPr>
          <w:rStyle w:val="25"/>
          <w:rFonts w:hint="eastAsia" w:ascii="黑体" w:hAnsi="黑体" w:eastAsia="黑体" w:cs="黑体"/>
          <w:b w:val="0"/>
          <w:bCs w:val="0"/>
        </w:rPr>
        <w:t>政府性基金预算支出决算情况说明</w:t>
      </w:r>
      <w:bookmarkEnd w:id="46"/>
      <w:bookmarkEnd w:id="47"/>
    </w:p>
    <w:p>
      <w:pPr>
        <w:adjustRightInd w:val="0"/>
        <w:snapToGrid w:val="0"/>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pStyle w:val="3"/>
        <w:adjustRightInd w:val="0"/>
        <w:snapToGrid w:val="0"/>
        <w:spacing w:line="576" w:lineRule="exact"/>
        <w:ind w:firstLine="640" w:firstLineChars="200"/>
        <w:rPr>
          <w:rStyle w:val="25"/>
          <w:rFonts w:ascii="黑体" w:hAnsi="黑体" w:eastAsia="黑体"/>
          <w:b w:val="0"/>
          <w:bCs/>
        </w:rPr>
      </w:pPr>
      <w:bookmarkStart w:id="48" w:name="_Toc15377219"/>
      <w:bookmarkStart w:id="49" w:name="_Toc15396611"/>
      <w:r>
        <w:rPr>
          <w:rStyle w:val="25"/>
          <w:rFonts w:hint="eastAsia" w:ascii="黑体" w:hAnsi="黑体" w:eastAsia="黑体"/>
          <w:b w:val="0"/>
          <w:bCs/>
        </w:rPr>
        <w:t>九、国有资本经营预算支出决算情况说明</w:t>
      </w:r>
      <w:bookmarkEnd w:id="48"/>
      <w:bookmarkEnd w:id="49"/>
    </w:p>
    <w:p>
      <w:pPr>
        <w:adjustRightInd w:val="0"/>
        <w:snapToGrid w:val="0"/>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pStyle w:val="3"/>
        <w:adjustRightInd w:val="0"/>
        <w:snapToGrid w:val="0"/>
        <w:spacing w:line="576" w:lineRule="exact"/>
        <w:ind w:firstLine="640" w:firstLineChars="200"/>
        <w:rPr>
          <w:rStyle w:val="25"/>
          <w:rFonts w:ascii="黑体" w:hAnsi="黑体" w:eastAsia="黑体"/>
          <w:b w:val="0"/>
          <w:bCs/>
        </w:rPr>
      </w:pPr>
      <w:r>
        <w:rPr>
          <w:rStyle w:val="25"/>
          <w:rFonts w:hint="eastAsia" w:ascii="黑体" w:hAnsi="黑体" w:eastAsia="黑体"/>
          <w:b w:val="0"/>
          <w:bCs/>
        </w:rPr>
        <w:t>十、其他重要事项的情况说明</w:t>
      </w:r>
    </w:p>
    <w:p>
      <w:pPr>
        <w:adjustRightInd w:val="0"/>
        <w:snapToGrid w:val="0"/>
        <w:spacing w:line="576" w:lineRule="exact"/>
        <w:ind w:firstLine="642" w:firstLineChars="200"/>
        <w:outlineLvl w:val="2"/>
        <w:rPr>
          <w:rFonts w:ascii="楷体_GB2312" w:hAnsi="楷体_GB2312" w:eastAsia="楷体_GB2312" w:cs="楷体_GB2312"/>
          <w:b/>
          <w:color w:val="000000"/>
          <w:sz w:val="32"/>
          <w:szCs w:val="32"/>
        </w:rPr>
      </w:pPr>
      <w:bookmarkStart w:id="50" w:name="_Toc15377222"/>
      <w:r>
        <w:rPr>
          <w:rFonts w:hint="eastAsia" w:ascii="楷体_GB2312" w:hAnsi="楷体_GB2312" w:eastAsia="楷体_GB2312" w:cs="楷体_GB2312"/>
          <w:b/>
          <w:color w:val="000000"/>
          <w:sz w:val="32"/>
          <w:szCs w:val="32"/>
        </w:rPr>
        <w:t>（一）机关运行经费支出情况</w:t>
      </w:r>
      <w:bookmarkEnd w:id="50"/>
    </w:p>
    <w:p>
      <w:pPr>
        <w:adjustRightInd w:val="0"/>
        <w:snapToGrid w:val="0"/>
        <w:spacing w:line="576"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9年，茂县医疗保障局机关运行经费支出0万元。</w:t>
      </w:r>
    </w:p>
    <w:p>
      <w:pPr>
        <w:adjustRightInd w:val="0"/>
        <w:snapToGrid w:val="0"/>
        <w:spacing w:line="576" w:lineRule="exact"/>
        <w:ind w:firstLine="642" w:firstLineChars="200"/>
        <w:outlineLvl w:val="1"/>
        <w:rPr>
          <w:rFonts w:ascii="仿宋" w:hAnsi="仿宋" w:eastAsia="仿宋"/>
          <w:b/>
          <w:color w:val="000000"/>
          <w:sz w:val="32"/>
          <w:szCs w:val="32"/>
        </w:rPr>
      </w:pPr>
      <w:bookmarkStart w:id="51" w:name="_Toc15377223"/>
      <w:r>
        <w:rPr>
          <w:rFonts w:hint="eastAsia" w:ascii="楷体_GB2312" w:hAnsi="楷体_GB2312" w:eastAsia="楷体_GB2312" w:cs="楷体_GB2312"/>
          <w:b/>
          <w:color w:val="000000"/>
          <w:sz w:val="32"/>
          <w:szCs w:val="32"/>
        </w:rPr>
        <w:t>（二）政府采购支出情况</w:t>
      </w:r>
      <w:bookmarkEnd w:id="51"/>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2019年，茂县医疗保障局政府采购支出总额0万元。</w:t>
      </w:r>
    </w:p>
    <w:p>
      <w:pPr>
        <w:adjustRightInd w:val="0"/>
        <w:snapToGrid w:val="0"/>
        <w:spacing w:line="576" w:lineRule="exact"/>
        <w:ind w:firstLine="642" w:firstLineChars="200"/>
        <w:outlineLvl w:val="1"/>
        <w:rPr>
          <w:rFonts w:ascii="楷体_GB2312" w:hAnsi="楷体_GB2312" w:eastAsia="楷体_GB2312" w:cs="楷体_GB2312"/>
          <w:b/>
          <w:color w:val="000000"/>
          <w:sz w:val="32"/>
          <w:szCs w:val="32"/>
        </w:rPr>
      </w:pPr>
      <w:bookmarkStart w:id="52" w:name="_Toc15377224"/>
      <w:r>
        <w:rPr>
          <w:rFonts w:hint="eastAsia" w:ascii="楷体_GB2312" w:hAnsi="楷体_GB2312" w:eastAsia="楷体_GB2312" w:cs="楷体_GB2312"/>
          <w:b/>
          <w:color w:val="000000"/>
          <w:sz w:val="32"/>
          <w:szCs w:val="32"/>
        </w:rPr>
        <w:t>（三）国有资产占有使用情况</w:t>
      </w:r>
      <w:bookmarkEnd w:id="52"/>
    </w:p>
    <w:p>
      <w:pPr>
        <w:autoSpaceDE w:val="0"/>
        <w:autoSpaceDN w:val="0"/>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截至2019年12月31日，茂县医疗保障局共有车辆0辆。</w:t>
      </w:r>
    </w:p>
    <w:p>
      <w:pPr>
        <w:adjustRightInd w:val="0"/>
        <w:snapToGrid w:val="0"/>
        <w:spacing w:line="576"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由于2019年度机构改革，茂县医疗保险管理局和茂县城乡居民基本医疗保险管理办公室合并更名为茂县医疗保障局。</w:t>
      </w:r>
    </w:p>
    <w:p>
      <w:pPr>
        <w:adjustRightInd w:val="0"/>
        <w:snapToGrid w:val="0"/>
        <w:spacing w:line="576" w:lineRule="exact"/>
        <w:ind w:firstLine="642"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（四）预算绩效管理情况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建档立卡贫困人口大病补充保险费用”、“医疗服务与保障能力提升补助资金”、“驻村干部临岗补贴”等3个项目开展了预算事前绩效评估，对3个项目编制了绩效目标，预算执行过程中，选取3个项目开展绩效监控，年终执行完毕后，对3个项目开展了绩效目标完成情况梳理填报。</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本部门按要求对2019年部门整体支出开展绩效自评，从评价情况来看2019年部门整体支出有效的保障了单位的正常运行，保障了职工的基本福利待遇，使大家的工作积极性得到了提高。</w:t>
      </w:r>
    </w:p>
    <w:p>
      <w:pPr>
        <w:spacing w:line="600" w:lineRule="exact"/>
        <w:ind w:firstLine="642" w:firstLineChars="200"/>
        <w:outlineLvl w:val="1"/>
        <w:rPr>
          <w:rFonts w:ascii="仿宋_GB2312" w:hAnsi="仿宋_GB2312" w:eastAsia="仿宋_GB2312" w:cs="仿宋_GB2312"/>
          <w:sz w:val="32"/>
          <w:szCs w:val="32"/>
        </w:rPr>
      </w:pPr>
      <w:r>
        <w:rPr>
          <w:rFonts w:hint="eastAsia" w:ascii="楷体_GB2312" w:hAnsi="仿宋" w:eastAsia="楷体_GB2312" w:cs="楷体_GB2312"/>
          <w:b/>
          <w:bCs/>
          <w:sz w:val="32"/>
          <w:szCs w:val="32"/>
        </w:rPr>
        <w:t>（二）项目绩效目标完成情况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本部门在2019年度部门决算中反映“建档立卡贫困人口大病补充保险费用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、“医疗服务与保障能力提升补助资金”、“驻村干部临岗补贴”等3个项目绩效目标实际完成情况。</w:t>
      </w:r>
    </w:p>
    <w:p>
      <w:pPr>
        <w:tabs>
          <w:tab w:val="left" w:pos="312"/>
        </w:tabs>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“建档立卡贫困人口大病补充保险费用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项目绩效目标完成情况综述。项目全年预算数4.95万元，执行数为4.95万元，完成预算的100%。通过项目实施，保障了建档立卡贫困人口大病补充保险参保的顺利进行。</w:t>
      </w:r>
    </w:p>
    <w:p>
      <w:pPr>
        <w:tabs>
          <w:tab w:val="left" w:pos="312"/>
        </w:tabs>
        <w:spacing w:line="5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“医疗服务与保障能力提升补助资金”项目绩效目标完成情况综述。项目全年预算数4万元，执行数为4万元，完成预算的100%。通过项目实施，保障了医保信息系统的正常运行以及医保活动的政策宣传工作。</w:t>
      </w:r>
    </w:p>
    <w:p>
      <w:pPr>
        <w:tabs>
          <w:tab w:val="left" w:pos="312"/>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“驻村干部临岗补贴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项目绩效目标完成情况综述。项目全年预算数0.54万元，执行数为0.54万元，完成预算的100%。通过项目实施，保障了驻村干部的生活需求，使驻村干部</w:t>
      </w:r>
      <w:r>
        <w:rPr>
          <w:rFonts w:hint="default" w:ascii="仿宋_GB2312" w:hAnsi="仿宋_GB2312" w:eastAsia="仿宋_GB2312" w:cs="仿宋_GB2312"/>
          <w:sz w:val="32"/>
          <w:szCs w:val="32"/>
        </w:rPr>
        <w:t>能够更好地</w:t>
      </w:r>
      <w:r>
        <w:rPr>
          <w:rFonts w:hint="eastAsia" w:ascii="仿宋_GB2312" w:hAnsi="仿宋_GB2312" w:eastAsia="仿宋_GB2312" w:cs="仿宋_GB2312"/>
          <w:sz w:val="32"/>
          <w:szCs w:val="32"/>
        </w:rPr>
        <w:t>完成驻村工作。</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建档立卡贫困人口大病补充保险费用</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茂县城乡居民基本医疗保险服务中心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4.95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4.95</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4.95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4.95</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保障建档立卡贫困人口大病补充保险参保的顺利进行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保障了2019年建档立卡贫困人口大病补充保险参保的顺利进行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参保人数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7646人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7646人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当年12月底前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当年12月底前</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支出测算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按照往年及动态调整进行测算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费用正常支出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保障建档立卡贫困人口大病补充保险参保的顺利进行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保障了2019年建档立卡贫困人口大病补充保险参保的顺利进行</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未收到相关投诉</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医疗服务与保障能力提升补助资金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茂县医疗保障局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保障了医保信息系统的正常运行以及医保活动的政策宣传工作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保障了2019年医保信息系统的正常运行以及医保活动的政策宣传工作</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开展全域医保政策宣传活动次数</w:t>
            </w:r>
            <w:r>
              <w:rPr>
                <w:rFonts w:hint="eastAsia" w:ascii="宋体" w:hAnsi="宋体" w:cs="宋体"/>
                <w:color w:val="000000"/>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当年12月底前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当年12月底前</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支出测算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费用按要求支出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费用正常支出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参保群众政策知晓率</w:t>
            </w:r>
            <w:r>
              <w:rPr>
                <w:rFonts w:hint="eastAsia" w:ascii="宋体" w:hAnsi="宋体" w:cs="宋体"/>
                <w:color w:val="000000"/>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98%</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参保人员对医保服务的满意度</w:t>
            </w:r>
            <w:r>
              <w:rPr>
                <w:rFonts w:hint="eastAsia" w:ascii="宋体" w:hAnsi="宋体" w:cs="宋体"/>
                <w:color w:val="000000"/>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驻村干部临岗补贴</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茂县医疗保障局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0.54</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保障了驻村干部的生活需求，使驻村干部</w:t>
            </w:r>
            <w:r>
              <w:rPr>
                <w:rFonts w:hint="default" w:ascii="宋体" w:hAnsi="宋体" w:cs="宋体"/>
                <w:color w:val="000000"/>
                <w:sz w:val="24"/>
              </w:rPr>
              <w:t>能够更好地</w:t>
            </w:r>
            <w:r>
              <w:rPr>
                <w:rFonts w:hint="eastAsia" w:ascii="宋体" w:hAnsi="宋体" w:cs="宋体"/>
                <w:color w:val="000000"/>
                <w:sz w:val="24"/>
              </w:rPr>
              <w:t>完成驻村工作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保障了驻村干部的2019年的生活需求，使驻村干部</w:t>
            </w:r>
            <w:r>
              <w:rPr>
                <w:rFonts w:hint="default" w:ascii="宋体" w:hAnsi="宋体" w:cs="宋体"/>
                <w:color w:val="000000"/>
                <w:sz w:val="24"/>
              </w:rPr>
              <w:t>能够更好地</w:t>
            </w:r>
            <w:r>
              <w:rPr>
                <w:rFonts w:hint="eastAsia" w:ascii="宋体" w:hAnsi="宋体" w:cs="宋体"/>
                <w:color w:val="000000"/>
                <w:sz w:val="24"/>
              </w:rPr>
              <w:t>完成驻村工作</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驻村干部人数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当年12月底前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当年12月底前</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支出测算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费用按要求支出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费用正常支出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帮助老百姓解决困难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98%</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乡镇老百姓对驻村干部的满意度</w:t>
            </w:r>
            <w:r>
              <w:rPr>
                <w:rFonts w:hint="eastAsia" w:ascii="宋体" w:hAnsi="宋体" w:cs="宋体"/>
                <w:color w:val="000000"/>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bl>
    <w:p>
      <w:pPr>
        <w:adjustRightInd w:val="0"/>
        <w:snapToGrid w:val="0"/>
        <w:spacing w:line="576" w:lineRule="exact"/>
        <w:ind w:firstLine="642" w:firstLineChars="200"/>
        <w:outlineLvl w:val="1"/>
        <w:rPr>
          <w:rFonts w:ascii="楷体_GB2312" w:hAnsi="楷体_GB2312" w:eastAsia="楷体_GB2312" w:cs="楷体_GB2312"/>
          <w:b/>
          <w:bCs/>
          <w:sz w:val="32"/>
          <w:szCs w:val="32"/>
        </w:rPr>
      </w:pPr>
    </w:p>
    <w:p>
      <w:pPr>
        <w:adjustRightInd w:val="0"/>
        <w:snapToGrid w:val="0"/>
        <w:spacing w:line="576" w:lineRule="exact"/>
        <w:ind w:firstLine="642" w:firstLineChars="200"/>
        <w:outlineLvl w:val="1"/>
        <w:rPr>
          <w:rFonts w:ascii="楷体_GB2312" w:hAnsi="楷体_GB2312" w:eastAsia="楷体_GB2312" w:cs="楷体_GB2312"/>
          <w:sz w:val="32"/>
          <w:szCs w:val="32"/>
        </w:rPr>
      </w:pPr>
      <w:r>
        <w:rPr>
          <w:rFonts w:hint="eastAsia" w:ascii="楷体_GB2312" w:hAnsi="楷体_GB2312" w:eastAsia="楷体_GB2312" w:cs="楷体_GB2312"/>
          <w:b/>
          <w:bCs/>
          <w:sz w:val="32"/>
          <w:szCs w:val="32"/>
        </w:rPr>
        <w:t>部门开展绩效评价结果</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本部门按要求对2019年部门整体支出绩效评价情况开展自评，《茂县医疗保障局2019年部门整体支出绩效评价报告》见附件。</w:t>
      </w:r>
    </w:p>
    <w:p>
      <w:pPr>
        <w:autoSpaceDE w:val="0"/>
        <w:autoSpaceDN w:val="0"/>
        <w:adjustRightInd w:val="0"/>
        <w:snapToGrid w:val="0"/>
        <w:spacing w:line="576" w:lineRule="exact"/>
        <w:rPr>
          <w:rFonts w:ascii="仿宋_GB2312" w:hAnsi="仿宋_GB2312" w:eastAsia="仿宋_GB2312" w:cs="仿宋_GB2312"/>
          <w:color w:val="000000"/>
          <w:sz w:val="32"/>
          <w:szCs w:val="32"/>
        </w:rPr>
      </w:pPr>
    </w:p>
    <w:p>
      <w:pPr>
        <w:autoSpaceDE w:val="0"/>
        <w:autoSpaceDN w:val="0"/>
        <w:adjustRightInd w:val="0"/>
        <w:snapToGrid w:val="0"/>
        <w:spacing w:line="576" w:lineRule="exact"/>
        <w:jc w:val="left"/>
        <w:rPr>
          <w:rFonts w:ascii="仿宋_GB2312" w:hAnsi="仿宋_GB2312" w:eastAsia="仿宋_GB2312" w:cs="仿宋_GB2312"/>
          <w:color w:val="000000"/>
          <w:sz w:val="32"/>
          <w:szCs w:val="32"/>
        </w:rPr>
      </w:pPr>
    </w:p>
    <w:p>
      <w:pPr>
        <w:numPr>
          <w:ilvl w:val="0"/>
          <w:numId w:val="3"/>
        </w:numPr>
        <w:adjustRightInd w:val="0"/>
        <w:snapToGrid w:val="0"/>
        <w:spacing w:line="576" w:lineRule="exact"/>
        <w:jc w:val="center"/>
        <w:outlineLvl w:val="0"/>
        <w:rPr>
          <w:rStyle w:val="24"/>
          <w:rFonts w:ascii="方正小标宋简体" w:hAnsi="方正小标宋简体" w:eastAsia="方正小标宋简体" w:cs="方正小标宋简体"/>
          <w:b w:val="0"/>
        </w:rPr>
      </w:pPr>
      <w:bookmarkStart w:id="53" w:name="_Toc15377225"/>
      <w:bookmarkStart w:id="54" w:name="_Toc15396613"/>
      <w:r>
        <w:rPr>
          <w:rFonts w:hint="eastAsia" w:ascii="方正小标宋简体" w:hAnsi="方正小标宋简体" w:eastAsia="方正小标宋简体" w:cs="方正小标宋简体"/>
          <w:b/>
          <w:color w:val="000000"/>
          <w:sz w:val="44"/>
          <w:szCs w:val="44"/>
        </w:rPr>
        <w:t>名</w:t>
      </w:r>
      <w:r>
        <w:rPr>
          <w:rStyle w:val="24"/>
          <w:rFonts w:hint="eastAsia" w:ascii="方正小标宋简体" w:hAnsi="方正小标宋简体" w:eastAsia="方正小标宋简体" w:cs="方正小标宋简体"/>
          <w:b w:val="0"/>
        </w:rPr>
        <w:t>词解释</w:t>
      </w:r>
      <w:bookmarkEnd w:id="53"/>
      <w:bookmarkEnd w:id="54"/>
    </w:p>
    <w:p>
      <w:pPr>
        <w:adjustRightInd w:val="0"/>
        <w:snapToGrid w:val="0"/>
        <w:spacing w:line="576" w:lineRule="exact"/>
        <w:jc w:val="left"/>
        <w:rPr>
          <w:rFonts w:ascii="宋体"/>
          <w:b/>
          <w:color w:val="000000"/>
          <w:sz w:val="44"/>
          <w:szCs w:val="44"/>
        </w:rPr>
      </w:pP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2.事业收入：指事业单位开展专业业务活动及辅助活动取得的收入等。</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3.经营收入：指事业单位在专业业务活动及其辅助活动之外开展非独立核算经营活动取得的收入等。</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4.其他收入：指单位取得的除上述收入以外的各项收入等。</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6.年初结转和结余：指以前年度尚未完成、结转到本年按有关规定继续使用的资金。</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Style w:val="14"/>
          <w:rFonts w:hint="eastAsia" w:ascii="仿宋_GB2312" w:hAnsi="仿宋_GB2312" w:eastAsia="仿宋_GB2312" w:cs="仿宋_GB2312"/>
          <w:b w:val="0"/>
          <w:color w:val="000000"/>
          <w:sz w:val="32"/>
          <w:szCs w:val="32"/>
        </w:rPr>
        <w:t xml:space="preserve"> 社会保障和就业（类）人力资源和社会保障管理事务（款）社会保险经办机构（项）：指社会保险经办机构开展业务工作的支出。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10.社会保障和就业（类）行政事业单位离退休（款）机关事业单位基本养老保险缴费支出（项）：指机关事业单位实施养老保险制度由单位缴纳的基本养老保险费支出。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11.社会保障和就业（类）行政事业单位离退休（款）机关事业单位职业年金缴费支出（项）：指机关事业单位养老保险制度由单位缴纳的职业年金支出。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12.社会保障和就业（类）人力资源和社会保障管理事务（款）行政运行（项）:指指社会保险经办机构开展业务工作的行政运行支出。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3</w:t>
      </w:r>
      <w:r>
        <w:rPr>
          <w:rFonts w:ascii="仿宋_GB2312" w:eastAsia="仿宋_GB2312"/>
          <w:color w:val="000000"/>
          <w:sz w:val="32"/>
          <w:szCs w:val="32"/>
        </w:rPr>
        <w:t>.</w:t>
      </w:r>
      <w:r>
        <w:rPr>
          <w:rStyle w:val="14"/>
          <w:rFonts w:hint="eastAsia" w:ascii="仿宋_GB2312" w:hAnsi="仿宋_GB2312" w:eastAsia="仿宋_GB2312" w:cs="仿宋_GB2312"/>
          <w:b w:val="0"/>
          <w:color w:val="000000"/>
          <w:sz w:val="32"/>
          <w:szCs w:val="32"/>
        </w:rPr>
        <w:t>医疗卫生与计划生育（类）行政事业单位医疗（款）行政单位医疗（项）：指财政部门集中安排的行政单位基本医疗保险缴费。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Style w:val="14"/>
          <w:rFonts w:hint="eastAsia" w:ascii="仿宋_GB2312" w:hAnsi="仿宋_GB2312" w:eastAsia="仿宋_GB2312" w:cs="仿宋_GB2312"/>
          <w:b w:val="0"/>
          <w:color w:val="000000"/>
          <w:sz w:val="32"/>
          <w:szCs w:val="32"/>
        </w:rPr>
        <w:t>住房保障（类）住房改革支出（款）住房公积金（项）：指行政事业单位按规定的标准和比例为职工缴纳的住房公积金。</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15.基本支出：指为保障机构正常运转、完成日常工作任务而发生的人员支出和公用支出。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16.项目支出：指在基本支出之外为完成特定行政任务和事业发展目标所发生的支出。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17.经营支出：指事业单位在专业业务活动及其辅助活动之外开展非独立核算经营活动发生的支出。</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napToGrid w:val="0"/>
        <w:spacing w:line="576" w:lineRule="exact"/>
        <w:ind w:firstLine="640" w:firstLineChars="200"/>
        <w:jc w:val="both"/>
        <w:rPr>
          <w:rFonts w:ascii="仿宋_GB2312" w:hAnsi="仿宋_GB2312" w:eastAsia="仿宋_GB2312" w:cs="仿宋_GB2312"/>
          <w:b/>
          <w:sz w:val="44"/>
          <w:szCs w:val="44"/>
        </w:rPr>
      </w:pPr>
      <w:r>
        <w:rPr>
          <w:rFonts w:hint="eastAsia" w:ascii="仿宋_GB2312" w:hAnsi="仿宋_GB2312" w:eastAsia="仿宋_GB2312" w:cs="仿宋_GB2312"/>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5" w:name="_Toc15377226"/>
      <w:r>
        <w:rPr>
          <w:rFonts w:hint="eastAsia" w:ascii="仿宋_GB2312" w:hAnsi="仿宋_GB2312" w:eastAsia="仿宋_GB2312" w:cs="仿宋_GB2312"/>
          <w:b/>
          <w:sz w:val="44"/>
          <w:szCs w:val="44"/>
        </w:rPr>
        <w:br w:type="page"/>
      </w:r>
      <w:bookmarkStart w:id="56" w:name="_Toc15396614"/>
    </w:p>
    <w:p>
      <w:pPr>
        <w:spacing w:line="600" w:lineRule="exact"/>
        <w:jc w:val="center"/>
        <w:outlineLvl w:val="0"/>
        <w:rPr>
          <w:rFonts w:ascii="方正小标宋简体" w:hAnsi="方正小标宋简体" w:eastAsia="方正小标宋简体" w:cs="方正小标宋简体"/>
          <w:bCs/>
          <w:kern w:val="44"/>
          <w:sz w:val="44"/>
          <w:szCs w:val="44"/>
        </w:rPr>
      </w:pPr>
      <w:r>
        <w:rPr>
          <w:rFonts w:hint="eastAsia" w:ascii="方正小标宋简体" w:hAnsi="方正小标宋简体" w:eastAsia="方正小标宋简体" w:cs="方正小标宋简体"/>
          <w:color w:val="000000"/>
          <w:sz w:val="44"/>
          <w:szCs w:val="44"/>
        </w:rPr>
        <w:t>第</w:t>
      </w:r>
      <w:r>
        <w:rPr>
          <w:rStyle w:val="24"/>
          <w:rFonts w:hint="eastAsia" w:ascii="方正小标宋简体" w:hAnsi="方正小标宋简体" w:eastAsia="方正小标宋简体" w:cs="方正小标宋简体"/>
          <w:b w:val="0"/>
        </w:rPr>
        <w:t>四部分 附件</w:t>
      </w:r>
    </w:p>
    <w:p>
      <w:pPr>
        <w:pStyle w:val="22"/>
        <w:snapToGrid w:val="0"/>
        <w:spacing w:line="576" w:lineRule="exact"/>
        <w:jc w:val="both"/>
        <w:rPr>
          <w:rStyle w:val="24"/>
          <w:rFonts w:ascii="黑体" w:hAnsi="黑体" w:eastAsia="黑体" w:cs="黑体"/>
          <w:b w:val="0"/>
          <w:sz w:val="32"/>
          <w:szCs w:val="32"/>
        </w:rPr>
      </w:pPr>
      <w:r>
        <w:rPr>
          <w:rStyle w:val="24"/>
          <w:rFonts w:hint="eastAsia" w:ascii="黑体" w:hAnsi="黑体" w:eastAsia="黑体" w:cs="黑体"/>
          <w:b w:val="0"/>
          <w:sz w:val="32"/>
          <w:szCs w:val="32"/>
        </w:rPr>
        <w:t>附件</w:t>
      </w:r>
      <w:bookmarkEnd w:id="56"/>
      <w:r>
        <w:rPr>
          <w:rStyle w:val="24"/>
          <w:rFonts w:hint="eastAsia" w:ascii="黑体" w:hAnsi="黑体" w:eastAsia="黑体" w:cs="黑体"/>
          <w:b w:val="0"/>
          <w:sz w:val="32"/>
          <w:szCs w:val="32"/>
        </w:rPr>
        <w:t>1</w:t>
      </w:r>
    </w:p>
    <w:p>
      <w:pPr>
        <w:adjustRightInd w:val="0"/>
        <w:snapToGrid w:val="0"/>
        <w:spacing w:line="576" w:lineRule="exact"/>
        <w:jc w:val="center"/>
        <w:rPr>
          <w:rFonts w:ascii="方正小标宋简体" w:hAnsi="方正小标宋简体" w:eastAsia="方正小标宋简体" w:cs="方正小标宋简体"/>
          <w:sz w:val="44"/>
          <w:szCs w:val="44"/>
        </w:rPr>
      </w:pPr>
      <w:bookmarkStart w:id="57" w:name="_Toc15396616"/>
      <w:r>
        <w:rPr>
          <w:rFonts w:hint="eastAsia" w:ascii="方正小标宋简体" w:hAnsi="方正小标宋简体" w:eastAsia="方正小标宋简体" w:cs="方正小标宋简体"/>
          <w:sz w:val="44"/>
          <w:szCs w:val="44"/>
        </w:rPr>
        <w:t>茂县医疗保障局</w:t>
      </w:r>
    </w:p>
    <w:p>
      <w:pPr>
        <w:adjustRightInd w:val="0"/>
        <w:snapToGrid w:val="0"/>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2019年部门整体支出绩效评价报告</w:t>
      </w:r>
      <w:bookmarkEnd w:id="57"/>
    </w:p>
    <w:p>
      <w:pPr>
        <w:adjustRightInd w:val="0"/>
        <w:snapToGrid w:val="0"/>
        <w:spacing w:line="576" w:lineRule="exact"/>
        <w:jc w:val="left"/>
        <w:rPr>
          <w:rFonts w:ascii="仿宋_GB2312" w:hAnsi="仿宋_GB2312" w:eastAsia="仿宋_GB2312" w:cs="仿宋_GB2312"/>
          <w:sz w:val="32"/>
          <w:szCs w:val="32"/>
        </w:rPr>
      </w:pPr>
    </w:p>
    <w:p>
      <w:pPr>
        <w:adjustRightInd w:val="0"/>
        <w:snapToGrid w:val="0"/>
        <w:spacing w:line="57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一、部门（单位）概况</w:t>
      </w:r>
    </w:p>
    <w:p>
      <w:pPr>
        <w:adjustRightInd w:val="0"/>
        <w:snapToGrid w:val="0"/>
        <w:spacing w:line="576"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（一）机构组成</w:t>
      </w:r>
    </w:p>
    <w:p>
      <w:pPr>
        <w:adjustRightInd w:val="0"/>
        <w:snapToGrid w:val="0"/>
        <w:spacing w:line="576" w:lineRule="exact"/>
        <w:ind w:firstLine="640" w:firstLineChars="200"/>
        <w:rPr>
          <w:rFonts w:ascii="仿宋_GB2312" w:eastAsia="仿宋_GB2312" w:cs="Calibri"/>
          <w:sz w:val="32"/>
          <w:szCs w:val="32"/>
        </w:rPr>
      </w:pPr>
      <w:r>
        <w:rPr>
          <w:rFonts w:hint="eastAsia" w:ascii="仿宋_GB2312" w:hAnsi="仿宋_GB2312" w:eastAsia="仿宋_GB2312" w:cs="仿宋_GB2312"/>
          <w:sz w:val="32"/>
          <w:szCs w:val="32"/>
        </w:rPr>
        <w:t>茂县医疗保障局属财政全额拨款一级预算单位。单位核定编制27名，在编在职人员24名。其中行政人员4名，参公人员9名，事业人员11名。</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（二）机构职能</w:t>
      </w:r>
    </w:p>
    <w:p>
      <w:pPr>
        <w:adjustRightInd w:val="0"/>
        <w:snapToGrid w:val="0"/>
        <w:spacing w:line="576" w:lineRule="exact"/>
        <w:ind w:firstLine="640" w:firstLineChars="200"/>
        <w:rPr>
          <w:rFonts w:ascii="仿宋" w:hAnsi="仿宋" w:eastAsia="仿宋"/>
          <w:bCs/>
          <w:sz w:val="32"/>
          <w:szCs w:val="32"/>
        </w:rPr>
      </w:pPr>
      <w:r>
        <w:rPr>
          <w:rFonts w:hint="eastAsia" w:ascii="仿宋_GB2312" w:eastAsia="仿宋_GB2312" w:cs="Calibri"/>
          <w:sz w:val="32"/>
          <w:szCs w:val="32"/>
        </w:rPr>
        <w:t>茂县医疗保障局</w:t>
      </w:r>
      <w:r>
        <w:rPr>
          <w:rFonts w:hint="eastAsia" w:ascii="仿宋_GB2312" w:hAnsi="仿宋_GB2312" w:eastAsia="仿宋_GB2312" w:cs="仿宋_GB2312"/>
          <w:sz w:val="32"/>
          <w:szCs w:val="32"/>
        </w:rPr>
        <w:t>宣传和贯彻执行医疗保险的有关政策；负责医疗保险基金的收缴、汇集、存储及保险基金运营管理，建立业务台账，统计有关数据；负责为参保人员建立个人账户，办理保险关系转移、退保等手续；负责医疗保险审核，核算医疗金给付标准和拨付医疗金；负责跟踪监督医疗金发放情况。</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（三）人员概况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单位核定编制27名，在编在职人员24名。</w:t>
      </w:r>
    </w:p>
    <w:p>
      <w:pPr>
        <w:adjustRightInd w:val="0"/>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（一）部门财政资金收入情况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2019年本年收入合计326.57万元，其中：一般公共预算财政拨款收入326.57万元，占100%；年初结转结余收入0万元。</w:t>
      </w:r>
    </w:p>
    <w:p>
      <w:pPr>
        <w:adjustRightInd w:val="0"/>
        <w:snapToGrid w:val="0"/>
        <w:spacing w:line="576" w:lineRule="exact"/>
        <w:ind w:firstLine="642" w:firstLineChars="200"/>
        <w:jc w:val="left"/>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（二）部门财政资金支出情况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2019年本年支出合计314.45万元，其中：基本支出304.96万元，占96.99%；项目支出9.49万元，占3.01%。</w:t>
      </w:r>
    </w:p>
    <w:p>
      <w:pPr>
        <w:adjustRightInd w:val="0"/>
        <w:snapToGrid w:val="0"/>
        <w:spacing w:line="57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三、部门整体预算绩效管理情况</w:t>
      </w:r>
    </w:p>
    <w:p>
      <w:pPr>
        <w:adjustRightInd w:val="0"/>
        <w:snapToGrid w:val="0"/>
        <w:spacing w:line="576"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（一）部门预算管理</w:t>
      </w:r>
    </w:p>
    <w:p>
      <w:pPr>
        <w:adjustRightInd w:val="0"/>
        <w:snapToGrid w:val="0"/>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1.部门绩效目标制定及完成情况。</w:t>
      </w:r>
      <w:r>
        <w:rPr>
          <w:rFonts w:hint="eastAsia" w:ascii="仿宋_GB2312" w:hAnsi="仿宋_GB2312" w:eastAsia="仿宋_GB2312" w:cs="仿宋_GB2312"/>
          <w:sz w:val="32"/>
          <w:szCs w:val="32"/>
        </w:rPr>
        <w:t>我单位在编制2019年预算时严格按照《行政事业单位会计制度》、《预算法》等相关法律法规及县级财政部门要求，并结合自身工作实际制定了部门整体支出绩效总体目标及绩效指标，据实向财政部门报送《部门整体支出绩效目标申报表》。经自评，单位2019年部门整体支出绩效总体上达到既定目标，有效保障了单位正常运转及开展部门职能工作。</w:t>
      </w:r>
    </w:p>
    <w:p>
      <w:pPr>
        <w:adjustRightInd w:val="0"/>
        <w:snapToGrid w:val="0"/>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2.预算编制情况。</w:t>
      </w:r>
      <w:r>
        <w:rPr>
          <w:rFonts w:hint="eastAsia" w:ascii="仿宋_GB2312" w:hAnsi="仿宋_GB2312" w:eastAsia="仿宋_GB2312" w:cs="仿宋_GB2312"/>
          <w:sz w:val="32"/>
          <w:szCs w:val="32"/>
        </w:rPr>
        <w:t>我单位严格按照县财政部门预算编制通知和有关文件要求，并结合本单位实际情况进行预算编制。单位预算编制工作完成后按“二上二下”的编制程序提交县财政支出管理股室进行审核后下达批复。严格按照年初预算执行。支出总额控制在预算总额之内，除政策性工资预算的追加、保险费用的追加以外，本部门预算未进行预算相关事项的调整。预算完成率达到100%，日常公用经费和“三公经费”总体控制较好，未超过本年预算。</w:t>
      </w:r>
    </w:p>
    <w:p>
      <w:pPr>
        <w:adjustRightInd w:val="0"/>
        <w:snapToGrid w:val="0"/>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3.预算执行及支出控制情况。</w:t>
      </w:r>
      <w:r>
        <w:rPr>
          <w:rFonts w:hint="eastAsia" w:ascii="仿宋_GB2312" w:hAnsi="仿宋_GB2312" w:eastAsia="仿宋_GB2312" w:cs="仿宋_GB2312"/>
          <w:sz w:val="32"/>
          <w:szCs w:val="32"/>
        </w:rPr>
        <w:t>严格按照年初预算执行。支出总额控制在预算总额之内，除政策性工资预算的追加、保险费用的追加以外，本部门预算未进行预算相关事项的调整。预算完成率达到100%，日常公用经费和“三公经费”总体控制较好，未超过本年预算。</w:t>
      </w:r>
    </w:p>
    <w:p>
      <w:pPr>
        <w:adjustRightInd w:val="0"/>
        <w:snapToGrid w:val="0"/>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4.预算动态调整情况。</w:t>
      </w:r>
      <w:r>
        <w:rPr>
          <w:rFonts w:hint="eastAsia" w:ascii="仿宋_GB2312" w:hAnsi="仿宋_GB2312" w:eastAsia="仿宋_GB2312" w:cs="仿宋_GB2312"/>
          <w:sz w:val="32"/>
          <w:szCs w:val="32"/>
        </w:rPr>
        <w:t>除政策性工资预算的追加、保险费用的追加以外，本部门预算未进行预算相关事项的调整。</w:t>
      </w:r>
    </w:p>
    <w:p>
      <w:pPr>
        <w:adjustRightInd w:val="0"/>
        <w:snapToGrid w:val="0"/>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5.预算执行进度及完成情况。</w:t>
      </w:r>
      <w:r>
        <w:rPr>
          <w:rFonts w:hint="eastAsia" w:ascii="仿宋_GB2312" w:hAnsi="仿宋_GB2312" w:eastAsia="仿宋_GB2312" w:cs="仿宋_GB2312"/>
          <w:sz w:val="32"/>
          <w:szCs w:val="32"/>
        </w:rPr>
        <w:t>2019年一般公共预算财政拨款支出预算执行数314.45万元，占支出总额的100%，预算完成情况达到100%。</w:t>
      </w:r>
    </w:p>
    <w:p>
      <w:pPr>
        <w:adjustRightInd w:val="0"/>
        <w:snapToGrid w:val="0"/>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6.违规记录情况：</w:t>
      </w:r>
      <w:r>
        <w:rPr>
          <w:rFonts w:hint="eastAsia" w:ascii="仿宋_GB2312" w:hAnsi="仿宋_GB2312" w:eastAsia="仿宋_GB2312" w:cs="仿宋_GB2312"/>
          <w:sz w:val="32"/>
          <w:szCs w:val="32"/>
        </w:rPr>
        <w:t>无。</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（二）专项预算管理</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在2019年决算公开中，专项预算管理内容我单位不涉及。</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（三）结果应用情况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每年按照县财政文件要求根据自身工作实际做好财政支出绩效评价自评及前期准备工作，同时撰写绩效自评报告及填写绩效评价指标体系并自评分数，说明扣分理由。按时将相应评价资料报送相应财政部门支出管理股室。单位严格落实工作责任，积极协调配合财政部门绩效评价小组对本单位进行实地评价。同时针对在绩效评价中发现的问题和不足认真整改落实，并将整改情况报送财政部门绩效评价小组。单位对照《县级部门整体支出绩效评价指标体系表》中各项具体指标认真开展了2019年部门整体绩效自评工作。经自评，单位部门整体支出均按照相应的规章制度和要求执行办理。</w:t>
      </w:r>
    </w:p>
    <w:p>
      <w:pPr>
        <w:adjustRightInd w:val="0"/>
        <w:snapToGrid w:val="0"/>
        <w:spacing w:line="57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四、评价结论及建议</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2019年，在县财政局的监督下，我单位积极履职，强化管理，较好的完成了年度工作目标。通过加强预算收支管理，不断建立健全内部管理制度，梳理内部管理流程，部门整体支出管理水平得到提升。</w:t>
      </w:r>
      <w:r>
        <w:rPr>
          <w:rFonts w:hint="eastAsia" w:ascii="仿宋_GB2312" w:eastAsia="仿宋_GB2312"/>
          <w:color w:val="000000"/>
          <w:sz w:val="32"/>
          <w:szCs w:val="32"/>
        </w:rPr>
        <w:t>绩效评价指标体系自评得分98.0分。</w:t>
      </w:r>
    </w:p>
    <w:tbl>
      <w:tblPr>
        <w:tblStyle w:val="12"/>
        <w:tblW w:w="10209" w:type="dxa"/>
        <w:tblInd w:w="-639" w:type="dxa"/>
        <w:tblLayout w:type="fixed"/>
        <w:tblCellMar>
          <w:top w:w="0" w:type="dxa"/>
          <w:left w:w="0" w:type="dxa"/>
          <w:bottom w:w="0" w:type="dxa"/>
          <w:right w:w="0" w:type="dxa"/>
        </w:tblCellMar>
      </w:tblPr>
      <w:tblGrid>
        <w:gridCol w:w="1215"/>
        <w:gridCol w:w="1290"/>
        <w:gridCol w:w="1425"/>
        <w:gridCol w:w="2415"/>
        <w:gridCol w:w="729"/>
        <w:gridCol w:w="720"/>
        <w:gridCol w:w="2415"/>
      </w:tblGrid>
      <w:tr>
        <w:tblPrEx>
          <w:tblCellMar>
            <w:top w:w="0" w:type="dxa"/>
            <w:left w:w="0" w:type="dxa"/>
            <w:bottom w:w="0" w:type="dxa"/>
            <w:right w:w="0" w:type="dxa"/>
          </w:tblCellMar>
        </w:tblPrEx>
        <w:trPr>
          <w:trHeight w:val="600" w:hRule="atLeast"/>
        </w:trPr>
        <w:tc>
          <w:tcPr>
            <w:tcW w:w="10209" w:type="dxa"/>
            <w:gridSpan w:val="7"/>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rPr>
              <w:t>2019年县级部门整体支出绩效评价指标体系</w:t>
            </w:r>
          </w:p>
        </w:tc>
      </w:tr>
      <w:tr>
        <w:tblPrEx>
          <w:tblCellMar>
            <w:top w:w="0" w:type="dxa"/>
            <w:left w:w="0" w:type="dxa"/>
            <w:bottom w:w="0" w:type="dxa"/>
            <w:right w:w="0" w:type="dxa"/>
          </w:tblCellMar>
        </w:tblPrEx>
        <w:trPr>
          <w:trHeight w:val="4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三级指标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指标解释</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扣分</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扣分理由</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计分标准（备注）</w:t>
            </w:r>
          </w:p>
        </w:tc>
      </w:tr>
      <w:tr>
        <w:tblPrEx>
          <w:tblCellMar>
            <w:top w:w="0" w:type="dxa"/>
            <w:left w:w="0" w:type="dxa"/>
            <w:bottom w:w="0" w:type="dxa"/>
            <w:right w:w="0" w:type="dxa"/>
          </w:tblCellMar>
        </w:tblPrEx>
        <w:trPr>
          <w:trHeight w:val="760" w:hRule="atLeast"/>
        </w:trPr>
        <w:tc>
          <w:tcPr>
            <w:tcW w:w="121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预算编制（10分）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报送时效（1分）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基础信息更新（1分）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部门是否按照县级部门预算编制通知和有关要求，按时完成基础库、项目库报送工作</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超过规定5个工作日扣0.5分，10个工作日扣1分，以此类推，直至扣完</w:t>
            </w:r>
          </w:p>
        </w:tc>
      </w:tr>
      <w:tr>
        <w:tblPrEx>
          <w:tblCellMar>
            <w:top w:w="0" w:type="dxa"/>
            <w:left w:w="0" w:type="dxa"/>
            <w:bottom w:w="0" w:type="dxa"/>
            <w:right w:w="0" w:type="dxa"/>
          </w:tblCellMar>
        </w:tblPrEx>
        <w:trPr>
          <w:trHeight w:val="840" w:hRule="atLeast"/>
        </w:trPr>
        <w:tc>
          <w:tcPr>
            <w:tcW w:w="12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编制质量（2分）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预算编制准确（1分）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（预算资金总来源-中期评估调整取消资金-预算结余注销资金）÷预算资金总来源*指标分值</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其中：预算资金总来源是指县级年初预算与执行中追加预算（不含当年专款）总和</w:t>
            </w:r>
          </w:p>
        </w:tc>
      </w:tr>
      <w:tr>
        <w:tblPrEx>
          <w:tblCellMar>
            <w:top w:w="0" w:type="dxa"/>
            <w:left w:w="0" w:type="dxa"/>
            <w:bottom w:w="0" w:type="dxa"/>
            <w:right w:w="0" w:type="dxa"/>
          </w:tblCellMar>
        </w:tblPrEx>
        <w:trPr>
          <w:trHeight w:val="630" w:hRule="atLeast"/>
        </w:trPr>
        <w:tc>
          <w:tcPr>
            <w:tcW w:w="12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部门预算审查（1分）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根据县人大财经委对预算草案审查结果进行考核</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对财经委审查后提出并确需修改的问题，每个问题扣0.02分，直至扣完</w:t>
            </w:r>
          </w:p>
        </w:tc>
      </w:tr>
      <w:tr>
        <w:tblPrEx>
          <w:tblCellMar>
            <w:top w:w="0" w:type="dxa"/>
            <w:left w:w="0" w:type="dxa"/>
            <w:bottom w:w="0" w:type="dxa"/>
            <w:right w:w="0" w:type="dxa"/>
          </w:tblCellMar>
        </w:tblPrEx>
        <w:trPr>
          <w:trHeight w:val="840" w:hRule="atLeast"/>
        </w:trPr>
        <w:tc>
          <w:tcPr>
            <w:tcW w:w="12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绩效目标（5分）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部门整体绩效目标（2分）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部门整体绩效目标编制完整、合理</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绩效目标编制不够细致</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部门整体绩效目标能完整、合理反映部门年度职责履行情况的得分，否则不得分</w:t>
            </w:r>
          </w:p>
        </w:tc>
      </w:tr>
      <w:tr>
        <w:tblPrEx>
          <w:tblCellMar>
            <w:top w:w="0" w:type="dxa"/>
            <w:left w:w="0" w:type="dxa"/>
            <w:bottom w:w="0" w:type="dxa"/>
            <w:right w:w="0" w:type="dxa"/>
          </w:tblCellMar>
        </w:tblPrEx>
        <w:trPr>
          <w:trHeight w:val="480" w:hRule="atLeast"/>
        </w:trPr>
        <w:tc>
          <w:tcPr>
            <w:tcW w:w="12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重点项目绩效目标（3分）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项目绩效目标编制明确、量化</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项目支出绩效目标编制不明确和量化的发现一个扣0.5分，直至扣完</w:t>
            </w:r>
          </w:p>
        </w:tc>
      </w:tr>
      <w:tr>
        <w:tblPrEx>
          <w:tblCellMar>
            <w:top w:w="0" w:type="dxa"/>
            <w:left w:w="0" w:type="dxa"/>
            <w:bottom w:w="0" w:type="dxa"/>
            <w:right w:w="0" w:type="dxa"/>
          </w:tblCellMar>
        </w:tblPrEx>
        <w:trPr>
          <w:trHeight w:val="42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预算执行（20分）</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执行进度（10分）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财力专项预算分配时限（4分）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按规定及时分配财力专项预算</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按《预算法》规定时限完成分配的考核得分，否则不得分</w:t>
            </w:r>
          </w:p>
        </w:tc>
      </w:tr>
      <w:tr>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部门预算执行进度（6分）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部门按要求严格预算执行管理</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部门预算实际列支数÷部门预算总额*指标分值</w:t>
            </w:r>
          </w:p>
        </w:tc>
      </w:tr>
      <w:tr>
        <w:tblPrEx>
          <w:tblCellMar>
            <w:top w:w="0" w:type="dxa"/>
            <w:left w:w="0" w:type="dxa"/>
            <w:bottom w:w="0" w:type="dxa"/>
            <w:right w:w="0" w:type="dxa"/>
          </w:tblCellMar>
        </w:tblPrEx>
        <w:trPr>
          <w:trHeight w:val="70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预算调整（4分）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执行中期评估（4分）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部门中期评估调整取消资金÷(中期评估调整取消资金+预算结余注销资金）*指标分值</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当中期评估调整取消资金与结余注销资金之和为零时，得满分</w:t>
            </w:r>
          </w:p>
        </w:tc>
      </w:tr>
      <w:tr>
        <w:tblPrEx>
          <w:tblCellMar>
            <w:top w:w="0" w:type="dxa"/>
            <w:left w:w="0" w:type="dxa"/>
            <w:bottom w:w="0" w:type="dxa"/>
            <w:right w:w="0" w:type="dxa"/>
          </w:tblCellMar>
        </w:tblPrEx>
        <w:trPr>
          <w:trHeight w:val="7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行政成本（6分）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三公经费（6分）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严格执行“三公经费”预算</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部门“三公”经费决算数一项超预算扣1分，两项超预算扣2分，以此类推，直至扣完</w:t>
            </w:r>
          </w:p>
        </w:tc>
      </w:tr>
      <w:tr>
        <w:tblPrEx>
          <w:tblCellMar>
            <w:top w:w="0" w:type="dxa"/>
            <w:left w:w="0" w:type="dxa"/>
            <w:bottom w:w="0" w:type="dxa"/>
            <w:right w:w="0" w:type="dxa"/>
          </w:tblCellMar>
        </w:tblPrEx>
        <w:trPr>
          <w:trHeight w:val="420" w:hRule="atLeast"/>
        </w:trPr>
        <w:tc>
          <w:tcPr>
            <w:tcW w:w="121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综合管理（40分）</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政府采购实施计划（4分）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政府采购实施计划编制（2）</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实施计划与政府采购预算的一致性</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（1-调整或细化资金/政府采购预算资金）*分值</w:t>
            </w:r>
          </w:p>
        </w:tc>
      </w:tr>
      <w:tr>
        <w:tblPrEx>
          <w:tblCellMar>
            <w:top w:w="0" w:type="dxa"/>
            <w:left w:w="0" w:type="dxa"/>
            <w:bottom w:w="0" w:type="dxa"/>
            <w:right w:w="0" w:type="dxa"/>
          </w:tblCellMar>
        </w:tblPrEx>
        <w:trPr>
          <w:trHeight w:val="66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政府采购实施计划的执行（2）</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执行的实施计划与备案的实施计划的一致性</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（1-实施计划备案后的调整或细化资金/实施计划备案后的资金）*分值</w:t>
            </w:r>
          </w:p>
        </w:tc>
      </w:tr>
      <w:tr>
        <w:tblPrEx>
          <w:tblCellMar>
            <w:top w:w="0" w:type="dxa"/>
            <w:left w:w="0" w:type="dxa"/>
            <w:bottom w:w="0" w:type="dxa"/>
            <w:right w:w="0" w:type="dxa"/>
          </w:tblCellMar>
        </w:tblPrEx>
        <w:trPr>
          <w:trHeight w:val="108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资产管理（6分）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资产管理信息系统建设情况（2分）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考核部门和单位将国有资产纳入资产信息系统管理情况</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①未将所属单位国有资产纳入系统管理，每少一个单位扣1分。②未将资产变动情况及时录入系统，每次扣0.5分。③未落实人员负责管理系统，扣1分。</w:t>
            </w:r>
          </w:p>
        </w:tc>
      </w:tr>
      <w:tr>
        <w:tblPrEx>
          <w:tblCellMar>
            <w:top w:w="0" w:type="dxa"/>
            <w:left w:w="0" w:type="dxa"/>
            <w:bottom w:w="0" w:type="dxa"/>
            <w:right w:w="0" w:type="dxa"/>
          </w:tblCellMar>
        </w:tblPrEx>
        <w:trPr>
          <w:trHeight w:val="174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行政事业单位资产清查开展情况（2分）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考核行政事业单位按要求及时、准确、全面开展资产清查工作情况</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①未在规定时间内完成资产清查任务扣1分。②资产清查结果与财政组织复核的结果误差超过10%的扣1分。③未及时按批复的清查结果进行账务调整扣1分。④未及时更新资产管理信息系统，导致系统资产数据与上报财政的资产清查结果不一致扣1分。</w:t>
            </w:r>
          </w:p>
        </w:tc>
      </w:tr>
      <w:tr>
        <w:tblPrEx>
          <w:tblCellMar>
            <w:top w:w="0" w:type="dxa"/>
            <w:left w:w="0" w:type="dxa"/>
            <w:bottom w:w="0" w:type="dxa"/>
            <w:right w:w="0" w:type="dxa"/>
          </w:tblCellMar>
        </w:tblPrEx>
        <w:trPr>
          <w:trHeight w:val="128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行政事业单位资产报表上报情况（2分）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考核行政事业单位上报国有资产报表数据的真实性、准确性、全面性</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①未落实专人负责资产报表，未及时上报资产报表扣1分。②报表填报不规范，内容不完整，数据不真实，扣1分。③未提交分析报告，对资产变动情况未作分析说明，扣1分。</w:t>
            </w:r>
          </w:p>
        </w:tc>
      </w:tr>
      <w:tr>
        <w:tblPrEx>
          <w:tblCellMar>
            <w:top w:w="0" w:type="dxa"/>
            <w:left w:w="0" w:type="dxa"/>
            <w:bottom w:w="0" w:type="dxa"/>
            <w:right w:w="0" w:type="dxa"/>
          </w:tblCellMar>
        </w:tblPrEx>
        <w:trPr>
          <w:trHeight w:val="110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内控制度管理（4分）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内部控制度健全完整（4分）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考核部门内部控制制度的设置和执行情况</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内部控制制度健全完整并执行良好的得分，否则不得分。在本年度内因内控制度不健全或执行不到位，造成单位出现廉政风险或发生重大责任事故的不得分。</w:t>
            </w:r>
          </w:p>
        </w:tc>
      </w:tr>
      <w:tr>
        <w:tblPrEx>
          <w:tblCellMar>
            <w:top w:w="0" w:type="dxa"/>
            <w:left w:w="0" w:type="dxa"/>
            <w:bottom w:w="0" w:type="dxa"/>
            <w:right w:w="0" w:type="dxa"/>
          </w:tblCellMar>
        </w:tblPrEx>
        <w:trPr>
          <w:trHeight w:val="126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信息公开（10分）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预算公开（4分）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除涉密信息外，各部门要在财政部门批复后二十日内向社会公开本部门预算（含所有财政资金安排的“三公”经费、机关运行经费的安排、使用情况等）</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按县财政通知要求公开预算，未按要求公开的，发现一处扣0.5分，直至扣完</w:t>
            </w:r>
          </w:p>
        </w:tc>
      </w:tr>
      <w:tr>
        <w:tblPrEx>
          <w:tblCellMar>
            <w:top w:w="0" w:type="dxa"/>
            <w:left w:w="0" w:type="dxa"/>
            <w:bottom w:w="0" w:type="dxa"/>
            <w:right w:w="0" w:type="dxa"/>
          </w:tblCellMar>
        </w:tblPrEx>
        <w:trPr>
          <w:trHeight w:val="128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决算公开（4分）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除涉密信息外，各部门要在财政部门批复二十日内向社会公开本部门决算（含所有财政资金安排的“三公”经费、机关运行经费的安排、使用情况等）</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未按要求公开的，发现一处问题0.5分，直至扣完</w:t>
            </w:r>
          </w:p>
        </w:tc>
      </w:tr>
      <w:tr>
        <w:tblPrEx>
          <w:tblCellMar>
            <w:top w:w="0" w:type="dxa"/>
            <w:left w:w="0" w:type="dxa"/>
            <w:bottom w:w="0" w:type="dxa"/>
            <w:right w:w="0" w:type="dxa"/>
          </w:tblCellMar>
        </w:tblPrEx>
        <w:trPr>
          <w:trHeight w:val="63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绩效信息公开（2分）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按要求公开部门整体支出绩效自评报告及其他按要求应公开的绩效信息</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未按要求公开的，发现一处问题0.5分，直至扣完</w:t>
            </w:r>
          </w:p>
        </w:tc>
      </w:tr>
      <w:tr>
        <w:tblPrEx>
          <w:tblCellMar>
            <w:top w:w="0" w:type="dxa"/>
            <w:left w:w="0" w:type="dxa"/>
            <w:bottom w:w="0" w:type="dxa"/>
            <w:right w:w="0" w:type="dxa"/>
          </w:tblCellMar>
        </w:tblPrEx>
        <w:trPr>
          <w:trHeight w:val="126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绩效评价（10分）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评价项目覆盖率（2分）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部门实施绩效评价项目数量占部门管理专项预算项目数量的比重，部门申报绩效目标项目数量的比重，用以反映和考核部门实施绩效评价项目资金覆盖情况</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评价覆盖率=实施绩效评价项目数量/部门管理专项预算项目数量×100%</w:t>
            </w:r>
          </w:p>
        </w:tc>
      </w:tr>
      <w:tr>
        <w:tblPrEx>
          <w:tblCellMar>
            <w:top w:w="0" w:type="dxa"/>
            <w:left w:w="0" w:type="dxa"/>
            <w:bottom w:w="0" w:type="dxa"/>
            <w:right w:w="0" w:type="dxa"/>
          </w:tblCellMar>
        </w:tblPrEx>
        <w:trPr>
          <w:trHeight w:val="58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评价层次（2分）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部门（单位）是否对单位内部股室开展整体绩效评价</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对单位内部实施评价的得分，否则不得分</w:t>
            </w:r>
          </w:p>
        </w:tc>
      </w:tr>
      <w:tr>
        <w:tblPrEx>
          <w:tblCellMar>
            <w:top w:w="0" w:type="dxa"/>
            <w:left w:w="0" w:type="dxa"/>
            <w:bottom w:w="0" w:type="dxa"/>
            <w:right w:w="0" w:type="dxa"/>
          </w:tblCellMar>
        </w:tblPrEx>
        <w:trPr>
          <w:trHeight w:val="70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评价结果报告（2分）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部门是否按要求向财政部门报告自评报告等相关绩效信息</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未按要求报送的，发现一处扣0.5分，直至扣完。</w:t>
            </w:r>
          </w:p>
        </w:tc>
      </w:tr>
      <w:tr>
        <w:tblPrEx>
          <w:tblCellMar>
            <w:top w:w="0" w:type="dxa"/>
            <w:left w:w="0" w:type="dxa"/>
            <w:bottom w:w="0" w:type="dxa"/>
            <w:right w:w="0" w:type="dxa"/>
          </w:tblCellMar>
        </w:tblPrEx>
        <w:trPr>
          <w:trHeight w:val="68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整改完成率（4分）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部门是否按要求针对绩效评价发现问题制定整改措施，并整改落实到位</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完成率=应制定整改措施的项目数量/部门实际制定整改措施项目数量×100%。</w:t>
            </w:r>
          </w:p>
        </w:tc>
      </w:tr>
      <w:tr>
        <w:tblPrEx>
          <w:tblCellMar>
            <w:top w:w="0" w:type="dxa"/>
            <w:left w:w="0" w:type="dxa"/>
            <w:bottom w:w="0" w:type="dxa"/>
            <w:right w:w="0" w:type="dxa"/>
          </w:tblCellMar>
        </w:tblPrEx>
        <w:trPr>
          <w:trHeight w:val="108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依法接受财政监督（6分）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是否按要求开展自查自纠（2分）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根据相关自查自纠报告、报表报送时效和质量进行考核</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未在规定时间内报送自查自纠相关材料（包括：纸质和电子版）的，扣0.5分；报告内容不完整，扣1分；报表质量差（如：数据、逻辑、勾稽关系错误）等扣0.5分；直至扣完</w:t>
            </w:r>
          </w:p>
        </w:tc>
      </w:tr>
      <w:tr>
        <w:tblPrEx>
          <w:tblCellMar>
            <w:top w:w="0" w:type="dxa"/>
            <w:left w:w="0" w:type="dxa"/>
            <w:bottom w:w="0" w:type="dxa"/>
            <w:right w:w="0" w:type="dxa"/>
          </w:tblCellMar>
        </w:tblPrEx>
        <w:trPr>
          <w:trHeight w:val="48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重点检查发现违规违纪问题（2分）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根据检查组提供的工作底稿、检查报告等资料进行考核</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专项检查发现的违纪违规问题，每个问题扣0.5分，直至扣完</w:t>
            </w:r>
          </w:p>
        </w:tc>
      </w:tr>
      <w:tr>
        <w:tblPrEx>
          <w:tblCellMar>
            <w:top w:w="0" w:type="dxa"/>
            <w:left w:w="0" w:type="dxa"/>
            <w:bottom w:w="0" w:type="dxa"/>
            <w:right w:w="0" w:type="dxa"/>
          </w:tblCellMar>
        </w:tblPrEx>
        <w:trPr>
          <w:trHeight w:val="660" w:hRule="atLeast"/>
        </w:trPr>
        <w:tc>
          <w:tcPr>
            <w:tcW w:w="12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存在问题整改是否到位（2分）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根据相关整改报告、凭证依据等相关证明材料进行考核</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未在规定时间内完成整改，并提供相关证明材料的，每个问题0.5分，直至扣完</w:t>
            </w:r>
          </w:p>
        </w:tc>
      </w:tr>
      <w:tr>
        <w:tblPrEx>
          <w:tblCellMar>
            <w:top w:w="0" w:type="dxa"/>
            <w:left w:w="0" w:type="dxa"/>
            <w:bottom w:w="0" w:type="dxa"/>
            <w:right w:w="0" w:type="dxa"/>
          </w:tblCellMar>
        </w:tblPrEx>
        <w:trPr>
          <w:trHeight w:val="56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整体效益（30分）</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部门整体绩效（30分）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重点项目绩效评价结果（10分）</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部门实施重大项目的经济、社会效益</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16"/>
                <w:szCs w:val="16"/>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根据县财政组织实施项目绩效评价结果换算</w:t>
            </w:r>
          </w:p>
        </w:tc>
      </w:tr>
      <w:tr>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6"/>
                <w:szCs w:val="16"/>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部门职能完成情况特性指标（20分）</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根据部门职能职责、州级主管部门和县委县政府安排的各项专项工作任务及其他年度重点工作任务等，汇总梳理形成能够量化衡量且全面反映部门职能工作完成情况的若干指标。</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24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部门和评价组根据部门实际设置</w:t>
            </w:r>
          </w:p>
        </w:tc>
      </w:tr>
      <w:tr>
        <w:tblPrEx>
          <w:tblCellMar>
            <w:top w:w="0" w:type="dxa"/>
            <w:left w:w="0" w:type="dxa"/>
            <w:bottom w:w="0" w:type="dxa"/>
            <w:right w:w="0" w:type="dxa"/>
          </w:tblCellMar>
        </w:tblPrEx>
        <w:trPr>
          <w:trHeight w:val="130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6"/>
                <w:szCs w:val="16"/>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6"/>
                <w:szCs w:val="16"/>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6"/>
                <w:szCs w:val="16"/>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2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6"/>
                <w:szCs w:val="16"/>
              </w:rPr>
            </w:pPr>
          </w:p>
        </w:tc>
      </w:tr>
      <w:tr>
        <w:tblPrEx>
          <w:tblCellMar>
            <w:top w:w="0" w:type="dxa"/>
            <w:left w:w="0" w:type="dxa"/>
            <w:bottom w:w="0" w:type="dxa"/>
            <w:right w:w="0" w:type="dxa"/>
          </w:tblCellMar>
        </w:tblPrEx>
        <w:trPr>
          <w:trHeight w:val="460" w:hRule="atLeast"/>
        </w:trPr>
        <w:tc>
          <w:tcPr>
            <w:tcW w:w="10209" w:type="dxa"/>
            <w:gridSpan w:val="7"/>
            <w:tcBorders>
              <w:top w:val="single" w:color="000000" w:sz="4" w:space="0"/>
              <w:left w:val="nil"/>
              <w:bottom w:val="nil"/>
              <w:right w:val="nil"/>
            </w:tcBorders>
            <w:tcMar>
              <w:top w:w="15" w:type="dxa"/>
              <w:left w:w="15" w:type="dxa"/>
              <w:right w:w="15"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rPr>
              <w:t>注：若某部门不存在某项评价内容或评价指标，则该评价内容或评价指标不计入该部门考核评价范围，即该部门评价总分＝不含该评价内容或指标的评价总分/（100-该评价内容或指标所占分值）*100。</w:t>
            </w:r>
          </w:p>
        </w:tc>
      </w:tr>
    </w:tbl>
    <w:p>
      <w:pPr>
        <w:adjustRightInd w:val="0"/>
        <w:snapToGrid w:val="0"/>
        <w:spacing w:line="576" w:lineRule="exact"/>
        <w:jc w:val="left"/>
        <w:rPr>
          <w:rFonts w:ascii="仿宋_GB2312" w:hAnsi="仿宋_GB2312" w:eastAsia="仿宋_GB2312" w:cs="仿宋_GB2312"/>
          <w:sz w:val="32"/>
          <w:szCs w:val="32"/>
        </w:rPr>
      </w:pP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（二）存在问题</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收支较去年有所减少，主要是由于1.</w:t>
      </w:r>
      <w:r>
        <w:rPr>
          <w:rFonts w:hint="eastAsia" w:ascii="仿宋_GB2312" w:hAnsi="仿宋" w:eastAsia="仿宋_GB2312" w:cs="仿宋"/>
          <w:sz w:val="32"/>
          <w:szCs w:val="32"/>
        </w:rPr>
        <w:t>2019年未将财政代缴城乡居民参加医疗保险的费用纳入项目支出，2.年底事业人员绩效工资未在当年发放</w:t>
      </w:r>
      <w:r>
        <w:rPr>
          <w:rFonts w:hint="eastAsia" w:ascii="仿宋_GB2312" w:hAnsi="仿宋_GB2312" w:eastAsia="仿宋_GB2312" w:cs="仿宋_GB2312"/>
          <w:sz w:val="32"/>
          <w:szCs w:val="32"/>
        </w:rPr>
        <w:t>。。</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（三）改进建议</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1.细化预算编制工作，认真做好预算的编制。</w:t>
      </w:r>
    </w:p>
    <w:p>
      <w:pPr>
        <w:adjustRightInd w:val="0"/>
        <w:snapToGrid w:val="0"/>
        <w:spacing w:line="576"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2.加强财务管理，严格财务审核。</w:t>
      </w:r>
    </w:p>
    <w:p>
      <w:pPr>
        <w:adjustRightInd w:val="0"/>
        <w:snapToGrid w:val="0"/>
        <w:spacing w:line="576" w:lineRule="exact"/>
        <w:ind w:firstLine="640" w:firstLineChars="200"/>
        <w:jc w:val="lef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w:br w:type="page"/>
      </w: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“建档立卡贫困人口大病补充保险费用”</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hAnsi="宋体" w:eastAsia="仿宋_GB2312"/>
          <w:sz w:val="32"/>
          <w:szCs w:val="32"/>
        </w:rPr>
        <w:t>.</w:t>
      </w:r>
      <w:r>
        <w:rPr>
          <w:rFonts w:hint="eastAsia" w:ascii="仿宋_GB2312" w:hAnsi="宋体" w:eastAsia="仿宋_GB2312"/>
          <w:sz w:val="32"/>
          <w:szCs w:val="32"/>
          <w:lang w:val="zh-CN"/>
        </w:rPr>
        <w:t>茂县城乡居民基本医疗保险服务中心对该项目具有项目立项、资金申报、资金使用的职能。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2.根据文件要求进行项目立项、资金申报。</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3.项目资金严格按照程序进行资金管理使用。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4.按照建档立卡贫困人口的实有数进行资金分配。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r>
        <w:rPr>
          <w:rFonts w:hint="eastAsia" w:ascii="仿宋_GB2312" w:hAnsi="仿宋_GB2312" w:eastAsia="仿宋_GB2312" w:cs="仿宋_GB2312"/>
          <w:sz w:val="32"/>
          <w:szCs w:val="32"/>
        </w:rPr>
        <w:t>保障建档立卡贫困人口大病补充保险参保的顺利进行</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宋体" w:eastAsia="仿宋_GB2312"/>
          <w:sz w:val="32"/>
          <w:szCs w:val="32"/>
        </w:rPr>
        <w:t>.</w:t>
      </w:r>
      <w:r>
        <w:rPr>
          <w:rFonts w:hint="eastAsia" w:ascii="仿宋_GB2312" w:hAnsi="宋体" w:eastAsia="仿宋_GB2312"/>
          <w:sz w:val="32"/>
          <w:szCs w:val="32"/>
          <w:lang w:val="zh-CN"/>
        </w:rPr>
        <w:t>项目应实现的具体绩效目标：确定参保人数，费用征缴的完成时间，参保费的具体数额以及群众的满意程度。</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rPr>
        <w:t>.</w:t>
      </w:r>
      <w:r>
        <w:rPr>
          <w:rFonts w:hint="eastAsia" w:ascii="仿宋_GB2312" w:hAnsi="宋体" w:eastAsia="仿宋_GB2312"/>
          <w:sz w:val="32"/>
          <w:szCs w:val="32"/>
          <w:lang w:val="zh-CN"/>
        </w:rPr>
        <w:t>项目申报内容与实际相符，申报目标合理可行。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项目绩效自评对照项目目标和任务，结合预算实际，有计划，有安排的开展自评。项目自评采用的是自评与他评相结合。</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通过年初预算向县财政局申请项目资金，严格按照县财政局下达的批复进行项目资金的使用。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县财政资金年初计划4.95万元。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县财政资金及时到位4.95万元。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仿宋_GB2312" w:eastAsia="仿宋_GB2312" w:cs="仿宋_GB2312"/>
          <w:sz w:val="32"/>
          <w:szCs w:val="32"/>
        </w:rPr>
        <w:t>所有资金已全部下拨到位。截止2019年12月31日，建档立卡贫困人口大病补充保险全年执行数为4.95万元，执行率为100%。</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pacing w:line="530" w:lineRule="exact"/>
        <w:ind w:firstLine="640" w:firstLineChars="200"/>
        <w:rPr>
          <w:szCs w:val="32"/>
        </w:rPr>
      </w:pPr>
      <w:r>
        <w:rPr>
          <w:rFonts w:hint="eastAsia" w:ascii="仿宋_GB2312" w:hAnsi="仿宋_GB2312" w:eastAsia="仿宋_GB2312" w:cs="仿宋_GB2312"/>
          <w:sz w:val="32"/>
          <w:szCs w:val="32"/>
        </w:rPr>
        <w:t>本单位严格按照文件要求对专项资金进行使用，切实加强项目资金管理，提高财政资金使用的规范性、安全性和有效性</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通过预算计划资金，按照实际支付流程进行资金的管理。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严格按照文件要求对专项资金进行使用，切实加强项目资金管理，提高财政资金使用的规范性、安全性和有效性</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茂县医疗保障局为加强项目管理所采取的监管手段、监管程序都十分到位。监管工作开展情况十分顺利，达到了预期应有的效果。</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（1）数量指标。参保人数7646人。</w:t>
      </w:r>
    </w:p>
    <w:p>
      <w:pPr>
        <w:spacing w:line="530" w:lineRule="exact"/>
        <w:ind w:firstLine="640" w:firstLineChars="200"/>
        <w:rPr>
          <w:szCs w:val="32"/>
        </w:rPr>
      </w:pPr>
      <w:r>
        <w:rPr>
          <w:rFonts w:hint="eastAsia" w:ascii="仿宋_GB2312" w:hAnsi="仿宋_GB2312" w:eastAsia="仿宋_GB2312" w:cs="仿宋_GB2312"/>
          <w:sz w:val="32"/>
          <w:szCs w:val="32"/>
        </w:rPr>
        <w:t>（2）时效指标。完成时间当年12月底前。</w:t>
      </w:r>
    </w:p>
    <w:p>
      <w:pPr>
        <w:spacing w:line="530" w:lineRule="exact"/>
        <w:ind w:firstLine="640" w:firstLineChars="200"/>
        <w:rPr>
          <w:szCs w:val="32"/>
        </w:rPr>
      </w:pPr>
      <w:r>
        <w:rPr>
          <w:rFonts w:hint="eastAsia" w:ascii="仿宋_GB2312" w:hAnsi="仿宋_GB2312" w:eastAsia="仿宋_GB2312" w:cs="仿宋_GB2312"/>
          <w:sz w:val="32"/>
          <w:szCs w:val="32"/>
        </w:rPr>
        <w:t>（3）支出指标。支出测算按照往年及动态调整进行测算 。</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（1）社会效益指标。拟达成效保障建档立卡贫困人员大病补充保险参保的顺利进行。</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（2）满意度指标。群众满意率大于90%。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30" w:lineRule="exact"/>
        <w:ind w:firstLine="640" w:firstLineChars="200"/>
        <w:rPr>
          <w:szCs w:val="32"/>
        </w:rPr>
      </w:pPr>
      <w:r>
        <w:rPr>
          <w:rFonts w:hint="eastAsia" w:ascii="仿宋_GB2312" w:hAnsi="仿宋_GB2312" w:eastAsia="仿宋_GB2312" w:cs="仿宋_GB2312"/>
          <w:sz w:val="32"/>
          <w:szCs w:val="32"/>
        </w:rPr>
        <w:t>绩效自评结果体现了年度专项资金转移支付的使用情况和发挥的效益。在今后的工作中，我们将会把绩效自评结果作为以后年度专项转移支付预算申请、安排、分配的重要依据。根据绩效自评结果，进一步加大对专项资金的使用监管。对绩效评价发现的问题进行认真整改，并在一定范围内适当的将绩效自评结果进行公开。（涉密项目除外）。</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p>
    <w:p>
      <w:pPr>
        <w:rPr>
          <w:rFonts w:ascii="仿宋_GB2312" w:hAnsi="宋体" w:eastAsia="仿宋_GB2312"/>
          <w:sz w:val="32"/>
          <w:szCs w:val="32"/>
          <w:lang w:val="zh-CN"/>
        </w:rPr>
      </w:pPr>
      <w:r>
        <w:rPr>
          <w:rFonts w:hint="eastAsia" w:ascii="仿宋_GB2312" w:hAnsi="宋体" w:eastAsia="仿宋_GB2312"/>
          <w:sz w:val="32"/>
          <w:szCs w:val="32"/>
          <w:lang w:val="zh-CN"/>
        </w:rPr>
        <w:br w:type="page"/>
      </w:r>
    </w:p>
    <w:p>
      <w:pPr>
        <w:adjustRightInd w:val="0"/>
        <w:snapToGrid w:val="0"/>
        <w:spacing w:line="600" w:lineRule="exact"/>
        <w:rPr>
          <w:rFonts w:ascii="黑体" w:hAnsi="黑体" w:eastAsia="黑体" w:cs="黑体"/>
          <w:sz w:val="32"/>
          <w:szCs w:val="32"/>
        </w:rPr>
      </w:pPr>
      <w:r>
        <w:rPr>
          <w:rFonts w:hint="eastAsia" w:ascii="黑体" w:hAnsi="黑体" w:eastAsia="黑体" w:cs="黑体"/>
          <w:sz w:val="32"/>
          <w:szCs w:val="32"/>
          <w:lang w:val="zh-CN"/>
        </w:rPr>
        <w:t>附件</w:t>
      </w:r>
      <w:r>
        <w:rPr>
          <w:rFonts w:hint="eastAsia" w:ascii="黑体" w:hAnsi="黑体" w:eastAsia="黑体" w:cs="黑体"/>
          <w:sz w:val="32"/>
          <w:szCs w:val="32"/>
        </w:rPr>
        <w:t>3</w:t>
      </w:r>
    </w:p>
    <w:p>
      <w:pPr>
        <w:adjustRightInd w:val="0"/>
        <w:snapToGrid w:val="0"/>
        <w:spacing w:line="600" w:lineRule="exact"/>
        <w:ind w:firstLine="640" w:firstLineChars="200"/>
        <w:rPr>
          <w:rFonts w:ascii="黑体" w:hAnsi="黑体" w:eastAsia="黑体" w:cs="黑体"/>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“医疗服务与保障能力提升补助资金”</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1茂县医疗保障局对该项目资金使用的职能。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2.根据国家医疗保障局下拨的项目资金进行资金使用。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3.项目资金严格按照程序进行资金管理使用。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4.结合单位工作实际对项目资金进行使用。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r>
        <w:rPr>
          <w:rFonts w:hint="eastAsia" w:ascii="仿宋_GB2312" w:hAnsi="仿宋_GB2312" w:eastAsia="仿宋_GB2312" w:cs="仿宋_GB2312"/>
          <w:sz w:val="32"/>
          <w:szCs w:val="32"/>
        </w:rPr>
        <w:t>保障医保信息系统的正常运行以及医保活动的政策宣传工作</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2．项目应实现的具体绩效目标：开展全域医保政策宣传的活动次数，具体项目的完成时间，工作开展所需的资金以及群众对政策的知晓率和医保服务的满意程度。</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3．项目申报内容与实际相符，申报目标合理可行。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项目绩效自评对照项目目标和任务，结合预算实际，有计划，有安排的开展自评。项目自评采用的是自评与他评相结合。</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通过国家医疗保障局下拨资金，严格按照中央转移支付的项目资金进行使用。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中央补助资金全年计划4万元。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中央补助资金全年及时到位4万元。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仿宋_GB2312" w:eastAsia="仿宋_GB2312" w:cs="仿宋_GB2312"/>
          <w:sz w:val="32"/>
          <w:szCs w:val="32"/>
        </w:rPr>
        <w:t>所有资金已通过县财政全部下拨到位。截止2019年12月31日，医疗服务与保障能力提升补助资金全年执行数为4万元，执行率为100%。</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pacing w:line="530" w:lineRule="exact"/>
        <w:ind w:firstLine="640" w:firstLineChars="200"/>
        <w:rPr>
          <w:szCs w:val="32"/>
        </w:rPr>
      </w:pPr>
      <w:r>
        <w:rPr>
          <w:rFonts w:hint="eastAsia" w:ascii="仿宋_GB2312" w:hAnsi="仿宋_GB2312" w:eastAsia="仿宋_GB2312" w:cs="仿宋_GB2312"/>
          <w:sz w:val="32"/>
          <w:szCs w:val="32"/>
        </w:rPr>
        <w:t>本单位严格按照文件要求对专项资金进行使用，切实加强项目资金管理，提高财政资金使用的规范性、安全性和有效性</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通过预算计划资金，按照实际支付流进行资金的管理。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严格按照文件要求对专项资金进行使用，切实加强项目资金管理，提高财政资金使用的规范性、安全性和有效性</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茂县医疗保障局为加强项目管理所采取的监管手段、监管程序都十分到位。监管工作开展情况十分顺利，达到了预期应有的效果。</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（1）数量指标。开展全域医保政策宣传活动次数大于等于2次。</w:t>
      </w:r>
    </w:p>
    <w:p>
      <w:pPr>
        <w:spacing w:line="530" w:lineRule="exact"/>
        <w:ind w:firstLine="640" w:firstLineChars="200"/>
        <w:rPr>
          <w:szCs w:val="32"/>
        </w:rPr>
      </w:pPr>
      <w:r>
        <w:rPr>
          <w:rFonts w:hint="eastAsia" w:ascii="仿宋_GB2312" w:hAnsi="仿宋_GB2312" w:eastAsia="仿宋_GB2312" w:cs="仿宋_GB2312"/>
          <w:sz w:val="32"/>
          <w:szCs w:val="32"/>
        </w:rPr>
        <w:t>（2）时效指标。完成时间当年12月底前。</w:t>
      </w:r>
    </w:p>
    <w:p>
      <w:pPr>
        <w:spacing w:line="530" w:lineRule="exact"/>
        <w:ind w:firstLine="640" w:firstLineChars="200"/>
        <w:rPr>
          <w:szCs w:val="32"/>
        </w:rPr>
      </w:pPr>
      <w:r>
        <w:rPr>
          <w:rFonts w:hint="eastAsia" w:ascii="仿宋_GB2312" w:hAnsi="仿宋_GB2312" w:eastAsia="仿宋_GB2312" w:cs="仿宋_GB2312"/>
          <w:sz w:val="32"/>
          <w:szCs w:val="32"/>
        </w:rPr>
        <w:t>（3）支出指标。支出测算费用按要求进行支出。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（1）社会效益指标。参保群众政策知晓率大于等于90%。</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（2）满意度指标。参保人员对医保服务的满意度大于90%。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30" w:lineRule="exact"/>
        <w:ind w:firstLine="640" w:firstLineChars="200"/>
        <w:rPr>
          <w:szCs w:val="32"/>
        </w:rPr>
      </w:pPr>
      <w:r>
        <w:rPr>
          <w:rFonts w:hint="eastAsia" w:ascii="仿宋_GB2312" w:hAnsi="仿宋_GB2312" w:eastAsia="仿宋_GB2312" w:cs="仿宋_GB2312"/>
          <w:sz w:val="32"/>
          <w:szCs w:val="32"/>
        </w:rPr>
        <w:t>绩效自评结果体现了年度专项资金转移支付的使用情况和发挥的效益。在今后的工作中，我们将会把绩效自评结果作为以后年度专项转移支付预算申请、安排、分配的重要依据。根据绩效自评结果，进一步加大对专项资金的使用监管。对绩效评价发现的问题进行认真整改，并在一定范围内适当的将绩效自评结果进行公开。（涉密项目除外）。</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p>
    <w:p>
      <w:pPr>
        <w:rPr>
          <w:rFonts w:ascii="仿宋_GB2312" w:hAnsi="宋体" w:eastAsia="仿宋_GB2312"/>
          <w:sz w:val="32"/>
          <w:szCs w:val="32"/>
          <w:lang w:val="zh-CN"/>
        </w:rPr>
      </w:pPr>
      <w:r>
        <w:rPr>
          <w:rFonts w:hint="eastAsia" w:ascii="仿宋_GB2312" w:hAnsi="宋体" w:eastAsia="仿宋_GB2312"/>
          <w:sz w:val="32"/>
          <w:szCs w:val="32"/>
          <w:lang w:val="zh-CN"/>
        </w:rPr>
        <w:br w:type="page"/>
      </w:r>
    </w:p>
    <w:p>
      <w:pPr>
        <w:adjustRightInd w:val="0"/>
        <w:snapToGrid w:val="0"/>
        <w:spacing w:line="600" w:lineRule="exact"/>
        <w:rPr>
          <w:rFonts w:ascii="黑体" w:hAnsi="黑体" w:eastAsia="黑体" w:cs="黑体"/>
          <w:sz w:val="32"/>
          <w:szCs w:val="32"/>
        </w:rPr>
      </w:pPr>
      <w:r>
        <w:rPr>
          <w:rFonts w:hint="eastAsia" w:ascii="黑体" w:hAnsi="黑体" w:eastAsia="黑体" w:cs="黑体"/>
          <w:sz w:val="32"/>
          <w:szCs w:val="32"/>
          <w:lang w:val="zh-CN"/>
        </w:rPr>
        <w:t>附件</w:t>
      </w:r>
      <w:r>
        <w:rPr>
          <w:rFonts w:hint="eastAsia" w:ascii="黑体" w:hAnsi="黑体" w:eastAsia="黑体" w:cs="黑体"/>
          <w:sz w:val="32"/>
          <w:szCs w:val="32"/>
        </w:rPr>
        <w:t>4</w:t>
      </w:r>
    </w:p>
    <w:p>
      <w:pPr>
        <w:adjustRightInd w:val="0"/>
        <w:snapToGrid w:val="0"/>
        <w:spacing w:line="600" w:lineRule="exact"/>
        <w:ind w:firstLine="640" w:firstLineChars="200"/>
        <w:rPr>
          <w:rFonts w:ascii="仿宋_GB2312" w:hAnsi="宋体" w:eastAsia="仿宋_GB2312"/>
          <w:sz w:val="32"/>
          <w:szCs w:val="32"/>
          <w:lang w:val="zh-CN"/>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“驻村干部临岗补贴”</w:t>
      </w:r>
      <w:r>
        <w:rPr>
          <w:rFonts w:hint="eastAsia" w:ascii="方正小标宋简体" w:hAnsi="宋体" w:eastAsia="方正小标宋简体"/>
          <w:color w:val="000000"/>
          <w:kern w:val="0"/>
          <w:sz w:val="44"/>
          <w:szCs w:val="44"/>
          <w:lang w:val="zh-CN"/>
        </w:rPr>
        <w:t>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1茂县医疗保障局对该项目资金使用的职能。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2.根据年初预算，县财政下拨的项目资金进行资金使用。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3.项目资金严格按照程序进行资金管理使用。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4.结合单位工作实际对项目资金进行使用。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hAnsi="宋体" w:eastAsia="仿宋_GB2312"/>
          <w:sz w:val="32"/>
          <w:szCs w:val="32"/>
        </w:rPr>
        <w:t>.</w:t>
      </w:r>
      <w:r>
        <w:rPr>
          <w:rFonts w:hint="eastAsia" w:ascii="仿宋_GB2312" w:hAnsi="宋体" w:eastAsia="仿宋_GB2312"/>
          <w:sz w:val="32"/>
          <w:szCs w:val="32"/>
          <w:lang w:val="zh-CN"/>
        </w:rPr>
        <w:t>项目主要内容：</w:t>
      </w:r>
      <w:r>
        <w:rPr>
          <w:rFonts w:hint="eastAsia" w:ascii="仿宋_GB2312" w:hAnsi="仿宋_GB2312" w:eastAsia="仿宋_GB2312" w:cs="仿宋_GB2312"/>
          <w:sz w:val="32"/>
          <w:szCs w:val="32"/>
        </w:rPr>
        <w:t>保障驻村干部生活需求，使驻村干部</w:t>
      </w:r>
      <w:r>
        <w:rPr>
          <w:rFonts w:hint="default" w:ascii="仿宋_GB2312" w:hAnsi="仿宋_GB2312" w:eastAsia="仿宋_GB2312" w:cs="仿宋_GB2312"/>
          <w:sz w:val="32"/>
          <w:szCs w:val="32"/>
        </w:rPr>
        <w:t>能够更好地</w:t>
      </w:r>
      <w:r>
        <w:rPr>
          <w:rFonts w:hint="eastAsia" w:ascii="仿宋_GB2312" w:hAnsi="仿宋_GB2312" w:eastAsia="仿宋_GB2312" w:cs="仿宋_GB2312"/>
          <w:sz w:val="32"/>
          <w:szCs w:val="32"/>
        </w:rPr>
        <w:t>完成驻村工作</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宋体" w:eastAsia="仿宋_GB2312"/>
          <w:sz w:val="32"/>
          <w:szCs w:val="32"/>
        </w:rPr>
        <w:t>.</w:t>
      </w:r>
      <w:r>
        <w:rPr>
          <w:rFonts w:hint="eastAsia" w:ascii="仿宋_GB2312" w:hAnsi="宋体" w:eastAsia="仿宋_GB2312"/>
          <w:sz w:val="32"/>
          <w:szCs w:val="32"/>
          <w:lang w:val="zh-CN"/>
        </w:rPr>
        <w:t>项目应实现的具体绩效目标：驻村干部人数，具体项目的完成时间，工作开展所需的资金，帮助老百姓解决困难的情况以及乡镇百姓对驻村干部的满意程度。</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rPr>
        <w:t>.</w:t>
      </w:r>
      <w:r>
        <w:rPr>
          <w:rFonts w:hint="eastAsia" w:ascii="仿宋_GB2312" w:hAnsi="宋体" w:eastAsia="仿宋_GB2312"/>
          <w:sz w:val="32"/>
          <w:szCs w:val="32"/>
          <w:lang w:val="zh-CN"/>
        </w:rPr>
        <w:t>项目申报内容与实际相符，申报目标合理可行。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项目绩效自评对照项目目标和任务，结合预算实际，有计划，有安排的开展自评。项目自评采用的是自评与他评相结合。</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宋体" w:eastAsia="仿宋_GB2312"/>
          <w:sz w:val="32"/>
          <w:szCs w:val="32"/>
          <w:lang w:val="zh-CN"/>
        </w:rPr>
        <w:t>通过年初预算向县财政局申请项目资金，严格按照县财政局下达的批复进行项目资金的使用。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w:t>
      </w:r>
      <w:r>
        <w:rPr>
          <w:rFonts w:hint="eastAsia" w:ascii="楷体_GB2312" w:hAnsi="宋体" w:eastAsia="楷体_GB2312"/>
          <w:sz w:val="32"/>
          <w:szCs w:val="32"/>
        </w:rPr>
        <w:t>.</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中央补助资金全年计划0.54万元。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w:t>
      </w:r>
      <w:r>
        <w:rPr>
          <w:rFonts w:hint="eastAsia" w:ascii="楷体_GB2312" w:hAnsi="宋体" w:eastAsia="楷体_GB2312"/>
          <w:sz w:val="32"/>
          <w:szCs w:val="32"/>
        </w:rPr>
        <w:t>.</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中央补助资金全年及时到位0.54万元。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w:t>
      </w:r>
      <w:r>
        <w:rPr>
          <w:rFonts w:hint="eastAsia" w:ascii="楷体_GB2312" w:hAnsi="宋体" w:eastAsia="楷体_GB2312"/>
          <w:sz w:val="32"/>
          <w:szCs w:val="32"/>
        </w:rPr>
        <w:t>.</w:t>
      </w:r>
      <w:r>
        <w:rPr>
          <w:rFonts w:hint="eastAsia" w:ascii="楷体_GB2312" w:hAnsi="宋体" w:eastAsia="楷体_GB2312"/>
          <w:sz w:val="32"/>
          <w:szCs w:val="32"/>
          <w:lang w:val="zh-CN"/>
        </w:rPr>
        <w:t>资金使用。</w:t>
      </w:r>
      <w:r>
        <w:rPr>
          <w:rFonts w:hint="eastAsia" w:ascii="仿宋_GB2312" w:hAnsi="仿宋_GB2312" w:eastAsia="仿宋_GB2312" w:cs="仿宋_GB2312"/>
          <w:sz w:val="32"/>
          <w:szCs w:val="32"/>
        </w:rPr>
        <w:t>所有资金已通过县财政全部下拨到位。截止2019年12月31日，驻村干部临岗补贴全年执行数为0.54万元，执行率为100%。</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pacing w:line="530" w:lineRule="exact"/>
        <w:ind w:firstLine="640" w:firstLineChars="200"/>
        <w:rPr>
          <w:szCs w:val="32"/>
        </w:rPr>
      </w:pPr>
      <w:r>
        <w:rPr>
          <w:rFonts w:hint="eastAsia" w:ascii="仿宋_GB2312" w:hAnsi="仿宋_GB2312" w:eastAsia="仿宋_GB2312" w:cs="仿宋_GB2312"/>
          <w:sz w:val="32"/>
          <w:szCs w:val="32"/>
        </w:rPr>
        <w:t>本单位严格按照文件要求对专项资金进行使用，切实加强项目资金管理，提高财政资金使用的规范性、安全性和有效性</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通过预算计划资金，按照实际支付流程进行资金的管理。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严格按照文件要求对专项资金进行使用，切实加强项目资金管理，提高财政资金使用的规范性、安全性和有效性</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茂县医疗保障局为加强项目管理所采取的监管手段、监管程序都十分到位。监管工作开展情况十分顺利，达到了预期应有的效果。</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（1）数量指标。驻村干部人数大于等于1人。</w:t>
      </w:r>
    </w:p>
    <w:p>
      <w:pPr>
        <w:spacing w:line="530" w:lineRule="exact"/>
        <w:ind w:firstLine="640" w:firstLineChars="200"/>
        <w:rPr>
          <w:szCs w:val="32"/>
        </w:rPr>
      </w:pPr>
      <w:r>
        <w:rPr>
          <w:rFonts w:hint="eastAsia" w:ascii="仿宋_GB2312" w:hAnsi="仿宋_GB2312" w:eastAsia="仿宋_GB2312" w:cs="仿宋_GB2312"/>
          <w:sz w:val="32"/>
          <w:szCs w:val="32"/>
        </w:rPr>
        <w:t>（2）时效指标。完成时间当年12月底前。</w:t>
      </w:r>
    </w:p>
    <w:p>
      <w:pPr>
        <w:spacing w:line="530" w:lineRule="exact"/>
        <w:ind w:firstLine="640" w:firstLineChars="200"/>
        <w:rPr>
          <w:szCs w:val="32"/>
        </w:rPr>
      </w:pPr>
      <w:r>
        <w:rPr>
          <w:rFonts w:hint="eastAsia" w:ascii="仿宋_GB2312" w:hAnsi="仿宋_GB2312" w:eastAsia="仿宋_GB2312" w:cs="仿宋_GB2312"/>
          <w:sz w:val="32"/>
          <w:szCs w:val="32"/>
        </w:rPr>
        <w:t>（3）支出指标。支出测算费用按要求进行支出。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（1）社会效益指标。帮助老百姓解决困难大于等于90%。</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（2）满意度指标。乡镇老百姓对驻村干部的满意度大于90%。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30" w:lineRule="exact"/>
        <w:ind w:firstLine="640" w:firstLineChars="200"/>
        <w:rPr>
          <w:szCs w:val="32"/>
        </w:rPr>
      </w:pPr>
      <w:r>
        <w:rPr>
          <w:rFonts w:hint="eastAsia" w:ascii="仿宋_GB2312" w:hAnsi="仿宋_GB2312" w:eastAsia="仿宋_GB2312" w:cs="仿宋_GB2312"/>
          <w:sz w:val="32"/>
          <w:szCs w:val="32"/>
        </w:rPr>
        <w:t>绩效自评结果体现了年度专项资金转移支付的使用情况和发挥的效益。在今后的工作中，我们将会把绩效自评结果作为以后年度专项转移支付预算申请、安排、分配的重要依据。根据绩效自评结果，进一步加大对专项资金的使用监管。对绩效评价发现的问题进行认真整改，并在一定范围内适当的将绩效自评结果进行公开。（涉密项目除外）。</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adjustRightInd w:val="0"/>
        <w:snapToGrid w:val="0"/>
        <w:spacing w:line="576" w:lineRule="exact"/>
        <w:jc w:val="center"/>
        <w:rPr>
          <w:rStyle w:val="24"/>
          <w:rFonts w:ascii="方正小标宋简体" w:hAnsi="方正小标宋简体" w:eastAsia="方正小标宋简体" w:cs="方正小标宋简体"/>
          <w:b w:val="0"/>
          <w:bCs w:val="0"/>
        </w:rPr>
      </w:pPr>
      <w:bookmarkStart w:id="58" w:name="_Toc15396618"/>
      <w:r>
        <w:rPr>
          <w:rStyle w:val="24"/>
          <w:rFonts w:hint="eastAsia" w:ascii="方正小标宋简体" w:hAnsi="方正小标宋简体" w:eastAsia="方正小标宋简体" w:cs="方正小标宋简体"/>
          <w:b w:val="0"/>
          <w:bCs w:val="0"/>
        </w:rPr>
        <w:t>第五部分附表</w:t>
      </w:r>
      <w:bookmarkEnd w:id="55"/>
      <w:bookmarkEnd w:id="58"/>
      <w:bookmarkStart w:id="59" w:name="_Toc15396619"/>
    </w:p>
    <w:p>
      <w:pPr>
        <w:adjustRightInd w:val="0"/>
        <w:snapToGrid w:val="0"/>
        <w:spacing w:line="576" w:lineRule="exact"/>
        <w:jc w:val="left"/>
        <w:rPr>
          <w:rFonts w:ascii="仿宋_GB2312" w:hAnsi="仿宋_GB2312" w:eastAsia="仿宋_GB2312" w:cs="仿宋_GB2312"/>
          <w:color w:val="000000"/>
          <w:sz w:val="32"/>
          <w:szCs w:val="32"/>
        </w:rPr>
      </w:pPr>
    </w:p>
    <w:p>
      <w:pPr>
        <w:adjustRightInd w:val="0"/>
        <w:snapToGrid w:val="0"/>
        <w:spacing w:line="480" w:lineRule="auto"/>
        <w:jc w:val="left"/>
        <w:rPr>
          <w:rStyle w:val="25"/>
          <w:rFonts w:ascii="仿宋_GB2312" w:hAnsi="仿宋_GB2312" w:eastAsia="仿宋_GB2312" w:cs="仿宋_GB2312"/>
          <w:b w:val="0"/>
          <w:bCs w:val="0"/>
        </w:rPr>
      </w:pPr>
      <w:r>
        <w:rPr>
          <w:rFonts w:hint="eastAsia" w:ascii="仿宋_GB2312" w:hAnsi="仿宋_GB2312" w:eastAsia="仿宋_GB2312" w:cs="仿宋_GB2312"/>
          <w:color w:val="000000"/>
          <w:sz w:val="32"/>
          <w:szCs w:val="32"/>
        </w:rPr>
        <w:t>一、收</w:t>
      </w:r>
      <w:r>
        <w:rPr>
          <w:rStyle w:val="25"/>
          <w:rFonts w:hint="eastAsia" w:ascii="仿宋_GB2312" w:hAnsi="仿宋_GB2312" w:eastAsia="仿宋_GB2312" w:cs="仿宋_GB2312"/>
          <w:b w:val="0"/>
          <w:bCs w:val="0"/>
        </w:rPr>
        <w:t>入支出决算总表</w:t>
      </w:r>
      <w:bookmarkEnd w:id="59"/>
      <w:bookmarkStart w:id="60" w:name="_Toc15396620"/>
    </w:p>
    <w:p>
      <w:pPr>
        <w:adjustRightInd w:val="0"/>
        <w:snapToGrid w:val="0"/>
        <w:spacing w:line="480" w:lineRule="auto"/>
        <w:jc w:val="left"/>
        <w:rPr>
          <w:rFonts w:ascii="仿宋_GB2312" w:hAnsi="仿宋_GB2312" w:eastAsia="仿宋_GB2312" w:cs="仿宋_GB2312"/>
          <w:color w:val="000000"/>
          <w:sz w:val="32"/>
          <w:szCs w:val="32"/>
        </w:rPr>
      </w:pPr>
      <w:r>
        <w:rPr>
          <w:rStyle w:val="25"/>
          <w:rFonts w:hint="eastAsia" w:ascii="仿宋_GB2312" w:hAnsi="仿宋_GB2312" w:eastAsia="仿宋_GB2312" w:cs="仿宋_GB2312"/>
          <w:b w:val="0"/>
          <w:bCs w:val="0"/>
        </w:rPr>
        <w:t>二、收入总表</w:t>
      </w:r>
      <w:bookmarkEnd w:id="60"/>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1" w:name="_Toc15396621"/>
      <w:r>
        <w:rPr>
          <w:rStyle w:val="25"/>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5"/>
          <w:rFonts w:hint="eastAsia" w:ascii="仿宋_GB2312" w:hAnsi="仿宋_GB2312" w:eastAsia="仿宋_GB2312" w:cs="仿宋_GB2312"/>
          <w:b w:val="0"/>
          <w:bCs w:val="0"/>
        </w:rPr>
        <w:t>出总表</w:t>
      </w:r>
      <w:bookmarkEnd w:id="61"/>
    </w:p>
    <w:p>
      <w:pPr>
        <w:pStyle w:val="3"/>
        <w:keepNext w:val="0"/>
        <w:keepLines w:val="0"/>
        <w:adjustRightInd w:val="0"/>
        <w:snapToGrid w:val="0"/>
        <w:spacing w:before="0" w:after="0" w:line="480" w:lineRule="auto"/>
        <w:jc w:val="left"/>
        <w:rPr>
          <w:rFonts w:ascii="仿宋_GB2312" w:hAnsi="仿宋_GB2312" w:eastAsia="仿宋_GB2312" w:cs="仿宋_GB2312"/>
          <w:b w:val="0"/>
          <w:color w:val="000000"/>
        </w:rPr>
      </w:pPr>
      <w:bookmarkStart w:id="62" w:name="_Toc15396622"/>
      <w:r>
        <w:rPr>
          <w:rStyle w:val="25"/>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5"/>
          <w:rFonts w:hint="eastAsia" w:ascii="仿宋_GB2312" w:hAnsi="仿宋_GB2312" w:eastAsia="仿宋_GB2312" w:cs="仿宋_GB2312"/>
          <w:b w:val="0"/>
          <w:bCs w:val="0"/>
        </w:rPr>
        <w:t>政拨款收入支出决算总表</w:t>
      </w:r>
      <w:bookmarkEnd w:id="62"/>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3" w:name="_Toc15396623"/>
      <w:r>
        <w:rPr>
          <w:rStyle w:val="25"/>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5"/>
          <w:rFonts w:hint="eastAsia" w:ascii="仿宋_GB2312" w:hAnsi="仿宋_GB2312" w:eastAsia="仿宋_GB2312" w:cs="仿宋_GB2312"/>
          <w:b w:val="0"/>
          <w:bCs w:val="0"/>
        </w:rPr>
        <w:t>政拨款支出决算明细表（政府经济分类科目）</w:t>
      </w:r>
      <w:bookmarkEnd w:id="63"/>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4" w:name="_Toc15396624"/>
      <w:r>
        <w:rPr>
          <w:rStyle w:val="25"/>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般公共预算财政拨款支出决算表</w:t>
      </w:r>
      <w:bookmarkEnd w:id="64"/>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5" w:name="_Toc15396625"/>
      <w:r>
        <w:rPr>
          <w:rStyle w:val="25"/>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般公共预算财政拨款支出决算明细表</w:t>
      </w:r>
      <w:bookmarkEnd w:id="65"/>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6" w:name="_Toc15396626"/>
      <w:r>
        <w:rPr>
          <w:rStyle w:val="25"/>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般公共预算财政拨款基本支出决算表</w:t>
      </w:r>
      <w:bookmarkEnd w:id="66"/>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7" w:name="_Toc15396627"/>
      <w:r>
        <w:rPr>
          <w:rStyle w:val="25"/>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般公共预算财政拨款项目支出决算表</w:t>
      </w:r>
      <w:bookmarkEnd w:id="67"/>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8" w:name="_Toc15396628"/>
      <w:r>
        <w:rPr>
          <w:rStyle w:val="25"/>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般公共预算财政拨款“三公”经费支出决算表</w:t>
      </w:r>
      <w:bookmarkEnd w:id="68"/>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9" w:name="_Toc15396629"/>
      <w:r>
        <w:rPr>
          <w:rStyle w:val="25"/>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5"/>
          <w:rFonts w:hint="eastAsia" w:ascii="仿宋_GB2312" w:hAnsi="仿宋_GB2312" w:eastAsia="仿宋_GB2312" w:cs="仿宋_GB2312"/>
          <w:b w:val="0"/>
          <w:bCs w:val="0"/>
        </w:rPr>
        <w:t>府性基金预算财政拨款收入支出决算表</w:t>
      </w:r>
      <w:bookmarkEnd w:id="69"/>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70" w:name="_Toc15396630"/>
      <w:r>
        <w:rPr>
          <w:rStyle w:val="25"/>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5"/>
          <w:rFonts w:hint="eastAsia" w:ascii="仿宋_GB2312" w:hAnsi="仿宋_GB2312" w:eastAsia="仿宋_GB2312" w:cs="仿宋_GB2312"/>
          <w:b w:val="0"/>
          <w:bCs w:val="0"/>
        </w:rPr>
        <w:t>府性基金预算财政拨款“三公”经费支出决算表</w:t>
      </w:r>
      <w:bookmarkEnd w:id="70"/>
    </w:p>
    <w:p>
      <w:pPr>
        <w:pStyle w:val="3"/>
        <w:keepNext w:val="0"/>
        <w:keepLines w:val="0"/>
        <w:adjustRightInd w:val="0"/>
        <w:snapToGrid w:val="0"/>
        <w:spacing w:before="0" w:after="0" w:line="480" w:lineRule="auto"/>
        <w:jc w:val="left"/>
        <w:rPr>
          <w:rFonts w:eastAsia="仿宋"/>
        </w:rPr>
      </w:pPr>
      <w:bookmarkStart w:id="71" w:name="_Toc15396631"/>
      <w:r>
        <w:rPr>
          <w:rStyle w:val="25"/>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5"/>
          <w:rFonts w:hint="eastAsia" w:ascii="仿宋_GB2312" w:hAnsi="仿宋_GB2312" w:eastAsia="仿宋_GB2312" w:cs="仿宋_GB2312"/>
          <w:b w:val="0"/>
          <w:bCs w:val="0"/>
        </w:rPr>
        <w:t>有资本经营预算支出决算表</w:t>
      </w:r>
      <w:bookmarkEnd w:id="71"/>
    </w:p>
    <w:sectPr>
      <w:headerReference r:id="rId3" w:type="default"/>
      <w:footerReference r:id="rId4" w:type="default"/>
      <w:pgSz w:w="11906" w:h="16838"/>
      <w:pgMar w:top="2098" w:right="1474" w:bottom="2041" w:left="2007" w:header="851" w:footer="992"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w:altName w:val="DejaVu Sans"/>
    <w:panose1 w:val="020F0502020204030204"/>
    <w:charset w:val="01"/>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15</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C5E7743"/>
    <w:multiLevelType w:val="singleLevel"/>
    <w:tmpl w:val="5C5E7743"/>
    <w:lvl w:ilvl="0" w:tentative="0">
      <w:start w:val="2"/>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2502"/>
    <w:rsid w:val="000222C6"/>
    <w:rsid w:val="0002549F"/>
    <w:rsid w:val="00033D01"/>
    <w:rsid w:val="00060C87"/>
    <w:rsid w:val="0006487A"/>
    <w:rsid w:val="00065F8F"/>
    <w:rsid w:val="0007244C"/>
    <w:rsid w:val="000768F2"/>
    <w:rsid w:val="0009184B"/>
    <w:rsid w:val="0009593C"/>
    <w:rsid w:val="000A7AB7"/>
    <w:rsid w:val="000B047F"/>
    <w:rsid w:val="000B5923"/>
    <w:rsid w:val="000B5A48"/>
    <w:rsid w:val="000B67C9"/>
    <w:rsid w:val="000B6FF3"/>
    <w:rsid w:val="000C3467"/>
    <w:rsid w:val="000C3CA6"/>
    <w:rsid w:val="000D1267"/>
    <w:rsid w:val="000D1D50"/>
    <w:rsid w:val="000D5782"/>
    <w:rsid w:val="000E2FDD"/>
    <w:rsid w:val="000E6613"/>
    <w:rsid w:val="000E7119"/>
    <w:rsid w:val="000F17B9"/>
    <w:rsid w:val="00114E9B"/>
    <w:rsid w:val="001463CB"/>
    <w:rsid w:val="0014729F"/>
    <w:rsid w:val="0015592E"/>
    <w:rsid w:val="00155A68"/>
    <w:rsid w:val="00156D1F"/>
    <w:rsid w:val="00157BAB"/>
    <w:rsid w:val="001654D1"/>
    <w:rsid w:val="0018106D"/>
    <w:rsid w:val="001877A7"/>
    <w:rsid w:val="00191536"/>
    <w:rsid w:val="00196687"/>
    <w:rsid w:val="001A6CC5"/>
    <w:rsid w:val="001C0962"/>
    <w:rsid w:val="001C3E7E"/>
    <w:rsid w:val="001D7531"/>
    <w:rsid w:val="001E737D"/>
    <w:rsid w:val="001F0592"/>
    <w:rsid w:val="001F7506"/>
    <w:rsid w:val="002006CD"/>
    <w:rsid w:val="00202B36"/>
    <w:rsid w:val="00204B7A"/>
    <w:rsid w:val="00204EC9"/>
    <w:rsid w:val="0021101A"/>
    <w:rsid w:val="00216322"/>
    <w:rsid w:val="00220536"/>
    <w:rsid w:val="00230EE9"/>
    <w:rsid w:val="00235629"/>
    <w:rsid w:val="00253888"/>
    <w:rsid w:val="00257E41"/>
    <w:rsid w:val="00260C38"/>
    <w:rsid w:val="002616C0"/>
    <w:rsid w:val="00262A0E"/>
    <w:rsid w:val="002662AA"/>
    <w:rsid w:val="002779C3"/>
    <w:rsid w:val="00280496"/>
    <w:rsid w:val="00295495"/>
    <w:rsid w:val="00295A0F"/>
    <w:rsid w:val="002A7FBB"/>
    <w:rsid w:val="002B2613"/>
    <w:rsid w:val="002C3A42"/>
    <w:rsid w:val="002D3AB6"/>
    <w:rsid w:val="002D4D40"/>
    <w:rsid w:val="002E217C"/>
    <w:rsid w:val="002F1818"/>
    <w:rsid w:val="002F567B"/>
    <w:rsid w:val="00310429"/>
    <w:rsid w:val="003216A9"/>
    <w:rsid w:val="00360DB6"/>
    <w:rsid w:val="00365468"/>
    <w:rsid w:val="0037013F"/>
    <w:rsid w:val="00380C92"/>
    <w:rsid w:val="003A484F"/>
    <w:rsid w:val="003A7CCF"/>
    <w:rsid w:val="003B0BE0"/>
    <w:rsid w:val="003B0C1B"/>
    <w:rsid w:val="003B688C"/>
    <w:rsid w:val="003C0291"/>
    <w:rsid w:val="003C39AE"/>
    <w:rsid w:val="003C5C3C"/>
    <w:rsid w:val="003C7B60"/>
    <w:rsid w:val="003D1FB2"/>
    <w:rsid w:val="003D66DA"/>
    <w:rsid w:val="003E0E2A"/>
    <w:rsid w:val="003E1310"/>
    <w:rsid w:val="003E6F55"/>
    <w:rsid w:val="003F3958"/>
    <w:rsid w:val="00406254"/>
    <w:rsid w:val="004100C7"/>
    <w:rsid w:val="004223DE"/>
    <w:rsid w:val="00434489"/>
    <w:rsid w:val="00437085"/>
    <w:rsid w:val="00443880"/>
    <w:rsid w:val="004464F4"/>
    <w:rsid w:val="00460F09"/>
    <w:rsid w:val="00471401"/>
    <w:rsid w:val="00473F31"/>
    <w:rsid w:val="0048263A"/>
    <w:rsid w:val="00487E5D"/>
    <w:rsid w:val="004A711F"/>
    <w:rsid w:val="004B0F14"/>
    <w:rsid w:val="004B199D"/>
    <w:rsid w:val="004B4690"/>
    <w:rsid w:val="004C3A6F"/>
    <w:rsid w:val="004E0A2D"/>
    <w:rsid w:val="004E206B"/>
    <w:rsid w:val="004E6DF7"/>
    <w:rsid w:val="004F0FBD"/>
    <w:rsid w:val="004F52A8"/>
    <w:rsid w:val="00503758"/>
    <w:rsid w:val="00505A47"/>
    <w:rsid w:val="00512FDA"/>
    <w:rsid w:val="00520DA0"/>
    <w:rsid w:val="005664BB"/>
    <w:rsid w:val="0057481D"/>
    <w:rsid w:val="0058486E"/>
    <w:rsid w:val="005D1928"/>
    <w:rsid w:val="005D1C8B"/>
    <w:rsid w:val="005D5CED"/>
    <w:rsid w:val="005F1A4C"/>
    <w:rsid w:val="00605688"/>
    <w:rsid w:val="006070AF"/>
    <w:rsid w:val="00607E6C"/>
    <w:rsid w:val="006101B1"/>
    <w:rsid w:val="00614E44"/>
    <w:rsid w:val="00622830"/>
    <w:rsid w:val="00630AEF"/>
    <w:rsid w:val="006325F8"/>
    <w:rsid w:val="00634C9A"/>
    <w:rsid w:val="00642ED8"/>
    <w:rsid w:val="006440E4"/>
    <w:rsid w:val="006466CA"/>
    <w:rsid w:val="0065695B"/>
    <w:rsid w:val="0066171A"/>
    <w:rsid w:val="0066343B"/>
    <w:rsid w:val="00664199"/>
    <w:rsid w:val="00664777"/>
    <w:rsid w:val="0067224A"/>
    <w:rsid w:val="006748A4"/>
    <w:rsid w:val="00683E73"/>
    <w:rsid w:val="00696E74"/>
    <w:rsid w:val="006A3141"/>
    <w:rsid w:val="006A5E34"/>
    <w:rsid w:val="006B2422"/>
    <w:rsid w:val="006B2B9A"/>
    <w:rsid w:val="006C1937"/>
    <w:rsid w:val="006D3018"/>
    <w:rsid w:val="006E4AE8"/>
    <w:rsid w:val="006F020C"/>
    <w:rsid w:val="006F45C7"/>
    <w:rsid w:val="00701E47"/>
    <w:rsid w:val="00703B0E"/>
    <w:rsid w:val="007127B7"/>
    <w:rsid w:val="00716B5A"/>
    <w:rsid w:val="00734B8F"/>
    <w:rsid w:val="00735953"/>
    <w:rsid w:val="00736575"/>
    <w:rsid w:val="007416B6"/>
    <w:rsid w:val="00746F48"/>
    <w:rsid w:val="0075404D"/>
    <w:rsid w:val="0076182A"/>
    <w:rsid w:val="00767B7E"/>
    <w:rsid w:val="007770C3"/>
    <w:rsid w:val="00784D24"/>
    <w:rsid w:val="00785FBA"/>
    <w:rsid w:val="00786E4A"/>
    <w:rsid w:val="007875EB"/>
    <w:rsid w:val="0079426B"/>
    <w:rsid w:val="00796DA1"/>
    <w:rsid w:val="007B566A"/>
    <w:rsid w:val="007B71C4"/>
    <w:rsid w:val="007D312A"/>
    <w:rsid w:val="007D3F19"/>
    <w:rsid w:val="007E23B0"/>
    <w:rsid w:val="007E6E71"/>
    <w:rsid w:val="007F1991"/>
    <w:rsid w:val="007F2C2F"/>
    <w:rsid w:val="007F55FC"/>
    <w:rsid w:val="007F5665"/>
    <w:rsid w:val="00800112"/>
    <w:rsid w:val="008253BB"/>
    <w:rsid w:val="0083706E"/>
    <w:rsid w:val="008423A5"/>
    <w:rsid w:val="008453E6"/>
    <w:rsid w:val="00850573"/>
    <w:rsid w:val="00850625"/>
    <w:rsid w:val="00853718"/>
    <w:rsid w:val="00855221"/>
    <w:rsid w:val="00860645"/>
    <w:rsid w:val="00871F71"/>
    <w:rsid w:val="00885AF4"/>
    <w:rsid w:val="008939CD"/>
    <w:rsid w:val="008A4C41"/>
    <w:rsid w:val="008A7571"/>
    <w:rsid w:val="008B768C"/>
    <w:rsid w:val="008C4DB1"/>
    <w:rsid w:val="008C4EAF"/>
    <w:rsid w:val="008C5176"/>
    <w:rsid w:val="008C7FD0"/>
    <w:rsid w:val="008E1DE7"/>
    <w:rsid w:val="008E707C"/>
    <w:rsid w:val="008F5D5C"/>
    <w:rsid w:val="00900B08"/>
    <w:rsid w:val="009011BD"/>
    <w:rsid w:val="00902155"/>
    <w:rsid w:val="00902FA3"/>
    <w:rsid w:val="00912556"/>
    <w:rsid w:val="00923564"/>
    <w:rsid w:val="0092392E"/>
    <w:rsid w:val="009315F9"/>
    <w:rsid w:val="00946945"/>
    <w:rsid w:val="00951248"/>
    <w:rsid w:val="0095152F"/>
    <w:rsid w:val="00954C49"/>
    <w:rsid w:val="0097099F"/>
    <w:rsid w:val="00971997"/>
    <w:rsid w:val="00971FFC"/>
    <w:rsid w:val="0098660A"/>
    <w:rsid w:val="009903FB"/>
    <w:rsid w:val="00991CF8"/>
    <w:rsid w:val="009931C3"/>
    <w:rsid w:val="009968E0"/>
    <w:rsid w:val="009B2C43"/>
    <w:rsid w:val="009B4983"/>
    <w:rsid w:val="009B4EAE"/>
    <w:rsid w:val="009B7573"/>
    <w:rsid w:val="009C22F4"/>
    <w:rsid w:val="009C2E98"/>
    <w:rsid w:val="009C39A2"/>
    <w:rsid w:val="009D3447"/>
    <w:rsid w:val="009D4711"/>
    <w:rsid w:val="009F1185"/>
    <w:rsid w:val="009F18CD"/>
    <w:rsid w:val="009F2A13"/>
    <w:rsid w:val="009F4D1C"/>
    <w:rsid w:val="00A02E2C"/>
    <w:rsid w:val="00A04EB0"/>
    <w:rsid w:val="00A1326B"/>
    <w:rsid w:val="00A13CC1"/>
    <w:rsid w:val="00A16847"/>
    <w:rsid w:val="00A237D8"/>
    <w:rsid w:val="00A268C4"/>
    <w:rsid w:val="00A27BFA"/>
    <w:rsid w:val="00A307CD"/>
    <w:rsid w:val="00A40A00"/>
    <w:rsid w:val="00A4142F"/>
    <w:rsid w:val="00A56DF2"/>
    <w:rsid w:val="00A6086D"/>
    <w:rsid w:val="00A67AB5"/>
    <w:rsid w:val="00A83513"/>
    <w:rsid w:val="00A91760"/>
    <w:rsid w:val="00A93B00"/>
    <w:rsid w:val="00A93C21"/>
    <w:rsid w:val="00AC3C6A"/>
    <w:rsid w:val="00AC64F4"/>
    <w:rsid w:val="00AD0515"/>
    <w:rsid w:val="00AD4CF0"/>
    <w:rsid w:val="00AD5620"/>
    <w:rsid w:val="00AD7C1B"/>
    <w:rsid w:val="00AE16BA"/>
    <w:rsid w:val="00AE1EBE"/>
    <w:rsid w:val="00AE2B54"/>
    <w:rsid w:val="00AF26E1"/>
    <w:rsid w:val="00B00178"/>
    <w:rsid w:val="00B03C9D"/>
    <w:rsid w:val="00B060AE"/>
    <w:rsid w:val="00B10517"/>
    <w:rsid w:val="00B14E76"/>
    <w:rsid w:val="00B161B8"/>
    <w:rsid w:val="00B2048C"/>
    <w:rsid w:val="00B244FF"/>
    <w:rsid w:val="00B310B9"/>
    <w:rsid w:val="00B35F3F"/>
    <w:rsid w:val="00B36CBB"/>
    <w:rsid w:val="00B37CF3"/>
    <w:rsid w:val="00B425E0"/>
    <w:rsid w:val="00B440AA"/>
    <w:rsid w:val="00B44B70"/>
    <w:rsid w:val="00B53C56"/>
    <w:rsid w:val="00B77EA6"/>
    <w:rsid w:val="00B80B76"/>
    <w:rsid w:val="00B81598"/>
    <w:rsid w:val="00B822D9"/>
    <w:rsid w:val="00B841F1"/>
    <w:rsid w:val="00B944D6"/>
    <w:rsid w:val="00BB4DF0"/>
    <w:rsid w:val="00BC289F"/>
    <w:rsid w:val="00BC5361"/>
    <w:rsid w:val="00BC5460"/>
    <w:rsid w:val="00BC6B50"/>
    <w:rsid w:val="00BD0E25"/>
    <w:rsid w:val="00BD2AE5"/>
    <w:rsid w:val="00BF185B"/>
    <w:rsid w:val="00BF5BD6"/>
    <w:rsid w:val="00BF731F"/>
    <w:rsid w:val="00C03E31"/>
    <w:rsid w:val="00C03F0C"/>
    <w:rsid w:val="00C20EC3"/>
    <w:rsid w:val="00C26755"/>
    <w:rsid w:val="00C31445"/>
    <w:rsid w:val="00C33E72"/>
    <w:rsid w:val="00C354B2"/>
    <w:rsid w:val="00C35554"/>
    <w:rsid w:val="00C400A4"/>
    <w:rsid w:val="00C42709"/>
    <w:rsid w:val="00C533CC"/>
    <w:rsid w:val="00C5751C"/>
    <w:rsid w:val="00C61BFC"/>
    <w:rsid w:val="00C62B85"/>
    <w:rsid w:val="00C65438"/>
    <w:rsid w:val="00C66A71"/>
    <w:rsid w:val="00C91CBB"/>
    <w:rsid w:val="00CA615B"/>
    <w:rsid w:val="00CB492C"/>
    <w:rsid w:val="00CC09B6"/>
    <w:rsid w:val="00CC666F"/>
    <w:rsid w:val="00CD1E3F"/>
    <w:rsid w:val="00CE1A8E"/>
    <w:rsid w:val="00CE44F6"/>
    <w:rsid w:val="00CE49DA"/>
    <w:rsid w:val="00CE7B61"/>
    <w:rsid w:val="00CF4DE4"/>
    <w:rsid w:val="00D00095"/>
    <w:rsid w:val="00D20396"/>
    <w:rsid w:val="00D20620"/>
    <w:rsid w:val="00D21386"/>
    <w:rsid w:val="00D26091"/>
    <w:rsid w:val="00D34E7C"/>
    <w:rsid w:val="00D35489"/>
    <w:rsid w:val="00D51276"/>
    <w:rsid w:val="00D7035F"/>
    <w:rsid w:val="00D724BB"/>
    <w:rsid w:val="00D81794"/>
    <w:rsid w:val="00D93726"/>
    <w:rsid w:val="00DA65AC"/>
    <w:rsid w:val="00DB1913"/>
    <w:rsid w:val="00DC410D"/>
    <w:rsid w:val="00DC68CA"/>
    <w:rsid w:val="00DC7CBA"/>
    <w:rsid w:val="00DD2627"/>
    <w:rsid w:val="00DD73B7"/>
    <w:rsid w:val="00DE0F9E"/>
    <w:rsid w:val="00DF28BC"/>
    <w:rsid w:val="00DF34B9"/>
    <w:rsid w:val="00E01053"/>
    <w:rsid w:val="00E07ACF"/>
    <w:rsid w:val="00E331A1"/>
    <w:rsid w:val="00E33202"/>
    <w:rsid w:val="00E336A9"/>
    <w:rsid w:val="00E33F62"/>
    <w:rsid w:val="00E44184"/>
    <w:rsid w:val="00E45A58"/>
    <w:rsid w:val="00E50624"/>
    <w:rsid w:val="00E568DF"/>
    <w:rsid w:val="00E64269"/>
    <w:rsid w:val="00E72D24"/>
    <w:rsid w:val="00E747DD"/>
    <w:rsid w:val="00E82267"/>
    <w:rsid w:val="00E84189"/>
    <w:rsid w:val="00E86F34"/>
    <w:rsid w:val="00E92A6D"/>
    <w:rsid w:val="00EA010F"/>
    <w:rsid w:val="00EB0F29"/>
    <w:rsid w:val="00ED1B63"/>
    <w:rsid w:val="00ED2828"/>
    <w:rsid w:val="00ED3C1F"/>
    <w:rsid w:val="00ED4085"/>
    <w:rsid w:val="00ED420E"/>
    <w:rsid w:val="00EE2F57"/>
    <w:rsid w:val="00EF0BA5"/>
    <w:rsid w:val="00EF4C34"/>
    <w:rsid w:val="00EF77C6"/>
    <w:rsid w:val="00F007DC"/>
    <w:rsid w:val="00F05438"/>
    <w:rsid w:val="00F11C70"/>
    <w:rsid w:val="00F1361C"/>
    <w:rsid w:val="00F160C7"/>
    <w:rsid w:val="00F2624A"/>
    <w:rsid w:val="00F355EB"/>
    <w:rsid w:val="00F36D8F"/>
    <w:rsid w:val="00F417B1"/>
    <w:rsid w:val="00F43541"/>
    <w:rsid w:val="00F43CFF"/>
    <w:rsid w:val="00F447B3"/>
    <w:rsid w:val="00F50630"/>
    <w:rsid w:val="00F602DF"/>
    <w:rsid w:val="00F81FD9"/>
    <w:rsid w:val="00F841AA"/>
    <w:rsid w:val="00FA181A"/>
    <w:rsid w:val="00FA23E8"/>
    <w:rsid w:val="00FD3CC1"/>
    <w:rsid w:val="00FF1E02"/>
    <w:rsid w:val="00FF30B4"/>
    <w:rsid w:val="00FF37B0"/>
    <w:rsid w:val="00FF3CC7"/>
    <w:rsid w:val="02AD44CC"/>
    <w:rsid w:val="0771118F"/>
    <w:rsid w:val="08EA2BF8"/>
    <w:rsid w:val="09503632"/>
    <w:rsid w:val="0F9D58C8"/>
    <w:rsid w:val="10C055FF"/>
    <w:rsid w:val="16BB723D"/>
    <w:rsid w:val="1CBF74C7"/>
    <w:rsid w:val="240371BF"/>
    <w:rsid w:val="283C6481"/>
    <w:rsid w:val="29D23E1C"/>
    <w:rsid w:val="29FD04D3"/>
    <w:rsid w:val="2BC12629"/>
    <w:rsid w:val="2CAB2406"/>
    <w:rsid w:val="2CF03FB3"/>
    <w:rsid w:val="314C40C8"/>
    <w:rsid w:val="319F7F4E"/>
    <w:rsid w:val="3C7D46A6"/>
    <w:rsid w:val="419F12C5"/>
    <w:rsid w:val="45F171A9"/>
    <w:rsid w:val="46A67970"/>
    <w:rsid w:val="4B9A4995"/>
    <w:rsid w:val="53494809"/>
    <w:rsid w:val="58872062"/>
    <w:rsid w:val="5C3B7E27"/>
    <w:rsid w:val="5FEF74BC"/>
    <w:rsid w:val="61BD3C26"/>
    <w:rsid w:val="626F420C"/>
    <w:rsid w:val="6372760F"/>
    <w:rsid w:val="69322C02"/>
    <w:rsid w:val="6C1D5C21"/>
    <w:rsid w:val="6E1A42F5"/>
    <w:rsid w:val="70E909A8"/>
    <w:rsid w:val="74017585"/>
    <w:rsid w:val="77724A10"/>
    <w:rsid w:val="7B9F073E"/>
    <w:rsid w:val="7E0D5C2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95" b="1" i="0" u="none" strike="noStrike" kern="1200" baseline="0">
                <a:solidFill>
                  <a:schemeClr val="tx1"/>
                </a:solidFill>
                <a:latin typeface="+mn-lt"/>
                <a:ea typeface="+mn-ea"/>
                <a:cs typeface="+mn-cs"/>
              </a:defRPr>
            </a:pPr>
            <a:r>
              <a:rPr lang="zh-CN" altLang="en-US" sz="1195"/>
              <a:t>收入支出决算总体对比情况</a:t>
            </a:r>
            <a:endParaRPr lang="zh-CN" altLang="en-US" sz="1195"/>
          </a:p>
        </c:rich>
      </c:tx>
      <c:layout>
        <c:manualLayout>
          <c:xMode val="edge"/>
          <c:yMode val="edge"/>
          <c:x val="0.160095360572766"/>
          <c:y val="0.0793650793650794"/>
        </c:manualLayout>
      </c:layout>
      <c:overlay val="0"/>
      <c:spPr>
        <a:noFill/>
        <a:ln w="25301">
          <a:noFill/>
        </a:ln>
      </c:spPr>
    </c:title>
    <c:autoTitleDeleted val="0"/>
    <c:plotArea>
      <c:layout>
        <c:manualLayout>
          <c:layoutTarget val="inner"/>
          <c:xMode val="edge"/>
          <c:yMode val="edge"/>
          <c:x val="0.119533527696793"/>
          <c:y val="0.259109311740891"/>
          <c:w val="0.641399416909628"/>
          <c:h val="0.595141700404858"/>
        </c:manualLayout>
      </c:layout>
      <c:barChart>
        <c:barDir val="col"/>
        <c:grouping val="clustered"/>
        <c:varyColors val="0"/>
        <c:ser>
          <c:idx val="0"/>
          <c:order val="0"/>
          <c:tx>
            <c:strRef>
              <c:f>Sheet1!$B$1</c:f>
              <c:strCache>
                <c:ptCount val="1"/>
                <c:pt idx="0">
                  <c:v>2019</c:v>
                </c:pt>
              </c:strCache>
            </c:strRef>
          </c:tx>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326.57</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w="2530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收入支出</c:v>
                </c:pt>
              </c:strCache>
            </c:strRef>
          </c:cat>
          <c:val>
            <c:numRef>
              <c:f>Sheet1!$B$2</c:f>
              <c:numCache>
                <c:formatCode>General</c:formatCode>
                <c:ptCount val="1"/>
                <c:pt idx="0">
                  <c:v>326.57</c:v>
                </c:pt>
              </c:numCache>
            </c:numRef>
          </c:val>
        </c:ser>
        <c:ser>
          <c:idx val="1"/>
          <c:order val="1"/>
          <c:tx>
            <c:strRef>
              <c:f>Sheet1!$C$1</c:f>
              <c:strCache>
                <c:ptCount val="1"/>
                <c:pt idx="0">
                  <c:v>2018</c:v>
                </c:pt>
              </c:strCache>
            </c:strRef>
          </c:tx>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399.15</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w="2530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收入支出</c:v>
                </c:pt>
              </c:strCache>
            </c:strRef>
          </c:cat>
          <c:val>
            <c:numRef>
              <c:f>Sheet1!$C$2</c:f>
              <c:numCache>
                <c:formatCode>General</c:formatCode>
                <c:ptCount val="1"/>
                <c:pt idx="0">
                  <c:v>399.15</c:v>
                </c:pt>
              </c:numCache>
            </c:numRef>
          </c:val>
        </c:ser>
        <c:dLbls>
          <c:showLegendKey val="0"/>
          <c:showVal val="1"/>
          <c:showCatName val="0"/>
          <c:showSerName val="0"/>
          <c:showPercent val="0"/>
          <c:showBubbleSize val="0"/>
        </c:dLbls>
        <c:gapWidth val="150"/>
        <c:axId val="87623936"/>
        <c:axId val="87674880"/>
      </c:barChart>
      <c:catAx>
        <c:axId val="87623936"/>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7674880"/>
        <c:crosses val="autoZero"/>
        <c:auto val="1"/>
        <c:lblAlgn val="ctr"/>
        <c:lblOffset val="100"/>
        <c:noMultiLvlLbl val="0"/>
      </c:catAx>
      <c:valAx>
        <c:axId val="87674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7623936"/>
        <c:crosses val="autoZero"/>
        <c:crossBetween val="between"/>
      </c:valAx>
    </c:plotArea>
    <c:legend>
      <c:legendPos val="r"/>
      <c:layout>
        <c:manualLayout>
          <c:xMode val="edge"/>
          <c:yMode val="edge"/>
          <c:x val="0.795918367346935"/>
          <c:y val="0.497975708502024"/>
          <c:w val="0.183673469387755"/>
          <c:h val="0.19433198380566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年收入情况</a:t>
            </a:r>
            <a:endParaRPr lang="zh-CN" altLang="en-US"/>
          </a:p>
        </c:rich>
      </c:tx>
      <c:layout/>
      <c:overlay val="0"/>
      <c:spPr>
        <a:noFill/>
        <a:ln w="25261">
          <a:noFill/>
        </a:ln>
      </c:spPr>
    </c:title>
    <c:autoTitleDeleted val="0"/>
    <c:plotArea>
      <c:layout/>
      <c:pieChart>
        <c:varyColors val="1"/>
        <c:ser>
          <c:idx val="0"/>
          <c:order val="0"/>
          <c:tx>
            <c:strRef>
              <c:f>Sheet1!$B$1</c:f>
              <c:strCache>
                <c:ptCount val="1"/>
                <c:pt idx="0">
                  <c:v>2019年收入情况</c:v>
                </c:pt>
              </c:strCache>
            </c:strRef>
          </c:tx>
          <c:explosion val="0"/>
          <c:dPt>
            <c:idx val="0"/>
            <c:bubble3D val="0"/>
          </c:dPt>
          <c:dPt>
            <c:idx val="1"/>
            <c:bubble3D val="0"/>
          </c:dPt>
          <c:dPt>
            <c:idx val="2"/>
            <c:bubble3D val="0"/>
          </c:dPt>
          <c:dPt>
            <c:idx val="3"/>
            <c:bubble3D val="0"/>
          </c:dPt>
          <c:dPt>
            <c:idx val="4"/>
            <c:bubble3D val="0"/>
          </c:dPt>
          <c:dLbls>
            <c:dLbl>
              <c:idx val="0"/>
              <c:layout>
                <c:manualLayout>
                  <c:x val="-0.0211841057181286"/>
                  <c:y val="-0.1998666238148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 100</a:t>
                    </a:r>
                    <a:r>
                      <a:rPr lang="en-US" altLang="zh-CN"/>
                      <a:t>%</a:t>
                    </a:r>
                    <a:endParaRPr lang="en-US" altLang="en-US"/>
                  </a:p>
                </c:rich>
              </c:tx>
              <c:dLblPos val="bestFit"/>
              <c:showLegendKey val="0"/>
              <c:showVal val="1"/>
              <c:showCatName val="0"/>
              <c:showSerName val="1"/>
              <c:showPercent val="1"/>
              <c:showBubbleSize val="0"/>
              <c:extLst>
                <c:ext xmlns:c15="http://schemas.microsoft.com/office/drawing/2012/chart" uri="{CE6537A1-D6FC-4f65-9D91-7224C49458BB}">
                  <c15:layout/>
                </c:ext>
              </c:extLst>
            </c:dLbl>
            <c:dLbl>
              <c:idx val="1"/>
              <c:delete val="1"/>
            </c:dLbl>
            <c:dLbl>
              <c:idx val="2"/>
              <c:delete val="1"/>
            </c:dLbl>
            <c:dLbl>
              <c:idx val="3"/>
              <c:delete val="1"/>
            </c:dLbl>
            <c:dLbl>
              <c:idx val="4"/>
              <c:layout>
                <c:manualLayout>
                  <c:x val="0.0389449080059022"/>
                  <c:y val="-0.00028550002678236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a:t>
                    </a:r>
                    <a:endParaRPr lang="zh-CN" altLang="en-US"/>
                  </a:p>
                </c:rich>
              </c:tx>
              <c:dLblPos val="bestFit"/>
              <c:showLegendKey val="0"/>
              <c:showVal val="1"/>
              <c:showCatName val="0"/>
              <c:showSerName val="1"/>
              <c:showPercent val="1"/>
              <c:showBubbleSize val="0"/>
              <c:extLst>
                <c:ext xmlns:c15="http://schemas.microsoft.com/office/drawing/2012/chart" uri="{CE6537A1-D6FC-4f65-9D91-7224C49458BB}">
                  <c15:layout/>
                </c:ext>
              </c:extLst>
            </c:dLbl>
            <c:spPr>
              <a:noFill/>
              <a:ln w="2526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财政拨款收入</c:v>
                </c:pt>
                <c:pt idx="1">
                  <c:v>结转结余收入</c:v>
                </c:pt>
                <c:pt idx="2">
                  <c:v>经营收入</c:v>
                </c:pt>
                <c:pt idx="3">
                  <c:v>附属单位上缴收入</c:v>
                </c:pt>
                <c:pt idx="4">
                  <c:v>其他收入</c:v>
                </c:pt>
              </c:strCache>
            </c:strRef>
          </c:cat>
          <c:val>
            <c:numRef>
              <c:f>Sheet1!$B$2:$B$6</c:f>
              <c:numCache>
                <c:formatCode>General</c:formatCode>
                <c:ptCount val="5"/>
                <c:pt idx="0">
                  <c:v>100</c:v>
                </c:pt>
                <c:pt idx="1">
                  <c:v>0</c:v>
                </c:pt>
                <c:pt idx="2">
                  <c:v>0</c:v>
                </c:pt>
                <c:pt idx="3">
                  <c:v>0</c:v>
                </c:pt>
              </c:numCache>
            </c:numRef>
          </c:val>
        </c:ser>
        <c:dLbls>
          <c:showLegendKey val="0"/>
          <c:showVal val="0"/>
          <c:showCatName val="0"/>
          <c:showSerName val="0"/>
          <c:showPercent val="1"/>
          <c:showBubbleSize val="0"/>
          <c:showLeaderLines val="1"/>
        </c:dLbls>
        <c:firstSliceAng val="0"/>
      </c:pieChart>
      <c:spPr>
        <a:noFill/>
        <a:ln w="25261">
          <a:noFill/>
        </a:ln>
      </c:spPr>
    </c:plotArea>
    <c:legend>
      <c:legendPos val="r"/>
      <c:layout>
        <c:manualLayout>
          <c:xMode val="edge"/>
          <c:yMode val="edge"/>
          <c:x val="0.651515151515152"/>
          <c:y val="0.335078534031417"/>
          <c:w val="0.325757575757579"/>
          <c:h val="0.62827225130890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年支出情况</a:t>
            </a:r>
            <a:endParaRPr lang="zh-CN" altLang="en-US"/>
          </a:p>
        </c:rich>
      </c:tx>
      <c:layout/>
      <c:overlay val="0"/>
      <c:spPr>
        <a:noFill/>
        <a:ln w="25261">
          <a:noFill/>
        </a:ln>
      </c:spPr>
    </c:title>
    <c:autoTitleDeleted val="0"/>
    <c:plotArea>
      <c:layout/>
      <c:pieChart>
        <c:varyColors val="1"/>
        <c:ser>
          <c:idx val="0"/>
          <c:order val="0"/>
          <c:tx>
            <c:strRef>
              <c:f>Sheet1!$B$1</c:f>
              <c:strCache>
                <c:ptCount val="1"/>
                <c:pt idx="0">
                  <c:v>2019年收入情况</c:v>
                </c:pt>
              </c:strCache>
            </c:strRef>
          </c:tx>
          <c:explosion val="0"/>
          <c:dPt>
            <c:idx val="0"/>
            <c:bubble3D val="0"/>
          </c:dPt>
          <c:dPt>
            <c:idx val="1"/>
            <c:bubble3D val="0"/>
          </c:dPt>
          <c:dPt>
            <c:idx val="2"/>
            <c:bubble3D val="0"/>
          </c:dPt>
          <c:dPt>
            <c:idx val="3"/>
            <c:bubble3D val="0"/>
          </c:dPt>
          <c:dPt>
            <c:idx val="4"/>
            <c:bubble3D val="0"/>
          </c:dPt>
          <c:dLbls>
            <c:dLbl>
              <c:idx val="0"/>
              <c:layout>
                <c:manualLayout>
                  <c:x val="-0.0145506065473159"/>
                  <c:y val="-0.19986715946221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 96</a:t>
                    </a:r>
                    <a:r>
                      <a:rPr lang="en-US" altLang="zh-CN"/>
                      <a:t>%</a:t>
                    </a:r>
                    <a:endParaRPr lang="en-US" altLang="en-US"/>
                  </a:p>
                </c:rich>
              </c:tx>
              <c:dLblPos val="bestFit"/>
              <c:showLegendKey val="0"/>
              <c:showVal val="1"/>
              <c:showCatName val="0"/>
              <c:showSerName val="1"/>
              <c:showPercent val="1"/>
              <c:showBubbleSize val="0"/>
              <c:extLst>
                <c:ext xmlns:c15="http://schemas.microsoft.com/office/drawing/2012/chart" uri="{CE6537A1-D6FC-4f65-9D91-7224C49458BB}">
                  <c15:layout/>
                </c:ext>
              </c:extLst>
            </c:dLbl>
            <c:dLbl>
              <c:idx val="1"/>
              <c:delete val="1"/>
            </c:dLbl>
            <c:dLbl>
              <c:idx val="2"/>
              <c:delete val="1"/>
            </c:dLbl>
            <c:dLbl>
              <c:idx val="3"/>
              <c:delete val="1"/>
            </c:dLbl>
            <c:dLbl>
              <c:idx val="4"/>
              <c:layout>
                <c:manualLayout>
                  <c:x val="0.0447492197803633"/>
                  <c:y val="0.020122663238523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a:t>
                    </a:r>
                    <a:endParaRPr lang="zh-CN" altLang="en-US"/>
                  </a:p>
                </c:rich>
              </c:tx>
              <c:dLblPos val="bestFit"/>
              <c:showLegendKey val="0"/>
              <c:showVal val="1"/>
              <c:showCatName val="0"/>
              <c:showSerName val="1"/>
              <c:showPercent val="1"/>
              <c:showBubbleSize val="0"/>
              <c:extLst>
                <c:ext xmlns:c15="http://schemas.microsoft.com/office/drawing/2012/chart" uri="{CE6537A1-D6FC-4f65-9D91-7224C49458BB}">
                  <c15:layout/>
                </c:ext>
              </c:extLst>
            </c:dLbl>
            <c:spPr>
              <a:noFill/>
              <a:ln w="2526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辅助支出</c:v>
                </c:pt>
              </c:strCache>
            </c:strRef>
          </c:cat>
          <c:val>
            <c:numRef>
              <c:f>Sheet1!$B$2:$B$6</c:f>
              <c:numCache>
                <c:formatCode>General</c:formatCode>
                <c:ptCount val="5"/>
                <c:pt idx="0">
                  <c:v>96</c:v>
                </c:pt>
                <c:pt idx="1">
                  <c:v>4</c:v>
                </c:pt>
                <c:pt idx="2">
                  <c:v>0</c:v>
                </c:pt>
                <c:pt idx="3">
                  <c:v>0</c:v>
                </c:pt>
              </c:numCache>
            </c:numRef>
          </c:val>
        </c:ser>
        <c:dLbls>
          <c:showLegendKey val="0"/>
          <c:showVal val="0"/>
          <c:showCatName val="0"/>
          <c:showSerName val="0"/>
          <c:showPercent val="1"/>
          <c:showBubbleSize val="0"/>
          <c:showLeaderLines val="1"/>
        </c:dLbls>
        <c:firstSliceAng val="0"/>
      </c:pieChart>
      <c:spPr>
        <a:noFill/>
        <a:ln w="25261">
          <a:noFill/>
        </a:ln>
      </c:spPr>
    </c:plotArea>
    <c:legend>
      <c:legendPos val="r"/>
      <c:layout>
        <c:manualLayout>
          <c:xMode val="edge"/>
          <c:yMode val="edge"/>
          <c:x val="0.651515151515152"/>
          <c:y val="0.335078534031417"/>
          <c:w val="0.325757575757579"/>
          <c:h val="0.62827225130890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95" b="1" i="0" u="none" strike="noStrike" kern="1200" baseline="0">
                <a:solidFill>
                  <a:schemeClr val="tx1"/>
                </a:solidFill>
                <a:latin typeface="+mn-lt"/>
                <a:ea typeface="+mn-ea"/>
                <a:cs typeface="+mn-cs"/>
              </a:defRPr>
            </a:pPr>
            <a:r>
              <a:rPr lang="zh-CN" altLang="en-US" sz="1195"/>
              <a:t>财政拨款收支决算对比情况</a:t>
            </a:r>
            <a:endParaRPr lang="zh-CN" altLang="en-US" sz="1195"/>
          </a:p>
        </c:rich>
      </c:tx>
      <c:layout/>
      <c:overlay val="0"/>
      <c:spPr>
        <a:noFill/>
        <a:ln w="25301">
          <a:noFill/>
        </a:ln>
      </c:spPr>
    </c:title>
    <c:autoTitleDeleted val="0"/>
    <c:plotArea>
      <c:layout>
        <c:manualLayout>
          <c:layoutTarget val="inner"/>
          <c:xMode val="edge"/>
          <c:yMode val="edge"/>
          <c:x val="0.119533527696793"/>
          <c:y val="0.259109311740891"/>
          <c:w val="0.641399416909628"/>
          <c:h val="0.595141700404858"/>
        </c:manualLayout>
      </c:layout>
      <c:barChart>
        <c:barDir val="col"/>
        <c:grouping val="clustered"/>
        <c:varyColors val="0"/>
        <c:ser>
          <c:idx val="0"/>
          <c:order val="0"/>
          <c:tx>
            <c:strRef>
              <c:f>Sheet1!$B$1</c:f>
              <c:strCache>
                <c:ptCount val="1"/>
                <c:pt idx="0">
                  <c:v>2019</c:v>
                </c:pt>
              </c:strCache>
            </c:strRef>
          </c:tx>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326.57</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w="2530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326.57</c:v>
                </c:pt>
              </c:numCache>
            </c:numRef>
          </c:val>
        </c:ser>
        <c:ser>
          <c:idx val="1"/>
          <c:order val="1"/>
          <c:tx>
            <c:strRef>
              <c:f>Sheet1!$C$1</c:f>
              <c:strCache>
                <c:ptCount val="1"/>
                <c:pt idx="0">
                  <c:v>2018</c:v>
                </c:pt>
              </c:strCache>
            </c:strRef>
          </c:tx>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399.15</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w="2530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399.15</c:v>
                </c:pt>
              </c:numCache>
            </c:numRef>
          </c:val>
        </c:ser>
        <c:dLbls>
          <c:showLegendKey val="0"/>
          <c:showVal val="1"/>
          <c:showCatName val="0"/>
          <c:showSerName val="0"/>
          <c:showPercent val="0"/>
          <c:showBubbleSize val="0"/>
        </c:dLbls>
        <c:gapWidth val="150"/>
        <c:axId val="88046592"/>
        <c:axId val="93463296"/>
      </c:barChart>
      <c:catAx>
        <c:axId val="88046592"/>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3463296"/>
        <c:crosses val="autoZero"/>
        <c:auto val="1"/>
        <c:lblAlgn val="ctr"/>
        <c:lblOffset val="100"/>
        <c:noMultiLvlLbl val="0"/>
      </c:catAx>
      <c:valAx>
        <c:axId val="934632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8046592"/>
        <c:crosses val="autoZero"/>
        <c:crossBetween val="between"/>
      </c:valAx>
    </c:plotArea>
    <c:legend>
      <c:legendPos val="r"/>
      <c:layout>
        <c:manualLayout>
          <c:xMode val="edge"/>
          <c:yMode val="edge"/>
          <c:x val="0.795918367346935"/>
          <c:y val="0.497975708502024"/>
          <c:w val="0.183673469387755"/>
          <c:h val="0.19433198380566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95" b="1" i="0" u="none" strike="noStrike" kern="1200" baseline="0">
                <a:solidFill>
                  <a:schemeClr val="tx1"/>
                </a:solidFill>
                <a:latin typeface="+mn-lt"/>
                <a:ea typeface="+mn-ea"/>
                <a:cs typeface="+mn-cs"/>
              </a:defRPr>
            </a:pPr>
            <a:r>
              <a:rPr lang="zh-CN" altLang="en-US" sz="1195"/>
              <a:t>一般公共预算财政拨款支出对比情况</a:t>
            </a:r>
            <a:endParaRPr lang="zh-CN" altLang="en-US" sz="1195"/>
          </a:p>
        </c:rich>
      </c:tx>
      <c:layout>
        <c:manualLayout>
          <c:xMode val="edge"/>
          <c:yMode val="edge"/>
          <c:x val="0.0531612631515618"/>
          <c:y val="0.0846560846560852"/>
        </c:manualLayout>
      </c:layout>
      <c:overlay val="0"/>
      <c:spPr>
        <a:noFill/>
        <a:ln w="25301">
          <a:noFill/>
        </a:ln>
      </c:spPr>
    </c:title>
    <c:autoTitleDeleted val="0"/>
    <c:plotArea>
      <c:layout>
        <c:manualLayout>
          <c:layoutTarget val="inner"/>
          <c:xMode val="edge"/>
          <c:yMode val="edge"/>
          <c:x val="0.119533527696793"/>
          <c:y val="0.259109311740891"/>
          <c:w val="0.64139941690963"/>
          <c:h val="0.595141700404858"/>
        </c:manualLayout>
      </c:layout>
      <c:barChart>
        <c:barDir val="col"/>
        <c:grouping val="clustered"/>
        <c:varyColors val="0"/>
        <c:ser>
          <c:idx val="0"/>
          <c:order val="0"/>
          <c:tx>
            <c:strRef>
              <c:f>Sheet1!$B$1</c:f>
              <c:strCache>
                <c:ptCount val="1"/>
                <c:pt idx="0">
                  <c:v>2019年</c:v>
                </c:pt>
              </c:strCache>
            </c:strRef>
          </c:tx>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314.45</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w="2530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314.45</c:v>
                </c:pt>
              </c:numCache>
            </c:numRef>
          </c:val>
        </c:ser>
        <c:ser>
          <c:idx val="1"/>
          <c:order val="1"/>
          <c:tx>
            <c:strRef>
              <c:f>Sheet1!$C$1</c:f>
              <c:strCache>
                <c:ptCount val="1"/>
                <c:pt idx="0">
                  <c:v>2018年</c:v>
                </c:pt>
              </c:strCache>
            </c:strRef>
          </c:tx>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399.15</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w="2530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399.15</c:v>
                </c:pt>
              </c:numCache>
            </c:numRef>
          </c:val>
        </c:ser>
        <c:dLbls>
          <c:showLegendKey val="0"/>
          <c:showVal val="1"/>
          <c:showCatName val="0"/>
          <c:showSerName val="0"/>
          <c:showPercent val="0"/>
          <c:showBubbleSize val="0"/>
        </c:dLbls>
        <c:gapWidth val="150"/>
        <c:axId val="93472256"/>
        <c:axId val="93523968"/>
      </c:barChart>
      <c:catAx>
        <c:axId val="9347225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3523968"/>
        <c:crosses val="autoZero"/>
        <c:auto val="1"/>
        <c:lblAlgn val="ctr"/>
        <c:lblOffset val="100"/>
        <c:noMultiLvlLbl val="0"/>
      </c:catAx>
      <c:valAx>
        <c:axId val="935239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3472256"/>
        <c:crosses val="autoZero"/>
        <c:crossBetween val="between"/>
      </c:valAx>
    </c:plotArea>
    <c:legend>
      <c:legendPos val="r"/>
      <c:layout>
        <c:manualLayout>
          <c:xMode val="edge"/>
          <c:yMode val="edge"/>
          <c:x val="0.795918367346935"/>
          <c:y val="0.497975708502024"/>
          <c:w val="0.183673469387755"/>
          <c:h val="0.19433198380566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w="25296">
          <a:noFill/>
        </a:ln>
      </c:spPr>
      <c:txPr>
        <a:bodyPr rot="0" spcFirstLastPara="0" vertOverflow="ellipsis" vert="horz" wrap="square" anchor="ctr" anchorCtr="1"/>
        <a:lstStyle/>
        <a:p>
          <a:pPr>
            <a:defRPr lang="zh-CN" sz="1195"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25"/>
          <c:y val="0.28085106382979"/>
          <c:w val="0.375000000000002"/>
          <c:h val="0.600000000000003"/>
        </c:manualLayout>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Lbls>
            <c:dLbl>
              <c:idx val="0"/>
              <c:layout/>
              <c:tx>
                <c:rich>
                  <a:bodyPr rot="0" spcFirstLastPara="0" vertOverflow="ellipsis" vert="horz" wrap="square" lIns="38100" tIns="19050" rIns="38100" bIns="19050" anchor="ctr" anchorCtr="1"/>
                  <a:lstStyle/>
                  <a:p>
                    <a:pPr>
                      <a:defRPr lang="zh-CN" sz="995" b="0" i="0" u="none" strike="noStrike" kern="1200" baseline="0">
                        <a:solidFill>
                          <a:srgbClr val="000000"/>
                        </a:solidFill>
                        <a:latin typeface="Calibri" panose="020F0502020204030204"/>
                        <a:ea typeface="Calibri" panose="020F0502020204030204"/>
                        <a:cs typeface="Calibri" panose="020F0502020204030204"/>
                      </a:defRPr>
                    </a:pPr>
                    <a:r>
                      <a:rPr lang="en-US" altLang="zh-CN"/>
                      <a:t>13.95%</a:t>
                    </a:r>
                    <a:endParaRPr lang="en-US" altLang="zh-CN"/>
                  </a:p>
                </c:rich>
              </c:tx>
              <c:numFmt formatCode="General" sourceLinked="1"/>
              <c:spPr>
                <a:noFill/>
                <a:ln w="25296">
                  <a:noFill/>
                </a:ln>
                <a:effectLst/>
              </c:spPr>
              <c:txPr>
                <a:bodyPr rot="0" spcFirstLastPara="0" vertOverflow="ellipsis" vert="horz" wrap="square" lIns="38100" tIns="19050" rIns="38100" bIns="19050" anchor="ctr" anchorCtr="1"/>
                <a:lstStyle/>
                <a:p>
                  <a:pPr>
                    <a:defRPr lang="zh-CN" sz="995" b="0" i="0" u="none" strike="noStrike" kern="1200" baseline="0">
                      <a:solidFill>
                        <a:srgbClr val="000000"/>
                      </a:solidFill>
                      <a:latin typeface="Calibri" panose="020F0502020204030204"/>
                      <a:ea typeface="Calibri" panose="020F0502020204030204"/>
                      <a:cs typeface="Calibri" panose="020F0502020204030204"/>
                    </a:defRPr>
                  </a:pPr>
                </a:p>
              </c:txPr>
              <c:dLblPos val="bestFit"/>
              <c:showLegendKey val="0"/>
              <c:showVal val="0"/>
              <c:showCatName val="0"/>
              <c:showSerName val="1"/>
              <c:showPercent val="1"/>
              <c:showBubbleSize val="0"/>
              <c:extLst>
                <c:ext xmlns:c15="http://schemas.microsoft.com/office/drawing/2012/chart" uri="{CE6537A1-D6FC-4f65-9D91-7224C49458BB}"/>
              </c:extLst>
            </c:dLbl>
            <c:dLbl>
              <c:idx val="1"/>
              <c:layout>
                <c:manualLayout>
                  <c:x val="0.0237113480246709"/>
                  <c:y val="0.0194202969210892"/>
                </c:manualLayout>
              </c:layout>
              <c:tx>
                <c:rich>
                  <a:bodyPr rot="0" spcFirstLastPara="0" vertOverflow="ellipsis" vert="horz" wrap="square" lIns="38100" tIns="19050" rIns="38100" bIns="19050" anchor="ctr" anchorCtr="1"/>
                  <a:lstStyle/>
                  <a:p>
                    <a:pPr>
                      <a:defRPr lang="zh-CN" sz="995" b="0" i="0" u="none" strike="noStrike" kern="1200" baseline="0">
                        <a:solidFill>
                          <a:srgbClr val="000000"/>
                        </a:solidFill>
                        <a:latin typeface="Calibri" panose="020F0502020204030204"/>
                        <a:ea typeface="Calibri" panose="020F0502020204030204"/>
                        <a:cs typeface="Calibri" panose="020F0502020204030204"/>
                      </a:defRPr>
                    </a:pPr>
                    <a:r>
                      <a:rPr lang="en-US" altLang="zh-CN"/>
                      <a:t>75.21%</a:t>
                    </a:r>
                    <a:endParaRPr lang="en-US" altLang="zh-CN"/>
                  </a:p>
                </c:rich>
              </c:tx>
              <c:numFmt formatCode="General" sourceLinked="1"/>
              <c:spPr>
                <a:noFill/>
                <a:ln w="25296">
                  <a:noFill/>
                </a:ln>
                <a:effectLst/>
              </c:spPr>
              <c:txPr>
                <a:bodyPr rot="0" spcFirstLastPara="0" vertOverflow="ellipsis" vert="horz" wrap="square" lIns="38100" tIns="19050" rIns="38100" bIns="19050" anchor="ctr" anchorCtr="1"/>
                <a:lstStyle/>
                <a:p>
                  <a:pPr>
                    <a:defRPr lang="zh-CN" sz="995" b="0" i="0" u="none" strike="noStrike" kern="1200" baseline="0">
                      <a:solidFill>
                        <a:srgbClr val="000000"/>
                      </a:solidFill>
                      <a:latin typeface="Calibri" panose="020F0502020204030204"/>
                      <a:ea typeface="Calibri" panose="020F0502020204030204"/>
                      <a:cs typeface="Calibri" panose="020F0502020204030204"/>
                    </a:defRPr>
                  </a:pPr>
                </a:p>
              </c:txPr>
              <c:dLblPos val="bestFit"/>
              <c:showLegendKey val="0"/>
              <c:showVal val="0"/>
              <c:showCatName val="0"/>
              <c:showSerName val="1"/>
              <c:showPercent val="1"/>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995" b="0" i="0" u="none" strike="noStrike" kern="1200" baseline="0">
                        <a:solidFill>
                          <a:srgbClr val="000000"/>
                        </a:solidFill>
                        <a:latin typeface="Calibri" panose="020F0502020204030204"/>
                        <a:ea typeface="Calibri" panose="020F0502020204030204"/>
                        <a:cs typeface="Calibri" panose="020F0502020204030204"/>
                      </a:defRPr>
                    </a:pPr>
                    <a:r>
                      <a:rPr lang="en-US" altLang="zh-CN"/>
                      <a:t>9.09%</a:t>
                    </a:r>
                    <a:endParaRPr lang="en-US" altLang="zh-CN"/>
                  </a:p>
                </c:rich>
              </c:tx>
              <c:numFmt formatCode="General" sourceLinked="1"/>
              <c:spPr>
                <a:noFill/>
                <a:ln w="25296">
                  <a:noFill/>
                </a:ln>
                <a:effectLst/>
              </c:spPr>
              <c:txPr>
                <a:bodyPr rot="0" spcFirstLastPara="0" vertOverflow="ellipsis" vert="horz" wrap="square" lIns="38100" tIns="19050" rIns="38100" bIns="19050" anchor="ctr" anchorCtr="1"/>
                <a:lstStyle/>
                <a:p>
                  <a:pPr>
                    <a:defRPr lang="zh-CN" sz="995" b="0" i="0" u="none" strike="noStrike" kern="1200" baseline="0">
                      <a:solidFill>
                        <a:srgbClr val="000000"/>
                      </a:solidFill>
                      <a:latin typeface="Calibri" panose="020F0502020204030204"/>
                      <a:ea typeface="Calibri" panose="020F0502020204030204"/>
                      <a:cs typeface="Calibri" panose="020F0502020204030204"/>
                    </a:defRPr>
                  </a:pPr>
                </a:p>
              </c:txPr>
              <c:dLblPos val="bestFit"/>
              <c:showLegendKey val="0"/>
              <c:showVal val="0"/>
              <c:showCatName val="0"/>
              <c:showSerName val="1"/>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1.75</a:t>
                    </a:r>
                    <a:r>
                      <a:rPr altLang="en-US"/>
                      <a:t>%</a:t>
                    </a:r>
                    <a:endParaRPr alt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w="25296">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健康卫生支出</c:v>
                </c:pt>
                <c:pt idx="2">
                  <c:v>住房保障支出</c:v>
                </c:pt>
                <c:pt idx="3">
                  <c:v>农林水支出</c:v>
                </c:pt>
              </c:strCache>
            </c:strRef>
          </c:cat>
          <c:val>
            <c:numRef>
              <c:f>Sheet1!$B$2:$B$5</c:f>
              <c:numCache>
                <c:formatCode>General</c:formatCode>
                <c:ptCount val="4"/>
                <c:pt idx="0">
                  <c:v>13.95</c:v>
                </c:pt>
                <c:pt idx="1">
                  <c:v>75.21</c:v>
                </c:pt>
                <c:pt idx="2">
                  <c:v>9.09</c:v>
                </c:pt>
                <c:pt idx="3">
                  <c:v>1.75</c:v>
                </c:pt>
              </c:numCache>
            </c:numRef>
          </c:val>
        </c:ser>
        <c:dLbls>
          <c:showLegendKey val="0"/>
          <c:showVal val="0"/>
          <c:showCatName val="0"/>
          <c:showSerName val="0"/>
          <c:showPercent val="1"/>
          <c:showBubbleSize val="0"/>
          <c:showLeaderLines val="1"/>
        </c:dLbls>
        <c:firstSliceAng val="0"/>
      </c:pieChart>
      <c:spPr>
        <a:noFill/>
        <a:ln w="25296">
          <a:noFill/>
        </a:ln>
      </c:spPr>
    </c:plotArea>
    <c:legend>
      <c:legendPos val="r"/>
      <c:layout>
        <c:manualLayout>
          <c:xMode val="edge"/>
          <c:yMode val="edge"/>
          <c:x val="0.65957446808511"/>
          <c:y val="0.348936170212769"/>
          <c:w val="0.305851063829791"/>
          <c:h val="0.51063829787233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440" b="1" i="0" u="none" strike="noStrike" kern="1200" baseline="0">
                <a:solidFill>
                  <a:schemeClr val="tx1"/>
                </a:solidFill>
                <a:latin typeface="+mn-lt"/>
                <a:ea typeface="+mn-ea"/>
                <a:cs typeface="+mn-cs"/>
              </a:defRPr>
            </a:pPr>
            <a:r>
              <a:rPr lang="en-US" altLang="zh-CN"/>
              <a:t>2019</a:t>
            </a:r>
            <a:r>
              <a:rPr lang="zh-CN" altLang="en-US"/>
              <a:t>年“三公”经费财政拨款支出决算情况</a:t>
            </a:r>
            <a:endParaRPr lang="zh-CN" altLang="en-US"/>
          </a:p>
        </c:rich>
      </c:tx>
      <c:layout/>
      <c:overlay val="0"/>
      <c:spPr>
        <a:noFill/>
        <a:ln w="25399">
          <a:noFill/>
        </a:ln>
      </c:spPr>
    </c:title>
    <c:autoTitleDeleted val="0"/>
    <c:plotArea>
      <c:layout/>
      <c:pieChart>
        <c:varyColors val="1"/>
        <c:ser>
          <c:idx val="0"/>
          <c:order val="0"/>
          <c:tx>
            <c:strRef>
              <c:f>Sheet1!$B$1</c:f>
              <c:strCache>
                <c:ptCount val="1"/>
                <c:pt idx="0">
                  <c:v>2016年“三公”经费财政拨款支出决算情况</c:v>
                </c:pt>
              </c:strCache>
            </c:strRef>
          </c:tx>
          <c:explosion val="0"/>
          <c:dPt>
            <c:idx val="0"/>
            <c:bubble3D val="0"/>
          </c:dPt>
          <c:dPt>
            <c:idx val="1"/>
            <c:bubble3D val="0"/>
          </c:dPt>
          <c:dPt>
            <c:idx val="2"/>
            <c:bubble3D val="0"/>
          </c:dPt>
          <c:dLbls>
            <c:dLbl>
              <c:idx val="0"/>
              <c:delete val="1"/>
            </c:dLbl>
            <c:dLbl>
              <c:idx val="1"/>
              <c:layout/>
              <c:tx>
                <c:rich>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r>
                      <a:rPr lang="en-US" altLang="zh-CN"/>
                      <a:t>100%</a:t>
                    </a:r>
                    <a:endParaRPr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公务用车购置及运行维护费</c:v>
                </c:pt>
                <c:pt idx="1">
                  <c:v>公务接待费</c:v>
                </c:pt>
                <c:pt idx="2">
                  <c:v>因公出国（境）费</c:v>
                </c:pt>
              </c:strCache>
            </c:strRef>
          </c:cat>
          <c:val>
            <c:numRef>
              <c:f>Sheet1!$B$2:$B$4</c:f>
              <c:numCache>
                <c:formatCode>General</c:formatCode>
                <c:ptCount val="3"/>
                <c:pt idx="1">
                  <c:v>7.82</c:v>
                </c:pt>
              </c:numCache>
            </c:numRef>
          </c:val>
        </c:ser>
        <c:dLbls>
          <c:showLegendKey val="0"/>
          <c:showVal val="1"/>
          <c:showCatName val="0"/>
          <c:showSerName val="0"/>
          <c:showPercent val="0"/>
          <c:showBubbleSize val="0"/>
          <c:showLeaderLines val="1"/>
        </c:dLbls>
        <c:firstSliceAng val="0"/>
      </c:pieChart>
      <c:spPr>
        <a:noFill/>
        <a:ln w="25399">
          <a:noFill/>
        </a:ln>
      </c:spPr>
    </c:plotArea>
    <c:legend>
      <c:legendPos val="r"/>
      <c:layout>
        <c:manualLayout>
          <c:xMode val="edge"/>
          <c:yMode val="edge"/>
          <c:x val="0.634408602150544"/>
          <c:y val="0.411458333333333"/>
          <c:w val="0.344086021505376"/>
          <c:h val="0.583333333333333"/>
        </c:manualLayout>
      </c:layout>
      <c:overlay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sz="1200"/>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0.8215</cdr:x>
      <cdr:y>0.08527</cdr:y>
    </cdr:from>
    <cdr:to>
      <cdr:x>0.97314</cdr:x>
      <cdr:y>0.20355</cdr:y>
    </cdr:to>
    <cdr:sp>
      <cdr:nvSpPr>
        <cdr:cNvPr id="2" name="矩形 1"/>
        <cdr:cNvSpPr/>
      </cdr:nvSpPr>
      <cdr:spPr xmlns:a="http://schemas.openxmlformats.org/drawingml/2006/main">
        <a:xfrm xmlns:a="http://schemas.openxmlformats.org/drawingml/2006/main">
          <a:off x="4343400" y="200025"/>
          <a:ext cx="790575" cy="2762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0.33951</cdr:x>
      <cdr:y>0.47059</cdr:y>
    </cdr:from>
    <cdr:to>
      <cdr:x>0.42439</cdr:x>
      <cdr:y>0.52941</cdr:y>
    </cdr:to>
    <cdr:sp>
      <cdr:nvSpPr>
        <cdr:cNvPr id="2" name="矩形 1"/>
        <cdr:cNvSpPr/>
      </cdr:nvSpPr>
      <cdr:spPr xmlns:a="http://schemas.openxmlformats.org/drawingml/2006/main">
        <a:xfrm xmlns:a="http://schemas.openxmlformats.org/drawingml/2006/main">
          <a:off x="1790700" y="1447800"/>
          <a:ext cx="447675" cy="1809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0.33951</cdr:x>
      <cdr:y>0.47059</cdr:y>
    </cdr:from>
    <cdr:to>
      <cdr:x>0.42439</cdr:x>
      <cdr:y>0.52941</cdr:y>
    </cdr:to>
    <cdr:sp>
      <cdr:nvSpPr>
        <cdr:cNvPr id="3" name="矩形 2"/>
        <cdr:cNvSpPr/>
      </cdr:nvSpPr>
      <cdr:spPr xmlns:a="http://schemas.openxmlformats.org/drawingml/2006/main">
        <a:xfrm xmlns:a="http://schemas.openxmlformats.org/drawingml/2006/main">
          <a:off x="1790700" y="1447800"/>
          <a:ext cx="447675" cy="1809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endParaRPr lang="zh-CN" alt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0.33951</cdr:x>
      <cdr:y>0.47059</cdr:y>
    </cdr:from>
    <cdr:to>
      <cdr:x>0.42439</cdr:x>
      <cdr:y>0.52941</cdr:y>
    </cdr:to>
    <cdr:sp>
      <cdr:nvSpPr>
        <cdr:cNvPr id="2" name="矩形 1"/>
        <cdr:cNvSpPr/>
      </cdr:nvSpPr>
      <cdr:spPr xmlns:a="http://schemas.openxmlformats.org/drawingml/2006/main">
        <a:xfrm xmlns:a="http://schemas.openxmlformats.org/drawingml/2006/main">
          <a:off x="1790700" y="1447800"/>
          <a:ext cx="447675" cy="1809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0.33951</cdr:x>
      <cdr:y>0.47059</cdr:y>
    </cdr:from>
    <cdr:to>
      <cdr:x>0.42439</cdr:x>
      <cdr:y>0.52941</cdr:y>
    </cdr:to>
    <cdr:sp>
      <cdr:nvSpPr>
        <cdr:cNvPr id="3" name="矩形 2"/>
        <cdr:cNvSpPr/>
      </cdr:nvSpPr>
      <cdr:spPr xmlns:a="http://schemas.openxmlformats.org/drawingml/2006/main">
        <a:xfrm xmlns:a="http://schemas.openxmlformats.org/drawingml/2006/main">
          <a:off x="1790700" y="1447800"/>
          <a:ext cx="447675" cy="1809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endParaRPr lang="zh-CN" altLang="en-US" sz="1100"/>
        </a:p>
      </cdr:txBody>
    </cdr:sp>
  </cdr:relSizeAnchor>
</c:userShapes>
</file>

<file path=word/drawings/drawing4.xml><?xml version="1.0" encoding="utf-8"?>
<c:userShapes xmlns:c="http://schemas.openxmlformats.org/drawingml/2006/chart">
  <cdr:relSizeAnchor xmlns:cdr="http://schemas.openxmlformats.org/drawingml/2006/chartDrawing">
    <cdr:from>
      <cdr:x>0.8215</cdr:x>
      <cdr:y>0.08527</cdr:y>
    </cdr:from>
    <cdr:to>
      <cdr:x>0.97314</cdr:x>
      <cdr:y>0.20355</cdr:y>
    </cdr:to>
    <cdr:sp>
      <cdr:nvSpPr>
        <cdr:cNvPr id="2" name="矩形 1"/>
        <cdr:cNvSpPr/>
      </cdr:nvSpPr>
      <cdr:spPr xmlns:a="http://schemas.openxmlformats.org/drawingml/2006/main">
        <a:xfrm xmlns:a="http://schemas.openxmlformats.org/drawingml/2006/main">
          <a:off x="4343400" y="200025"/>
          <a:ext cx="790575" cy="2762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5.xml><?xml version="1.0" encoding="utf-8"?>
<c:userShapes xmlns:c="http://schemas.openxmlformats.org/drawingml/2006/chart">
  <cdr:relSizeAnchor xmlns:cdr="http://schemas.openxmlformats.org/drawingml/2006/chartDrawing">
    <cdr:from>
      <cdr:x>0.8215</cdr:x>
      <cdr:y>0.08527</cdr:y>
    </cdr:from>
    <cdr:to>
      <cdr:x>0.97314</cdr:x>
      <cdr:y>0.20355</cdr:y>
    </cdr:to>
    <cdr:sp>
      <cdr:nvSpPr>
        <cdr:cNvPr id="2" name="矩形 1"/>
        <cdr:cNvSpPr/>
      </cdr:nvSpPr>
      <cdr:spPr xmlns:a="http://schemas.openxmlformats.org/drawingml/2006/main">
        <a:xfrm xmlns:a="http://schemas.openxmlformats.org/drawingml/2006/main">
          <a:off x="4343400" y="200025"/>
          <a:ext cx="790575" cy="2762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43</Pages>
  <Words>13752</Words>
  <Characters>2969</Characters>
  <Lines>24</Lines>
  <Paragraphs>33</Paragraphs>
  <TotalTime>135</TotalTime>
  <ScaleCrop>false</ScaleCrop>
  <LinksUpToDate>false</LinksUpToDate>
  <CharactersWithSpaces>16688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user</cp:lastModifiedBy>
  <cp:lastPrinted>2020-09-22T09:55:00Z</cp:lastPrinted>
  <dcterms:modified xsi:type="dcterms:W3CDTF">2026-05-14T17:26:26Z</dcterms:modified>
  <dc:title>四川省***</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D593247E9233440091FE672F01D3B7C1</vt:lpwstr>
  </property>
</Properties>
</file>