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69" w:name="_GoBack"/>
      <w:bookmarkEnd w:id="69"/>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outlineLvl w:val="0"/>
        <w:rPr>
          <w:rFonts w:ascii="方正小标宋简体" w:hAnsi="宋体" w:eastAsia="方正小标宋简体"/>
          <w:color w:val="000000"/>
          <w:sz w:val="44"/>
          <w:szCs w:val="44"/>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77425"/>
      <w:bookmarkStart w:id="2" w:name="_Toc15378441"/>
      <w:bookmarkStart w:id="3" w:name="_Toc15396475"/>
      <w:bookmarkStart w:id="4" w:name="_Toc15377193"/>
      <w:bookmarkStart w:id="5" w:name="_Toc15396597"/>
      <w:r>
        <w:rPr>
          <w:rFonts w:hint="eastAsia" w:ascii="方正小标宋简体" w:hAnsi="黑体" w:eastAsia="方正小标宋简体"/>
          <w:color w:val="000000"/>
          <w:sz w:val="52"/>
          <w:szCs w:val="52"/>
        </w:rPr>
        <w:t>2022</w:t>
      </w:r>
      <w:r>
        <w:rPr>
          <w:rFonts w:hint="eastAsia" w:ascii="方正小标宋简体" w:hAnsi="宋体" w:eastAsia="方正小标宋简体"/>
          <w:color w:val="000000"/>
          <w:sz w:val="52"/>
          <w:szCs w:val="52"/>
        </w:rPr>
        <w:t>年度</w:t>
      </w:r>
      <w:bookmarkEnd w:id="1"/>
      <w:bookmarkEnd w:id="2"/>
      <w:bookmarkEnd w:id="3"/>
      <w:bookmarkEnd w:id="4"/>
      <w:bookmarkEnd w:id="5"/>
      <w:bookmarkStart w:id="6" w:name="_Toc15378442"/>
      <w:bookmarkStart w:id="7" w:name="_Toc15396598"/>
      <w:bookmarkStart w:id="8" w:name="_Toc15377426"/>
      <w:bookmarkStart w:id="9" w:name="_Toc15377194"/>
      <w:bookmarkStart w:id="10" w:name="_Toc15396476"/>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四川省阿坝州</w:t>
      </w:r>
      <w:bookmarkEnd w:id="0"/>
      <w:bookmarkStart w:id="11" w:name="_Toc15306268"/>
      <w:r>
        <w:rPr>
          <w:rFonts w:hint="eastAsia" w:ascii="方正小标宋简体" w:hAnsi="宋体" w:eastAsia="方正小标宋简体"/>
          <w:color w:val="000000"/>
          <w:sz w:val="52"/>
          <w:szCs w:val="52"/>
        </w:rPr>
        <w:t>茂县</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城乡居民基本医疗保险服务中心</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r>
        <w:rPr>
          <w:rFonts w:ascii="方正小标宋简体" w:hAnsi="宋体" w:eastAsia="方正小标宋简体"/>
          <w:color w:val="000000"/>
          <w:sz w:val="36"/>
          <w:szCs w:val="36"/>
        </w:rPr>
        <w:br w:type="page"/>
      </w:r>
      <w:r>
        <w:rPr>
          <w:rFonts w:hint="eastAsia" w:ascii="方正小标宋简体" w:hAnsi="方正小标宋简体" w:eastAsia="方正小标宋简体" w:cs="方正小标宋简体"/>
          <w:color w:val="000000"/>
          <w:sz w:val="44"/>
          <w:szCs w:val="44"/>
        </w:rPr>
        <w:t>目  录</w:t>
      </w:r>
    </w:p>
    <w:p>
      <w:pPr>
        <w:widowControl/>
        <w:adjustRightInd w:val="0"/>
        <w:snapToGrid w:val="0"/>
        <w:spacing w:line="576" w:lineRule="exact"/>
        <w:jc w:val="center"/>
        <w:rPr>
          <w:rFonts w:ascii="黑体" w:hAnsi="黑体" w:eastAsia="黑体"/>
          <w:color w:val="000000"/>
          <w:sz w:val="28"/>
          <w:szCs w:val="28"/>
        </w:rPr>
      </w:pPr>
      <w:r>
        <w:rPr>
          <w:rFonts w:hint="eastAsia" w:ascii="黑体" w:hAnsi="黑体" w:eastAsia="黑体"/>
          <w:color w:val="000000"/>
          <w:sz w:val="28"/>
          <w:szCs w:val="28"/>
        </w:rPr>
        <w:t>公开时间：2023年9月1日</w:t>
      </w:r>
    </w:p>
    <w:p>
      <w:pPr>
        <w:tabs>
          <w:tab w:val="right" w:leader="dot" w:pos="8296"/>
        </w:tabs>
        <w:spacing w:before="120" w:after="120" w:line="412" w:lineRule="exact"/>
        <w:jc w:val="left"/>
        <w:rPr>
          <w:rFonts w:ascii="仿宋" w:hAnsi="仿宋" w:eastAsia="仿宋"/>
          <w:smallCaps/>
          <w:sz w:val="22"/>
          <w:szCs w:val="22"/>
        </w:rPr>
      </w:pPr>
      <w:r>
        <w:rPr>
          <w:rFonts w:ascii="仿宋" w:hAnsi="仿宋" w:eastAsia="仿宋"/>
          <w:smallCaps/>
          <w:sz w:val="22"/>
          <w:szCs w:val="22"/>
        </w:rPr>
        <w:fldChar w:fldCharType="begin"/>
      </w:r>
      <w:r>
        <w:rPr>
          <w:rFonts w:ascii="仿宋" w:hAnsi="仿宋" w:eastAsia="仿宋"/>
          <w:smallCaps/>
          <w:sz w:val="22"/>
          <w:szCs w:val="22"/>
        </w:rPr>
        <w:instrText xml:space="preserve"> TOC \o \u </w:instrText>
      </w:r>
      <w:r>
        <w:rPr>
          <w:rFonts w:ascii="仿宋" w:hAnsi="仿宋" w:eastAsia="仿宋"/>
          <w:smallCaps/>
          <w:sz w:val="22"/>
          <w:szCs w:val="22"/>
        </w:rPr>
        <w:fldChar w:fldCharType="separate"/>
      </w:r>
      <w:r>
        <w:rPr>
          <w:rFonts w:ascii="仿宋" w:hAnsi="仿宋" w:eastAsia="仿宋"/>
          <w:smallCaps/>
          <w:sz w:val="22"/>
          <w:szCs w:val="22"/>
        </w:rPr>
        <w:t>第一部分 部门概况</w:t>
      </w:r>
      <w:r>
        <w:rPr>
          <w:rFonts w:ascii="仿宋" w:hAnsi="仿宋" w:eastAsia="仿宋"/>
          <w:smallCaps/>
          <w:sz w:val="22"/>
          <w:szCs w:val="22"/>
        </w:rPr>
        <w:tab/>
      </w:r>
      <w:r>
        <w:rPr>
          <w:rFonts w:hint="eastAsia" w:ascii="仿宋" w:hAnsi="仿宋" w:eastAsia="仿宋"/>
          <w:smallCaps/>
          <w:sz w:val="22"/>
          <w:szCs w:val="22"/>
        </w:rPr>
        <w:t>4</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一、基本职能及主要工作</w:t>
      </w:r>
      <w:r>
        <w:rPr>
          <w:rFonts w:ascii="仿宋" w:hAnsi="仿宋" w:eastAsia="仿宋"/>
          <w:smallCaps/>
          <w:sz w:val="22"/>
          <w:szCs w:val="22"/>
        </w:rPr>
        <w:tab/>
      </w:r>
      <w:r>
        <w:rPr>
          <w:rFonts w:hint="eastAsia" w:ascii="仿宋" w:hAnsi="仿宋" w:eastAsia="仿宋"/>
          <w:smallCaps/>
          <w:sz w:val="22"/>
          <w:szCs w:val="22"/>
        </w:rPr>
        <w:t>4</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（一）主要职能</w:t>
      </w:r>
      <w:r>
        <w:rPr>
          <w:rFonts w:ascii="仿宋" w:hAnsi="仿宋" w:eastAsia="仿宋"/>
          <w:smallCaps/>
          <w:sz w:val="22"/>
          <w:szCs w:val="22"/>
        </w:rPr>
        <w:tab/>
      </w:r>
      <w:r>
        <w:rPr>
          <w:rFonts w:hint="eastAsia" w:ascii="仿宋" w:hAnsi="仿宋" w:eastAsia="仿宋"/>
          <w:smallCaps/>
          <w:sz w:val="22"/>
          <w:szCs w:val="22"/>
        </w:rPr>
        <w:t>4</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（二）202</w:t>
      </w:r>
      <w:r>
        <w:rPr>
          <w:rFonts w:hint="eastAsia" w:ascii="仿宋" w:hAnsi="仿宋" w:eastAsia="仿宋"/>
          <w:smallCaps/>
          <w:sz w:val="22"/>
          <w:szCs w:val="22"/>
        </w:rPr>
        <w:t>2</w:t>
      </w:r>
      <w:r>
        <w:rPr>
          <w:rFonts w:ascii="仿宋" w:hAnsi="仿宋" w:eastAsia="仿宋"/>
          <w:smallCaps/>
          <w:sz w:val="22"/>
          <w:szCs w:val="22"/>
        </w:rPr>
        <w:t>年重点工作完成情况</w:t>
      </w:r>
      <w:r>
        <w:rPr>
          <w:rFonts w:ascii="仿宋" w:hAnsi="仿宋" w:eastAsia="仿宋"/>
          <w:smallCaps/>
          <w:sz w:val="22"/>
          <w:szCs w:val="22"/>
        </w:rPr>
        <w:tab/>
      </w:r>
      <w:r>
        <w:rPr>
          <w:rFonts w:hint="eastAsia" w:ascii="仿宋" w:hAnsi="仿宋" w:eastAsia="仿宋"/>
          <w:smallCaps/>
          <w:sz w:val="22"/>
          <w:szCs w:val="22"/>
        </w:rPr>
        <w:t>4</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二、机构设置</w:t>
      </w:r>
      <w:r>
        <w:rPr>
          <w:rFonts w:ascii="仿宋" w:hAnsi="仿宋" w:eastAsia="仿宋"/>
          <w:smallCaps/>
          <w:sz w:val="22"/>
          <w:szCs w:val="22"/>
        </w:rPr>
        <w:tab/>
      </w:r>
      <w:r>
        <w:rPr>
          <w:rFonts w:hint="eastAsia" w:ascii="仿宋" w:hAnsi="仿宋" w:eastAsia="仿宋"/>
          <w:smallCaps/>
          <w:sz w:val="22"/>
          <w:szCs w:val="22"/>
        </w:rPr>
        <w:t>4</w:t>
      </w:r>
    </w:p>
    <w:p>
      <w:pPr>
        <w:tabs>
          <w:tab w:val="right" w:leader="dot" w:pos="8296"/>
        </w:tabs>
        <w:spacing w:before="120" w:after="120" w:line="412" w:lineRule="exact"/>
        <w:jc w:val="left"/>
        <w:rPr>
          <w:rFonts w:ascii="仿宋" w:hAnsi="仿宋" w:eastAsia="仿宋"/>
          <w:smallCaps/>
          <w:sz w:val="22"/>
          <w:szCs w:val="22"/>
        </w:rPr>
      </w:pPr>
      <w:r>
        <w:rPr>
          <w:rFonts w:ascii="仿宋" w:hAnsi="仿宋" w:eastAsia="仿宋"/>
          <w:smallCaps/>
          <w:sz w:val="22"/>
          <w:szCs w:val="22"/>
        </w:rPr>
        <w:t>第二部分 202</w:t>
      </w:r>
      <w:r>
        <w:rPr>
          <w:rFonts w:hint="eastAsia" w:ascii="仿宋" w:hAnsi="仿宋" w:eastAsia="仿宋"/>
          <w:smallCaps/>
          <w:sz w:val="22"/>
          <w:szCs w:val="22"/>
        </w:rPr>
        <w:t>2</w:t>
      </w:r>
      <w:r>
        <w:rPr>
          <w:rFonts w:ascii="仿宋" w:hAnsi="仿宋" w:eastAsia="仿宋"/>
          <w:smallCaps/>
          <w:sz w:val="22"/>
          <w:szCs w:val="22"/>
        </w:rPr>
        <w:t>年度部门决算情况说明</w:t>
      </w:r>
      <w:r>
        <w:rPr>
          <w:rFonts w:ascii="仿宋" w:hAnsi="仿宋" w:eastAsia="仿宋"/>
          <w:smallCaps/>
          <w:sz w:val="22"/>
          <w:szCs w:val="22"/>
        </w:rPr>
        <w:tab/>
      </w:r>
      <w:r>
        <w:rPr>
          <w:rFonts w:hint="eastAsia" w:ascii="仿宋" w:hAnsi="仿宋" w:eastAsia="仿宋"/>
          <w:smallCaps/>
          <w:sz w:val="22"/>
          <w:szCs w:val="22"/>
        </w:rPr>
        <w:t>5</w:t>
      </w:r>
    </w:p>
    <w:p>
      <w:pPr>
        <w:tabs>
          <w:tab w:val="left" w:pos="840"/>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一、收入支出决算总体情况说明</w:t>
      </w:r>
      <w:r>
        <w:rPr>
          <w:rFonts w:ascii="仿宋" w:hAnsi="仿宋" w:eastAsia="仿宋"/>
          <w:smallCaps/>
          <w:sz w:val="22"/>
          <w:szCs w:val="22"/>
        </w:rPr>
        <w:tab/>
      </w:r>
      <w:r>
        <w:rPr>
          <w:rFonts w:hint="eastAsia" w:ascii="仿宋" w:hAnsi="仿宋" w:eastAsia="仿宋"/>
          <w:smallCaps/>
          <w:sz w:val="22"/>
          <w:szCs w:val="22"/>
        </w:rPr>
        <w:t>5</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二、收入决算情况说明</w:t>
      </w:r>
      <w:r>
        <w:rPr>
          <w:rFonts w:ascii="仿宋" w:hAnsi="仿宋" w:eastAsia="仿宋"/>
          <w:smallCaps/>
          <w:sz w:val="22"/>
          <w:szCs w:val="22"/>
        </w:rPr>
        <w:tab/>
      </w:r>
      <w:r>
        <w:rPr>
          <w:rFonts w:hint="eastAsia" w:ascii="仿宋" w:hAnsi="仿宋" w:eastAsia="仿宋"/>
          <w:smallCaps/>
          <w:sz w:val="22"/>
          <w:szCs w:val="22"/>
        </w:rPr>
        <w:t>5</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三、支出决算情况说明</w:t>
      </w:r>
      <w:r>
        <w:rPr>
          <w:rFonts w:ascii="仿宋" w:hAnsi="仿宋" w:eastAsia="仿宋"/>
          <w:smallCaps/>
          <w:sz w:val="22"/>
          <w:szCs w:val="22"/>
        </w:rPr>
        <w:tab/>
      </w:r>
      <w:r>
        <w:rPr>
          <w:rFonts w:hint="eastAsia" w:ascii="仿宋" w:hAnsi="仿宋" w:eastAsia="仿宋"/>
          <w:smallCaps/>
          <w:sz w:val="22"/>
          <w:szCs w:val="22"/>
        </w:rPr>
        <w:t>6</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四、财政拨款收入支出决算总体情况说明</w:t>
      </w:r>
      <w:r>
        <w:rPr>
          <w:rFonts w:ascii="仿宋" w:hAnsi="仿宋" w:eastAsia="仿宋"/>
          <w:smallCaps/>
          <w:sz w:val="22"/>
          <w:szCs w:val="22"/>
        </w:rPr>
        <w:tab/>
      </w:r>
      <w:r>
        <w:rPr>
          <w:rFonts w:hint="eastAsia" w:ascii="仿宋" w:hAnsi="仿宋" w:eastAsia="仿宋"/>
          <w:smallCaps/>
          <w:sz w:val="22"/>
          <w:szCs w:val="22"/>
        </w:rPr>
        <w:t>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五、一般公共预算财政拨款支出决算情况说明</w:t>
      </w:r>
      <w:r>
        <w:rPr>
          <w:rFonts w:ascii="仿宋" w:hAnsi="仿宋" w:eastAsia="仿宋"/>
          <w:smallCaps/>
          <w:sz w:val="22"/>
          <w:szCs w:val="22"/>
        </w:rPr>
        <w:tab/>
      </w:r>
      <w:r>
        <w:rPr>
          <w:rFonts w:hint="eastAsia" w:ascii="仿宋" w:hAnsi="仿宋" w:eastAsia="仿宋"/>
          <w:smallCaps/>
          <w:sz w:val="22"/>
          <w:szCs w:val="22"/>
        </w:rPr>
        <w:t>7</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（一）一般公共预算财政拨款支出决算总体情况</w:t>
      </w:r>
      <w:r>
        <w:rPr>
          <w:rFonts w:ascii="仿宋" w:hAnsi="仿宋" w:eastAsia="仿宋"/>
          <w:smallCaps/>
          <w:sz w:val="22"/>
          <w:szCs w:val="22"/>
        </w:rPr>
        <w:tab/>
      </w:r>
      <w:r>
        <w:rPr>
          <w:rFonts w:hint="eastAsia" w:ascii="仿宋" w:hAnsi="仿宋" w:eastAsia="仿宋"/>
          <w:smallCaps/>
          <w:sz w:val="22"/>
          <w:szCs w:val="22"/>
        </w:rPr>
        <w:t>7</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（二）一般公共预算财政拨款支出决算结构情况</w:t>
      </w:r>
      <w:r>
        <w:rPr>
          <w:rFonts w:ascii="仿宋" w:hAnsi="仿宋" w:eastAsia="仿宋"/>
          <w:smallCaps/>
          <w:sz w:val="22"/>
          <w:szCs w:val="22"/>
        </w:rPr>
        <w:tab/>
      </w:r>
      <w:r>
        <w:rPr>
          <w:rFonts w:hint="eastAsia" w:ascii="仿宋" w:hAnsi="仿宋" w:eastAsia="仿宋"/>
          <w:smallCaps/>
          <w:sz w:val="22"/>
          <w:szCs w:val="22"/>
        </w:rPr>
        <w:t>8</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（三）一般公共预算财政拨款支出决算具体情况</w:t>
      </w:r>
      <w:r>
        <w:rPr>
          <w:rFonts w:ascii="仿宋" w:hAnsi="仿宋" w:eastAsia="仿宋"/>
          <w:smallCaps/>
          <w:sz w:val="22"/>
          <w:szCs w:val="22"/>
        </w:rPr>
        <w:tab/>
      </w:r>
      <w:r>
        <w:rPr>
          <w:rFonts w:hint="eastAsia" w:ascii="仿宋" w:hAnsi="仿宋" w:eastAsia="仿宋"/>
          <w:smallCaps/>
          <w:sz w:val="22"/>
          <w:szCs w:val="22"/>
        </w:rPr>
        <w:t>9</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六、一般公共预算财政拨款基本支出决算情况说明</w:t>
      </w:r>
      <w:r>
        <w:rPr>
          <w:rFonts w:ascii="仿宋" w:hAnsi="仿宋" w:eastAsia="仿宋"/>
          <w:smallCaps/>
          <w:sz w:val="22"/>
          <w:szCs w:val="22"/>
        </w:rPr>
        <w:tab/>
      </w:r>
      <w:r>
        <w:rPr>
          <w:rFonts w:hint="eastAsia" w:ascii="仿宋" w:hAnsi="仿宋" w:eastAsia="仿宋"/>
          <w:smallCaps/>
          <w:sz w:val="22"/>
          <w:szCs w:val="22"/>
        </w:rPr>
        <w:t>10</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七、“三公”经费财政拨款支出决算情况说明</w:t>
      </w:r>
      <w:r>
        <w:rPr>
          <w:rFonts w:ascii="仿宋" w:hAnsi="仿宋" w:eastAsia="仿宋"/>
          <w:smallCaps/>
          <w:sz w:val="22"/>
          <w:szCs w:val="22"/>
        </w:rPr>
        <w:tab/>
      </w:r>
      <w:r>
        <w:rPr>
          <w:rFonts w:hint="eastAsia" w:ascii="仿宋" w:hAnsi="仿宋" w:eastAsia="仿宋"/>
          <w:smallCaps/>
          <w:sz w:val="22"/>
          <w:szCs w:val="22"/>
        </w:rPr>
        <w:t>10</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（一）“三公”经费财政拨款支出决算总体情况说明</w:t>
      </w:r>
      <w:r>
        <w:rPr>
          <w:rFonts w:ascii="仿宋" w:hAnsi="仿宋" w:eastAsia="仿宋"/>
          <w:smallCaps/>
          <w:sz w:val="22"/>
          <w:szCs w:val="22"/>
        </w:rPr>
        <w:tab/>
      </w:r>
      <w:r>
        <w:rPr>
          <w:rFonts w:hint="eastAsia" w:ascii="仿宋" w:hAnsi="仿宋" w:eastAsia="仿宋"/>
          <w:smallCaps/>
          <w:sz w:val="22"/>
          <w:szCs w:val="22"/>
        </w:rPr>
        <w:t>10</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（二）“三公”经费财政拨款支出决算具体情况说明</w:t>
      </w:r>
      <w:r>
        <w:rPr>
          <w:rFonts w:ascii="仿宋" w:hAnsi="仿宋" w:eastAsia="仿宋"/>
          <w:smallCaps/>
          <w:sz w:val="22"/>
          <w:szCs w:val="22"/>
        </w:rPr>
        <w:tab/>
      </w:r>
      <w:r>
        <w:rPr>
          <w:rFonts w:hint="eastAsia" w:ascii="仿宋" w:hAnsi="仿宋" w:eastAsia="仿宋"/>
          <w:smallCaps/>
          <w:sz w:val="22"/>
          <w:szCs w:val="22"/>
        </w:rPr>
        <w:t>10</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八、政府性基金预算支出决算情况说明</w:t>
      </w:r>
      <w:r>
        <w:rPr>
          <w:rFonts w:ascii="仿宋" w:hAnsi="仿宋" w:eastAsia="仿宋"/>
          <w:smallCaps/>
          <w:sz w:val="22"/>
          <w:szCs w:val="22"/>
        </w:rPr>
        <w:tab/>
      </w:r>
      <w:r>
        <w:rPr>
          <w:rFonts w:hint="eastAsia" w:ascii="仿宋" w:hAnsi="仿宋" w:eastAsia="仿宋"/>
          <w:smallCaps/>
          <w:sz w:val="22"/>
          <w:szCs w:val="22"/>
        </w:rPr>
        <w:t>12</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九、国有资本经营预算支出决算情况说明</w:t>
      </w:r>
      <w:r>
        <w:rPr>
          <w:rFonts w:ascii="仿宋" w:hAnsi="仿宋" w:eastAsia="仿宋"/>
          <w:smallCaps/>
          <w:sz w:val="22"/>
          <w:szCs w:val="22"/>
        </w:rPr>
        <w:tab/>
      </w:r>
      <w:r>
        <w:rPr>
          <w:rFonts w:hint="eastAsia" w:ascii="仿宋" w:hAnsi="仿宋" w:eastAsia="仿宋"/>
          <w:smallCaps/>
          <w:sz w:val="22"/>
          <w:szCs w:val="22"/>
        </w:rPr>
        <w:t>12</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十、其他重要事项的情况说明</w:t>
      </w:r>
      <w:r>
        <w:rPr>
          <w:rFonts w:ascii="仿宋" w:hAnsi="仿宋" w:eastAsia="仿宋"/>
          <w:smallCaps/>
          <w:sz w:val="22"/>
          <w:szCs w:val="22"/>
        </w:rPr>
        <w:tab/>
      </w:r>
      <w:r>
        <w:rPr>
          <w:rFonts w:hint="eastAsia" w:ascii="仿宋" w:hAnsi="仿宋" w:eastAsia="仿宋"/>
          <w:smallCaps/>
          <w:sz w:val="22"/>
          <w:szCs w:val="22"/>
        </w:rPr>
        <w:t>12</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（一）机关运行经费支出情况</w:t>
      </w:r>
      <w:r>
        <w:rPr>
          <w:rFonts w:ascii="仿宋" w:hAnsi="仿宋" w:eastAsia="仿宋"/>
          <w:smallCaps/>
          <w:sz w:val="22"/>
          <w:szCs w:val="22"/>
        </w:rPr>
        <w:tab/>
      </w:r>
      <w:r>
        <w:rPr>
          <w:rFonts w:hint="eastAsia" w:ascii="仿宋" w:hAnsi="仿宋" w:eastAsia="仿宋"/>
          <w:smallCaps/>
          <w:sz w:val="22"/>
          <w:szCs w:val="22"/>
        </w:rPr>
        <w:t>12</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（二）政府采购支出情况</w:t>
      </w:r>
      <w:r>
        <w:rPr>
          <w:rFonts w:ascii="仿宋" w:hAnsi="仿宋" w:eastAsia="仿宋"/>
          <w:smallCaps/>
          <w:sz w:val="22"/>
          <w:szCs w:val="22"/>
        </w:rPr>
        <w:tab/>
      </w:r>
      <w:r>
        <w:rPr>
          <w:rFonts w:hint="eastAsia" w:ascii="仿宋" w:hAnsi="仿宋" w:eastAsia="仿宋"/>
          <w:smallCaps/>
          <w:sz w:val="22"/>
          <w:szCs w:val="22"/>
        </w:rPr>
        <w:t>12</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（三）国有资产占有使用情况</w:t>
      </w:r>
      <w:r>
        <w:rPr>
          <w:rFonts w:ascii="仿宋" w:hAnsi="仿宋" w:eastAsia="仿宋"/>
          <w:smallCaps/>
          <w:sz w:val="22"/>
          <w:szCs w:val="22"/>
        </w:rPr>
        <w:tab/>
      </w:r>
      <w:r>
        <w:rPr>
          <w:rFonts w:hint="eastAsia" w:ascii="仿宋" w:hAnsi="仿宋" w:eastAsia="仿宋"/>
          <w:smallCaps/>
          <w:sz w:val="22"/>
          <w:szCs w:val="22"/>
        </w:rPr>
        <w:t>12</w:t>
      </w:r>
    </w:p>
    <w:p>
      <w:pPr>
        <w:tabs>
          <w:tab w:val="right" w:leader="dot" w:pos="8296"/>
        </w:tabs>
        <w:spacing w:line="412" w:lineRule="exact"/>
        <w:ind w:left="420"/>
        <w:jc w:val="left"/>
        <w:rPr>
          <w:rFonts w:ascii="仿宋" w:hAnsi="仿宋" w:eastAsia="仿宋"/>
          <w:smallCaps/>
          <w:sz w:val="22"/>
          <w:szCs w:val="22"/>
        </w:rPr>
      </w:pPr>
      <w:r>
        <w:rPr>
          <w:rFonts w:ascii="仿宋" w:hAnsi="仿宋" w:eastAsia="仿宋"/>
          <w:smallCaps/>
          <w:sz w:val="22"/>
          <w:szCs w:val="22"/>
        </w:rPr>
        <w:t>（四）预算绩效管理情况</w:t>
      </w:r>
      <w:r>
        <w:rPr>
          <w:rFonts w:ascii="仿宋" w:hAnsi="仿宋" w:eastAsia="仿宋"/>
          <w:smallCaps/>
          <w:sz w:val="22"/>
          <w:szCs w:val="22"/>
        </w:rPr>
        <w:tab/>
      </w:r>
      <w:r>
        <w:rPr>
          <w:rFonts w:hint="eastAsia" w:ascii="仿宋" w:hAnsi="仿宋" w:eastAsia="仿宋"/>
          <w:smallCaps/>
          <w:sz w:val="22"/>
          <w:szCs w:val="22"/>
        </w:rPr>
        <w:t>12</w:t>
      </w:r>
    </w:p>
    <w:p>
      <w:pPr>
        <w:tabs>
          <w:tab w:val="right" w:leader="dot" w:pos="8296"/>
        </w:tabs>
        <w:spacing w:before="120" w:after="120" w:line="412" w:lineRule="exact"/>
        <w:jc w:val="left"/>
        <w:rPr>
          <w:rFonts w:ascii="仿宋" w:hAnsi="仿宋" w:eastAsia="仿宋"/>
          <w:smallCaps/>
          <w:sz w:val="22"/>
          <w:szCs w:val="22"/>
        </w:rPr>
      </w:pPr>
      <w:r>
        <w:rPr>
          <w:rFonts w:ascii="仿宋" w:hAnsi="仿宋" w:eastAsia="仿宋"/>
          <w:smallCaps/>
          <w:sz w:val="22"/>
          <w:szCs w:val="22"/>
        </w:rPr>
        <w:t>第三部分 名词解释</w:t>
      </w:r>
      <w:r>
        <w:rPr>
          <w:rFonts w:ascii="仿宋" w:hAnsi="仿宋" w:eastAsia="仿宋"/>
          <w:smallCaps/>
          <w:sz w:val="22"/>
          <w:szCs w:val="22"/>
        </w:rPr>
        <w:tab/>
      </w:r>
      <w:r>
        <w:rPr>
          <w:rFonts w:hint="eastAsia" w:ascii="仿宋" w:hAnsi="仿宋" w:eastAsia="仿宋"/>
          <w:smallCaps/>
          <w:sz w:val="22"/>
          <w:szCs w:val="22"/>
        </w:rPr>
        <w:t>16</w:t>
      </w:r>
    </w:p>
    <w:p>
      <w:pPr>
        <w:tabs>
          <w:tab w:val="right" w:leader="dot" w:pos="8296"/>
        </w:tabs>
        <w:spacing w:before="120" w:after="120" w:line="412" w:lineRule="exact"/>
        <w:jc w:val="left"/>
        <w:rPr>
          <w:rFonts w:ascii="仿宋" w:hAnsi="仿宋" w:eastAsia="仿宋"/>
          <w:smallCaps/>
          <w:sz w:val="22"/>
          <w:szCs w:val="22"/>
        </w:rPr>
      </w:pPr>
      <w:r>
        <w:rPr>
          <w:rFonts w:ascii="仿宋" w:hAnsi="仿宋" w:eastAsia="仿宋"/>
          <w:smallCaps/>
          <w:sz w:val="22"/>
          <w:szCs w:val="22"/>
        </w:rPr>
        <w:t>第四部分 附件</w:t>
      </w:r>
      <w:r>
        <w:rPr>
          <w:rFonts w:ascii="仿宋" w:hAnsi="仿宋" w:eastAsia="仿宋"/>
          <w:smallCaps/>
          <w:sz w:val="22"/>
          <w:szCs w:val="22"/>
        </w:rPr>
        <w:tab/>
      </w:r>
      <w:r>
        <w:rPr>
          <w:rFonts w:hint="eastAsia" w:ascii="仿宋" w:hAnsi="仿宋" w:eastAsia="仿宋"/>
          <w:smallCaps/>
          <w:sz w:val="22"/>
          <w:szCs w:val="22"/>
        </w:rPr>
        <w:t>19</w:t>
      </w:r>
    </w:p>
    <w:p>
      <w:pPr>
        <w:tabs>
          <w:tab w:val="right" w:leader="dot" w:pos="8296"/>
        </w:tabs>
        <w:spacing w:before="120" w:after="120" w:line="412" w:lineRule="exact"/>
        <w:jc w:val="left"/>
        <w:rPr>
          <w:rFonts w:ascii="仿宋" w:hAnsi="仿宋" w:eastAsia="仿宋"/>
          <w:smallCaps/>
          <w:sz w:val="22"/>
          <w:szCs w:val="22"/>
        </w:rPr>
      </w:pPr>
      <w:r>
        <w:rPr>
          <w:rFonts w:ascii="仿宋" w:hAnsi="仿宋" w:eastAsia="仿宋"/>
          <w:smallCaps/>
          <w:sz w:val="22"/>
          <w:szCs w:val="22"/>
        </w:rPr>
        <w:t>附件1</w:t>
      </w:r>
      <w:r>
        <w:rPr>
          <w:rFonts w:ascii="仿宋" w:hAnsi="仿宋" w:eastAsia="仿宋"/>
          <w:smallCaps/>
          <w:sz w:val="22"/>
          <w:szCs w:val="22"/>
        </w:rPr>
        <w:tab/>
      </w:r>
      <w:r>
        <w:rPr>
          <w:rFonts w:hint="eastAsia" w:ascii="仿宋" w:hAnsi="仿宋" w:eastAsia="仿宋"/>
          <w:smallCaps/>
          <w:sz w:val="22"/>
          <w:szCs w:val="22"/>
        </w:rPr>
        <w:t>19</w:t>
      </w:r>
    </w:p>
    <w:p>
      <w:pPr>
        <w:tabs>
          <w:tab w:val="right" w:leader="dot" w:pos="8296"/>
        </w:tabs>
        <w:spacing w:before="120" w:after="120" w:line="412" w:lineRule="exact"/>
        <w:jc w:val="left"/>
        <w:rPr>
          <w:rFonts w:ascii="仿宋" w:hAnsi="仿宋" w:eastAsia="仿宋"/>
          <w:smallCaps/>
          <w:sz w:val="22"/>
          <w:szCs w:val="22"/>
        </w:rPr>
      </w:pPr>
      <w:r>
        <w:rPr>
          <w:rFonts w:hint="eastAsia" w:ascii="仿宋" w:hAnsi="仿宋" w:eastAsia="仿宋"/>
          <w:smallCaps/>
          <w:sz w:val="22"/>
          <w:szCs w:val="22"/>
        </w:rPr>
        <w:t>茂县医疗保障局</w:t>
      </w:r>
      <w:r>
        <w:rPr>
          <w:rFonts w:ascii="仿宋" w:hAnsi="仿宋" w:eastAsia="仿宋"/>
          <w:smallCaps/>
          <w:sz w:val="22"/>
          <w:szCs w:val="22"/>
        </w:rPr>
        <w:t>部门202</w:t>
      </w:r>
      <w:r>
        <w:rPr>
          <w:rFonts w:hint="eastAsia" w:ascii="仿宋" w:hAnsi="仿宋" w:eastAsia="仿宋"/>
          <w:smallCaps/>
          <w:sz w:val="22"/>
          <w:szCs w:val="22"/>
        </w:rPr>
        <w:t>2</w:t>
      </w:r>
      <w:r>
        <w:rPr>
          <w:rFonts w:ascii="仿宋" w:hAnsi="仿宋" w:eastAsia="仿宋"/>
          <w:smallCaps/>
          <w:sz w:val="22"/>
          <w:szCs w:val="22"/>
        </w:rPr>
        <w:t>年部门整体支出绩效评价报告</w:t>
      </w:r>
      <w:r>
        <w:rPr>
          <w:rFonts w:ascii="仿宋" w:hAnsi="仿宋" w:eastAsia="仿宋"/>
          <w:smallCaps/>
          <w:sz w:val="22"/>
          <w:szCs w:val="22"/>
        </w:rPr>
        <w:tab/>
      </w:r>
      <w:r>
        <w:rPr>
          <w:rFonts w:hint="eastAsia" w:ascii="仿宋" w:hAnsi="仿宋" w:eastAsia="仿宋"/>
          <w:smallCaps/>
          <w:sz w:val="22"/>
          <w:szCs w:val="22"/>
        </w:rPr>
        <w:t>19</w:t>
      </w:r>
    </w:p>
    <w:p>
      <w:pPr>
        <w:tabs>
          <w:tab w:val="right" w:leader="dot" w:pos="8296"/>
        </w:tabs>
        <w:spacing w:before="120" w:after="120" w:line="412" w:lineRule="exact"/>
        <w:jc w:val="left"/>
        <w:rPr>
          <w:rFonts w:ascii="仿宋" w:hAnsi="仿宋" w:eastAsia="仿宋"/>
          <w:smallCaps/>
          <w:sz w:val="22"/>
          <w:szCs w:val="22"/>
        </w:rPr>
      </w:pPr>
      <w:r>
        <w:rPr>
          <w:rFonts w:ascii="仿宋" w:hAnsi="仿宋" w:eastAsia="仿宋"/>
          <w:smallCaps/>
          <w:sz w:val="22"/>
          <w:szCs w:val="22"/>
        </w:rPr>
        <w:t>附件2</w:t>
      </w:r>
      <w:r>
        <w:rPr>
          <w:rFonts w:ascii="仿宋" w:hAnsi="仿宋" w:eastAsia="仿宋"/>
          <w:smallCaps/>
          <w:sz w:val="22"/>
          <w:szCs w:val="22"/>
        </w:rPr>
        <w:tab/>
      </w:r>
      <w:r>
        <w:rPr>
          <w:rFonts w:hint="eastAsia" w:ascii="仿宋" w:hAnsi="仿宋" w:eastAsia="仿宋"/>
          <w:smallCaps/>
          <w:sz w:val="22"/>
          <w:szCs w:val="22"/>
        </w:rPr>
        <w:t>23</w:t>
      </w:r>
    </w:p>
    <w:p>
      <w:pPr>
        <w:tabs>
          <w:tab w:val="right" w:leader="dot" w:pos="8296"/>
        </w:tabs>
        <w:spacing w:before="120" w:after="120" w:line="412" w:lineRule="exact"/>
        <w:jc w:val="left"/>
        <w:rPr>
          <w:rFonts w:ascii="仿宋" w:hAnsi="仿宋" w:eastAsia="仿宋"/>
          <w:smallCaps/>
          <w:sz w:val="22"/>
          <w:szCs w:val="22"/>
        </w:rPr>
      </w:pPr>
      <w:r>
        <w:rPr>
          <w:rFonts w:hint="eastAsia" w:ascii="仿宋" w:hAnsi="仿宋" w:eastAsia="仿宋"/>
          <w:smallCaps/>
          <w:sz w:val="22"/>
          <w:szCs w:val="22"/>
        </w:rPr>
        <w:t xml:space="preserve"> “驻村干部临岗补贴”</w:t>
      </w:r>
      <w:r>
        <w:rPr>
          <w:rFonts w:ascii="仿宋" w:hAnsi="仿宋" w:eastAsia="仿宋"/>
          <w:smallCaps/>
          <w:sz w:val="22"/>
          <w:szCs w:val="22"/>
        </w:rPr>
        <w:t>项目202</w:t>
      </w:r>
      <w:r>
        <w:rPr>
          <w:rFonts w:hint="eastAsia" w:ascii="仿宋" w:hAnsi="仿宋" w:eastAsia="仿宋"/>
          <w:smallCaps/>
          <w:sz w:val="22"/>
          <w:szCs w:val="22"/>
        </w:rPr>
        <w:t>2</w:t>
      </w:r>
      <w:r>
        <w:rPr>
          <w:rFonts w:ascii="仿宋" w:hAnsi="仿宋" w:eastAsia="仿宋"/>
          <w:smallCaps/>
          <w:sz w:val="22"/>
          <w:szCs w:val="22"/>
        </w:rPr>
        <w:t>年绩效评价报告</w:t>
      </w:r>
      <w:r>
        <w:rPr>
          <w:rFonts w:ascii="仿宋" w:hAnsi="仿宋" w:eastAsia="仿宋"/>
          <w:smallCaps/>
          <w:sz w:val="22"/>
          <w:szCs w:val="22"/>
        </w:rPr>
        <w:tab/>
      </w:r>
      <w:r>
        <w:rPr>
          <w:rFonts w:hint="eastAsia" w:ascii="仿宋" w:hAnsi="仿宋" w:eastAsia="仿宋"/>
          <w:smallCaps/>
          <w:sz w:val="22"/>
          <w:szCs w:val="22"/>
        </w:rPr>
        <w:t>23</w:t>
      </w:r>
    </w:p>
    <w:p>
      <w:pPr>
        <w:tabs>
          <w:tab w:val="right" w:leader="dot" w:pos="8296"/>
        </w:tabs>
        <w:spacing w:before="120" w:after="120" w:line="412" w:lineRule="exact"/>
        <w:jc w:val="left"/>
        <w:rPr>
          <w:rFonts w:ascii="仿宋" w:hAnsi="仿宋" w:eastAsia="仿宋"/>
          <w:smallCaps/>
          <w:sz w:val="22"/>
          <w:szCs w:val="22"/>
        </w:rPr>
      </w:pPr>
      <w:r>
        <w:rPr>
          <w:rFonts w:ascii="仿宋" w:hAnsi="仿宋" w:eastAsia="仿宋"/>
          <w:smallCaps/>
          <w:sz w:val="22"/>
          <w:szCs w:val="22"/>
        </w:rPr>
        <w:t>第五部分 附表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一、收入支出决算总表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二、收入决算表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三、支出决算表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四、财政拨款收入支出决算总表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五、财政拨款支出决算明细表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六、一般公共预算财政拨款支出决算表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七、一般公共预算财政拨款支出决算明细表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八、一般公共预算财政拨款基本支出决算表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九、一般公共预算财政拨款项目支出决算表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r>
        <w:rPr>
          <w:rFonts w:ascii="仿宋" w:hAnsi="仿宋" w:eastAsia="仿宋"/>
          <w:smallCaps/>
          <w:sz w:val="22"/>
          <w:szCs w:val="22"/>
        </w:rPr>
        <w:t>十、一般公共预算财政拨款“三公”经费支出决算表</w:t>
      </w:r>
      <w:r>
        <w:rPr>
          <w:rFonts w:ascii="仿宋" w:hAnsi="仿宋" w:eastAsia="仿宋"/>
          <w:smallCaps/>
          <w:sz w:val="22"/>
          <w:szCs w:val="22"/>
        </w:rPr>
        <w:tab/>
      </w:r>
      <w:r>
        <w:rPr>
          <w:rFonts w:hint="eastAsia" w:ascii="仿宋" w:hAnsi="仿宋" w:eastAsia="仿宋"/>
          <w:smallCaps/>
          <w:sz w:val="22"/>
          <w:szCs w:val="22"/>
        </w:rPr>
        <w:t>27</w:t>
      </w:r>
    </w:p>
    <w:p>
      <w:pPr>
        <w:tabs>
          <w:tab w:val="right" w:leader="dot" w:pos="8296"/>
        </w:tabs>
        <w:spacing w:line="412" w:lineRule="exact"/>
        <w:ind w:left="210"/>
        <w:jc w:val="left"/>
        <w:rPr>
          <w:rFonts w:ascii="仿宋" w:hAnsi="仿宋" w:eastAsia="仿宋"/>
          <w:smallCaps/>
          <w:sz w:val="22"/>
          <w:szCs w:val="22"/>
        </w:rPr>
      </w:pPr>
    </w:p>
    <w:p>
      <w:pPr>
        <w:tabs>
          <w:tab w:val="right" w:leader="dot" w:pos="8296"/>
        </w:tabs>
        <w:spacing w:line="412" w:lineRule="exact"/>
        <w:ind w:left="210"/>
        <w:jc w:val="left"/>
        <w:rPr>
          <w:rFonts w:ascii="仿宋" w:hAnsi="仿宋" w:eastAsia="仿宋"/>
          <w:smallCaps/>
          <w:sz w:val="22"/>
          <w:szCs w:val="22"/>
        </w:rPr>
      </w:pPr>
    </w:p>
    <w:p>
      <w:pPr>
        <w:tabs>
          <w:tab w:val="right" w:leader="dot" w:pos="8296"/>
        </w:tabs>
        <w:spacing w:line="412" w:lineRule="exact"/>
        <w:ind w:left="210"/>
        <w:jc w:val="left"/>
        <w:rPr>
          <w:rFonts w:ascii="仿宋" w:hAnsi="仿宋" w:eastAsia="仿宋"/>
          <w:smallCaps/>
          <w:sz w:val="22"/>
          <w:szCs w:val="22"/>
        </w:rPr>
      </w:pPr>
    </w:p>
    <w:p>
      <w:pPr>
        <w:tabs>
          <w:tab w:val="right" w:leader="dot" w:pos="8296"/>
        </w:tabs>
        <w:spacing w:line="412" w:lineRule="exact"/>
        <w:ind w:left="210"/>
        <w:jc w:val="left"/>
        <w:rPr>
          <w:rFonts w:ascii="仿宋" w:hAnsi="仿宋" w:eastAsia="仿宋"/>
          <w:smallCaps/>
          <w:sz w:val="22"/>
          <w:szCs w:val="22"/>
        </w:rPr>
      </w:pPr>
    </w:p>
    <w:p>
      <w:pPr>
        <w:spacing w:line="412" w:lineRule="exact"/>
        <w:rPr>
          <w:rFonts w:ascii="仿宋" w:hAnsi="仿宋" w:eastAsia="仿宋"/>
          <w:sz w:val="22"/>
          <w:szCs w:val="22"/>
        </w:rPr>
      </w:pPr>
      <w:r>
        <w:rPr>
          <w:rFonts w:ascii="仿宋" w:hAnsi="仿宋" w:eastAsia="仿宋"/>
          <w:smallCaps/>
          <w:sz w:val="22"/>
          <w:szCs w:val="22"/>
        </w:rPr>
        <w:fldChar w:fldCharType="end"/>
      </w:r>
      <w:r>
        <w:rPr>
          <w:rFonts w:ascii="仿宋" w:hAnsi="仿宋" w:eastAsia="仿宋"/>
          <w:b/>
          <w:sz w:val="22"/>
          <w:szCs w:val="22"/>
        </w:rPr>
        <w:br w:type="page"/>
      </w:r>
    </w:p>
    <w:p>
      <w:pPr>
        <w:widowControl/>
        <w:tabs>
          <w:tab w:val="left" w:pos="5205"/>
        </w:tabs>
        <w:adjustRightInd w:val="0"/>
        <w:snapToGrid w:val="0"/>
        <w:spacing w:line="576" w:lineRule="exact"/>
        <w:rPr>
          <w:rFonts w:ascii="黑体" w:hAnsi="黑体" w:eastAsia="黑体"/>
        </w:rPr>
      </w:pPr>
      <w:bookmarkStart w:id="12" w:name="_Toc15396599"/>
      <w:bookmarkStart w:id="13" w:name="_Toc15377196"/>
      <w:r>
        <w:rPr>
          <w:rFonts w:ascii="黑体" w:hAnsi="黑体" w:eastAsia="黑体"/>
        </w:rPr>
        <w:tab/>
      </w:r>
    </w:p>
    <w:p>
      <w:pPr>
        <w:adjustRightInd w:val="0"/>
        <w:snapToGrid w:val="0"/>
        <w:spacing w:line="576" w:lineRule="exact"/>
        <w:jc w:val="center"/>
        <w:outlineLvl w:val="0"/>
        <w:rPr>
          <w:rFonts w:ascii="黑体" w:hAnsi="黑体" w:eastAsia="黑体"/>
          <w:sz w:val="48"/>
          <w:szCs w:val="48"/>
        </w:rPr>
      </w:pPr>
      <w:r>
        <w:rPr>
          <w:rFonts w:hint="eastAsia" w:ascii="方正小标宋简体" w:hAnsi="方正小标宋简体" w:eastAsia="方正小标宋简体" w:cs="方正小标宋简体"/>
          <w:sz w:val="44"/>
          <w:szCs w:val="44"/>
        </w:rPr>
        <w:t xml:space="preserve">第一部分 </w:t>
      </w:r>
      <w:r>
        <w:rPr>
          <w:rStyle w:val="24"/>
          <w:rFonts w:hint="eastAsia" w:ascii="方正小标宋简体" w:hAnsi="方正小标宋简体" w:eastAsia="方正小标宋简体" w:cs="方正小标宋简体"/>
          <w:b w:val="0"/>
          <w:bCs w:val="0"/>
        </w:rPr>
        <w:t>部门概况</w:t>
      </w:r>
      <w:bookmarkEnd w:id="12"/>
      <w:bookmarkEnd w:id="13"/>
    </w:p>
    <w:p>
      <w:pPr>
        <w:adjustRightInd w:val="0"/>
        <w:snapToGrid w:val="0"/>
        <w:spacing w:line="576" w:lineRule="exact"/>
        <w:ind w:firstLine="640" w:firstLineChars="200"/>
        <w:rPr>
          <w:rFonts w:ascii="仿宋_GB2312" w:hAnsi="仿宋_GB2312" w:eastAsia="仿宋_GB2312" w:cs="仿宋_GB2312"/>
          <w:sz w:val="32"/>
          <w:szCs w:val="32"/>
        </w:rPr>
      </w:pPr>
    </w:p>
    <w:p>
      <w:pPr>
        <w:pStyle w:val="3"/>
        <w:adjustRightInd w:val="0"/>
        <w:snapToGrid w:val="0"/>
        <w:spacing w:line="576" w:lineRule="exact"/>
        <w:ind w:firstLine="640" w:firstLineChars="200"/>
        <w:rPr>
          <w:rFonts w:ascii="黑体" w:hAnsi="黑体" w:eastAsia="黑体" w:cs="黑体"/>
          <w:b w:val="0"/>
        </w:rPr>
      </w:pPr>
      <w:bookmarkStart w:id="14" w:name="_Toc15377197"/>
      <w:bookmarkStart w:id="15" w:name="_Toc15396600"/>
      <w:r>
        <w:rPr>
          <w:rFonts w:hint="eastAsia" w:ascii="黑体" w:hAnsi="黑体" w:eastAsia="黑体" w:cs="黑体"/>
          <w:b w:val="0"/>
        </w:rPr>
        <w:t>一、基</w:t>
      </w:r>
      <w:r>
        <w:rPr>
          <w:rStyle w:val="25"/>
          <w:rFonts w:hint="eastAsia" w:ascii="黑体" w:hAnsi="黑体" w:eastAsia="黑体" w:cs="黑体"/>
          <w:b w:val="0"/>
          <w:bCs/>
        </w:rPr>
        <w:t>本职能及主要工作</w:t>
      </w:r>
      <w:bookmarkEnd w:id="14"/>
      <w:bookmarkEnd w:id="15"/>
      <w:bookmarkStart w:id="16" w:name="_Toc15377198"/>
      <w:bookmarkStart w:id="17" w:name="_Toc15378445"/>
    </w:p>
    <w:p>
      <w:pPr>
        <w:adjustRightInd w:val="0"/>
        <w:snapToGrid w:val="0"/>
        <w:spacing w:line="576"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（一）主要职能</w:t>
      </w:r>
      <w:bookmarkEnd w:id="16"/>
      <w:bookmarkEnd w:id="17"/>
    </w:p>
    <w:p>
      <w:pPr>
        <w:adjustRightInd w:val="0"/>
        <w:snapToGrid w:val="0"/>
        <w:spacing w:line="576" w:lineRule="exact"/>
        <w:ind w:firstLine="640" w:firstLineChars="200"/>
        <w:rPr>
          <w:rFonts w:ascii="仿宋" w:hAnsi="仿宋" w:eastAsia="仿宋"/>
          <w:bCs/>
          <w:sz w:val="32"/>
          <w:szCs w:val="32"/>
        </w:rPr>
      </w:pPr>
      <w:r>
        <w:rPr>
          <w:rFonts w:hint="eastAsia" w:ascii="仿宋_GB2312" w:hAnsi="仿宋_GB2312" w:eastAsia="仿宋_GB2312" w:cs="仿宋_GB2312"/>
          <w:sz w:val="32"/>
          <w:szCs w:val="32"/>
        </w:rPr>
        <w:t>宣传和贯彻执行医疗保险的有关政策；负责医疗保险基金的收缴、汇集、存储及保险基金运营管理，建立业务台账，统计有关数据；负责为参保人员建立个人账户，办理保险关系转移、退保等手续；负责医疗保险审核，核算医疗金给付标准和拨付医疗金；负责跟踪监督医疗金发放情况。</w:t>
      </w:r>
    </w:p>
    <w:p>
      <w:pPr>
        <w:adjustRightInd w:val="0"/>
        <w:snapToGrid w:val="0"/>
        <w:spacing w:line="576" w:lineRule="exact"/>
        <w:ind w:firstLine="642" w:firstLineChars="200"/>
        <w:rPr>
          <w:rFonts w:ascii="楷体_GB2312" w:hAnsi="楷体_GB2312" w:eastAsia="楷体_GB2312" w:cs="楷体_GB2312"/>
          <w:b/>
          <w:sz w:val="32"/>
          <w:szCs w:val="32"/>
        </w:rPr>
      </w:pPr>
      <w:bookmarkStart w:id="18" w:name="_Toc15378446"/>
      <w:bookmarkStart w:id="19" w:name="_Toc15377199"/>
      <w:r>
        <w:rPr>
          <w:rFonts w:hint="eastAsia" w:ascii="楷体_GB2312" w:hAnsi="楷体_GB2312" w:eastAsia="楷体_GB2312" w:cs="楷体_GB2312"/>
          <w:b/>
          <w:sz w:val="32"/>
          <w:szCs w:val="32"/>
        </w:rPr>
        <w:t>（二）2022年重点工作完成情况</w:t>
      </w:r>
      <w:bookmarkEnd w:id="18"/>
      <w:bookmarkEnd w:id="19"/>
    </w:p>
    <w:p>
      <w:pPr>
        <w:adjustRightInd w:val="0"/>
        <w:snapToGrid w:val="0"/>
        <w:spacing w:line="576" w:lineRule="exact"/>
        <w:ind w:firstLine="640" w:firstLineChars="200"/>
        <w:rPr>
          <w:rFonts w:ascii="仿宋_GB2312" w:eastAsia="仿宋_GB2312" w:cs="Calibri"/>
          <w:sz w:val="32"/>
          <w:szCs w:val="32"/>
        </w:rPr>
      </w:pPr>
      <w:r>
        <w:rPr>
          <w:rFonts w:hint="eastAsia" w:ascii="仿宋_GB2312" w:eastAsia="仿宋_GB2312" w:cs="Calibri"/>
          <w:sz w:val="32"/>
          <w:szCs w:val="32"/>
        </w:rPr>
        <w:t>2022年，我局在县委县政府的领导下，在州医保的业务指导下认真贯彻执行国家、省有关医疗保险新政策，通过各镇、各医疗机构的大力支持和职工们的共同努力，全面提前并超额完成全年医疗目标任务。</w:t>
      </w:r>
    </w:p>
    <w:p>
      <w:pPr>
        <w:pStyle w:val="3"/>
        <w:adjustRightInd w:val="0"/>
        <w:snapToGrid w:val="0"/>
        <w:spacing w:line="576" w:lineRule="exact"/>
        <w:ind w:firstLine="640" w:firstLineChars="200"/>
        <w:rPr>
          <w:rStyle w:val="25"/>
          <w:b w:val="0"/>
          <w:bCs w:val="0"/>
        </w:rPr>
      </w:pPr>
      <w:bookmarkStart w:id="20" w:name="_Toc15396601"/>
      <w:bookmarkStart w:id="21" w:name="_Toc15377200"/>
      <w:r>
        <w:rPr>
          <w:rFonts w:hint="eastAsia" w:ascii="黑体" w:eastAsia="黑体"/>
          <w:b w:val="0"/>
        </w:rPr>
        <w:t>二、</w:t>
      </w:r>
      <w:r>
        <w:rPr>
          <w:rFonts w:hint="eastAsia" w:ascii="黑体" w:hAnsi="黑体" w:eastAsia="黑体"/>
          <w:b w:val="0"/>
        </w:rPr>
        <w:t>机</w:t>
      </w:r>
      <w:r>
        <w:rPr>
          <w:rStyle w:val="25"/>
          <w:rFonts w:hint="eastAsia" w:ascii="黑体" w:hAnsi="黑体" w:eastAsia="黑体"/>
          <w:b w:val="0"/>
          <w:bCs w:val="0"/>
        </w:rPr>
        <w:t>构设置</w:t>
      </w:r>
      <w:bookmarkEnd w:id="20"/>
      <w:bookmarkEnd w:id="21"/>
    </w:p>
    <w:p>
      <w:pPr>
        <w:adjustRightInd w:val="0"/>
        <w:snapToGrid w:val="0"/>
        <w:spacing w:line="576"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茂县医疗保障局属财政全额拨款一级预算单位。下属二级单位2个，其中行政单位1个，参照公务员法管理的事业单位</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个，其他事业单位1个。</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单位核定编制2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名，在编在职人员26名。其中行政人员8名，参公人员8名，事业人员10名。</w:t>
      </w:r>
    </w:p>
    <w:p>
      <w:pPr>
        <w:widowControl/>
        <w:adjustRightInd w:val="0"/>
        <w:snapToGrid w:val="0"/>
        <w:spacing w:line="576" w:lineRule="exact"/>
        <w:jc w:val="left"/>
        <w:rPr>
          <w:rFonts w:ascii="仿宋" w:hAnsi="仿宋" w:eastAsia="仿宋"/>
          <w:sz w:val="32"/>
          <w:szCs w:val="32"/>
        </w:rPr>
      </w:pPr>
    </w:p>
    <w:p>
      <w:pPr>
        <w:numPr>
          <w:ilvl w:val="0"/>
          <w:numId w:val="1"/>
        </w:numPr>
        <w:adjustRightInd w:val="0"/>
        <w:snapToGrid w:val="0"/>
        <w:spacing w:line="576" w:lineRule="exact"/>
        <w:jc w:val="center"/>
        <w:outlineLvl w:val="0"/>
        <w:rPr>
          <w:rStyle w:val="24"/>
          <w:rFonts w:ascii="方正小标宋简体" w:hAnsi="方正小标宋简体" w:eastAsia="方正小标宋简体" w:cs="方正小标宋简体"/>
          <w:b w:val="0"/>
          <w:bCs w:val="0"/>
        </w:rPr>
      </w:pPr>
      <w:bookmarkStart w:id="22" w:name="_Toc15377204"/>
      <w:bookmarkStart w:id="23" w:name="_Toc15396602"/>
      <w:r>
        <w:rPr>
          <w:rStyle w:val="24"/>
          <w:rFonts w:hint="eastAsia" w:ascii="方正小标宋简体" w:hAnsi="方正小标宋简体" w:eastAsia="方正小标宋简体" w:cs="方正小标宋简体"/>
          <w:b w:val="0"/>
          <w:bCs w:val="0"/>
        </w:rPr>
        <w:t>2022年度部门决算情况说明</w:t>
      </w:r>
      <w:bookmarkEnd w:id="22"/>
      <w:bookmarkEnd w:id="23"/>
    </w:p>
    <w:p>
      <w:pPr>
        <w:adjustRightInd w:val="0"/>
        <w:snapToGrid w:val="0"/>
        <w:spacing w:line="576" w:lineRule="exact"/>
        <w:jc w:val="left"/>
      </w:pPr>
    </w:p>
    <w:p>
      <w:pPr>
        <w:pStyle w:val="23"/>
        <w:numPr>
          <w:ilvl w:val="0"/>
          <w:numId w:val="2"/>
        </w:numPr>
        <w:adjustRightInd w:val="0"/>
        <w:snapToGrid w:val="0"/>
        <w:spacing w:line="576" w:lineRule="exact"/>
        <w:ind w:firstLineChars="0"/>
        <w:jc w:val="left"/>
        <w:outlineLvl w:val="1"/>
        <w:rPr>
          <w:rStyle w:val="25"/>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4"/>
      <w:bookmarkEnd w:id="25"/>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2022年度收入总计176.9万元（其中：年初结转和结余0万元），支出总计176.9万元。与2021年相比，收入总计减少3.3万元，减少1.87%；支出总计减少3.3万元，减少1.87%。主要变动原因是1.人员变动调整；2.</w:t>
      </w:r>
      <w:r>
        <w:rPr>
          <w:rFonts w:hint="eastAsia" w:ascii="仿宋_GB2312" w:hAnsi="仿宋" w:eastAsia="仿宋_GB2312" w:cs="仿宋"/>
          <w:sz w:val="32"/>
          <w:szCs w:val="32"/>
        </w:rPr>
        <w:t>五险一金增减变动</w:t>
      </w:r>
      <w:r>
        <w:rPr>
          <w:rFonts w:hint="eastAsia" w:ascii="仿宋_GB2312" w:hAnsi="仿宋_GB2312" w:eastAsia="仿宋_GB2312" w:cs="仿宋_GB2312"/>
          <w:sz w:val="32"/>
          <w:szCs w:val="32"/>
        </w:rPr>
        <w:t>。</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ind w:firstLine="1470" w:firstLineChars="700"/>
      </w:pPr>
      <w:r>
        <w:drawing>
          <wp:inline distT="0" distB="0" distL="0" distR="0">
            <wp:extent cx="3324225" cy="2400300"/>
            <wp:effectExtent l="19050" t="0" r="9525" b="0"/>
            <wp:docPr id="1"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2"/>
        </w:numPr>
        <w:adjustRightInd w:val="0"/>
        <w:snapToGrid w:val="0"/>
        <w:spacing w:line="576"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adjustRightInd w:val="0"/>
        <w:snapToGrid w:val="0"/>
        <w:spacing w:line="576"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本年收入合计176.9万元，其中：一般公共预算财政拨款收入176.9万元，占100%（其中：2022年度一般公共预算财政拨款年初结转和结余0万元）；政府性基金预算财政拨款收入0万元，国有资本经营预算财政拨款收入0万元，事业收入0万元，经营收入0万元，附属单位上缴收入0万元，其他收入0万元。</w:t>
      </w:r>
    </w:p>
    <w:p>
      <w:pPr>
        <w:adjustRightInd w:val="0"/>
        <w:snapToGrid w:val="0"/>
        <w:spacing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（图2：收入决算结构图）（饼状图）</w:t>
      </w:r>
    </w:p>
    <w:p>
      <w:pPr>
        <w:ind w:firstLine="945" w:firstLineChars="450"/>
      </w:pPr>
      <w:r>
        <w:drawing>
          <wp:inline distT="0" distB="0" distL="0" distR="0">
            <wp:extent cx="3829050" cy="1866900"/>
            <wp:effectExtent l="19050" t="0" r="19050" b="0"/>
            <wp:docPr id="10" name="对象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2"/>
        </w:numPr>
        <w:adjustRightInd w:val="0"/>
        <w:snapToGrid w:val="0"/>
        <w:spacing w:line="576"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adjustRightInd w:val="0"/>
        <w:snapToGrid w:val="0"/>
        <w:spacing w:line="576" w:lineRule="exact"/>
        <w:ind w:firstLine="640"/>
        <w:rPr>
          <w:rFonts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color w:val="000000"/>
          <w:sz w:val="32"/>
          <w:szCs w:val="32"/>
        </w:rPr>
        <w:t>2022年本年支出合计176.9万元，其中：基本支出175.82万元，占99.39%；项目支出1.08万元，占0.61%；上缴上级支出0万元，经营支出0万元，对附属单位补助支出0万元。</w:t>
      </w:r>
    </w:p>
    <w:p>
      <w:pPr>
        <w:adjustRightInd w:val="0"/>
        <w:snapToGrid w:val="0"/>
        <w:spacing w:line="576" w:lineRule="exact"/>
        <w:ind w:firstLine="640" w:firstLineChars="200"/>
        <w:rPr>
          <w:rFonts w:ascii="仿宋" w:hAnsi="仿宋" w:eastAsia="仿宋"/>
          <w:color w:val="000000" w:themeColor="text1"/>
          <w:sz w:val="32"/>
          <w:szCs w:val="32"/>
        </w:rPr>
      </w:pPr>
      <w:r>
        <w:rPr>
          <w:rFonts w:hint="eastAsia" w:ascii="仿宋_GB2312" w:hAnsi="仿宋_GB2312" w:eastAsia="仿宋_GB2312" w:cs="仿宋_GB2312"/>
          <w:color w:val="000000" w:themeColor="text1"/>
          <w:sz w:val="32"/>
          <w:szCs w:val="32"/>
        </w:rPr>
        <w:t>（图3：支出决算结构图）（饼状图）</w:t>
      </w:r>
    </w:p>
    <w:p>
      <w:pPr>
        <w:ind w:firstLine="945" w:firstLineChars="450"/>
      </w:pPr>
      <w:r>
        <w:drawing>
          <wp:inline distT="0" distB="0" distL="0" distR="0">
            <wp:extent cx="3829050" cy="1866900"/>
            <wp:effectExtent l="19050" t="0" r="19050" b="0"/>
            <wp:docPr id="15" name="对象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adjustRightInd w:val="0"/>
        <w:snapToGrid w:val="0"/>
        <w:spacing w:line="576" w:lineRule="exact"/>
        <w:ind w:firstLine="640" w:firstLineChars="200"/>
        <w:rPr>
          <w:rStyle w:val="25"/>
          <w:rFonts w:ascii="黑体" w:hAnsi="黑体" w:eastAsia="黑体" w:cs="黑体"/>
          <w:b w:val="0"/>
          <w:bCs w:val="0"/>
        </w:rPr>
      </w:pPr>
      <w:bookmarkStart w:id="30" w:name="_Toc15377208"/>
      <w:bookmarkStart w:id="31" w:name="_Toc15396606"/>
      <w:r>
        <w:rPr>
          <w:rFonts w:hint="eastAsia" w:ascii="黑体" w:hAnsi="黑体" w:eastAsia="黑体" w:cs="黑体"/>
          <w:b w:val="0"/>
          <w:bCs w:val="0"/>
          <w:color w:val="000000"/>
        </w:rPr>
        <w:t>四、财</w:t>
      </w:r>
      <w:r>
        <w:rPr>
          <w:rStyle w:val="25"/>
          <w:rFonts w:hint="eastAsia" w:ascii="黑体" w:hAnsi="黑体" w:eastAsia="黑体" w:cs="黑体"/>
          <w:b w:val="0"/>
          <w:bCs w:val="0"/>
        </w:rPr>
        <w:t>政拨款收入支出决算总体情况说明</w:t>
      </w:r>
      <w:bookmarkEnd w:id="30"/>
      <w:bookmarkEnd w:id="31"/>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2022年度收入总计176.9万元（其中：年初结转和结余0万元），支出总计176.9万元。与2021年相比，收入总计减少3.3万元，减少1.87%；支出总计减少3.3万元，减少1.87%。主要变动原因是1.人员变动调整；2.</w:t>
      </w:r>
      <w:r>
        <w:rPr>
          <w:rFonts w:hint="eastAsia" w:ascii="仿宋_GB2312" w:hAnsi="仿宋" w:eastAsia="仿宋_GB2312" w:cs="仿宋"/>
          <w:sz w:val="32"/>
          <w:szCs w:val="32"/>
        </w:rPr>
        <w:t>五险一金增减变动</w:t>
      </w:r>
      <w:r>
        <w:rPr>
          <w:rFonts w:hint="eastAsia" w:ascii="仿宋_GB2312" w:hAnsi="仿宋_GB2312" w:eastAsia="仿宋_GB2312" w:cs="仿宋_GB2312"/>
          <w:sz w:val="32"/>
          <w:szCs w:val="32"/>
        </w:rPr>
        <w:t>。</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ind w:firstLine="1470" w:firstLineChars="700"/>
      </w:pPr>
      <w:r>
        <w:drawing>
          <wp:inline distT="0" distB="0" distL="0" distR="0">
            <wp:extent cx="3324225" cy="2400300"/>
            <wp:effectExtent l="19050" t="0" r="9525" b="0"/>
            <wp:docPr id="2"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
        <w:adjustRightInd w:val="0"/>
        <w:snapToGrid w:val="0"/>
        <w:spacing w:line="576" w:lineRule="exact"/>
        <w:ind w:firstLine="640" w:firstLineChars="200"/>
        <w:rPr>
          <w:rFonts w:ascii="黑体" w:hAnsi="黑体" w:eastAsia="黑体" w:cs="黑体"/>
          <w:b w:val="0"/>
          <w:bCs w:val="0"/>
          <w:color w:val="000000"/>
        </w:rPr>
      </w:pPr>
      <w:bookmarkStart w:id="32" w:name="_Toc15377209"/>
      <w:bookmarkStart w:id="33" w:name="_Toc15396607"/>
      <w:r>
        <w:rPr>
          <w:rFonts w:hint="eastAsia" w:ascii="黑体" w:hAnsi="黑体" w:eastAsia="黑体" w:cs="黑体"/>
          <w:b w:val="0"/>
          <w:bCs w:val="0"/>
          <w:color w:val="000000"/>
        </w:rPr>
        <w:t>五、一</w:t>
      </w:r>
      <w:r>
        <w:rPr>
          <w:rStyle w:val="25"/>
          <w:rFonts w:hint="eastAsia" w:ascii="黑体" w:hAnsi="黑体" w:eastAsia="黑体" w:cs="黑体"/>
          <w:b w:val="0"/>
          <w:bCs w:val="0"/>
        </w:rPr>
        <w:t>般公共预算财政拨款支出决算情况说明</w:t>
      </w:r>
      <w:bookmarkEnd w:id="32"/>
      <w:bookmarkEnd w:id="33"/>
      <w:bookmarkStart w:id="34" w:name="_Toc15377210"/>
    </w:p>
    <w:p>
      <w:pPr>
        <w:adjustRightInd w:val="0"/>
        <w:snapToGrid w:val="0"/>
        <w:spacing w:line="576" w:lineRule="exact"/>
        <w:ind w:firstLine="642" w:firstLineChars="200"/>
        <w:outlineLvl w:val="1"/>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（一）一般公共预算财政拨款支出决算总体情况</w:t>
      </w:r>
      <w:bookmarkEnd w:id="34"/>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2022年一般公共预算财政拨款支出176.9万元，占本年支出合计的100%。与2021年相比，一般公共预算财政拨款减少3.3万元，减少1.87%。主要变动原因是1.人员变动调整；2.</w:t>
      </w:r>
      <w:r>
        <w:rPr>
          <w:rFonts w:hint="eastAsia" w:ascii="仿宋_GB2312" w:hAnsi="仿宋" w:eastAsia="仿宋_GB2312" w:cs="仿宋"/>
          <w:sz w:val="32"/>
          <w:szCs w:val="32"/>
        </w:rPr>
        <w:t>五险一金增减变动</w:t>
      </w:r>
      <w:r>
        <w:rPr>
          <w:rFonts w:hint="eastAsia" w:ascii="仿宋_GB2312" w:hAnsi="仿宋_GB2312" w:eastAsia="仿宋_GB2312" w:cs="仿宋_GB2312"/>
          <w:sz w:val="32"/>
          <w:szCs w:val="32"/>
        </w:rPr>
        <w:t>。</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ind w:firstLine="1470" w:firstLineChars="700"/>
      </w:pPr>
      <w:r>
        <w:drawing>
          <wp:inline distT="0" distB="0" distL="0" distR="0">
            <wp:extent cx="3324225" cy="2400300"/>
            <wp:effectExtent l="19050" t="0" r="9525" b="0"/>
            <wp:docPr id="37" name="对象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adjustRightInd w:val="0"/>
        <w:snapToGrid w:val="0"/>
        <w:spacing w:line="576" w:lineRule="exact"/>
        <w:ind w:firstLine="642" w:firstLineChars="200"/>
        <w:jc w:val="left"/>
        <w:outlineLvl w:val="1"/>
        <w:rPr>
          <w:rFonts w:ascii="楷体_GB2312" w:hAnsi="楷体_GB2312" w:eastAsia="楷体_GB2312" w:cs="楷体_GB2312"/>
          <w:b/>
          <w:color w:val="000000"/>
          <w:sz w:val="32"/>
          <w:szCs w:val="32"/>
        </w:rPr>
      </w:pPr>
      <w:bookmarkStart w:id="35" w:name="_Toc15377211"/>
      <w:r>
        <w:rPr>
          <w:rFonts w:hint="eastAsia" w:ascii="楷体_GB2312" w:hAnsi="楷体_GB2312" w:eastAsia="楷体_GB2312" w:cs="楷体_GB2312"/>
          <w:b/>
          <w:color w:val="000000"/>
          <w:sz w:val="32"/>
          <w:szCs w:val="32"/>
        </w:rPr>
        <w:t>（二）一般公共预算财政拨款支出决算结构情况</w:t>
      </w:r>
      <w:bookmarkEnd w:id="35"/>
    </w:p>
    <w:p>
      <w:pPr>
        <w:adjustRightInd w:val="0"/>
        <w:snapToGrid w:val="0"/>
        <w:spacing w:line="576"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2022年一般公共预算财</w:t>
      </w:r>
      <w:r>
        <w:rPr>
          <w:rFonts w:hint="eastAsia" w:ascii="仿宋_GB2312" w:hAnsi="仿宋_GB2312" w:eastAsia="仿宋_GB2312" w:cs="仿宋_GB2312"/>
          <w:color w:val="000000" w:themeColor="text1"/>
          <w:sz w:val="32"/>
          <w:szCs w:val="32"/>
        </w:rPr>
        <w:t>政拨款支出176.9万元，主要用于以下方面:社会保障和就业（类）支出19.98万元，占11.29%；健康卫生支出（类）143.85万元，占81.32%；农林水（类）支出1.08万元，占0.61%；住房保障（类）支出11.99万元，占6.78%。</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（图6：一般公共预算财政拨款支出决算结构）（饼状图）</w:t>
      </w:r>
    </w:p>
    <w:p>
      <w:pPr>
        <w:ind w:firstLine="1470" w:firstLineChars="700"/>
      </w:pPr>
      <w:r>
        <w:drawing>
          <wp:inline distT="0" distB="0" distL="0" distR="0">
            <wp:extent cx="3638550" cy="2286000"/>
            <wp:effectExtent l="19050" t="0" r="19050" b="0"/>
            <wp:docPr id="5" name="对象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adjustRightInd w:val="0"/>
        <w:snapToGrid w:val="0"/>
        <w:spacing w:line="576" w:lineRule="exact"/>
        <w:ind w:firstLine="642" w:firstLineChars="200"/>
        <w:jc w:val="left"/>
        <w:outlineLvl w:val="1"/>
        <w:rPr>
          <w:rFonts w:ascii="楷体_GB2312" w:hAnsi="楷体_GB2312" w:eastAsia="楷体_GB2312" w:cs="楷体_GB2312"/>
          <w:b/>
          <w:color w:val="000000"/>
          <w:sz w:val="32"/>
          <w:szCs w:val="32"/>
        </w:rPr>
      </w:pPr>
      <w:bookmarkStart w:id="36" w:name="_Toc15377212"/>
      <w:r>
        <w:rPr>
          <w:rFonts w:hint="eastAsia" w:ascii="楷体_GB2312" w:hAnsi="楷体_GB2312" w:eastAsia="楷体_GB2312" w:cs="楷体_GB2312"/>
          <w:b/>
          <w:color w:val="000000"/>
          <w:sz w:val="32"/>
          <w:szCs w:val="32"/>
        </w:rPr>
        <w:t>（三）一般公共预算财政拨款支出决算具体情况</w:t>
      </w:r>
      <w:bookmarkEnd w:id="36"/>
    </w:p>
    <w:p>
      <w:pPr>
        <w:adjustRightInd w:val="0"/>
        <w:snapToGrid w:val="0"/>
        <w:spacing w:line="576" w:lineRule="exact"/>
        <w:ind w:firstLine="640" w:firstLineChars="200"/>
        <w:outlineLvl w:val="2"/>
        <w:rPr>
          <w:rFonts w:ascii="仿宋_GB2312" w:hAnsi="仿宋_GB2312" w:eastAsia="仿宋_GB2312" w:cs="仿宋_GB2312"/>
          <w:bCs/>
          <w:color w:val="FF0000"/>
          <w:sz w:val="32"/>
          <w:szCs w:val="32"/>
        </w:rPr>
      </w:pPr>
      <w:bookmarkStart w:id="37" w:name="_Toc15377444"/>
      <w:bookmarkStart w:id="38" w:name="_Toc15377213"/>
      <w:bookmarkStart w:id="39" w:name="_Toc15378460"/>
      <w:r>
        <w:rPr>
          <w:rFonts w:hint="eastAsia" w:ascii="仿宋_GB2312" w:hAnsi="仿宋_GB2312" w:eastAsia="仿宋_GB2312" w:cs="仿宋_GB2312"/>
          <w:bCs/>
          <w:color w:val="000000" w:themeColor="text1"/>
          <w:sz w:val="32"/>
          <w:szCs w:val="32"/>
        </w:rPr>
        <w:t>2022年一般公共预算支出决算数为176.9万元，</w:t>
      </w:r>
      <w:r>
        <w:rPr>
          <w:rStyle w:val="14"/>
          <w:rFonts w:hint="eastAsia" w:ascii="仿宋_GB2312" w:hAnsi="仿宋_GB2312" w:eastAsia="仿宋_GB2312" w:cs="仿宋_GB2312"/>
          <w:b w:val="0"/>
          <w:bCs/>
          <w:color w:val="000000" w:themeColor="text1"/>
          <w:sz w:val="32"/>
          <w:szCs w:val="32"/>
        </w:rPr>
        <w:t>完成</w:t>
      </w:r>
      <w:r>
        <w:rPr>
          <w:rStyle w:val="14"/>
          <w:rFonts w:hint="eastAsia" w:ascii="仿宋_GB2312" w:hAnsi="仿宋_GB2312" w:eastAsia="仿宋_GB2312" w:cs="仿宋_GB2312"/>
          <w:b w:val="0"/>
          <w:bCs/>
          <w:color w:val="000000"/>
          <w:sz w:val="32"/>
          <w:szCs w:val="32"/>
        </w:rPr>
        <w:t>预算100%。其中：</w:t>
      </w:r>
      <w:bookmarkEnd w:id="37"/>
      <w:bookmarkEnd w:id="38"/>
      <w:bookmarkEnd w:id="39"/>
    </w:p>
    <w:p>
      <w:pPr>
        <w:adjustRightInd w:val="0"/>
        <w:snapToGrid w:val="0"/>
        <w:spacing w:line="576" w:lineRule="exact"/>
        <w:ind w:firstLine="642"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1.社会保障和就业（类）行政事业单位离退休（款）机关事业单位基本养老保险缴费支出（项）:</w:t>
      </w:r>
      <w:r>
        <w:rPr>
          <w:rStyle w:val="14"/>
          <w:rFonts w:hint="eastAsia" w:ascii="仿宋_GB2312" w:hAnsi="仿宋_GB2312" w:eastAsia="仿宋_GB2312" w:cs="仿宋_GB2312"/>
          <w:b w:val="0"/>
          <w:bCs/>
          <w:color w:val="000000"/>
          <w:sz w:val="32"/>
          <w:szCs w:val="32"/>
        </w:rPr>
        <w:t>支出决算为13.32万元，完成预算100%。</w:t>
      </w:r>
    </w:p>
    <w:p>
      <w:pPr>
        <w:adjustRightInd w:val="0"/>
        <w:snapToGrid w:val="0"/>
        <w:spacing w:line="576" w:lineRule="exact"/>
        <w:ind w:firstLine="642"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2.社会保障和就业（类）行政事业单位离退休（款）机关事业单位职业年金缴费支出（项）:</w:t>
      </w:r>
      <w:r>
        <w:rPr>
          <w:rStyle w:val="14"/>
          <w:rFonts w:hint="eastAsia" w:ascii="仿宋_GB2312" w:hAnsi="仿宋_GB2312" w:eastAsia="仿宋_GB2312" w:cs="仿宋_GB2312"/>
          <w:b w:val="0"/>
          <w:bCs/>
          <w:color w:val="000000"/>
          <w:sz w:val="32"/>
          <w:szCs w:val="32"/>
        </w:rPr>
        <w:t>支出决算为6.66万元，完成预算100%。</w:t>
      </w:r>
    </w:p>
    <w:p>
      <w:pPr>
        <w:adjustRightInd w:val="0"/>
        <w:snapToGrid w:val="0"/>
        <w:spacing w:line="576" w:lineRule="exact"/>
        <w:ind w:firstLine="642" w:firstLineChars="200"/>
        <w:rPr>
          <w:rStyle w:val="14"/>
          <w:rFonts w:ascii="仿宋_GB2312" w:hAnsi="仿宋_GB2312" w:eastAsia="仿宋_GB2312" w:cs="仿宋_GB2312"/>
          <w:bCs/>
          <w:color w:val="000000"/>
          <w:sz w:val="32"/>
          <w:szCs w:val="32"/>
        </w:rPr>
      </w:pPr>
      <w:r>
        <w:rPr>
          <w:rStyle w:val="14"/>
          <w:rFonts w:hint="eastAsia" w:ascii="仿宋_GB2312" w:hAnsi="仿宋_GB2312" w:eastAsia="仿宋_GB2312" w:cs="仿宋_GB2312"/>
          <w:bCs/>
          <w:color w:val="000000"/>
          <w:sz w:val="32"/>
          <w:szCs w:val="32"/>
        </w:rPr>
        <w:t>3.卫生健康支出（类）行政事业单位医疗（款）事业单位医疗（项）:</w:t>
      </w:r>
      <w:r>
        <w:rPr>
          <w:rStyle w:val="14"/>
          <w:rFonts w:hint="eastAsia" w:ascii="仿宋_GB2312" w:hAnsi="仿宋_GB2312" w:eastAsia="仿宋_GB2312" w:cs="仿宋_GB2312"/>
          <w:b w:val="0"/>
          <w:bCs/>
          <w:color w:val="000000"/>
          <w:sz w:val="32"/>
          <w:szCs w:val="32"/>
        </w:rPr>
        <w:t>支出决算为8.67万元，完成预算100%。</w:t>
      </w:r>
    </w:p>
    <w:p>
      <w:pPr>
        <w:adjustRightInd w:val="0"/>
        <w:snapToGrid w:val="0"/>
        <w:spacing w:line="576" w:lineRule="exact"/>
        <w:ind w:firstLine="642"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4.卫生健康支出（类）医疗保障管理事务（款）事业运行（项）:</w:t>
      </w:r>
      <w:r>
        <w:rPr>
          <w:rStyle w:val="14"/>
          <w:rFonts w:hint="eastAsia" w:ascii="仿宋_GB2312" w:hAnsi="仿宋_GB2312" w:eastAsia="仿宋_GB2312" w:cs="仿宋_GB2312"/>
          <w:b w:val="0"/>
          <w:bCs/>
          <w:color w:val="000000"/>
          <w:sz w:val="32"/>
          <w:szCs w:val="32"/>
        </w:rPr>
        <w:t>支出决算为135.18万元，完成预算100%。</w:t>
      </w:r>
    </w:p>
    <w:p>
      <w:pPr>
        <w:adjustRightInd w:val="0"/>
        <w:snapToGrid w:val="0"/>
        <w:spacing w:line="576" w:lineRule="exact"/>
        <w:ind w:firstLine="642" w:firstLineChars="200"/>
        <w:rPr>
          <w:rFonts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5.农林水支出（类）扶贫（款）其他扶贫支出（项）:</w:t>
      </w:r>
      <w:r>
        <w:rPr>
          <w:rStyle w:val="14"/>
          <w:rFonts w:hint="eastAsia" w:ascii="仿宋_GB2312" w:hAnsi="仿宋_GB2312" w:eastAsia="仿宋_GB2312" w:cs="仿宋_GB2312"/>
          <w:b w:val="0"/>
          <w:bCs/>
          <w:color w:val="000000"/>
          <w:sz w:val="32"/>
          <w:szCs w:val="32"/>
        </w:rPr>
        <w:t>支出决算为1.08万元，完成预算100%。</w:t>
      </w:r>
    </w:p>
    <w:p>
      <w:pPr>
        <w:adjustRightInd w:val="0"/>
        <w:snapToGrid w:val="0"/>
        <w:spacing w:line="576" w:lineRule="exact"/>
        <w:ind w:firstLine="642"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6.住房保障（类）住房改革支出（款）住房公积金（项）:</w:t>
      </w:r>
      <w:r>
        <w:rPr>
          <w:rStyle w:val="14"/>
          <w:rFonts w:hint="eastAsia" w:ascii="仿宋_GB2312" w:hAnsi="仿宋_GB2312" w:eastAsia="仿宋_GB2312" w:cs="仿宋_GB2312"/>
          <w:b w:val="0"/>
          <w:bCs/>
          <w:color w:val="000000"/>
          <w:sz w:val="32"/>
          <w:szCs w:val="32"/>
        </w:rPr>
        <w:t>支出决算为11.99万元，完成预算100%。</w:t>
      </w:r>
    </w:p>
    <w:p>
      <w:pPr>
        <w:pStyle w:val="3"/>
        <w:adjustRightInd w:val="0"/>
        <w:snapToGrid w:val="0"/>
        <w:spacing w:line="576" w:lineRule="exact"/>
        <w:ind w:firstLine="640" w:firstLineChars="200"/>
        <w:rPr>
          <w:rStyle w:val="25"/>
          <w:b w:val="0"/>
          <w:bCs w:val="0"/>
        </w:rPr>
      </w:pPr>
      <w:bookmarkStart w:id="40" w:name="_Toc15396608"/>
      <w:bookmarkStart w:id="41" w:name="_Toc15377214"/>
      <w:r>
        <w:rPr>
          <w:rFonts w:hint="eastAsia" w:ascii="黑体" w:eastAsia="黑体"/>
          <w:b w:val="0"/>
          <w:bCs w:val="0"/>
          <w:color w:val="000000"/>
        </w:rPr>
        <w:t>六、</w:t>
      </w:r>
      <w:r>
        <w:rPr>
          <w:rFonts w:hint="eastAsia" w:ascii="黑体" w:hAnsi="黑体" w:eastAsia="黑体"/>
          <w:b w:val="0"/>
          <w:bCs w:val="0"/>
          <w:color w:val="000000"/>
        </w:rPr>
        <w:t>一</w:t>
      </w:r>
      <w:r>
        <w:rPr>
          <w:rStyle w:val="25"/>
          <w:rFonts w:hint="eastAsia" w:ascii="黑体" w:hAnsi="黑体" w:eastAsia="黑体"/>
          <w:b w:val="0"/>
          <w:bCs w:val="0"/>
        </w:rPr>
        <w:t>般公共预算财政拨款基本支出决算情况说明</w:t>
      </w:r>
      <w:bookmarkEnd w:id="40"/>
      <w:bookmarkEnd w:id="41"/>
    </w:p>
    <w:p>
      <w:pPr>
        <w:adjustRightInd w:val="0"/>
        <w:snapToGrid w:val="0"/>
        <w:spacing w:line="576"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2022年一般公共预算财政拨款基本支出175.82万元，其中：</w:t>
      </w:r>
    </w:p>
    <w:p>
      <w:pPr>
        <w:adjustRightInd w:val="0"/>
        <w:snapToGrid w:val="0"/>
        <w:spacing w:line="576"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人员经费154.11万元，主要包括：基本工资、津贴补贴、奖金、机关事业单位基本养老保险缴费、职业年金缴费、其他社会保障缴费、医疗费、奖励金、住房公积金等。</w:t>
      </w:r>
    </w:p>
    <w:p>
      <w:pPr>
        <w:adjustRightInd w:val="0"/>
        <w:snapToGrid w:val="0"/>
        <w:spacing w:line="576"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公用经费21.71万元，主要包括：办公费、邮电费、差旅费、培训费、公务接待费、工会经费、其他交通费等。</w:t>
      </w:r>
    </w:p>
    <w:p>
      <w:pPr>
        <w:pStyle w:val="3"/>
        <w:adjustRightInd w:val="0"/>
        <w:snapToGrid w:val="0"/>
        <w:spacing w:line="576" w:lineRule="exact"/>
        <w:ind w:firstLine="640" w:firstLineChars="200"/>
        <w:rPr>
          <w:rStyle w:val="25"/>
          <w:rFonts w:ascii="黑体" w:hAnsi="黑体" w:eastAsia="黑体" w:cs="黑体"/>
          <w:b w:val="0"/>
          <w:bCs w:val="0"/>
        </w:rPr>
      </w:pPr>
      <w:bookmarkStart w:id="42" w:name="_Toc15396609"/>
      <w:bookmarkStart w:id="43" w:name="_Toc15377215"/>
      <w:r>
        <w:rPr>
          <w:rFonts w:hint="eastAsia" w:ascii="黑体" w:hAnsi="黑体" w:eastAsia="黑体" w:cs="黑体"/>
          <w:b w:val="0"/>
          <w:bCs w:val="0"/>
          <w:color w:val="000000"/>
        </w:rPr>
        <w:t>七、</w:t>
      </w:r>
      <w:r>
        <w:rPr>
          <w:rStyle w:val="25"/>
          <w:rFonts w:hint="eastAsia" w:ascii="黑体" w:hAnsi="黑体" w:eastAsia="黑体" w:cs="黑体"/>
          <w:b w:val="0"/>
          <w:bCs w:val="0"/>
        </w:rPr>
        <w:t>“三公”经费财政拨款支出决算情况说明</w:t>
      </w:r>
      <w:bookmarkEnd w:id="42"/>
      <w:bookmarkEnd w:id="43"/>
    </w:p>
    <w:p>
      <w:pPr>
        <w:adjustRightInd w:val="0"/>
        <w:snapToGrid w:val="0"/>
        <w:spacing w:line="576" w:lineRule="exact"/>
        <w:ind w:firstLine="642" w:firstLineChars="200"/>
        <w:outlineLvl w:val="1"/>
        <w:rPr>
          <w:rFonts w:ascii="楷体_GB2312" w:hAnsi="楷体_GB2312" w:eastAsia="楷体_GB2312" w:cs="楷体_GB2312"/>
          <w:b/>
          <w:color w:val="000000"/>
          <w:sz w:val="32"/>
          <w:szCs w:val="32"/>
        </w:rPr>
      </w:pPr>
      <w:bookmarkStart w:id="44" w:name="_Toc15377216"/>
      <w:r>
        <w:rPr>
          <w:rFonts w:hint="eastAsia" w:ascii="楷体_GB2312" w:hAnsi="楷体_GB2312" w:eastAsia="楷体_GB2312" w:cs="楷体_GB2312"/>
          <w:b/>
          <w:color w:val="000000"/>
          <w:sz w:val="32"/>
          <w:szCs w:val="32"/>
        </w:rPr>
        <w:t>（一）“三公”经费财政拨款支出决算总体情况说明</w:t>
      </w:r>
      <w:bookmarkEnd w:id="44"/>
    </w:p>
    <w:p>
      <w:pPr>
        <w:adjustRightInd w:val="0"/>
        <w:snapToGrid w:val="0"/>
        <w:spacing w:line="576" w:lineRule="exact"/>
        <w:ind w:firstLine="640"/>
        <w:rPr>
          <w:rFonts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sz w:val="32"/>
          <w:szCs w:val="32"/>
        </w:rPr>
        <w:t>2022年“三公”经费财政拨款支出决算为0.16万元，完成预算100%。</w:t>
      </w:r>
    </w:p>
    <w:p>
      <w:pPr>
        <w:adjustRightInd w:val="0"/>
        <w:snapToGrid w:val="0"/>
        <w:spacing w:line="576" w:lineRule="exact"/>
        <w:ind w:firstLine="642" w:firstLineChars="200"/>
        <w:outlineLvl w:val="1"/>
        <w:rPr>
          <w:rFonts w:ascii="仿宋" w:hAnsi="仿宋" w:eastAsia="仿宋"/>
          <w:b/>
          <w:color w:val="000000"/>
          <w:sz w:val="32"/>
          <w:szCs w:val="32"/>
        </w:rPr>
      </w:pPr>
      <w:bookmarkStart w:id="45" w:name="_Toc15377217"/>
      <w:r>
        <w:rPr>
          <w:rFonts w:hint="eastAsia" w:ascii="楷体_GB2312" w:hAnsi="楷体_GB2312" w:eastAsia="楷体_GB2312" w:cs="楷体_GB2312"/>
          <w:b/>
          <w:color w:val="000000"/>
          <w:sz w:val="32"/>
          <w:szCs w:val="32"/>
        </w:rPr>
        <w:t>（二）“三公”经费财政拨款支出决算具体情况说明</w:t>
      </w:r>
      <w:bookmarkEnd w:id="45"/>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2022年“三公”经费财政拨款支出决算中，因公出国（境）费支出决算0万元，公务用车购置及运行维护费支出决算0万元，公务接待费支出决算0.16万元，占100%。</w:t>
      </w:r>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具体情况如下：</w:t>
      </w:r>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（图8：“三公”经费财政拨款支出结构）（饼状图）</w:t>
      </w:r>
    </w:p>
    <w:p>
      <w:pPr>
        <w:widowControl/>
        <w:ind w:firstLine="1470" w:firstLineChars="700"/>
      </w:pPr>
      <w:r>
        <w:drawing>
          <wp:inline distT="0" distB="0" distL="0" distR="0">
            <wp:extent cx="3600450" cy="1885950"/>
            <wp:effectExtent l="19050" t="0" r="19050" b="0"/>
            <wp:docPr id="34" name="对象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rPr>
        <w:t>0万元</w:t>
      </w:r>
      <w:r>
        <w:rPr>
          <w:rStyle w:val="14"/>
          <w:rFonts w:hint="eastAsia" w:ascii="仿宋_GB2312" w:hAnsi="仿宋_GB2312" w:eastAsia="仿宋_GB2312" w:cs="仿宋_GB2312"/>
          <w:b w:val="0"/>
          <w:bCs/>
          <w:color w:val="000000"/>
          <w:sz w:val="32"/>
          <w:szCs w:val="32"/>
        </w:rPr>
        <w:t>。</w:t>
      </w:r>
    </w:p>
    <w:p>
      <w:pPr>
        <w:adjustRightInd w:val="0"/>
        <w:snapToGrid w:val="0"/>
        <w:spacing w:line="576" w:lineRule="exact"/>
        <w:ind w:firstLine="64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rPr>
        <w:t>0万元</w:t>
      </w:r>
      <w:r>
        <w:rPr>
          <w:rStyle w:val="14"/>
          <w:rFonts w:hint="eastAsia" w:ascii="仿宋_GB2312" w:hAnsi="仿宋_GB2312" w:eastAsia="仿宋_GB2312" w:cs="仿宋_GB2312"/>
          <w:b w:val="0"/>
          <w:bCs/>
          <w:color w:val="000000"/>
          <w:sz w:val="32"/>
          <w:szCs w:val="32"/>
        </w:rPr>
        <w:t>。</w:t>
      </w:r>
    </w:p>
    <w:p>
      <w:pPr>
        <w:adjustRightInd w:val="0"/>
        <w:snapToGrid w:val="0"/>
        <w:spacing w:line="576"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其中：公务用车购置支出0万元。</w:t>
      </w:r>
    </w:p>
    <w:p>
      <w:pPr>
        <w:adjustRightInd w:val="0"/>
        <w:snapToGrid w:val="0"/>
        <w:spacing w:line="576"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公务用车运行维护费支出0万元。</w:t>
      </w:r>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rPr>
        <w:t>0.16万元，</w:t>
      </w:r>
      <w:r>
        <w:rPr>
          <w:rStyle w:val="14"/>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公务接待费支出决算比2021年增加0.08万元，增加50%。主要</w:t>
      </w:r>
      <w:r>
        <w:rPr>
          <w:rFonts w:hint="default" w:ascii="仿宋_GB2312" w:hAnsi="仿宋_GB2312" w:eastAsia="仿宋_GB2312" w:cs="仿宋_GB2312"/>
          <w:color w:val="000000"/>
          <w:sz w:val="32"/>
          <w:szCs w:val="32"/>
        </w:rPr>
        <w:t>原因是</w:t>
      </w:r>
      <w:r>
        <w:rPr>
          <w:rFonts w:hint="eastAsia" w:ascii="仿宋_GB2312" w:hAnsi="仿宋_GB2312" w:eastAsia="仿宋_GB2312" w:cs="仿宋_GB2312"/>
          <w:color w:val="000000"/>
          <w:sz w:val="32"/>
          <w:szCs w:val="32"/>
        </w:rPr>
        <w:t>接待人次、接待批次增加，导致单位年底“三公”经费增加。</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用于执行公务、开展业务活动开支的交通费、住宿费、用餐费等。国内公务接待3批次，8人次（不包括陪同人员），共计支出0.16万元，具体内容包括接待州级单位检查、各地方交叉检查共计支付0.16万元。其中：外事接待支出0万元</w:t>
      </w:r>
      <w:r>
        <w:rPr>
          <w:rFonts w:hint="eastAsia" w:ascii="仿宋_GB2312" w:hAnsi="仿宋_GB2312" w:eastAsia="仿宋_GB2312" w:cs="仿宋_GB2312"/>
          <w:color w:val="000000" w:themeColor="text1"/>
          <w:sz w:val="32"/>
          <w:szCs w:val="32"/>
        </w:rPr>
        <w:t>，外事接待0批次，0人，共计支出0万元。</w:t>
      </w:r>
    </w:p>
    <w:p>
      <w:pPr>
        <w:adjustRightInd w:val="0"/>
        <w:snapToGrid w:val="0"/>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其他国内公务接待支出0.16万元，主要用于</w:t>
      </w:r>
      <w:bookmarkStart w:id="46" w:name="_Toc15377218"/>
      <w:bookmarkStart w:id="47" w:name="_Toc15396610"/>
      <w:r>
        <w:rPr>
          <w:rFonts w:hint="eastAsia" w:ascii="仿宋_GB2312" w:hAnsi="仿宋_GB2312" w:eastAsia="仿宋_GB2312" w:cs="仿宋_GB2312"/>
          <w:sz w:val="32"/>
          <w:szCs w:val="32"/>
        </w:rPr>
        <w:t>执行公务、开展业务活动开支的交通费、住宿费、用餐费等。</w:t>
      </w:r>
    </w:p>
    <w:p>
      <w:pPr>
        <w:pStyle w:val="3"/>
        <w:adjustRightInd w:val="0"/>
        <w:snapToGrid w:val="0"/>
        <w:spacing w:line="576" w:lineRule="exact"/>
        <w:ind w:firstLine="640" w:firstLineChars="200"/>
        <w:rPr>
          <w:rStyle w:val="25"/>
          <w:rFonts w:ascii="黑体" w:hAnsi="黑体" w:eastAsia="黑体"/>
          <w:b/>
          <w:bCs/>
        </w:rPr>
      </w:pPr>
      <w:r>
        <w:rPr>
          <w:rFonts w:hint="eastAsia" w:ascii="黑体" w:hAnsi="黑体" w:eastAsia="黑体" w:cs="黑体"/>
          <w:b w:val="0"/>
          <w:bCs w:val="0"/>
          <w:color w:val="000000"/>
        </w:rPr>
        <w:t>八、</w:t>
      </w:r>
      <w:r>
        <w:rPr>
          <w:rStyle w:val="25"/>
          <w:rFonts w:hint="eastAsia" w:ascii="黑体" w:hAnsi="黑体" w:eastAsia="黑体" w:cs="黑体"/>
          <w:b w:val="0"/>
          <w:bCs w:val="0"/>
        </w:rPr>
        <w:t>政府性基金预算支出决算情况说明</w:t>
      </w:r>
      <w:bookmarkEnd w:id="46"/>
      <w:bookmarkEnd w:id="47"/>
    </w:p>
    <w:p>
      <w:pPr>
        <w:adjustRightInd w:val="0"/>
        <w:snapToGrid w:val="0"/>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22年政府性基金预算拨款支出0万元。</w:t>
      </w:r>
    </w:p>
    <w:p>
      <w:pPr>
        <w:pStyle w:val="3"/>
        <w:adjustRightInd w:val="0"/>
        <w:snapToGrid w:val="0"/>
        <w:spacing w:line="576" w:lineRule="exact"/>
        <w:ind w:firstLine="640" w:firstLineChars="200"/>
        <w:rPr>
          <w:rStyle w:val="25"/>
          <w:rFonts w:ascii="黑体" w:hAnsi="黑体" w:eastAsia="黑体"/>
          <w:b w:val="0"/>
          <w:bCs/>
        </w:rPr>
      </w:pPr>
      <w:bookmarkStart w:id="48" w:name="_Toc15396611"/>
      <w:bookmarkStart w:id="49" w:name="_Toc15377219"/>
      <w:r>
        <w:rPr>
          <w:rStyle w:val="25"/>
          <w:rFonts w:hint="eastAsia" w:ascii="黑体" w:hAnsi="黑体" w:eastAsia="黑体"/>
          <w:b w:val="0"/>
          <w:bCs/>
        </w:rPr>
        <w:t>九、国有资本经营预算支出决算情况说明</w:t>
      </w:r>
      <w:bookmarkEnd w:id="48"/>
      <w:bookmarkEnd w:id="49"/>
    </w:p>
    <w:p>
      <w:pPr>
        <w:adjustRightInd w:val="0"/>
        <w:snapToGrid w:val="0"/>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22年国有资本经营预算拨款支出0万元。</w:t>
      </w:r>
    </w:p>
    <w:p>
      <w:pPr>
        <w:pStyle w:val="3"/>
        <w:adjustRightInd w:val="0"/>
        <w:snapToGrid w:val="0"/>
        <w:spacing w:line="576" w:lineRule="exact"/>
        <w:ind w:firstLine="640" w:firstLineChars="200"/>
        <w:rPr>
          <w:rStyle w:val="25"/>
          <w:rFonts w:ascii="黑体" w:hAnsi="黑体" w:eastAsia="黑体"/>
          <w:b w:val="0"/>
          <w:bCs/>
        </w:rPr>
      </w:pPr>
      <w:r>
        <w:rPr>
          <w:rStyle w:val="25"/>
          <w:rFonts w:hint="eastAsia" w:ascii="黑体" w:hAnsi="黑体" w:eastAsia="黑体"/>
          <w:b w:val="0"/>
          <w:bCs/>
        </w:rPr>
        <w:t>十、其他重要事项的情况说明</w:t>
      </w:r>
    </w:p>
    <w:p>
      <w:pPr>
        <w:adjustRightInd w:val="0"/>
        <w:snapToGrid w:val="0"/>
        <w:spacing w:line="576" w:lineRule="exact"/>
        <w:ind w:firstLine="642" w:firstLineChars="200"/>
        <w:outlineLvl w:val="2"/>
        <w:rPr>
          <w:rFonts w:ascii="楷体_GB2312" w:hAnsi="楷体_GB2312" w:eastAsia="楷体_GB2312" w:cs="楷体_GB2312"/>
          <w:b/>
          <w:color w:val="000000"/>
          <w:sz w:val="32"/>
          <w:szCs w:val="32"/>
        </w:rPr>
      </w:pPr>
      <w:bookmarkStart w:id="50" w:name="_Toc15377222"/>
      <w:r>
        <w:rPr>
          <w:rFonts w:hint="eastAsia" w:ascii="楷体_GB2312" w:hAnsi="楷体_GB2312" w:eastAsia="楷体_GB2312" w:cs="楷体_GB2312"/>
          <w:b/>
          <w:color w:val="000000"/>
          <w:sz w:val="32"/>
          <w:szCs w:val="32"/>
        </w:rPr>
        <w:t>（一）机关运行经费支出情况</w:t>
      </w:r>
      <w:bookmarkEnd w:id="50"/>
    </w:p>
    <w:p>
      <w:pPr>
        <w:adjustRightInd w:val="0"/>
        <w:snapToGrid w:val="0"/>
        <w:spacing w:line="576"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rPr>
        <w:t>22年，茂县医疗保障局机关运行经费支出0万元,较2021年无变动。</w:t>
      </w:r>
    </w:p>
    <w:p>
      <w:pPr>
        <w:adjustRightInd w:val="0"/>
        <w:snapToGrid w:val="0"/>
        <w:spacing w:line="576" w:lineRule="exact"/>
        <w:ind w:firstLine="642" w:firstLineChars="200"/>
        <w:outlineLvl w:val="1"/>
        <w:rPr>
          <w:rFonts w:ascii="仿宋" w:hAnsi="仿宋" w:eastAsia="仿宋"/>
          <w:b/>
          <w:color w:val="000000"/>
          <w:sz w:val="32"/>
          <w:szCs w:val="32"/>
        </w:rPr>
      </w:pPr>
      <w:bookmarkStart w:id="51" w:name="_Toc15377223"/>
      <w:r>
        <w:rPr>
          <w:rFonts w:hint="eastAsia" w:ascii="楷体_GB2312" w:hAnsi="楷体_GB2312" w:eastAsia="楷体_GB2312" w:cs="楷体_GB2312"/>
          <w:b/>
          <w:color w:val="000000"/>
          <w:sz w:val="32"/>
          <w:szCs w:val="32"/>
        </w:rPr>
        <w:t>（二）政府采购支出情况</w:t>
      </w:r>
      <w:bookmarkEnd w:id="51"/>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2022年，茂县医疗保障局政府采购支出总额0万元。</w:t>
      </w:r>
    </w:p>
    <w:p>
      <w:pPr>
        <w:adjustRightInd w:val="0"/>
        <w:snapToGrid w:val="0"/>
        <w:spacing w:line="576" w:lineRule="exact"/>
        <w:ind w:firstLine="642" w:firstLineChars="200"/>
        <w:outlineLvl w:val="1"/>
        <w:rPr>
          <w:rFonts w:ascii="楷体_GB2312" w:hAnsi="楷体_GB2312" w:eastAsia="楷体_GB2312" w:cs="楷体_GB2312"/>
          <w:b/>
          <w:color w:val="000000"/>
          <w:sz w:val="32"/>
          <w:szCs w:val="32"/>
        </w:rPr>
      </w:pPr>
      <w:bookmarkStart w:id="52" w:name="_Toc15377224"/>
      <w:r>
        <w:rPr>
          <w:rFonts w:hint="eastAsia" w:ascii="楷体_GB2312" w:hAnsi="楷体_GB2312" w:eastAsia="楷体_GB2312" w:cs="楷体_GB2312"/>
          <w:b/>
          <w:color w:val="000000"/>
          <w:sz w:val="32"/>
          <w:szCs w:val="32"/>
        </w:rPr>
        <w:t>（三）国有资产占有使用情况</w:t>
      </w:r>
      <w:bookmarkEnd w:id="52"/>
    </w:p>
    <w:p>
      <w:pPr>
        <w:autoSpaceDE w:val="0"/>
        <w:autoSpaceDN w:val="0"/>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截至2022年12月31日，茂县医疗保障局共有车辆0辆。</w:t>
      </w:r>
    </w:p>
    <w:p>
      <w:pPr>
        <w:adjustRightInd w:val="0"/>
        <w:snapToGrid w:val="0"/>
        <w:spacing w:line="576"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由于2019年度机构改革，茂县医疗保险管理局和茂县城乡居民基本医疗保险管理办公室合并更名为茂县医疗保障局。</w:t>
      </w:r>
    </w:p>
    <w:p>
      <w:pPr>
        <w:adjustRightInd w:val="0"/>
        <w:snapToGrid w:val="0"/>
        <w:spacing w:line="576" w:lineRule="exact"/>
        <w:ind w:firstLine="642"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（四）预算绩效管理情况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 “驻村干部临岗补贴”项目开展了预算事前绩效评估，对1个项目编制了绩效目标，预算执行过程中，选取1个项目开展绩效监控，年终执行完毕后，对1个项目开展了绩效目标完成情况梳理填报。</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本部门按要求对2022年部门整体支出开展绩效自评，从评价情况来看2022年部门整体支出有效的保障了单位的正常运行，保障了职工的基本福利待遇，使大家的工作积极性得到了提高。</w:t>
      </w:r>
    </w:p>
    <w:p>
      <w:pPr>
        <w:spacing w:line="600" w:lineRule="exact"/>
        <w:ind w:firstLine="642" w:firstLineChars="200"/>
        <w:outlineLvl w:val="1"/>
        <w:rPr>
          <w:rFonts w:ascii="楷体_GB2312" w:hAnsi="仿宋" w:eastAsia="楷体_GB2312" w:cs="楷体_GB2312"/>
          <w:b/>
          <w:bCs/>
          <w:sz w:val="32"/>
          <w:szCs w:val="32"/>
        </w:rPr>
      </w:pPr>
      <w:r>
        <w:rPr>
          <w:rFonts w:hint="eastAsia" w:ascii="楷体_GB2312" w:hAnsi="仿宋" w:eastAsia="楷体_GB2312" w:cs="楷体_GB2312"/>
          <w:b/>
          <w:bCs/>
          <w:sz w:val="32"/>
          <w:szCs w:val="32"/>
        </w:rPr>
        <w:t>项目绩效目标完成情况</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本部门在2022年度部门决算中反映 “驻村干部临岗补贴”项目绩效目标实际完成情况。</w:t>
      </w:r>
    </w:p>
    <w:p>
      <w:pPr>
        <w:tabs>
          <w:tab w:val="left" w:pos="312"/>
        </w:tabs>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“驻村干部临岗补贴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项目绩效目标完成情况综述。项目全年预算数1.08万元，执行数为1.08万元，完成预算的100%。通过项目实施，保障了驻村干部的生活需求，使驻村干部能够更好地完成驻村工作。</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项目支出绩效目标完成情况表</w:t>
            </w:r>
          </w:p>
          <w:p>
            <w:pPr>
              <w:pStyle w:val="23"/>
              <w:widowControl/>
              <w:ind w:left="4173" w:leftChars="1310" w:hanging="1422" w:hangingChars="395"/>
              <w:textAlignment w:val="center"/>
              <w:rPr>
                <w:rFonts w:ascii="宋体" w:hAnsi="宋体" w:cs="宋体"/>
                <w:color w:val="000000"/>
                <w:sz w:val="36"/>
                <w:szCs w:val="36"/>
              </w:rPr>
            </w:pPr>
            <w:r>
              <w:rPr>
                <w:rFonts w:hint="eastAsia" w:ascii="宋体" w:hAnsi="宋体" w:cs="宋体"/>
                <w:color w:val="000000"/>
                <w:kern w:val="0"/>
                <w:sz w:val="36"/>
                <w:szCs w:val="36"/>
              </w:rPr>
              <w:t>(2022年度)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驻村干部临岗补贴</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茂县医疗保障局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保障了驻村干部的生活需求，使驻村干部能够更好地完成驻村工作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保障了驻村干部的2022年的生活需求，使驻村干部能够更好地完成驻村工作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驻村干部人数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当年12月底前</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支出指标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支出测算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费用按要求支出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费用正常支出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帮助老百姓解决困难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98%</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乡镇老百姓对驻村干部的满意度</w:t>
            </w:r>
            <w:r>
              <w:rPr>
                <w:rFonts w:hint="eastAsia" w:ascii="宋体" w:hAnsi="宋体" w:cs="宋体"/>
                <w:color w:val="000000"/>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bl>
    <w:p>
      <w:pPr>
        <w:adjustRightInd w:val="0"/>
        <w:snapToGrid w:val="0"/>
        <w:spacing w:line="576" w:lineRule="exact"/>
        <w:ind w:firstLine="642" w:firstLineChars="200"/>
        <w:outlineLvl w:val="1"/>
        <w:rPr>
          <w:rFonts w:ascii="楷体_GB2312" w:hAnsi="楷体_GB2312" w:eastAsia="楷体_GB2312" w:cs="楷体_GB2312"/>
          <w:b/>
          <w:bCs/>
          <w:sz w:val="32"/>
          <w:szCs w:val="32"/>
        </w:rPr>
      </w:pPr>
    </w:p>
    <w:p>
      <w:pPr>
        <w:adjustRightInd w:val="0"/>
        <w:snapToGrid w:val="0"/>
        <w:spacing w:line="576" w:lineRule="exact"/>
        <w:ind w:firstLine="642" w:firstLineChars="200"/>
        <w:outlineLvl w:val="1"/>
        <w:rPr>
          <w:rFonts w:ascii="楷体_GB2312" w:hAnsi="楷体_GB2312" w:eastAsia="楷体_GB2312" w:cs="楷体_GB2312"/>
          <w:sz w:val="32"/>
          <w:szCs w:val="32"/>
        </w:rPr>
      </w:pPr>
      <w:r>
        <w:rPr>
          <w:rFonts w:hint="eastAsia" w:ascii="楷体_GB2312" w:hAnsi="楷体_GB2312" w:eastAsia="楷体_GB2312" w:cs="楷体_GB2312"/>
          <w:b/>
          <w:bCs/>
          <w:sz w:val="32"/>
          <w:szCs w:val="32"/>
        </w:rPr>
        <w:t>部门开展绩效评价结果</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本部门按要求对2022年部门整体支出绩效评价情况开展自评，《茂县医疗保障局2022年部门整体支出绩效评价报告》见附件。</w:t>
      </w:r>
    </w:p>
    <w:p>
      <w:pPr>
        <w:autoSpaceDE w:val="0"/>
        <w:autoSpaceDN w:val="0"/>
        <w:adjustRightInd w:val="0"/>
        <w:snapToGrid w:val="0"/>
        <w:spacing w:line="576" w:lineRule="exac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autoSpaceDE w:val="0"/>
        <w:autoSpaceDN w:val="0"/>
        <w:adjustRightInd w:val="0"/>
        <w:snapToGrid w:val="0"/>
        <w:spacing w:line="576" w:lineRule="exact"/>
        <w:jc w:val="left"/>
        <w:rPr>
          <w:rFonts w:ascii="仿宋_GB2312" w:hAnsi="仿宋_GB2312" w:eastAsia="仿宋_GB2312" w:cs="仿宋_GB2312"/>
          <w:color w:val="000000"/>
          <w:sz w:val="32"/>
          <w:szCs w:val="32"/>
        </w:rPr>
      </w:pPr>
    </w:p>
    <w:p>
      <w:pPr>
        <w:numPr>
          <w:ilvl w:val="0"/>
          <w:numId w:val="3"/>
        </w:numPr>
        <w:adjustRightInd w:val="0"/>
        <w:snapToGrid w:val="0"/>
        <w:spacing w:line="576" w:lineRule="exact"/>
        <w:jc w:val="center"/>
        <w:outlineLvl w:val="0"/>
        <w:rPr>
          <w:rStyle w:val="24"/>
          <w:rFonts w:ascii="方正小标宋简体" w:hAnsi="方正小标宋简体" w:eastAsia="方正小标宋简体" w:cs="方正小标宋简体"/>
          <w:b w:val="0"/>
        </w:rPr>
      </w:pPr>
      <w:bookmarkStart w:id="53" w:name="_Toc15377225"/>
      <w:bookmarkStart w:id="54" w:name="_Toc15396613"/>
      <w:r>
        <w:rPr>
          <w:rFonts w:hint="eastAsia" w:ascii="方正小标宋简体" w:hAnsi="方正小标宋简体" w:eastAsia="方正小标宋简体" w:cs="方正小标宋简体"/>
          <w:b/>
          <w:color w:val="000000"/>
          <w:sz w:val="44"/>
          <w:szCs w:val="44"/>
        </w:rPr>
        <w:t>名</w:t>
      </w:r>
      <w:r>
        <w:rPr>
          <w:rStyle w:val="24"/>
          <w:rFonts w:hint="eastAsia" w:ascii="方正小标宋简体" w:hAnsi="方正小标宋简体" w:eastAsia="方正小标宋简体" w:cs="方正小标宋简体"/>
          <w:b w:val="0"/>
        </w:rPr>
        <w:t>词解释</w:t>
      </w:r>
      <w:bookmarkEnd w:id="53"/>
      <w:bookmarkEnd w:id="54"/>
    </w:p>
    <w:p>
      <w:pPr>
        <w:adjustRightInd w:val="0"/>
        <w:snapToGrid w:val="0"/>
        <w:spacing w:line="576" w:lineRule="exact"/>
        <w:jc w:val="left"/>
        <w:rPr>
          <w:rFonts w:ascii="宋体"/>
          <w:b/>
          <w:color w:val="000000"/>
          <w:sz w:val="44"/>
          <w:szCs w:val="44"/>
        </w:rPr>
      </w:pP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2.事业收入：指事业单位开展专业业务活动及辅助活动取得的收入等。</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3.经营收入：指事业单位在专业业务活动及其辅助活动之外开展非独立核算经营活动取得的收入等。</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4.其他收入：指单位取得的除上述收入以外的各项收入等。</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6.年初结转和结余：指以前年度尚未完成、结转到本年按有关规定继续使用的资金。</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Style w:val="14"/>
          <w:rFonts w:hint="eastAsia" w:ascii="仿宋_GB2312" w:hAnsi="仿宋_GB2312" w:eastAsia="仿宋_GB2312" w:cs="仿宋_GB2312"/>
          <w:b w:val="0"/>
          <w:color w:val="000000"/>
          <w:sz w:val="32"/>
          <w:szCs w:val="32"/>
        </w:rPr>
        <w:t xml:space="preserve"> 社会保障和就业（类）人力资源和社会保障管理事务（款）社会保险经办机构（项）：指社会保险经办机构开展业务工作的支出。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10.社会保障和就业（类）行政事业单位离退休（款）机关事业单位基本养老保险缴费支出（项）：指机关事业单位实施养老保险制度由单位缴纳的基本养老保险费支出。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11.社会保障和就业（类）行政事业单位离退休（款）机关事业单位职业年金缴费支出（项）：指机关事业单位养老保险制度由单位缴纳的职业年金支出。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rPr>
        <w:t>12.社会保障和就业（类）人力资源和社会保障管理事务（款）行政运行（项）:指指社会保险经办机构开展业务工作的行政运行支出。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Style w:val="14"/>
          <w:rFonts w:hint="eastAsia" w:ascii="仿宋_GB2312" w:hAnsi="仿宋_GB2312" w:eastAsia="仿宋_GB2312" w:cs="仿宋_GB2312"/>
          <w:b w:val="0"/>
          <w:color w:val="000000"/>
          <w:sz w:val="32"/>
          <w:szCs w:val="32"/>
        </w:rPr>
        <w:t>医疗卫生与计划生育（类）行政事业单位医疗（款）行政单位医疗（项）：指财政部门集中安排的行政单位基本医疗保险缴费。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Style w:val="14"/>
          <w:rFonts w:hint="eastAsia" w:ascii="仿宋_GB2312" w:hAnsi="仿宋_GB2312" w:eastAsia="仿宋_GB2312" w:cs="仿宋_GB2312"/>
          <w:b w:val="0"/>
          <w:color w:val="000000"/>
          <w:sz w:val="32"/>
          <w:szCs w:val="32"/>
        </w:rPr>
        <w:t>住房保障（类）住房改革支出（款）住房公积金（项）：指行政事业单位按规定的标准和比例为职工缴纳的住房公积金。</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15.基本支出：指为保障机构正常运转、完成日常工作任务而发生的人员支出和公用支出。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16.项目支出：指在基本支出之外为完成特定行政任务和事业发展目标所发生的支出。</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17.经营支出：指事业单位在专业业务活动及其辅助活动之外开展非独立核算经营活动发生的支出。</w:t>
      </w:r>
    </w:p>
    <w:p>
      <w:pPr>
        <w:pStyle w:val="22"/>
        <w:snapToGrid w:val="0"/>
        <w:spacing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napToGrid w:val="0"/>
        <w:spacing w:line="576" w:lineRule="exact"/>
        <w:ind w:firstLine="640" w:firstLineChars="200"/>
        <w:jc w:val="both"/>
        <w:rPr>
          <w:rFonts w:ascii="仿宋_GB2312" w:hAnsi="仿宋_GB2312" w:eastAsia="仿宋_GB2312" w:cs="仿宋_GB2312"/>
          <w:b/>
          <w:sz w:val="44"/>
          <w:szCs w:val="44"/>
        </w:rPr>
      </w:pPr>
      <w:r>
        <w:rPr>
          <w:rFonts w:hint="eastAsia" w:ascii="仿宋_GB2312" w:hAnsi="仿宋_GB2312" w:eastAsia="仿宋_GB2312" w:cs="仿宋_GB2312"/>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5" w:name="_Toc15377226"/>
      <w:r>
        <w:rPr>
          <w:rFonts w:hint="eastAsia" w:ascii="仿宋_GB2312" w:hAnsi="仿宋_GB2312" w:eastAsia="仿宋_GB2312" w:cs="仿宋_GB2312"/>
          <w:b/>
          <w:sz w:val="44"/>
          <w:szCs w:val="44"/>
        </w:rPr>
        <w:br w:type="page"/>
      </w:r>
      <w:bookmarkStart w:id="56" w:name="_Toc15396614"/>
    </w:p>
    <w:p>
      <w:pPr>
        <w:spacing w:line="600" w:lineRule="exact"/>
        <w:jc w:val="center"/>
        <w:outlineLvl w:val="0"/>
        <w:rPr>
          <w:rFonts w:ascii="方正小标宋简体" w:hAnsi="方正小标宋简体" w:eastAsia="方正小标宋简体" w:cs="方正小标宋简体"/>
          <w:bCs/>
          <w:kern w:val="44"/>
          <w:sz w:val="44"/>
          <w:szCs w:val="44"/>
        </w:rPr>
      </w:pPr>
      <w:r>
        <w:rPr>
          <w:rFonts w:hint="eastAsia" w:ascii="方正小标宋简体" w:hAnsi="方正小标宋简体" w:eastAsia="方正小标宋简体" w:cs="方正小标宋简体"/>
          <w:color w:val="000000"/>
          <w:sz w:val="44"/>
          <w:szCs w:val="44"/>
        </w:rPr>
        <w:t>第</w:t>
      </w:r>
      <w:r>
        <w:rPr>
          <w:rStyle w:val="24"/>
          <w:rFonts w:hint="eastAsia" w:ascii="方正小标宋简体" w:hAnsi="方正小标宋简体" w:eastAsia="方正小标宋简体" w:cs="方正小标宋简体"/>
          <w:b w:val="0"/>
        </w:rPr>
        <w:t>四部分 附件</w:t>
      </w:r>
    </w:p>
    <w:p>
      <w:pPr>
        <w:pStyle w:val="22"/>
        <w:snapToGrid w:val="0"/>
        <w:spacing w:line="576" w:lineRule="exact"/>
        <w:jc w:val="both"/>
        <w:rPr>
          <w:rStyle w:val="24"/>
          <w:rFonts w:ascii="黑体" w:hAnsi="黑体" w:eastAsia="黑体" w:cs="黑体"/>
          <w:b w:val="0"/>
          <w:sz w:val="32"/>
          <w:szCs w:val="32"/>
        </w:rPr>
      </w:pPr>
      <w:r>
        <w:rPr>
          <w:rStyle w:val="24"/>
          <w:rFonts w:hint="eastAsia" w:ascii="黑体" w:hAnsi="黑体" w:eastAsia="黑体" w:cs="黑体"/>
          <w:b w:val="0"/>
          <w:sz w:val="32"/>
          <w:szCs w:val="32"/>
        </w:rPr>
        <w:t>附件</w:t>
      </w:r>
      <w:bookmarkEnd w:id="56"/>
      <w:r>
        <w:rPr>
          <w:rStyle w:val="24"/>
          <w:rFonts w:hint="eastAsia" w:ascii="黑体" w:hAnsi="黑体" w:eastAsia="黑体" w:cs="黑体"/>
          <w:b w:val="0"/>
          <w:sz w:val="32"/>
          <w:szCs w:val="32"/>
        </w:rPr>
        <w:t>1</w:t>
      </w:r>
    </w:p>
    <w:p>
      <w:pPr>
        <w:adjustRightInd w:val="0"/>
        <w:snapToGrid w:val="0"/>
        <w:spacing w:line="576" w:lineRule="exact"/>
        <w:jc w:val="center"/>
        <w:rPr>
          <w:rFonts w:ascii="方正小标宋简体" w:hAnsi="方正小标宋简体" w:eastAsia="方正小标宋简体" w:cs="方正小标宋简体"/>
          <w:sz w:val="44"/>
          <w:szCs w:val="44"/>
        </w:rPr>
      </w:pPr>
      <w:bookmarkStart w:id="57" w:name="_Toc15396616"/>
      <w:r>
        <w:rPr>
          <w:rFonts w:hint="eastAsia" w:ascii="方正小标宋简体" w:hAnsi="方正小标宋简体" w:eastAsia="方正小标宋简体" w:cs="方正小标宋简体"/>
          <w:sz w:val="44"/>
          <w:szCs w:val="44"/>
        </w:rPr>
        <w:t>茂县医疗保障局</w:t>
      </w:r>
    </w:p>
    <w:p>
      <w:pPr>
        <w:adjustRightInd w:val="0"/>
        <w:snapToGrid w:val="0"/>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2022年部门整体支出绩效评价报告</w:t>
      </w:r>
      <w:bookmarkEnd w:id="57"/>
    </w:p>
    <w:p>
      <w:pPr>
        <w:adjustRightInd w:val="0"/>
        <w:snapToGrid w:val="0"/>
        <w:spacing w:line="576" w:lineRule="exact"/>
        <w:jc w:val="left"/>
        <w:rPr>
          <w:rFonts w:ascii="仿宋_GB2312" w:hAnsi="仿宋_GB2312" w:eastAsia="仿宋_GB2312" w:cs="仿宋_GB2312"/>
          <w:sz w:val="32"/>
          <w:szCs w:val="32"/>
        </w:rPr>
      </w:pPr>
    </w:p>
    <w:p>
      <w:pPr>
        <w:adjustRightInd w:val="0"/>
        <w:snapToGrid w:val="0"/>
        <w:spacing w:line="57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一、部门（单位）概况</w:t>
      </w:r>
    </w:p>
    <w:p>
      <w:pPr>
        <w:adjustRightInd w:val="0"/>
        <w:snapToGrid w:val="0"/>
        <w:spacing w:line="576"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（一）机构组成</w:t>
      </w:r>
    </w:p>
    <w:p>
      <w:pPr>
        <w:adjustRightInd w:val="0"/>
        <w:snapToGrid w:val="0"/>
        <w:spacing w:line="576" w:lineRule="exact"/>
        <w:ind w:firstLine="640" w:firstLineChars="200"/>
        <w:rPr>
          <w:rFonts w:ascii="仿宋_GB2312" w:eastAsia="仿宋_GB2312" w:cs="Calibri"/>
          <w:sz w:val="32"/>
          <w:szCs w:val="32"/>
        </w:rPr>
      </w:pPr>
      <w:r>
        <w:rPr>
          <w:rFonts w:hint="eastAsia" w:ascii="仿宋_GB2312" w:hAnsi="仿宋_GB2312" w:eastAsia="仿宋_GB2312" w:cs="仿宋_GB2312"/>
          <w:sz w:val="32"/>
          <w:szCs w:val="32"/>
        </w:rPr>
        <w:t>茂县医疗保障局属财政全额拨款一级预算单位。单位核定编制2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名，在编在职人员26名。其中行政人员8名，参公人员8名，事业人员10名。</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（二）机构职能</w:t>
      </w:r>
    </w:p>
    <w:p>
      <w:pPr>
        <w:adjustRightInd w:val="0"/>
        <w:snapToGrid w:val="0"/>
        <w:spacing w:line="576" w:lineRule="exact"/>
        <w:ind w:firstLine="640" w:firstLineChars="200"/>
        <w:rPr>
          <w:rFonts w:ascii="仿宋" w:hAnsi="仿宋" w:eastAsia="仿宋"/>
          <w:bCs/>
          <w:sz w:val="32"/>
          <w:szCs w:val="32"/>
        </w:rPr>
      </w:pPr>
      <w:r>
        <w:rPr>
          <w:rFonts w:hint="eastAsia" w:ascii="仿宋_GB2312" w:eastAsia="仿宋_GB2312" w:cs="Calibri"/>
          <w:sz w:val="32"/>
          <w:szCs w:val="32"/>
        </w:rPr>
        <w:t>茂县医疗保障局</w:t>
      </w:r>
      <w:r>
        <w:rPr>
          <w:rFonts w:hint="eastAsia" w:ascii="仿宋_GB2312" w:hAnsi="仿宋_GB2312" w:eastAsia="仿宋_GB2312" w:cs="仿宋_GB2312"/>
          <w:sz w:val="32"/>
          <w:szCs w:val="32"/>
        </w:rPr>
        <w:t>宣传和贯彻执行医疗保险的有关政策；负责医疗保险基金的收缴、汇集、存储及保险基金运营管理，建立业务台账，统计有关数据；负责为参保人员建立个人账户，办理保险关系转移、退保等手续；负责医疗保险审核，核算医疗金给付标准和拨付医疗金；负责跟踪监督医疗金发放情况。</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（三）人员概况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单位核定编制2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名，在编在职人员26名。</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（一）部门财政资金收入情况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2022年本年收入合计176.9万元，其中：一般公共预算财政拨款收入176.9万元，占100%；年初结转结余收入0万元，占0%。</w:t>
      </w:r>
    </w:p>
    <w:p>
      <w:pPr>
        <w:adjustRightInd w:val="0"/>
        <w:snapToGrid w:val="0"/>
        <w:spacing w:line="576" w:lineRule="exact"/>
        <w:ind w:firstLine="642" w:firstLineChars="200"/>
        <w:jc w:val="left"/>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（二）部门财政资金支出情况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2022年本年支出合计176.9万元，其中：基本支出175.82万元，占99.39%；项目支出1.08万元，占0.61%。</w:t>
      </w:r>
    </w:p>
    <w:p>
      <w:pPr>
        <w:adjustRightInd w:val="0"/>
        <w:snapToGrid w:val="0"/>
        <w:spacing w:line="57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三、部门整体预算绩效管理情况</w:t>
      </w:r>
    </w:p>
    <w:p>
      <w:pPr>
        <w:adjustRightInd w:val="0"/>
        <w:snapToGrid w:val="0"/>
        <w:spacing w:line="576"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（一）部门预算管理</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1.部门绩效目标制定及完成情况。</w:t>
      </w:r>
      <w:r>
        <w:rPr>
          <w:rFonts w:hint="eastAsia" w:ascii="仿宋_GB2312" w:hAnsi="仿宋_GB2312" w:eastAsia="仿宋_GB2312" w:cs="仿宋_GB2312"/>
          <w:sz w:val="32"/>
          <w:szCs w:val="32"/>
        </w:rPr>
        <w:t>我单位在编制2022年预算时严格按照《行政事业单位会计制度》《中华人民共和国预算法》等相关法律法规及县级财政部门要求，并结合自身工作实际制定了部门整体支出绩效总体目标及绩效指标，据实向财政部门报送《部门整体支出绩效目标申报表》。经自评，单位2022年部门整体支出绩效总体上达到既定目标，有效保障了单位正常运转及开展部门职能工作。</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2.预算编制情况。</w:t>
      </w:r>
      <w:r>
        <w:rPr>
          <w:rFonts w:hint="eastAsia" w:ascii="仿宋_GB2312" w:hAnsi="仿宋_GB2312" w:eastAsia="仿宋_GB2312" w:cs="仿宋_GB2312"/>
          <w:sz w:val="32"/>
          <w:szCs w:val="32"/>
        </w:rPr>
        <w:t>我单位严格按照县财政部门预算编制通知和有关文件要求，并结合本单位实际情况进行预算编制。单位预算编制工作完成后按“二上二下”的编制程序提交县财政支出管理股室进行审核后下达批复。严格按照年初预算执行。支出总额控制在预算总额之内，除政策性工资预算的追加、保险费用的追加以外，本部门预算未进行预算相关事项的调整。预算完成率达到100%，日常公用经费和“三公经费”总体控制较好，未超过本年预算。</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3.预算执行及支出控制情况。</w:t>
      </w:r>
      <w:r>
        <w:rPr>
          <w:rFonts w:hint="eastAsia" w:ascii="仿宋_GB2312" w:hAnsi="仿宋_GB2312" w:eastAsia="仿宋_GB2312" w:cs="仿宋_GB2312"/>
          <w:sz w:val="32"/>
          <w:szCs w:val="32"/>
        </w:rPr>
        <w:t>严格按照年初预算执行。支出总额控制在预算总额之内，除政策性工资预算的追加、保险费用的追加以外，本部门预算未进行预算相关事项的调整。预算完成率达到100%，日常公用经费和“三公经费”总体控制较好，未超过本年预算。</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4.预算动态调整情况。</w:t>
      </w:r>
      <w:r>
        <w:rPr>
          <w:rFonts w:hint="eastAsia" w:ascii="仿宋_GB2312" w:hAnsi="仿宋_GB2312" w:eastAsia="仿宋_GB2312" w:cs="仿宋_GB2312"/>
          <w:sz w:val="32"/>
          <w:szCs w:val="32"/>
        </w:rPr>
        <w:t>除政策性工资预算的追加、保险费用的追加以外，本部门预算未进行预算相关事项的调整。</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5.预算执行进度及完成情况。</w:t>
      </w:r>
      <w:r>
        <w:rPr>
          <w:rFonts w:hint="eastAsia" w:ascii="仿宋_GB2312" w:hAnsi="仿宋_GB2312" w:eastAsia="仿宋_GB2312" w:cs="仿宋_GB2312"/>
          <w:sz w:val="32"/>
          <w:szCs w:val="32"/>
        </w:rPr>
        <w:t>2022年一般公共预算财政拨款支出预算执行数176.9万元，占支出总额的100%，预算完成情况达到100%。</w:t>
      </w:r>
    </w:p>
    <w:p>
      <w:pPr>
        <w:adjustRightInd w:val="0"/>
        <w:snapToGrid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6.违规记录情况：</w:t>
      </w:r>
      <w:r>
        <w:rPr>
          <w:rFonts w:hint="eastAsia" w:ascii="仿宋_GB2312" w:hAnsi="仿宋_GB2312" w:eastAsia="仿宋_GB2312" w:cs="仿宋_GB2312"/>
          <w:sz w:val="32"/>
          <w:szCs w:val="32"/>
        </w:rPr>
        <w:t>无。</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（二）专项预算管理</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在2022年决算公开中，专项预算管理内容我单位不涉及。</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（三）结果应用情况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每年按照县财政文件要求根据自身工作实际做好财政支出绩效评价自评及前期准备工作，同时撰写绩效自评报告及填写绩效评价指标体系并自评分数，说明扣分理由。按时将相应评价资料报送相应财政部门支出管理股室。单位严格落实工作责任，积极协调配合财政部门绩效评价小组对本单位进行实地评价。同时针对在绩效评价中发现的问题和不足认真整改落实，并将整改情况报送财政部门绩效评价小组。单位对照《县级部门整体支出绩效评价指标体系表》中各项具体指标认真开展了2022年部门整体绩效自评工作。经自评，单位部门整体支出均按照相应的规章制度和要求执行办理。</w:t>
      </w:r>
    </w:p>
    <w:p>
      <w:pPr>
        <w:adjustRightInd w:val="0"/>
        <w:snapToGrid w:val="0"/>
        <w:spacing w:line="576"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四、评价结论及建议</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2022年，在县财政局的监督下，我单位积极履职，强化管理，较好的完成了年度工作目标。通过加强预算收支管理，不断建立健全内部管理制度，梳理内部管理流程，部门整体支出管理水平得到提升。</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（二）存在问题</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收支较去年有所减少，主要变动原因是1.人员变动调整；2.</w:t>
      </w:r>
      <w:r>
        <w:rPr>
          <w:rFonts w:hint="eastAsia" w:ascii="仿宋_GB2312" w:hAnsi="仿宋" w:eastAsia="仿宋_GB2312" w:cs="仿宋"/>
          <w:sz w:val="32"/>
          <w:szCs w:val="32"/>
        </w:rPr>
        <w:t>五险一金变动</w:t>
      </w:r>
      <w:r>
        <w:rPr>
          <w:rFonts w:hint="eastAsia" w:ascii="仿宋_GB2312" w:hAnsi="仿宋_GB2312" w:eastAsia="仿宋_GB2312" w:cs="仿宋_GB2312"/>
          <w:sz w:val="32"/>
          <w:szCs w:val="32"/>
        </w:rPr>
        <w:t>。</w:t>
      </w:r>
    </w:p>
    <w:p>
      <w:pPr>
        <w:adjustRightInd w:val="0"/>
        <w:snapToGrid w:val="0"/>
        <w:spacing w:line="576"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w:t>
      </w:r>
    </w:p>
    <w:p>
      <w:pPr>
        <w:adjustRightInd w:val="0"/>
        <w:snapToGrid w:val="0"/>
        <w:spacing w:line="576"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2.加强财务管理，严格财务审核。</w:t>
      </w:r>
    </w:p>
    <w:p>
      <w:pPr>
        <w:adjustRightInd w:val="0"/>
        <w:snapToGrid w:val="0"/>
        <w:spacing w:line="576" w:lineRule="exact"/>
        <w:ind w:firstLine="640" w:firstLineChars="200"/>
        <w:jc w:val="lef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br w:type="page"/>
      </w:r>
      <w:r>
        <w:rPr>
          <w:rFonts w:hint="eastAsia" w:ascii="黑体" w:hAnsi="黑体" w:eastAsia="黑体" w:cs="黑体"/>
          <w:sz w:val="32"/>
          <w:szCs w:val="32"/>
        </w:rPr>
        <w:t>附件2</w:t>
      </w:r>
    </w:p>
    <w:p>
      <w:pPr>
        <w:adjustRightInd w:val="0"/>
        <w:snapToGrid w:val="0"/>
        <w:spacing w:line="600" w:lineRule="exact"/>
        <w:ind w:firstLine="640" w:firstLineChars="200"/>
        <w:rPr>
          <w:rFonts w:ascii="仿宋_GB2312" w:hAnsi="宋体" w:eastAsia="仿宋_GB2312"/>
          <w:sz w:val="32"/>
          <w:szCs w:val="32"/>
          <w:lang w:val="zh-CN"/>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“驻村干部临岗补贴”</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2022年</w:t>
      </w:r>
      <w:r>
        <w:rPr>
          <w:rFonts w:hint="eastAsia" w:ascii="方正小标宋简体" w:hAnsi="宋体" w:eastAsia="方正小标宋简体"/>
          <w:color w:val="000000"/>
          <w:kern w:val="0"/>
          <w:sz w:val="44"/>
          <w:szCs w:val="44"/>
          <w:lang w:val="zh-CN"/>
        </w:rPr>
        <w:t>绩效评价报告</w:t>
      </w:r>
    </w:p>
    <w:p>
      <w:pPr>
        <w:spacing w:line="600" w:lineRule="exact"/>
        <w:jc w:val="center"/>
        <w:rPr>
          <w:rFonts w:ascii="方正小标宋简体" w:hAnsi="宋体" w:eastAsia="方正小标宋简体"/>
          <w:color w:val="000000"/>
          <w:kern w:val="0"/>
          <w:sz w:val="44"/>
          <w:szCs w:val="44"/>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1茂县医疗保障局对该项目资金使用的职能。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2.根据年初预算，县财政下拨的项目资金进行资金使用。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3.项目资金严格按照程序进行资金管理使用。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4.结合单位工作实际对项目资金进行使用。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rPr>
        <w:t>.</w:t>
      </w:r>
      <w:r>
        <w:rPr>
          <w:rFonts w:hint="eastAsia" w:ascii="仿宋_GB2312" w:hAnsi="宋体" w:eastAsia="仿宋_GB2312"/>
          <w:sz w:val="32"/>
          <w:szCs w:val="32"/>
          <w:lang w:val="zh-CN"/>
        </w:rPr>
        <w:t>项目主要内容：</w:t>
      </w:r>
      <w:r>
        <w:rPr>
          <w:rFonts w:hint="eastAsia" w:ascii="仿宋_GB2312" w:hAnsi="仿宋_GB2312" w:eastAsia="仿宋_GB2312" w:cs="仿宋_GB2312"/>
          <w:sz w:val="32"/>
          <w:szCs w:val="32"/>
        </w:rPr>
        <w:t>保障驻村干部生活需求，使驻村干部能够更好地完成驻村工作</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sz w:val="32"/>
          <w:szCs w:val="32"/>
        </w:rPr>
        <w:t>.</w:t>
      </w:r>
      <w:r>
        <w:rPr>
          <w:rFonts w:hint="eastAsia" w:ascii="仿宋_GB2312" w:hAnsi="宋体" w:eastAsia="仿宋_GB2312"/>
          <w:sz w:val="32"/>
          <w:szCs w:val="32"/>
          <w:lang w:val="zh-CN"/>
        </w:rPr>
        <w:t>项目应实现的具体绩效目标：驻村干部人数，具体项目的完成时间，工作开展所需的资金，帮助老百姓解决困难的情况以及乡镇百姓对驻村干部的满意程度。</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w:t>
      </w:r>
      <w:r>
        <w:rPr>
          <w:rFonts w:hint="eastAsia" w:ascii="仿宋_GB2312" w:hAnsi="宋体" w:eastAsia="仿宋_GB2312"/>
          <w:sz w:val="32"/>
          <w:szCs w:val="32"/>
          <w:lang w:val="zh-CN"/>
        </w:rPr>
        <w:t>项目申报内容与实际相符，申报目标合理可行。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项目绩效自评对照项目目标和任务，结合预算实际，有计划，有安排的开展自评。项目自评采用的是自评与他评相结合。</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宋体" w:eastAsia="仿宋_GB2312"/>
          <w:sz w:val="32"/>
          <w:szCs w:val="32"/>
          <w:lang w:val="zh-CN"/>
        </w:rPr>
        <w:t>通过年初预算向县财政局申请项目资金，严格按照县财政局下达的批复进行项目资金的使用。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w:t>
      </w:r>
      <w:r>
        <w:rPr>
          <w:rFonts w:hint="eastAsia" w:ascii="楷体_GB2312" w:hAnsi="宋体" w:eastAsia="楷体_GB2312"/>
          <w:sz w:val="32"/>
          <w:szCs w:val="32"/>
        </w:rPr>
        <w:t>.</w:t>
      </w:r>
      <w:r>
        <w:rPr>
          <w:rFonts w:hint="eastAsia" w:ascii="楷体_GB2312" w:hAnsi="宋体" w:eastAsia="楷体_GB2312"/>
          <w:sz w:val="32"/>
          <w:szCs w:val="32"/>
          <w:lang w:val="zh-CN"/>
        </w:rPr>
        <w:t>资金计划。县级</w:t>
      </w:r>
      <w:r>
        <w:rPr>
          <w:rFonts w:hint="eastAsia" w:ascii="仿宋_GB2312" w:hAnsi="宋体" w:eastAsia="仿宋_GB2312"/>
          <w:sz w:val="32"/>
          <w:szCs w:val="32"/>
          <w:lang w:val="zh-CN"/>
        </w:rPr>
        <w:t>财政资金全年计划1.08万元。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w:t>
      </w:r>
      <w:r>
        <w:rPr>
          <w:rFonts w:hint="eastAsia" w:ascii="楷体_GB2312" w:hAnsi="宋体" w:eastAsia="楷体_GB2312"/>
          <w:sz w:val="32"/>
          <w:szCs w:val="32"/>
        </w:rPr>
        <w:t>.</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县级财政资金全年及时到位1.08万元。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w:t>
      </w:r>
      <w:r>
        <w:rPr>
          <w:rFonts w:hint="eastAsia" w:ascii="楷体_GB2312" w:hAnsi="宋体" w:eastAsia="楷体_GB2312"/>
          <w:sz w:val="32"/>
          <w:szCs w:val="32"/>
        </w:rPr>
        <w:t>.</w:t>
      </w:r>
      <w:r>
        <w:rPr>
          <w:rFonts w:hint="eastAsia" w:ascii="楷体_GB2312" w:hAnsi="宋体" w:eastAsia="楷体_GB2312"/>
          <w:sz w:val="32"/>
          <w:szCs w:val="32"/>
          <w:lang w:val="zh-CN"/>
        </w:rPr>
        <w:t>资金使用。</w:t>
      </w:r>
      <w:r>
        <w:rPr>
          <w:rFonts w:hint="eastAsia" w:ascii="仿宋_GB2312" w:hAnsi="仿宋_GB2312" w:eastAsia="仿宋_GB2312" w:cs="仿宋_GB2312"/>
          <w:sz w:val="32"/>
          <w:szCs w:val="32"/>
        </w:rPr>
        <w:t>所有资金已通过县财政全部下拨到位。截止2022年12月31日，驻村干部临岗补贴全年执行数为1.08万元，执行率为100%。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30" w:lineRule="exact"/>
        <w:ind w:firstLine="640" w:firstLineChars="200"/>
        <w:rPr>
          <w:szCs w:val="32"/>
        </w:rPr>
      </w:pPr>
      <w:r>
        <w:rPr>
          <w:rFonts w:hint="eastAsia" w:ascii="仿宋_GB2312" w:hAnsi="仿宋_GB2312" w:eastAsia="仿宋_GB2312" w:cs="仿宋_GB2312"/>
          <w:sz w:val="32"/>
          <w:szCs w:val="32"/>
        </w:rPr>
        <w:t>本单位严格按照文件要求对专项资金进行使用，切实加强项目资金管理，提高财政资金使用的规范性、安全性和有效性</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通过预算计划资金，按照实际支付流程进行资金的管理。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严格按照文件要求对专项资金进行使用，切实加强项目资金管理，提高财政资金使用的规范性、安全性和有效性</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茂县医疗保障局为加强项目管理所采取的监管手段、监管程序都十分到位。监管工作开展情况十分顺利，达到了预期应有的效果。</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（1）数量指标。驻村干部人数大于等于1人。</w:t>
      </w:r>
    </w:p>
    <w:p>
      <w:pPr>
        <w:spacing w:line="530" w:lineRule="exact"/>
        <w:ind w:firstLine="640" w:firstLineChars="200"/>
        <w:rPr>
          <w:szCs w:val="32"/>
        </w:rPr>
      </w:pPr>
      <w:r>
        <w:rPr>
          <w:rFonts w:hint="eastAsia" w:ascii="仿宋_GB2312" w:hAnsi="仿宋_GB2312" w:eastAsia="仿宋_GB2312" w:cs="仿宋_GB2312"/>
          <w:sz w:val="32"/>
          <w:szCs w:val="32"/>
        </w:rPr>
        <w:t>（2）时效指标。完成时间当年12月底前。</w:t>
      </w:r>
    </w:p>
    <w:p>
      <w:pPr>
        <w:spacing w:line="530" w:lineRule="exact"/>
        <w:ind w:firstLine="640" w:firstLineChars="200"/>
        <w:rPr>
          <w:szCs w:val="32"/>
        </w:rPr>
      </w:pPr>
      <w:r>
        <w:rPr>
          <w:rFonts w:hint="eastAsia" w:ascii="仿宋_GB2312" w:hAnsi="仿宋_GB2312" w:eastAsia="仿宋_GB2312" w:cs="仿宋_GB2312"/>
          <w:sz w:val="32"/>
          <w:szCs w:val="32"/>
        </w:rPr>
        <w:t>（3）支出指标。支出测算费用按要求进行支出。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（1）社会效益指标。帮助老百姓解决困难大于等于90%。</w:t>
      </w:r>
    </w:p>
    <w:p>
      <w:pPr>
        <w:spacing w:line="53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（2）满意度指标。乡镇老百姓对驻村干部的满意度大于90%。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30" w:lineRule="exact"/>
        <w:ind w:firstLine="640" w:firstLineChars="200"/>
        <w:rPr>
          <w:szCs w:val="32"/>
        </w:rPr>
      </w:pPr>
      <w:r>
        <w:rPr>
          <w:rFonts w:hint="eastAsia" w:ascii="仿宋_GB2312" w:hAnsi="仿宋_GB2312" w:eastAsia="仿宋_GB2312" w:cs="仿宋_GB2312"/>
          <w:sz w:val="32"/>
          <w:szCs w:val="32"/>
        </w:rPr>
        <w:t>绩效自评结果体现了年度专项资金转移支付的使用情况和发挥的效益。在今后的工作中，我们将会把绩效自评结果作为以后年度专项转移支付预算申请、安排、分配的重要依据。根据绩效自评结果，进一步加大对专项资金的使用监管。对绩效评价发现的问题进行认真整改，并在一定范围内适当的将绩效自评结果进行公开。（涉密项目除外）。</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adjustRightInd w:val="0"/>
        <w:snapToGrid w:val="0"/>
        <w:spacing w:line="576" w:lineRule="exact"/>
        <w:jc w:val="center"/>
        <w:rPr>
          <w:rStyle w:val="24"/>
          <w:rFonts w:ascii="方正小标宋简体" w:hAnsi="方正小标宋简体" w:eastAsia="方正小标宋简体" w:cs="方正小标宋简体"/>
          <w:b w:val="0"/>
          <w:bCs w:val="0"/>
        </w:rPr>
      </w:pPr>
      <w:bookmarkStart w:id="58" w:name="_Toc15396618"/>
      <w:r>
        <w:rPr>
          <w:rStyle w:val="24"/>
          <w:rFonts w:hint="eastAsia" w:ascii="方正小标宋简体" w:hAnsi="方正小标宋简体" w:eastAsia="方正小标宋简体" w:cs="方正小标宋简体"/>
          <w:b w:val="0"/>
          <w:bCs w:val="0"/>
        </w:rPr>
        <w:t>第五部分附表</w:t>
      </w:r>
      <w:bookmarkEnd w:id="55"/>
      <w:bookmarkEnd w:id="58"/>
      <w:bookmarkStart w:id="59" w:name="_Toc15396619"/>
    </w:p>
    <w:p>
      <w:pPr>
        <w:adjustRightInd w:val="0"/>
        <w:snapToGrid w:val="0"/>
        <w:spacing w:line="576" w:lineRule="exact"/>
        <w:jc w:val="left"/>
        <w:rPr>
          <w:rFonts w:ascii="仿宋_GB2312" w:hAnsi="仿宋_GB2312" w:eastAsia="仿宋_GB2312" w:cs="仿宋_GB2312"/>
          <w:color w:val="000000"/>
          <w:sz w:val="32"/>
          <w:szCs w:val="32"/>
        </w:rPr>
      </w:pPr>
    </w:p>
    <w:p>
      <w:pPr>
        <w:adjustRightInd w:val="0"/>
        <w:snapToGrid w:val="0"/>
        <w:spacing w:line="480" w:lineRule="auto"/>
        <w:jc w:val="left"/>
        <w:rPr>
          <w:rStyle w:val="25"/>
          <w:rFonts w:ascii="仿宋_GB2312" w:hAnsi="仿宋_GB2312" w:eastAsia="仿宋_GB2312" w:cs="仿宋_GB2312"/>
          <w:b w:val="0"/>
          <w:bCs w:val="0"/>
        </w:rPr>
      </w:pPr>
      <w:r>
        <w:rPr>
          <w:rFonts w:hint="eastAsia" w:ascii="仿宋_GB2312" w:hAnsi="仿宋_GB2312" w:eastAsia="仿宋_GB2312" w:cs="仿宋_GB2312"/>
          <w:color w:val="000000"/>
          <w:sz w:val="32"/>
          <w:szCs w:val="32"/>
        </w:rPr>
        <w:t>一、收</w:t>
      </w:r>
      <w:r>
        <w:rPr>
          <w:rStyle w:val="25"/>
          <w:rFonts w:hint="eastAsia" w:ascii="仿宋_GB2312" w:hAnsi="仿宋_GB2312" w:eastAsia="仿宋_GB2312" w:cs="仿宋_GB2312"/>
          <w:b w:val="0"/>
          <w:bCs w:val="0"/>
        </w:rPr>
        <w:t>入支出决算总表</w:t>
      </w:r>
      <w:bookmarkEnd w:id="59"/>
      <w:bookmarkStart w:id="60" w:name="_Toc15396620"/>
    </w:p>
    <w:p>
      <w:pPr>
        <w:adjustRightInd w:val="0"/>
        <w:snapToGrid w:val="0"/>
        <w:spacing w:line="480" w:lineRule="auto"/>
        <w:jc w:val="left"/>
        <w:rPr>
          <w:rFonts w:ascii="仿宋_GB2312" w:hAnsi="仿宋_GB2312" w:eastAsia="仿宋_GB2312" w:cs="仿宋_GB2312"/>
          <w:color w:val="000000"/>
          <w:sz w:val="32"/>
          <w:szCs w:val="32"/>
        </w:rPr>
      </w:pPr>
      <w:r>
        <w:rPr>
          <w:rStyle w:val="25"/>
          <w:rFonts w:hint="eastAsia" w:ascii="仿宋_GB2312" w:hAnsi="仿宋_GB2312" w:eastAsia="仿宋_GB2312" w:cs="仿宋_GB2312"/>
          <w:b w:val="0"/>
          <w:bCs w:val="0"/>
        </w:rPr>
        <w:t>二、收入总表</w:t>
      </w:r>
      <w:bookmarkEnd w:id="60"/>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1" w:name="_Toc15396621"/>
      <w:r>
        <w:rPr>
          <w:rStyle w:val="25"/>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5"/>
          <w:rFonts w:hint="eastAsia" w:ascii="仿宋_GB2312" w:hAnsi="仿宋_GB2312" w:eastAsia="仿宋_GB2312" w:cs="仿宋_GB2312"/>
          <w:b w:val="0"/>
          <w:bCs w:val="0"/>
        </w:rPr>
        <w:t>出总表</w:t>
      </w:r>
      <w:bookmarkEnd w:id="61"/>
    </w:p>
    <w:p>
      <w:pPr>
        <w:pStyle w:val="3"/>
        <w:keepNext w:val="0"/>
        <w:keepLines w:val="0"/>
        <w:adjustRightInd w:val="0"/>
        <w:snapToGrid w:val="0"/>
        <w:spacing w:before="0" w:after="0" w:line="480" w:lineRule="auto"/>
        <w:jc w:val="left"/>
        <w:rPr>
          <w:rFonts w:ascii="仿宋_GB2312" w:hAnsi="仿宋_GB2312" w:eastAsia="仿宋_GB2312" w:cs="仿宋_GB2312"/>
          <w:b w:val="0"/>
          <w:color w:val="000000"/>
        </w:rPr>
      </w:pPr>
      <w:bookmarkStart w:id="62" w:name="_Toc15396622"/>
      <w:r>
        <w:rPr>
          <w:rStyle w:val="25"/>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政拨款收入支出决算总表</w:t>
      </w:r>
      <w:bookmarkEnd w:id="62"/>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3" w:name="_Toc15396623"/>
      <w:r>
        <w:rPr>
          <w:rStyle w:val="25"/>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政拨款支出决算明细表（政府经济分类科目）</w:t>
      </w:r>
      <w:bookmarkEnd w:id="63"/>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4" w:name="_Toc15396624"/>
      <w:r>
        <w:rPr>
          <w:rStyle w:val="25"/>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般公共预算财政拨款支出决算表</w:t>
      </w:r>
      <w:bookmarkEnd w:id="64"/>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5" w:name="_Toc15396625"/>
      <w:r>
        <w:rPr>
          <w:rStyle w:val="25"/>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般公共预算财政拨款支出决算明细表</w:t>
      </w:r>
      <w:bookmarkEnd w:id="65"/>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6" w:name="_Toc15396626"/>
      <w:r>
        <w:rPr>
          <w:rStyle w:val="25"/>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般公共预算财政拨款基本支出决算表</w:t>
      </w:r>
      <w:bookmarkEnd w:id="66"/>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7" w:name="_Toc15396627"/>
      <w:r>
        <w:rPr>
          <w:rStyle w:val="25"/>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般公共预算财政拨款项目支出决算表</w:t>
      </w:r>
      <w:bookmarkEnd w:id="67"/>
    </w:p>
    <w:p>
      <w:pPr>
        <w:pStyle w:val="3"/>
        <w:keepNext w:val="0"/>
        <w:keepLines w:val="0"/>
        <w:adjustRightInd w:val="0"/>
        <w:snapToGrid w:val="0"/>
        <w:spacing w:before="0" w:after="0" w:line="480" w:lineRule="auto"/>
        <w:jc w:val="left"/>
        <w:rPr>
          <w:rFonts w:ascii="仿宋_GB2312" w:hAnsi="仿宋_GB2312" w:eastAsia="仿宋_GB2312" w:cs="仿宋_GB2312"/>
          <w:color w:val="000000"/>
        </w:rPr>
      </w:pPr>
      <w:bookmarkStart w:id="68" w:name="_Toc15396628"/>
      <w:r>
        <w:rPr>
          <w:rStyle w:val="25"/>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般公共预算财政拨款“三公”经费支出决算表</w:t>
      </w:r>
      <w:bookmarkEnd w:id="68"/>
    </w:p>
    <w:p/>
    <w:sectPr>
      <w:headerReference r:id="rId3" w:type="default"/>
      <w:footerReference r:id="rId4" w:type="default"/>
      <w:pgSz w:w="11906" w:h="16838"/>
      <w:pgMar w:top="2098" w:right="1474" w:bottom="2041" w:left="2007" w:header="851" w:footer="992"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w:altName w:val="DejaVu Sans"/>
    <w:panose1 w:val="020F0502020204030204"/>
    <w:charset w:val="01"/>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20</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C5E7743"/>
    <w:multiLevelType w:val="singleLevel"/>
    <w:tmpl w:val="5C5E7743"/>
    <w:lvl w:ilvl="0" w:tentative="0">
      <w:start w:val="2"/>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YjlkODk2OGJiM2UzZTM1NGUyN2YwNWIyMjRlMjIifQ=="/>
  </w:docVars>
  <w:rsids>
    <w:rsidRoot w:val="00F1361C"/>
    <w:rsid w:val="00002502"/>
    <w:rsid w:val="00002F18"/>
    <w:rsid w:val="000222C6"/>
    <w:rsid w:val="0002549F"/>
    <w:rsid w:val="00030DA7"/>
    <w:rsid w:val="00031C46"/>
    <w:rsid w:val="00033D01"/>
    <w:rsid w:val="00054D36"/>
    <w:rsid w:val="00060C87"/>
    <w:rsid w:val="0006487A"/>
    <w:rsid w:val="00065F8F"/>
    <w:rsid w:val="0007244C"/>
    <w:rsid w:val="000768F2"/>
    <w:rsid w:val="0009184B"/>
    <w:rsid w:val="0009593C"/>
    <w:rsid w:val="000A7AB7"/>
    <w:rsid w:val="000B047F"/>
    <w:rsid w:val="000B5923"/>
    <w:rsid w:val="000B5A48"/>
    <w:rsid w:val="000B67C9"/>
    <w:rsid w:val="000B6FF3"/>
    <w:rsid w:val="000B7C42"/>
    <w:rsid w:val="000C3467"/>
    <w:rsid w:val="000C3CA6"/>
    <w:rsid w:val="000D1267"/>
    <w:rsid w:val="000D1D50"/>
    <w:rsid w:val="000D45B0"/>
    <w:rsid w:val="000D5782"/>
    <w:rsid w:val="000D7772"/>
    <w:rsid w:val="000E2FDD"/>
    <w:rsid w:val="000E6613"/>
    <w:rsid w:val="000E7119"/>
    <w:rsid w:val="000F17B9"/>
    <w:rsid w:val="00114E9B"/>
    <w:rsid w:val="001463CB"/>
    <w:rsid w:val="0014729F"/>
    <w:rsid w:val="0015592E"/>
    <w:rsid w:val="00155A68"/>
    <w:rsid w:val="00156D1F"/>
    <w:rsid w:val="00157BAB"/>
    <w:rsid w:val="001654D1"/>
    <w:rsid w:val="0017007D"/>
    <w:rsid w:val="00171195"/>
    <w:rsid w:val="0018106D"/>
    <w:rsid w:val="001877A7"/>
    <w:rsid w:val="00191536"/>
    <w:rsid w:val="00191AE0"/>
    <w:rsid w:val="00196687"/>
    <w:rsid w:val="001A6CC5"/>
    <w:rsid w:val="001C0962"/>
    <w:rsid w:val="001C1906"/>
    <w:rsid w:val="001C3E7E"/>
    <w:rsid w:val="001D7531"/>
    <w:rsid w:val="001D7BB6"/>
    <w:rsid w:val="001E737D"/>
    <w:rsid w:val="001F0592"/>
    <w:rsid w:val="001F7506"/>
    <w:rsid w:val="002006CD"/>
    <w:rsid w:val="00202B36"/>
    <w:rsid w:val="00204B7A"/>
    <w:rsid w:val="00204EC9"/>
    <w:rsid w:val="0021101A"/>
    <w:rsid w:val="00216322"/>
    <w:rsid w:val="00220536"/>
    <w:rsid w:val="00230EE9"/>
    <w:rsid w:val="00234FC3"/>
    <w:rsid w:val="00235629"/>
    <w:rsid w:val="00253888"/>
    <w:rsid w:val="00257E41"/>
    <w:rsid w:val="00260C38"/>
    <w:rsid w:val="002616C0"/>
    <w:rsid w:val="00262A0E"/>
    <w:rsid w:val="002662AA"/>
    <w:rsid w:val="002779C3"/>
    <w:rsid w:val="00280496"/>
    <w:rsid w:val="00281315"/>
    <w:rsid w:val="00295495"/>
    <w:rsid w:val="00295A0F"/>
    <w:rsid w:val="002A27D7"/>
    <w:rsid w:val="002A7FBB"/>
    <w:rsid w:val="002B206F"/>
    <w:rsid w:val="002B2613"/>
    <w:rsid w:val="002C3A42"/>
    <w:rsid w:val="002D020C"/>
    <w:rsid w:val="002D3AB6"/>
    <w:rsid w:val="002D4D40"/>
    <w:rsid w:val="002E217C"/>
    <w:rsid w:val="002F1818"/>
    <w:rsid w:val="002F567B"/>
    <w:rsid w:val="00310429"/>
    <w:rsid w:val="00311BEB"/>
    <w:rsid w:val="00320A81"/>
    <w:rsid w:val="003216A9"/>
    <w:rsid w:val="00360DB6"/>
    <w:rsid w:val="00361EAC"/>
    <w:rsid w:val="00365468"/>
    <w:rsid w:val="0037013F"/>
    <w:rsid w:val="00372B5C"/>
    <w:rsid w:val="00380C92"/>
    <w:rsid w:val="003A484F"/>
    <w:rsid w:val="003A5BDD"/>
    <w:rsid w:val="003A7CCF"/>
    <w:rsid w:val="003B0BE0"/>
    <w:rsid w:val="003B0C1B"/>
    <w:rsid w:val="003B688C"/>
    <w:rsid w:val="003C0291"/>
    <w:rsid w:val="003C39AE"/>
    <w:rsid w:val="003C56BD"/>
    <w:rsid w:val="003C5C3C"/>
    <w:rsid w:val="003C7B60"/>
    <w:rsid w:val="003D1FB2"/>
    <w:rsid w:val="003D66DA"/>
    <w:rsid w:val="003E0E2A"/>
    <w:rsid w:val="003E0EEE"/>
    <w:rsid w:val="003E1310"/>
    <w:rsid w:val="003E40AB"/>
    <w:rsid w:val="003E6F55"/>
    <w:rsid w:val="003F3958"/>
    <w:rsid w:val="003F5CBB"/>
    <w:rsid w:val="003F621B"/>
    <w:rsid w:val="004054E8"/>
    <w:rsid w:val="00406254"/>
    <w:rsid w:val="004100C7"/>
    <w:rsid w:val="00420DB9"/>
    <w:rsid w:val="004223DE"/>
    <w:rsid w:val="0042386F"/>
    <w:rsid w:val="00434489"/>
    <w:rsid w:val="00437085"/>
    <w:rsid w:val="00443880"/>
    <w:rsid w:val="004464F4"/>
    <w:rsid w:val="00453E14"/>
    <w:rsid w:val="00460F09"/>
    <w:rsid w:val="00464335"/>
    <w:rsid w:val="00471401"/>
    <w:rsid w:val="00473F31"/>
    <w:rsid w:val="0048263A"/>
    <w:rsid w:val="00487E5D"/>
    <w:rsid w:val="00494666"/>
    <w:rsid w:val="0049656E"/>
    <w:rsid w:val="004A711F"/>
    <w:rsid w:val="004A71F4"/>
    <w:rsid w:val="004B0F14"/>
    <w:rsid w:val="004B199D"/>
    <w:rsid w:val="004B4690"/>
    <w:rsid w:val="004C3A6F"/>
    <w:rsid w:val="004C6D9D"/>
    <w:rsid w:val="004E0A2D"/>
    <w:rsid w:val="004E206B"/>
    <w:rsid w:val="004E6DF7"/>
    <w:rsid w:val="004F0FBD"/>
    <w:rsid w:val="004F52A8"/>
    <w:rsid w:val="00501DBA"/>
    <w:rsid w:val="00502895"/>
    <w:rsid w:val="00503758"/>
    <w:rsid w:val="00505A47"/>
    <w:rsid w:val="00512FDA"/>
    <w:rsid w:val="00520DA0"/>
    <w:rsid w:val="005500A3"/>
    <w:rsid w:val="005664BB"/>
    <w:rsid w:val="0056666F"/>
    <w:rsid w:val="0057481D"/>
    <w:rsid w:val="0058486E"/>
    <w:rsid w:val="005922C9"/>
    <w:rsid w:val="005C0082"/>
    <w:rsid w:val="005D1928"/>
    <w:rsid w:val="005D1C8B"/>
    <w:rsid w:val="005D5CED"/>
    <w:rsid w:val="005E058F"/>
    <w:rsid w:val="005F1A4C"/>
    <w:rsid w:val="00605688"/>
    <w:rsid w:val="006070AF"/>
    <w:rsid w:val="00607E6C"/>
    <w:rsid w:val="006101B1"/>
    <w:rsid w:val="00610371"/>
    <w:rsid w:val="00612E32"/>
    <w:rsid w:val="00614E44"/>
    <w:rsid w:val="00622830"/>
    <w:rsid w:val="00630AEF"/>
    <w:rsid w:val="00632102"/>
    <w:rsid w:val="006325F8"/>
    <w:rsid w:val="00634C9A"/>
    <w:rsid w:val="00642ED8"/>
    <w:rsid w:val="006440E4"/>
    <w:rsid w:val="006466CA"/>
    <w:rsid w:val="00654691"/>
    <w:rsid w:val="0065695B"/>
    <w:rsid w:val="0066171A"/>
    <w:rsid w:val="0066343B"/>
    <w:rsid w:val="00664199"/>
    <w:rsid w:val="00664777"/>
    <w:rsid w:val="00666954"/>
    <w:rsid w:val="00667F95"/>
    <w:rsid w:val="0067224A"/>
    <w:rsid w:val="006748A4"/>
    <w:rsid w:val="00682FBB"/>
    <w:rsid w:val="00683E73"/>
    <w:rsid w:val="00696E74"/>
    <w:rsid w:val="006A13E5"/>
    <w:rsid w:val="006A3141"/>
    <w:rsid w:val="006A5E34"/>
    <w:rsid w:val="006B2422"/>
    <w:rsid w:val="006B2B9A"/>
    <w:rsid w:val="006C1937"/>
    <w:rsid w:val="006D10C0"/>
    <w:rsid w:val="006D3018"/>
    <w:rsid w:val="006D7131"/>
    <w:rsid w:val="006E0963"/>
    <w:rsid w:val="006E12D6"/>
    <w:rsid w:val="006E4AE8"/>
    <w:rsid w:val="006F020C"/>
    <w:rsid w:val="006F45C7"/>
    <w:rsid w:val="00701E47"/>
    <w:rsid w:val="00703B0E"/>
    <w:rsid w:val="007127B7"/>
    <w:rsid w:val="00716B5A"/>
    <w:rsid w:val="00722D57"/>
    <w:rsid w:val="00734B8F"/>
    <w:rsid w:val="00735953"/>
    <w:rsid w:val="00736575"/>
    <w:rsid w:val="00740FD7"/>
    <w:rsid w:val="007416B6"/>
    <w:rsid w:val="00746F48"/>
    <w:rsid w:val="0075404D"/>
    <w:rsid w:val="0076182A"/>
    <w:rsid w:val="00765BE5"/>
    <w:rsid w:val="00767B7E"/>
    <w:rsid w:val="007770C3"/>
    <w:rsid w:val="00784D24"/>
    <w:rsid w:val="00785FBA"/>
    <w:rsid w:val="00786E4A"/>
    <w:rsid w:val="007875EB"/>
    <w:rsid w:val="007927FF"/>
    <w:rsid w:val="00793156"/>
    <w:rsid w:val="0079426B"/>
    <w:rsid w:val="00796DA1"/>
    <w:rsid w:val="007B566A"/>
    <w:rsid w:val="007B71C4"/>
    <w:rsid w:val="007D312A"/>
    <w:rsid w:val="007D3F19"/>
    <w:rsid w:val="007E23B0"/>
    <w:rsid w:val="007E6E71"/>
    <w:rsid w:val="007F1991"/>
    <w:rsid w:val="007F2C2F"/>
    <w:rsid w:val="007F35DE"/>
    <w:rsid w:val="007F55FC"/>
    <w:rsid w:val="007F5665"/>
    <w:rsid w:val="00800112"/>
    <w:rsid w:val="008071CC"/>
    <w:rsid w:val="008253BB"/>
    <w:rsid w:val="0083706E"/>
    <w:rsid w:val="008423A5"/>
    <w:rsid w:val="008453E6"/>
    <w:rsid w:val="00850573"/>
    <w:rsid w:val="00850625"/>
    <w:rsid w:val="00853718"/>
    <w:rsid w:val="00855221"/>
    <w:rsid w:val="00860645"/>
    <w:rsid w:val="00871F71"/>
    <w:rsid w:val="00873847"/>
    <w:rsid w:val="00885AF4"/>
    <w:rsid w:val="00887A57"/>
    <w:rsid w:val="008939CD"/>
    <w:rsid w:val="008A4C41"/>
    <w:rsid w:val="008A7571"/>
    <w:rsid w:val="008B1291"/>
    <w:rsid w:val="008B768C"/>
    <w:rsid w:val="008C4DB1"/>
    <w:rsid w:val="008C4EAF"/>
    <w:rsid w:val="008C5176"/>
    <w:rsid w:val="008C7FD0"/>
    <w:rsid w:val="008E1DE7"/>
    <w:rsid w:val="008E707C"/>
    <w:rsid w:val="008F5D5C"/>
    <w:rsid w:val="00900B08"/>
    <w:rsid w:val="009011BD"/>
    <w:rsid w:val="00902155"/>
    <w:rsid w:val="00902FA3"/>
    <w:rsid w:val="009033B1"/>
    <w:rsid w:val="00904B03"/>
    <w:rsid w:val="00912556"/>
    <w:rsid w:val="0092079C"/>
    <w:rsid w:val="00923564"/>
    <w:rsid w:val="0092392E"/>
    <w:rsid w:val="00927D65"/>
    <w:rsid w:val="009315F9"/>
    <w:rsid w:val="009369FD"/>
    <w:rsid w:val="00946945"/>
    <w:rsid w:val="00951248"/>
    <w:rsid w:val="0095152F"/>
    <w:rsid w:val="00954C49"/>
    <w:rsid w:val="0097099F"/>
    <w:rsid w:val="00971997"/>
    <w:rsid w:val="00971FFC"/>
    <w:rsid w:val="0098660A"/>
    <w:rsid w:val="009903FB"/>
    <w:rsid w:val="00991CF8"/>
    <w:rsid w:val="009931C3"/>
    <w:rsid w:val="00994D36"/>
    <w:rsid w:val="009968E0"/>
    <w:rsid w:val="009B2C43"/>
    <w:rsid w:val="009B4983"/>
    <w:rsid w:val="009B4EAE"/>
    <w:rsid w:val="009B7573"/>
    <w:rsid w:val="009C22F4"/>
    <w:rsid w:val="009C2E98"/>
    <w:rsid w:val="009C39A2"/>
    <w:rsid w:val="009D25BC"/>
    <w:rsid w:val="009D3447"/>
    <w:rsid w:val="009D4711"/>
    <w:rsid w:val="009E39A2"/>
    <w:rsid w:val="009E6901"/>
    <w:rsid w:val="009F1185"/>
    <w:rsid w:val="009F18CD"/>
    <w:rsid w:val="009F2A13"/>
    <w:rsid w:val="009F4D1C"/>
    <w:rsid w:val="00A02E2C"/>
    <w:rsid w:val="00A04EB0"/>
    <w:rsid w:val="00A1326B"/>
    <w:rsid w:val="00A13CC1"/>
    <w:rsid w:val="00A16847"/>
    <w:rsid w:val="00A237D8"/>
    <w:rsid w:val="00A268C4"/>
    <w:rsid w:val="00A27BFA"/>
    <w:rsid w:val="00A307CD"/>
    <w:rsid w:val="00A40A00"/>
    <w:rsid w:val="00A4142F"/>
    <w:rsid w:val="00A56DF2"/>
    <w:rsid w:val="00A6086D"/>
    <w:rsid w:val="00A667D6"/>
    <w:rsid w:val="00A67AB5"/>
    <w:rsid w:val="00A83513"/>
    <w:rsid w:val="00A8451C"/>
    <w:rsid w:val="00A91760"/>
    <w:rsid w:val="00A928EC"/>
    <w:rsid w:val="00A93B00"/>
    <w:rsid w:val="00A93C21"/>
    <w:rsid w:val="00AC3C6A"/>
    <w:rsid w:val="00AC4FF9"/>
    <w:rsid w:val="00AC64F4"/>
    <w:rsid w:val="00AD0515"/>
    <w:rsid w:val="00AD4CF0"/>
    <w:rsid w:val="00AD5620"/>
    <w:rsid w:val="00AD7373"/>
    <w:rsid w:val="00AD7C1B"/>
    <w:rsid w:val="00AE16BA"/>
    <w:rsid w:val="00AE1EBE"/>
    <w:rsid w:val="00AE2B54"/>
    <w:rsid w:val="00AF18E7"/>
    <w:rsid w:val="00AF26E1"/>
    <w:rsid w:val="00B00178"/>
    <w:rsid w:val="00B03C9D"/>
    <w:rsid w:val="00B045C9"/>
    <w:rsid w:val="00B060AE"/>
    <w:rsid w:val="00B10517"/>
    <w:rsid w:val="00B14E76"/>
    <w:rsid w:val="00B161B8"/>
    <w:rsid w:val="00B2048C"/>
    <w:rsid w:val="00B244FF"/>
    <w:rsid w:val="00B310B9"/>
    <w:rsid w:val="00B35F3F"/>
    <w:rsid w:val="00B36CBB"/>
    <w:rsid w:val="00B37CF3"/>
    <w:rsid w:val="00B40543"/>
    <w:rsid w:val="00B425E0"/>
    <w:rsid w:val="00B440AA"/>
    <w:rsid w:val="00B44B70"/>
    <w:rsid w:val="00B46BD0"/>
    <w:rsid w:val="00B53C56"/>
    <w:rsid w:val="00B77EA6"/>
    <w:rsid w:val="00B80B76"/>
    <w:rsid w:val="00B81598"/>
    <w:rsid w:val="00B822D9"/>
    <w:rsid w:val="00B841F1"/>
    <w:rsid w:val="00B9296F"/>
    <w:rsid w:val="00B944D6"/>
    <w:rsid w:val="00BA02D4"/>
    <w:rsid w:val="00BA619B"/>
    <w:rsid w:val="00BB0468"/>
    <w:rsid w:val="00BB4DF0"/>
    <w:rsid w:val="00BC289F"/>
    <w:rsid w:val="00BC5361"/>
    <w:rsid w:val="00BC5460"/>
    <w:rsid w:val="00BC6B50"/>
    <w:rsid w:val="00BD0E25"/>
    <w:rsid w:val="00BD2AE5"/>
    <w:rsid w:val="00BD5620"/>
    <w:rsid w:val="00BE7CA1"/>
    <w:rsid w:val="00BF185B"/>
    <w:rsid w:val="00BF5BD6"/>
    <w:rsid w:val="00BF731F"/>
    <w:rsid w:val="00C03E31"/>
    <w:rsid w:val="00C03F0C"/>
    <w:rsid w:val="00C20EC3"/>
    <w:rsid w:val="00C26755"/>
    <w:rsid w:val="00C31445"/>
    <w:rsid w:val="00C33E72"/>
    <w:rsid w:val="00C34057"/>
    <w:rsid w:val="00C354B2"/>
    <w:rsid w:val="00C35554"/>
    <w:rsid w:val="00C400A4"/>
    <w:rsid w:val="00C42709"/>
    <w:rsid w:val="00C45422"/>
    <w:rsid w:val="00C533CC"/>
    <w:rsid w:val="00C5751C"/>
    <w:rsid w:val="00C61A1C"/>
    <w:rsid w:val="00C61BFC"/>
    <w:rsid w:val="00C62B85"/>
    <w:rsid w:val="00C64B77"/>
    <w:rsid w:val="00C65438"/>
    <w:rsid w:val="00C66A71"/>
    <w:rsid w:val="00C762B5"/>
    <w:rsid w:val="00C849C9"/>
    <w:rsid w:val="00C91CBB"/>
    <w:rsid w:val="00C92B43"/>
    <w:rsid w:val="00CA3CE0"/>
    <w:rsid w:val="00CA615B"/>
    <w:rsid w:val="00CB492C"/>
    <w:rsid w:val="00CC09B6"/>
    <w:rsid w:val="00CC666F"/>
    <w:rsid w:val="00CD1E3F"/>
    <w:rsid w:val="00CE1A8E"/>
    <w:rsid w:val="00CE44F6"/>
    <w:rsid w:val="00CE49DA"/>
    <w:rsid w:val="00CE7B61"/>
    <w:rsid w:val="00CF4DE4"/>
    <w:rsid w:val="00D00095"/>
    <w:rsid w:val="00D20396"/>
    <w:rsid w:val="00D20620"/>
    <w:rsid w:val="00D21386"/>
    <w:rsid w:val="00D26091"/>
    <w:rsid w:val="00D34E7C"/>
    <w:rsid w:val="00D35489"/>
    <w:rsid w:val="00D45A01"/>
    <w:rsid w:val="00D476FD"/>
    <w:rsid w:val="00D51276"/>
    <w:rsid w:val="00D7035F"/>
    <w:rsid w:val="00D724BB"/>
    <w:rsid w:val="00D81794"/>
    <w:rsid w:val="00D907F7"/>
    <w:rsid w:val="00D93726"/>
    <w:rsid w:val="00DA38BD"/>
    <w:rsid w:val="00DA57A6"/>
    <w:rsid w:val="00DA65AC"/>
    <w:rsid w:val="00DB1913"/>
    <w:rsid w:val="00DC410D"/>
    <w:rsid w:val="00DC68CA"/>
    <w:rsid w:val="00DC7A51"/>
    <w:rsid w:val="00DC7CBA"/>
    <w:rsid w:val="00DD2627"/>
    <w:rsid w:val="00DD73B7"/>
    <w:rsid w:val="00DE0F9E"/>
    <w:rsid w:val="00DE1869"/>
    <w:rsid w:val="00DF28BC"/>
    <w:rsid w:val="00DF34B9"/>
    <w:rsid w:val="00E01053"/>
    <w:rsid w:val="00E07ACF"/>
    <w:rsid w:val="00E331A1"/>
    <w:rsid w:val="00E33202"/>
    <w:rsid w:val="00E336A9"/>
    <w:rsid w:val="00E33F62"/>
    <w:rsid w:val="00E369E9"/>
    <w:rsid w:val="00E43545"/>
    <w:rsid w:val="00E44184"/>
    <w:rsid w:val="00E45A58"/>
    <w:rsid w:val="00E50624"/>
    <w:rsid w:val="00E568DF"/>
    <w:rsid w:val="00E60A3F"/>
    <w:rsid w:val="00E64269"/>
    <w:rsid w:val="00E72D24"/>
    <w:rsid w:val="00E747DD"/>
    <w:rsid w:val="00E82267"/>
    <w:rsid w:val="00E84189"/>
    <w:rsid w:val="00E86F34"/>
    <w:rsid w:val="00E92A6D"/>
    <w:rsid w:val="00EA010F"/>
    <w:rsid w:val="00EA6A1D"/>
    <w:rsid w:val="00EB0F29"/>
    <w:rsid w:val="00EC2381"/>
    <w:rsid w:val="00ED1B63"/>
    <w:rsid w:val="00ED2828"/>
    <w:rsid w:val="00ED3C1F"/>
    <w:rsid w:val="00ED4085"/>
    <w:rsid w:val="00ED420E"/>
    <w:rsid w:val="00ED774E"/>
    <w:rsid w:val="00EE2F57"/>
    <w:rsid w:val="00EF0BA5"/>
    <w:rsid w:val="00EF16B9"/>
    <w:rsid w:val="00EF23C1"/>
    <w:rsid w:val="00EF4C34"/>
    <w:rsid w:val="00EF77C6"/>
    <w:rsid w:val="00F007DC"/>
    <w:rsid w:val="00F05438"/>
    <w:rsid w:val="00F06392"/>
    <w:rsid w:val="00F11C70"/>
    <w:rsid w:val="00F1361C"/>
    <w:rsid w:val="00F160C7"/>
    <w:rsid w:val="00F2624A"/>
    <w:rsid w:val="00F355EB"/>
    <w:rsid w:val="00F36D8F"/>
    <w:rsid w:val="00F417B1"/>
    <w:rsid w:val="00F43541"/>
    <w:rsid w:val="00F43CFF"/>
    <w:rsid w:val="00F447B3"/>
    <w:rsid w:val="00F50630"/>
    <w:rsid w:val="00F602DF"/>
    <w:rsid w:val="00F712B7"/>
    <w:rsid w:val="00F7547C"/>
    <w:rsid w:val="00F77699"/>
    <w:rsid w:val="00F81FD9"/>
    <w:rsid w:val="00F841AA"/>
    <w:rsid w:val="00FA0A16"/>
    <w:rsid w:val="00FA181A"/>
    <w:rsid w:val="00FA23E8"/>
    <w:rsid w:val="00FA6E17"/>
    <w:rsid w:val="00FB5D3E"/>
    <w:rsid w:val="00FD3CC1"/>
    <w:rsid w:val="00FE23CF"/>
    <w:rsid w:val="00FE4BBE"/>
    <w:rsid w:val="00FF1E02"/>
    <w:rsid w:val="00FF30B4"/>
    <w:rsid w:val="00FF37B0"/>
    <w:rsid w:val="00FF3CC7"/>
    <w:rsid w:val="02AD44CC"/>
    <w:rsid w:val="0771118F"/>
    <w:rsid w:val="08EA2BF8"/>
    <w:rsid w:val="09503632"/>
    <w:rsid w:val="0E872975"/>
    <w:rsid w:val="0F9D58C8"/>
    <w:rsid w:val="10C055FF"/>
    <w:rsid w:val="16BB723D"/>
    <w:rsid w:val="1CBF74C7"/>
    <w:rsid w:val="240371BF"/>
    <w:rsid w:val="283C6481"/>
    <w:rsid w:val="285458BA"/>
    <w:rsid w:val="29D23E1C"/>
    <w:rsid w:val="29FD04D3"/>
    <w:rsid w:val="2BC12629"/>
    <w:rsid w:val="2CAB2406"/>
    <w:rsid w:val="2CF03FB3"/>
    <w:rsid w:val="314C40C8"/>
    <w:rsid w:val="319F7F4E"/>
    <w:rsid w:val="3C7D46A6"/>
    <w:rsid w:val="419F12C5"/>
    <w:rsid w:val="45F171A9"/>
    <w:rsid w:val="46A67970"/>
    <w:rsid w:val="4A693776"/>
    <w:rsid w:val="4B9A4995"/>
    <w:rsid w:val="53494809"/>
    <w:rsid w:val="58872062"/>
    <w:rsid w:val="5C3B7E27"/>
    <w:rsid w:val="61BD3C26"/>
    <w:rsid w:val="61F30D6D"/>
    <w:rsid w:val="626F420C"/>
    <w:rsid w:val="6372760F"/>
    <w:rsid w:val="65B01F28"/>
    <w:rsid w:val="69322C02"/>
    <w:rsid w:val="6B779CBF"/>
    <w:rsid w:val="6C1D5C21"/>
    <w:rsid w:val="6E1A42F5"/>
    <w:rsid w:val="6E81758C"/>
    <w:rsid w:val="70E909A8"/>
    <w:rsid w:val="72623FE1"/>
    <w:rsid w:val="74017585"/>
    <w:rsid w:val="77724A10"/>
    <w:rsid w:val="7B9F073E"/>
    <w:rsid w:val="7E0D5C2D"/>
    <w:rsid w:val="7F81A11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95" b="1" i="0" u="none" strike="noStrike" kern="1200" baseline="0">
                <a:solidFill>
                  <a:schemeClr val="tx1"/>
                </a:solidFill>
                <a:latin typeface="+mn-lt"/>
                <a:ea typeface="+mn-ea"/>
                <a:cs typeface="+mn-cs"/>
              </a:defRPr>
            </a:pPr>
            <a:r>
              <a:rPr lang="zh-CN" altLang="en-US" sz="1195"/>
              <a:t>收入支出决算总体对比情况</a:t>
            </a:r>
            <a:endParaRPr lang="zh-CN" altLang="en-US" sz="1195"/>
          </a:p>
        </c:rich>
      </c:tx>
      <c:layout>
        <c:manualLayout>
          <c:xMode val="edge"/>
          <c:yMode val="edge"/>
          <c:x val="0.160095360572768"/>
          <c:y val="0.0793650793650794"/>
        </c:manualLayout>
      </c:layout>
      <c:overlay val="0"/>
      <c:spPr>
        <a:noFill/>
        <a:ln w="25301">
          <a:noFill/>
        </a:ln>
      </c:spPr>
    </c:title>
    <c:autoTitleDeleted val="0"/>
    <c:plotArea>
      <c:layout>
        <c:manualLayout>
          <c:layoutTarget val="inner"/>
          <c:xMode val="edge"/>
          <c:yMode val="edge"/>
          <c:x val="0.119533527696793"/>
          <c:y val="0.259109311740891"/>
          <c:w val="0.641399416909638"/>
          <c:h val="0.595141700404858"/>
        </c:manualLayout>
      </c:layout>
      <c:barChart>
        <c:barDir val="col"/>
        <c:grouping val="clustered"/>
        <c:varyColors val="0"/>
        <c:ser>
          <c:idx val="0"/>
          <c:order val="0"/>
          <c:tx>
            <c:strRef>
              <c:f>Sheet1!$B$1</c:f>
              <c:strCache>
                <c:ptCount val="1"/>
                <c:pt idx="0">
                  <c:v>2022</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176.9</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收入支出</c:v>
                </c:pt>
              </c:strCache>
            </c:strRef>
          </c:cat>
          <c:val>
            <c:numRef>
              <c:f>Sheet1!$B$2</c:f>
              <c:numCache>
                <c:formatCode>General</c:formatCode>
                <c:ptCount val="1"/>
                <c:pt idx="0">
                  <c:v>176.9</c:v>
                </c:pt>
              </c:numCache>
            </c:numRef>
          </c:val>
        </c:ser>
        <c:ser>
          <c:idx val="1"/>
          <c:order val="1"/>
          <c:tx>
            <c:strRef>
              <c:f>Sheet1!$C$1</c:f>
              <c:strCache>
                <c:ptCount val="1"/>
                <c:pt idx="0">
                  <c:v>2021</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180.2</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收入支出</c:v>
                </c:pt>
              </c:strCache>
            </c:strRef>
          </c:cat>
          <c:val>
            <c:numRef>
              <c:f>Sheet1!$C$2</c:f>
              <c:numCache>
                <c:formatCode>General</c:formatCode>
                <c:ptCount val="1"/>
                <c:pt idx="0">
                  <c:v>180.2</c:v>
                </c:pt>
              </c:numCache>
            </c:numRef>
          </c:val>
        </c:ser>
        <c:dLbls>
          <c:showLegendKey val="0"/>
          <c:showVal val="1"/>
          <c:showCatName val="0"/>
          <c:showSerName val="0"/>
          <c:showPercent val="0"/>
          <c:showBubbleSize val="0"/>
        </c:dLbls>
        <c:gapWidth val="150"/>
        <c:axId val="114624000"/>
        <c:axId val="114634112"/>
      </c:barChart>
      <c:catAx>
        <c:axId val="114624000"/>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634112"/>
        <c:crosses val="autoZero"/>
        <c:auto val="1"/>
        <c:lblAlgn val="ctr"/>
        <c:lblOffset val="100"/>
        <c:noMultiLvlLbl val="0"/>
      </c:catAx>
      <c:valAx>
        <c:axId val="114634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624000"/>
        <c:crosses val="autoZero"/>
        <c:crossBetween val="between"/>
      </c:valAx>
    </c:plotArea>
    <c:legend>
      <c:legendPos val="r"/>
      <c:layout>
        <c:manualLayout>
          <c:xMode val="edge"/>
          <c:yMode val="edge"/>
          <c:x val="0.795918367346931"/>
          <c:y val="0.497975708502024"/>
          <c:w val="0.183673469387755"/>
          <c:h val="0.19433198380566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2022</a:t>
            </a:r>
            <a:r>
              <a:rPr lang="zh-CN" altLang="en-US"/>
              <a:t>年收入情况</a:t>
            </a:r>
            <a:endParaRPr lang="zh-CN" altLang="en-US"/>
          </a:p>
        </c:rich>
      </c:tx>
      <c:layout/>
      <c:overlay val="0"/>
      <c:spPr>
        <a:noFill/>
        <a:ln w="25261">
          <a:noFill/>
        </a:ln>
      </c:spPr>
    </c:title>
    <c:autoTitleDeleted val="0"/>
    <c:plotArea>
      <c:layout/>
      <c:pieChart>
        <c:varyColors val="1"/>
        <c:ser>
          <c:idx val="0"/>
          <c:order val="0"/>
          <c:tx>
            <c:strRef>
              <c:f>Sheet1!$B$1</c:f>
              <c:strCache>
                <c:ptCount val="1"/>
                <c:pt idx="0">
                  <c:v>2019年收入情况</c:v>
                </c:pt>
              </c:strCache>
            </c:strRef>
          </c:tx>
          <c:explosion val="0"/>
          <c:dPt>
            <c:idx val="0"/>
            <c:bubble3D val="0"/>
          </c:dPt>
          <c:dPt>
            <c:idx val="1"/>
            <c:bubble3D val="0"/>
          </c:dPt>
          <c:dPt>
            <c:idx val="2"/>
            <c:bubble3D val="0"/>
          </c:dPt>
          <c:dPt>
            <c:idx val="3"/>
            <c:bubble3D val="0"/>
          </c:dPt>
          <c:dPt>
            <c:idx val="4"/>
            <c:bubble3D val="0"/>
          </c:dPt>
          <c:dLbls>
            <c:dLbl>
              <c:idx val="0"/>
              <c:layout>
                <c:manualLayout>
                  <c:x val="-0.0211841057181286"/>
                  <c:y val="-0.1998666238148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100</a:t>
                    </a:r>
                    <a:r>
                      <a:rPr lang="en-US" altLang="zh-CN"/>
                      <a:t>%</a:t>
                    </a:r>
                    <a:endParaRPr lang="en-US" altLang="en-US"/>
                  </a:p>
                </c:rich>
              </c:tx>
              <c:dLblPos val="bestFit"/>
              <c:showLegendKey val="0"/>
              <c:showVal val="1"/>
              <c:showCatName val="0"/>
              <c:showSerName val="1"/>
              <c:showPercent val="1"/>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spPr>
              <a:noFill/>
              <a:ln w="2526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财政拨款收入</c:v>
                </c:pt>
                <c:pt idx="1">
                  <c:v>结转结余收入</c:v>
                </c:pt>
                <c:pt idx="2">
                  <c:v>经营收入</c:v>
                </c:pt>
                <c:pt idx="3">
                  <c:v>附属单位上缴收入</c:v>
                </c:pt>
                <c:pt idx="4">
                  <c:v>其他收入</c:v>
                </c:pt>
              </c:strCache>
            </c:strRef>
          </c:cat>
          <c:val>
            <c:numRef>
              <c:f>Sheet1!$B$2:$B$6</c:f>
              <c:numCache>
                <c:formatCode>General</c:formatCode>
                <c:ptCount val="5"/>
                <c:pt idx="0">
                  <c:v>100</c:v>
                </c:pt>
                <c:pt idx="1">
                  <c:v>0</c:v>
                </c:pt>
                <c:pt idx="2">
                  <c:v>0</c:v>
                </c:pt>
                <c:pt idx="3">
                  <c:v>0</c:v>
                </c:pt>
              </c:numCache>
            </c:numRef>
          </c:val>
        </c:ser>
        <c:dLbls>
          <c:showLegendKey val="0"/>
          <c:showVal val="0"/>
          <c:showCatName val="0"/>
          <c:showSerName val="0"/>
          <c:showPercent val="1"/>
          <c:showBubbleSize val="0"/>
          <c:showLeaderLines val="1"/>
        </c:dLbls>
        <c:firstSliceAng val="0"/>
      </c:pieChart>
      <c:spPr>
        <a:noFill/>
        <a:ln w="25261">
          <a:noFill/>
        </a:ln>
      </c:spPr>
    </c:plotArea>
    <c:legend>
      <c:legendPos val="r"/>
      <c:layout>
        <c:manualLayout>
          <c:xMode val="edge"/>
          <c:yMode val="edge"/>
          <c:x val="0.651515151515152"/>
          <c:y val="0.335078534031421"/>
          <c:w val="0.325757575757583"/>
          <c:h val="0.62827225130890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2022</a:t>
            </a:r>
            <a:r>
              <a:rPr lang="zh-CN" altLang="en-US"/>
              <a:t>年支出情况</a:t>
            </a:r>
            <a:endParaRPr lang="zh-CN" altLang="en-US"/>
          </a:p>
        </c:rich>
      </c:tx>
      <c:layout/>
      <c:overlay val="0"/>
      <c:spPr>
        <a:noFill/>
        <a:ln w="25261">
          <a:noFill/>
        </a:ln>
      </c:spPr>
    </c:title>
    <c:autoTitleDeleted val="0"/>
    <c:plotArea>
      <c:layout/>
      <c:pieChart>
        <c:varyColors val="1"/>
        <c:ser>
          <c:idx val="0"/>
          <c:order val="0"/>
          <c:tx>
            <c:strRef>
              <c:f>Sheet1!$B$1</c:f>
              <c:strCache>
                <c:ptCount val="1"/>
                <c:pt idx="0">
                  <c:v>2022年收入情况</c:v>
                </c:pt>
              </c:strCache>
            </c:strRef>
          </c:tx>
          <c:explosion val="0"/>
          <c:dPt>
            <c:idx val="0"/>
            <c:bubble3D val="0"/>
          </c:dPt>
          <c:dPt>
            <c:idx val="1"/>
            <c:bubble3D val="0"/>
          </c:dPt>
          <c:dPt>
            <c:idx val="2"/>
            <c:bubble3D val="0"/>
          </c:dPt>
          <c:dPt>
            <c:idx val="3"/>
            <c:bubble3D val="0"/>
          </c:dPt>
          <c:dPt>
            <c:idx val="4"/>
            <c:bubble3D val="0"/>
          </c:dPt>
          <c:dLbls>
            <c:dLbl>
              <c:idx val="0"/>
              <c:layout>
                <c:manualLayout>
                  <c:x val="-0.0145506065473159"/>
                  <c:y val="-0.19986715946221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99.39</a:t>
                    </a:r>
                    <a:r>
                      <a:rPr lang="en-US" altLang="zh-CN"/>
                      <a:t>%</a:t>
                    </a:r>
                    <a:endParaRPr lang="en-US" altLang="en-US"/>
                  </a:p>
                </c:rich>
              </c:tx>
              <c:dLblPos val="bestFit"/>
              <c:showLegendKey val="0"/>
              <c:showVal val="1"/>
              <c:showCatName val="0"/>
              <c:showSerName val="1"/>
              <c:showPercent val="1"/>
              <c:showBubbleSize val="0"/>
              <c:extLst>
                <c:ext xmlns:c15="http://schemas.microsoft.com/office/drawing/2012/chart" uri="{CE6537A1-D6FC-4f65-9D91-7224C49458BB}">
                  <c15:layout/>
                </c:ext>
              </c:extLst>
            </c:dLbl>
            <c:dLbl>
              <c:idx val="1"/>
              <c:delete val="1"/>
            </c:dLbl>
            <c:dLbl>
              <c:idx val="2"/>
              <c:delete val="1"/>
            </c:dLbl>
            <c:dLbl>
              <c:idx val="3"/>
              <c:delete val="1"/>
            </c:dLbl>
            <c:dLbl>
              <c:idx val="4"/>
              <c:layout>
                <c:manualLayout>
                  <c:x val="0.0447492197803633"/>
                  <c:y val="0.020122663238523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0.61%</a:t>
                    </a:r>
                    <a:endParaRPr lang="zh-CN" altLang="en-US"/>
                  </a:p>
                </c:rich>
              </c:tx>
              <c:dLblPos val="bestFit"/>
              <c:showLegendKey val="0"/>
              <c:showVal val="1"/>
              <c:showCatName val="0"/>
              <c:showSerName val="1"/>
              <c:showPercent val="1"/>
              <c:showBubbleSize val="0"/>
              <c:extLst>
                <c:ext xmlns:c15="http://schemas.microsoft.com/office/drawing/2012/chart" uri="{CE6537A1-D6FC-4f65-9D91-7224C49458BB}">
                  <c15:layout/>
                </c:ext>
              </c:extLst>
            </c:dLbl>
            <c:spPr>
              <a:noFill/>
              <a:ln w="2526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辅助支出</c:v>
                </c:pt>
              </c:strCache>
            </c:strRef>
          </c:cat>
          <c:val>
            <c:numRef>
              <c:f>Sheet1!$B$2:$B$6</c:f>
              <c:numCache>
                <c:formatCode>General</c:formatCode>
                <c:ptCount val="5"/>
                <c:pt idx="0">
                  <c:v>99.39</c:v>
                </c:pt>
                <c:pt idx="1">
                  <c:v>0.61</c:v>
                </c:pt>
                <c:pt idx="2">
                  <c:v>0</c:v>
                </c:pt>
                <c:pt idx="3">
                  <c:v>0</c:v>
                </c:pt>
              </c:numCache>
            </c:numRef>
          </c:val>
        </c:ser>
        <c:dLbls>
          <c:showLegendKey val="0"/>
          <c:showVal val="0"/>
          <c:showCatName val="0"/>
          <c:showSerName val="0"/>
          <c:showPercent val="1"/>
          <c:showBubbleSize val="0"/>
          <c:showLeaderLines val="1"/>
        </c:dLbls>
        <c:firstSliceAng val="0"/>
      </c:pieChart>
      <c:spPr>
        <a:noFill/>
        <a:ln w="25261">
          <a:noFill/>
        </a:ln>
      </c:spPr>
    </c:plotArea>
    <c:legend>
      <c:legendPos val="r"/>
      <c:layout>
        <c:manualLayout>
          <c:xMode val="edge"/>
          <c:yMode val="edge"/>
          <c:x val="0.651515151515152"/>
          <c:y val="0.335078534031421"/>
          <c:w val="0.325757575757583"/>
          <c:h val="0.62827225130890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95" b="1" i="0" u="none" strike="noStrike" kern="1200" baseline="0">
                <a:solidFill>
                  <a:schemeClr val="tx1"/>
                </a:solidFill>
                <a:latin typeface="+mn-lt"/>
                <a:ea typeface="+mn-ea"/>
                <a:cs typeface="+mn-cs"/>
              </a:defRPr>
            </a:pPr>
            <a:r>
              <a:rPr lang="zh-CN" altLang="en-US" sz="1195"/>
              <a:t>财政拨款收支决算对比情况</a:t>
            </a:r>
            <a:endParaRPr lang="zh-CN" altLang="en-US" sz="1195"/>
          </a:p>
        </c:rich>
      </c:tx>
      <c:layout/>
      <c:overlay val="0"/>
      <c:spPr>
        <a:noFill/>
        <a:ln w="25301">
          <a:noFill/>
        </a:ln>
      </c:spPr>
    </c:title>
    <c:autoTitleDeleted val="0"/>
    <c:plotArea>
      <c:layout>
        <c:manualLayout>
          <c:layoutTarget val="inner"/>
          <c:xMode val="edge"/>
          <c:yMode val="edge"/>
          <c:x val="0.119533527696793"/>
          <c:y val="0.259109311740891"/>
          <c:w val="0.641399416909638"/>
          <c:h val="0.595141700404858"/>
        </c:manualLayout>
      </c:layout>
      <c:barChart>
        <c:barDir val="col"/>
        <c:grouping val="clustered"/>
        <c:varyColors val="0"/>
        <c:ser>
          <c:idx val="0"/>
          <c:order val="0"/>
          <c:tx>
            <c:strRef>
              <c:f>Sheet1!$B$1</c:f>
              <c:strCache>
                <c:ptCount val="1"/>
                <c:pt idx="0">
                  <c:v>2022</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176.9</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176.9</c:v>
                </c:pt>
              </c:numCache>
            </c:numRef>
          </c:val>
        </c:ser>
        <c:ser>
          <c:idx val="1"/>
          <c:order val="1"/>
          <c:tx>
            <c:strRef>
              <c:f>Sheet1!$C$1</c:f>
              <c:strCache>
                <c:ptCount val="1"/>
                <c:pt idx="0">
                  <c:v>2021</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180.2</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180.2</c:v>
                </c:pt>
              </c:numCache>
            </c:numRef>
          </c:val>
        </c:ser>
        <c:dLbls>
          <c:showLegendKey val="0"/>
          <c:showVal val="1"/>
          <c:showCatName val="0"/>
          <c:showSerName val="0"/>
          <c:showPercent val="0"/>
          <c:showBubbleSize val="0"/>
        </c:dLbls>
        <c:gapWidth val="150"/>
        <c:axId val="64776448"/>
        <c:axId val="197296128"/>
      </c:barChart>
      <c:catAx>
        <c:axId val="64776448"/>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296128"/>
        <c:crosses val="autoZero"/>
        <c:auto val="1"/>
        <c:lblAlgn val="ctr"/>
        <c:lblOffset val="100"/>
        <c:noMultiLvlLbl val="0"/>
      </c:catAx>
      <c:valAx>
        <c:axId val="1972961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776448"/>
        <c:crosses val="autoZero"/>
        <c:crossBetween val="between"/>
      </c:valAx>
    </c:plotArea>
    <c:legend>
      <c:legendPos val="r"/>
      <c:layout>
        <c:manualLayout>
          <c:xMode val="edge"/>
          <c:yMode val="edge"/>
          <c:x val="0.795918367346931"/>
          <c:y val="0.497975708502024"/>
          <c:w val="0.183673469387755"/>
          <c:h val="0.19433198380566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95" b="1" i="0" u="none" strike="noStrike" kern="1200" baseline="0">
                <a:solidFill>
                  <a:schemeClr val="tx1"/>
                </a:solidFill>
                <a:latin typeface="+mn-lt"/>
                <a:ea typeface="+mn-ea"/>
                <a:cs typeface="+mn-cs"/>
              </a:defRPr>
            </a:pPr>
            <a:r>
              <a:rPr lang="zh-CN" altLang="en-US" sz="1195"/>
              <a:t>一般公共预算财政拨款支出对比情况</a:t>
            </a:r>
            <a:endParaRPr lang="zh-CN" altLang="en-US" sz="1195"/>
          </a:p>
        </c:rich>
      </c:tx>
      <c:layout>
        <c:manualLayout>
          <c:xMode val="edge"/>
          <c:yMode val="edge"/>
          <c:x val="0.0531612631515618"/>
          <c:y val="0.0846560846560852"/>
        </c:manualLayout>
      </c:layout>
      <c:overlay val="0"/>
      <c:spPr>
        <a:noFill/>
        <a:ln w="25301">
          <a:noFill/>
        </a:ln>
      </c:spPr>
    </c:title>
    <c:autoTitleDeleted val="0"/>
    <c:plotArea>
      <c:layout>
        <c:manualLayout>
          <c:layoutTarget val="inner"/>
          <c:xMode val="edge"/>
          <c:yMode val="edge"/>
          <c:x val="0.119533527696793"/>
          <c:y val="0.259109311740891"/>
          <c:w val="0.64139941690964"/>
          <c:h val="0.595141700404858"/>
        </c:manualLayout>
      </c:layout>
      <c:barChart>
        <c:barDir val="col"/>
        <c:grouping val="clustered"/>
        <c:varyColors val="0"/>
        <c:ser>
          <c:idx val="0"/>
          <c:order val="0"/>
          <c:tx>
            <c:strRef>
              <c:f>Sheet1!$B$1</c:f>
              <c:strCache>
                <c:ptCount val="1"/>
                <c:pt idx="0">
                  <c:v>2022年</c:v>
                </c:pt>
              </c:strCache>
            </c:strRef>
          </c:tx>
          <c:invertIfNegative val="0"/>
          <c:dLbls>
            <c:dLbl>
              <c:idx val="0"/>
              <c:layout>
                <c:manualLayout>
                  <c:x val="0.00668576886341929"/>
                  <c:y val="0"/>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176.9</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176.9</c:v>
                </c:pt>
              </c:numCache>
            </c:numRef>
          </c:val>
        </c:ser>
        <c:ser>
          <c:idx val="1"/>
          <c:order val="1"/>
          <c:tx>
            <c:strRef>
              <c:f>Sheet1!$C$1</c:f>
              <c:strCache>
                <c:ptCount val="1"/>
                <c:pt idx="0">
                  <c:v>2021年</c:v>
                </c:pt>
              </c:strCache>
            </c:strRef>
          </c:tx>
          <c:invertIfNegative val="0"/>
          <c:dLbls>
            <c:dLbl>
              <c:idx val="0"/>
              <c:layout>
                <c:manualLayout>
                  <c:x val="0.0296084049665712"/>
                  <c:y val="0.004497354497354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180.2</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301">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180.2</c:v>
                </c:pt>
              </c:numCache>
            </c:numRef>
          </c:val>
        </c:ser>
        <c:dLbls>
          <c:showLegendKey val="0"/>
          <c:showVal val="1"/>
          <c:showCatName val="0"/>
          <c:showSerName val="0"/>
          <c:showPercent val="0"/>
          <c:showBubbleSize val="0"/>
        </c:dLbls>
        <c:gapWidth val="150"/>
        <c:axId val="190825600"/>
        <c:axId val="190827136"/>
      </c:barChart>
      <c:catAx>
        <c:axId val="19082560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827136"/>
        <c:crosses val="autoZero"/>
        <c:auto val="1"/>
        <c:lblAlgn val="ctr"/>
        <c:lblOffset val="100"/>
        <c:noMultiLvlLbl val="0"/>
      </c:catAx>
      <c:valAx>
        <c:axId val="190827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0825600"/>
        <c:crosses val="autoZero"/>
        <c:crossBetween val="between"/>
      </c:valAx>
    </c:plotArea>
    <c:legend>
      <c:legendPos val="r"/>
      <c:layout>
        <c:manualLayout>
          <c:xMode val="edge"/>
          <c:yMode val="edge"/>
          <c:x val="0.795918367346931"/>
          <c:y val="0.497975708502024"/>
          <c:w val="0.183673469387755"/>
          <c:h val="0.19433198380566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296">
          <a:noFill/>
        </a:ln>
      </c:spPr>
      <c:txPr>
        <a:bodyPr rot="0" spcFirstLastPara="0" vertOverflow="ellipsis" vert="horz" wrap="square" anchor="ctr" anchorCtr="1"/>
        <a:lstStyle/>
        <a:p>
          <a:pPr>
            <a:defRPr lang="zh-CN" sz="1195"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25"/>
          <c:y val="0.280851063829794"/>
          <c:w val="0.375000000000004"/>
          <c:h val="0.600000000000006"/>
        </c:manualLayout>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Lbls>
            <c:dLbl>
              <c:idx val="0"/>
              <c:layout>
                <c:manualLayout>
                  <c:x val="0.0750088532400353"/>
                  <c:y val="0.0254625035216037"/>
                </c:manualLayout>
              </c:layout>
              <c:tx>
                <c:rich>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r>
                      <a:rPr lang="en-US" altLang="zh-CN"/>
                      <a:t>11.29%</a:t>
                    </a:r>
                    <a:endParaRPr lang="en-US" altLang="zh-CN"/>
                  </a:p>
                </c:rich>
              </c:tx>
              <c:numFmt formatCode="General" sourceLinked="1"/>
              <c:spPr>
                <a:noFill/>
                <a:ln w="25296">
                  <a:noFill/>
                </a:ln>
                <a:effectLst/>
              </c:spPr>
              <c:txPr>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p>
              </c:txPr>
              <c:dLblPos val="bestFit"/>
              <c:showLegendKey val="0"/>
              <c:showVal val="0"/>
              <c:showCatName val="0"/>
              <c:showSerName val="1"/>
              <c:showPercent val="1"/>
              <c:showBubbleSize val="0"/>
              <c:extLst>
                <c:ext xmlns:c15="http://schemas.microsoft.com/office/drawing/2012/chart" uri="{CE6537A1-D6FC-4f65-9D91-7224C49458BB}">
                  <c15:layout/>
                </c:ext>
              </c:extLst>
            </c:dLbl>
            <c:dLbl>
              <c:idx val="1"/>
              <c:layout>
                <c:manualLayout>
                  <c:x val="0.0237113480246713"/>
                  <c:y val="0.0194202969210892"/>
                </c:manualLayout>
              </c:layout>
              <c:tx>
                <c:rich>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r>
                      <a:rPr lang="en-US" altLang="zh-CN"/>
                      <a:t>81.32%</a:t>
                    </a:r>
                    <a:endParaRPr lang="en-US" altLang="zh-CN"/>
                  </a:p>
                </c:rich>
              </c:tx>
              <c:numFmt formatCode="General" sourceLinked="1"/>
              <c:spPr>
                <a:noFill/>
                <a:ln w="25296">
                  <a:noFill/>
                </a:ln>
                <a:effectLst/>
              </c:spPr>
              <c:txPr>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p>
              </c:txPr>
              <c:dLblPos val="bestFit"/>
              <c:showLegendKey val="0"/>
              <c:showVal val="0"/>
              <c:showCatName val="0"/>
              <c:showSerName val="1"/>
              <c:showPercent val="1"/>
              <c:showBubbleSize val="0"/>
              <c:extLst>
                <c:ext xmlns:c15="http://schemas.microsoft.com/office/drawing/2012/chart" uri="{CE6537A1-D6FC-4f65-9D91-7224C49458BB}">
                  <c15:layout/>
                </c:ext>
              </c:extLst>
            </c:dLbl>
            <c:dLbl>
              <c:idx val="2"/>
              <c:layout>
                <c:manualLayout>
                  <c:x val="-0.0460335317530569"/>
                  <c:y val="0.00634180327401546"/>
                </c:manualLayout>
              </c:layout>
              <c:tx>
                <c:rich>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r>
                      <a:rPr lang="en-US" altLang="zh-CN"/>
                      <a:t>6.78%</a:t>
                    </a:r>
                    <a:endParaRPr lang="en-US" altLang="zh-CN"/>
                  </a:p>
                </c:rich>
              </c:tx>
              <c:numFmt formatCode="General" sourceLinked="1"/>
              <c:spPr>
                <a:noFill/>
                <a:ln w="25296">
                  <a:noFill/>
                </a:ln>
                <a:effectLst/>
              </c:spPr>
              <c:txPr>
                <a:bodyPr rot="0" spcFirstLastPara="0" vertOverflow="ellipsis" vert="horz" wrap="square" lIns="38100" tIns="19050" rIns="38100" bIns="19050" anchor="ctr" anchorCtr="1"/>
                <a:lstStyle/>
                <a:p>
                  <a:pPr>
                    <a:defRPr lang="zh-CN" sz="995" b="0" i="0" u="none" strike="noStrike" kern="1200" baseline="0">
                      <a:solidFill>
                        <a:srgbClr val="000000"/>
                      </a:solidFill>
                      <a:latin typeface="Calibri" panose="020F0502020204030204"/>
                      <a:ea typeface="Calibri" panose="020F0502020204030204"/>
                      <a:cs typeface="Calibri" panose="020F0502020204030204"/>
                    </a:defRPr>
                  </a:pPr>
                </a:p>
              </c:txPr>
              <c:dLblPos val="bestFit"/>
              <c:showLegendKey val="0"/>
              <c:showVal val="0"/>
              <c:showCatName val="0"/>
              <c:showSerName val="1"/>
              <c:showPercent val="1"/>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0.61</a:t>
                    </a:r>
                    <a:r>
                      <a:rPr altLang="en-US"/>
                      <a:t>%</a:t>
                    </a:r>
                    <a:endParaRPr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w="25296">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健康卫生支出</c:v>
                </c:pt>
                <c:pt idx="2">
                  <c:v>住房保障支出</c:v>
                </c:pt>
                <c:pt idx="3">
                  <c:v>农林水支出</c:v>
                </c:pt>
              </c:strCache>
            </c:strRef>
          </c:cat>
          <c:val>
            <c:numRef>
              <c:f>Sheet1!$B$2:$B$5</c:f>
              <c:numCache>
                <c:formatCode>General</c:formatCode>
                <c:ptCount val="4"/>
                <c:pt idx="0">
                  <c:v>11.29</c:v>
                </c:pt>
                <c:pt idx="1">
                  <c:v>81.32</c:v>
                </c:pt>
                <c:pt idx="2">
                  <c:v>6.78</c:v>
                </c:pt>
                <c:pt idx="3">
                  <c:v>0.61</c:v>
                </c:pt>
              </c:numCache>
            </c:numRef>
          </c:val>
        </c:ser>
        <c:dLbls>
          <c:showLegendKey val="0"/>
          <c:showVal val="0"/>
          <c:showCatName val="0"/>
          <c:showSerName val="0"/>
          <c:showPercent val="1"/>
          <c:showBubbleSize val="0"/>
          <c:showLeaderLines val="1"/>
        </c:dLbls>
        <c:firstSliceAng val="0"/>
      </c:pieChart>
      <c:spPr>
        <a:noFill/>
        <a:ln w="25296">
          <a:noFill/>
        </a:ln>
      </c:spPr>
    </c:plotArea>
    <c:legend>
      <c:legendPos val="r"/>
      <c:layout>
        <c:manualLayout>
          <c:xMode val="edge"/>
          <c:yMode val="edge"/>
          <c:x val="0.659574468085115"/>
          <c:y val="0.348936170212772"/>
          <c:w val="0.305851063829795"/>
          <c:h val="0.51063829787233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40" b="1" i="0" u="none" strike="noStrike" kern="1200" baseline="0">
                <a:solidFill>
                  <a:schemeClr val="tx1"/>
                </a:solidFill>
                <a:latin typeface="+mn-lt"/>
                <a:ea typeface="+mn-ea"/>
                <a:cs typeface="+mn-cs"/>
              </a:defRPr>
            </a:pPr>
            <a:r>
              <a:rPr lang="en-US" altLang="zh-CN"/>
              <a:t>2022</a:t>
            </a:r>
            <a:r>
              <a:rPr lang="zh-CN" altLang="en-US"/>
              <a:t>年“三公”经费财政拨款支出决算情况</a:t>
            </a:r>
            <a:endParaRPr lang="zh-CN" altLang="en-US"/>
          </a:p>
        </c:rich>
      </c:tx>
      <c:layout/>
      <c:overlay val="0"/>
      <c:spPr>
        <a:noFill/>
        <a:ln w="25399">
          <a:noFill/>
        </a:ln>
      </c:spPr>
    </c:title>
    <c:autoTitleDeleted val="0"/>
    <c:plotArea>
      <c:layout/>
      <c:pieChart>
        <c:varyColors val="1"/>
        <c:ser>
          <c:idx val="0"/>
          <c:order val="0"/>
          <c:tx>
            <c:strRef>
              <c:f>Sheet1!$B$1</c:f>
              <c:strCache>
                <c:ptCount val="1"/>
                <c:pt idx="0">
                  <c:v>2016年“三公”经费财政拨款支出决算情况</c:v>
                </c:pt>
              </c:strCache>
            </c:strRef>
          </c:tx>
          <c:explosion val="0"/>
          <c:dPt>
            <c:idx val="0"/>
            <c:bubble3D val="0"/>
          </c:dPt>
          <c:dPt>
            <c:idx val="1"/>
            <c:bubble3D val="0"/>
          </c:dPt>
          <c:dPt>
            <c:idx val="2"/>
            <c:bubble3D val="0"/>
          </c:dPt>
          <c:dLbls>
            <c:dLbl>
              <c:idx val="0"/>
              <c:delete val="1"/>
            </c:dLbl>
            <c:dLbl>
              <c:idx val="1"/>
              <c:layout/>
              <c:tx>
                <c:rich>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r>
                      <a:rPr lang="en-US" altLang="zh-CN"/>
                      <a:t>100%</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公务用车购置及运行维护费</c:v>
                </c:pt>
                <c:pt idx="1">
                  <c:v>公务接待费</c:v>
                </c:pt>
                <c:pt idx="2">
                  <c:v>因公出国（境）费</c:v>
                </c:pt>
              </c:strCache>
            </c:strRef>
          </c:cat>
          <c:val>
            <c:numRef>
              <c:f>Sheet1!$B$2:$B$4</c:f>
              <c:numCache>
                <c:formatCode>General</c:formatCode>
                <c:ptCount val="3"/>
                <c:pt idx="1">
                  <c:v>7.82</c:v>
                </c:pt>
              </c:numCache>
            </c:numRef>
          </c:val>
        </c:ser>
        <c:dLbls>
          <c:showLegendKey val="0"/>
          <c:showVal val="1"/>
          <c:showCatName val="0"/>
          <c:showSerName val="0"/>
          <c:showPercent val="0"/>
          <c:showBubbleSize val="0"/>
          <c:showLeaderLines val="1"/>
        </c:dLbls>
        <c:firstSliceAng val="0"/>
      </c:pieChart>
      <c:spPr>
        <a:noFill/>
        <a:ln w="25399">
          <a:noFill/>
        </a:ln>
      </c:spPr>
    </c:plotArea>
    <c:legend>
      <c:legendPos val="r"/>
      <c:layout>
        <c:manualLayout>
          <c:xMode val="edge"/>
          <c:yMode val="edge"/>
          <c:x val="0.634408602150552"/>
          <c:y val="0.411458333333333"/>
          <c:w val="0.344086021505376"/>
          <c:h val="0.583333333333333"/>
        </c:manualLayout>
      </c:layout>
      <c:overlay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sz="1200"/>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0.33951</cdr:x>
      <cdr:y>0.47059</cdr:y>
    </cdr:from>
    <cdr:to>
      <cdr:x>0.42439</cdr:x>
      <cdr:y>0.52941</cdr:y>
    </cdr:to>
    <cdr:sp>
      <cdr:nvSpPr>
        <cdr:cNvPr id="2" name="矩形 1"/>
        <cdr:cNvSpPr/>
      </cdr:nvSpPr>
      <cdr:spPr xmlns:a="http://schemas.openxmlformats.org/drawingml/2006/main">
        <a:xfrm xmlns:a="http://schemas.openxmlformats.org/drawingml/2006/main">
          <a:off x="1790700" y="1447800"/>
          <a:ext cx="447675" cy="1809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0.33951</cdr:x>
      <cdr:y>0.47059</cdr:y>
    </cdr:from>
    <cdr:to>
      <cdr:x>0.42439</cdr:x>
      <cdr:y>0.52941</cdr:y>
    </cdr:to>
    <cdr:sp>
      <cdr:nvSpPr>
        <cdr:cNvPr id="3" name="矩形 2"/>
        <cdr:cNvSpPr/>
      </cdr:nvSpPr>
      <cdr:spPr xmlns:a="http://schemas.openxmlformats.org/drawingml/2006/main">
        <a:xfrm xmlns:a="http://schemas.openxmlformats.org/drawingml/2006/main">
          <a:off x="1790700" y="1447800"/>
          <a:ext cx="447675" cy="1809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0.33951</cdr:x>
      <cdr:y>0.47059</cdr:y>
    </cdr:from>
    <cdr:to>
      <cdr:x>0.42439</cdr:x>
      <cdr:y>0.52941</cdr:y>
    </cdr:to>
    <cdr:sp>
      <cdr:nvSpPr>
        <cdr:cNvPr id="2" name="矩形 1"/>
        <cdr:cNvSpPr/>
      </cdr:nvSpPr>
      <cdr:spPr xmlns:a="http://schemas.openxmlformats.org/drawingml/2006/main">
        <a:xfrm xmlns:a="http://schemas.openxmlformats.org/drawingml/2006/main">
          <a:off x="1790700" y="1447800"/>
          <a:ext cx="447675" cy="1809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0.33951</cdr:x>
      <cdr:y>0.47059</cdr:y>
    </cdr:from>
    <cdr:to>
      <cdr:x>0.42439</cdr:x>
      <cdr:y>0.52941</cdr:y>
    </cdr:to>
    <cdr:sp>
      <cdr:nvSpPr>
        <cdr:cNvPr id="3" name="矩形 2"/>
        <cdr:cNvSpPr/>
      </cdr:nvSpPr>
      <cdr:spPr xmlns:a="http://schemas.openxmlformats.org/drawingml/2006/main">
        <a:xfrm xmlns:a="http://schemas.openxmlformats.org/drawingml/2006/main">
          <a:off x="1790700" y="1447800"/>
          <a:ext cx="447675" cy="1809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0.8215</cdr:x>
      <cdr:y>0.08527</cdr:y>
    </cdr:from>
    <cdr:to>
      <cdr:x>0.97314</cdr:x>
      <cdr:y>0.20355</cdr:y>
    </cdr:to>
    <cdr:sp>
      <cdr:nvSpPr>
        <cdr:cNvPr id="2" name="矩形 1"/>
        <cdr:cNvSpPr/>
      </cdr:nvSpPr>
      <cdr:spPr xmlns:a="http://schemas.openxmlformats.org/drawingml/2006/main">
        <a:xfrm xmlns:a="http://schemas.openxmlformats.org/drawingml/2006/main">
          <a:off x="4343400" y="200025"/>
          <a:ext cx="790575"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4.xml><?xml version="1.0" encoding="utf-8"?>
<c:userShapes xmlns:c="http://schemas.openxmlformats.org/drawingml/2006/chart">
  <cdr:relSizeAnchor xmlns:cdr="http://schemas.openxmlformats.org/drawingml/2006/chartDrawing">
    <cdr:from>
      <cdr:x>0.8215</cdr:x>
      <cdr:y>0.08527</cdr:y>
    </cdr:from>
    <cdr:to>
      <cdr:x>0.97314</cdr:x>
      <cdr:y>0.20355</cdr:y>
    </cdr:to>
    <cdr:sp>
      <cdr:nvSpPr>
        <cdr:cNvPr id="2" name="矩形 1"/>
        <cdr:cNvSpPr/>
      </cdr:nvSpPr>
      <cdr:spPr xmlns:a="http://schemas.openxmlformats.org/drawingml/2006/main">
        <a:xfrm xmlns:a="http://schemas.openxmlformats.org/drawingml/2006/main">
          <a:off x="4343400" y="200025"/>
          <a:ext cx="790575"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5.xml><?xml version="1.0" encoding="utf-8"?>
<c:userShapes xmlns:c="http://schemas.openxmlformats.org/drawingml/2006/chart">
  <cdr:relSizeAnchor xmlns:cdr="http://schemas.openxmlformats.org/drawingml/2006/chartDrawing">
    <cdr:from>
      <cdr:x>0.8215</cdr:x>
      <cdr:y>0.08527</cdr:y>
    </cdr:from>
    <cdr:to>
      <cdr:x>0.97314</cdr:x>
      <cdr:y>0.20355</cdr:y>
    </cdr:to>
    <cdr:sp>
      <cdr:nvSpPr>
        <cdr:cNvPr id="2" name="矩形 1"/>
        <cdr:cNvSpPr/>
      </cdr:nvSpPr>
      <cdr:spPr xmlns:a="http://schemas.openxmlformats.org/drawingml/2006/main">
        <a:xfrm xmlns:a="http://schemas.openxmlformats.org/drawingml/2006/main">
          <a:off x="4343400" y="200025"/>
          <a:ext cx="790575"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1316</Words>
  <Characters>7505</Characters>
  <Lines>62</Lines>
  <Paragraphs>17</Paragraphs>
  <TotalTime>449</TotalTime>
  <ScaleCrop>false</ScaleCrop>
  <LinksUpToDate>false</LinksUpToDate>
  <CharactersWithSpaces>8804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2019-08-01T17:14:00Z</dcterms:created>
  <dc:creator>张彬茜</dc:creator>
  <cp:lastModifiedBy>user</cp:lastModifiedBy>
  <cp:lastPrinted>2023-09-01T19:27:00Z</cp:lastPrinted>
  <dcterms:modified xsi:type="dcterms:W3CDTF">2026-05-20T15:31:59Z</dcterms:modified>
  <dc:title>四川省***</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D593247E9233440091FE672F01D3B7C1</vt:lpwstr>
  </property>
</Properties>
</file>