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eastAsia="宋体"/>
          <w:b/>
          <w:sz w:val="72"/>
          <w:szCs w:val="72"/>
        </w:rPr>
      </w:pPr>
      <w:bookmarkStart w:id="0" w:name="_Toc15378441"/>
      <w:bookmarkStart w:id="1" w:name="_Toc15377425"/>
      <w:bookmarkStart w:id="2" w:name="_Toc15396597"/>
      <w:bookmarkStart w:id="3" w:name="_Toc15396475"/>
      <w:bookmarkStart w:id="4" w:name="_Toc15377193"/>
      <w:bookmarkStart w:id="5" w:name="_Toc15306267"/>
    </w:p>
    <w:p>
      <w:pPr>
        <w:pStyle w:val="2"/>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2022年度</w:t>
      </w:r>
      <w:bookmarkEnd w:id="0"/>
      <w:bookmarkEnd w:id="1"/>
      <w:bookmarkEnd w:id="2"/>
      <w:bookmarkEnd w:id="3"/>
      <w:bookmarkEnd w:id="4"/>
    </w:p>
    <w:bookmarkEnd w:id="5"/>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eastAsia="方正小标宋简体" w:cs="方正小标宋简体"/>
          <w:sz w:val="44"/>
          <w:szCs w:val="44"/>
        </w:rPr>
      </w:pPr>
      <w:bookmarkStart w:id="6" w:name="_Toc15396598"/>
      <w:bookmarkStart w:id="7" w:name="_Toc15306268"/>
      <w:bookmarkStart w:id="8" w:name="_Toc15378442"/>
      <w:bookmarkStart w:id="9" w:name="_Toc15396476"/>
      <w:bookmarkStart w:id="10" w:name="_Toc15377194"/>
      <w:bookmarkStart w:id="11" w:name="_Toc15377426"/>
      <w:r>
        <w:rPr>
          <w:rFonts w:hint="eastAsia" w:ascii="方正小标宋简体" w:eastAsia="方正小标宋简体" w:cs="方正小标宋简体"/>
          <w:sz w:val="44"/>
          <w:szCs w:val="44"/>
        </w:rPr>
        <w:t>四川省阿坝州茂县行政审批局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宋体" w:eastAsia="宋体"/>
          <w:b/>
          <w:sz w:val="44"/>
          <w:szCs w:val="44"/>
        </w:rPr>
      </w:pPr>
      <w:r>
        <w:rPr>
          <w:rFonts w:hint="eastAsia" w:ascii="方正小标宋简体" w:eastAsia="方正小标宋简体" w:cs="方正小标宋简体"/>
          <w:sz w:val="44"/>
          <w:szCs w:val="44"/>
          <w:lang w:eastAsia="zh-CN"/>
        </w:rPr>
        <w:t>汇总</w:t>
      </w:r>
      <w:r>
        <w:rPr>
          <w:rFonts w:hint="eastAsia" w:ascii="方正小标宋简体" w:eastAsia="方正小标宋简体" w:cs="方正小标宋简体"/>
          <w:sz w:val="44"/>
          <w:szCs w:val="44"/>
        </w:rPr>
        <w:t>部门决算</w:t>
      </w:r>
      <w:bookmarkEnd w:id="6"/>
      <w:bookmarkEnd w:id="7"/>
      <w:bookmarkEnd w:id="8"/>
      <w:bookmarkEnd w:id="9"/>
      <w:bookmarkEnd w:id="10"/>
      <w:bookmarkEnd w:id="11"/>
    </w:p>
    <w:p>
      <w:pPr>
        <w:pStyle w:val="2"/>
      </w:pPr>
    </w:p>
    <w:p>
      <w:pPr>
        <w:pStyle w:val="2"/>
      </w:pPr>
    </w:p>
    <w:p>
      <w:pPr>
        <w:pStyle w:val="2"/>
      </w:pPr>
    </w:p>
    <w:p>
      <w:pPr>
        <w:pStyle w:val="2"/>
      </w:pPr>
    </w:p>
    <w:p>
      <w:pPr>
        <w:pStyle w:val="2"/>
      </w:pPr>
    </w:p>
    <w:p>
      <w:pPr>
        <w:pStyle w:val="2"/>
      </w:pPr>
    </w:p>
    <w:p>
      <w:pPr>
        <w:pStyle w:val="2"/>
        <w:tabs>
          <w:tab w:val="left" w:pos="3600"/>
        </w:tabs>
        <w:ind w:left="0" w:firstLine="0" w:firstLineChars="0"/>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autoSpaceDE w:val="0"/>
        <w:autoSpaceDN w:val="0"/>
        <w:bidi w:val="0"/>
        <w:adjustRightInd w:val="0"/>
        <w:snapToGrid/>
        <w:spacing w:line="576" w:lineRule="exact"/>
        <w:ind w:left="0" w:firstLine="640" w:firstLineChars="200"/>
        <w:jc w:val="left"/>
        <w:textAlignment w:val="auto"/>
        <w:rPr>
          <w:rFonts w:ascii="宋体" w:hAnsi="宋体"/>
          <w:sz w:val="32"/>
          <w:szCs w:val="32"/>
        </w:rPr>
      </w:pPr>
      <w:r>
        <w:rPr>
          <w:rFonts w:hint="eastAsia" w:ascii="宋体" w:hAnsi="宋体" w:cs="仿宋_GB2312"/>
          <w:sz w:val="32"/>
          <w:szCs w:val="32"/>
        </w:rPr>
        <w:t>保密审查情况：已审查，内容审定</w:t>
      </w:r>
    </w:p>
    <w:p>
      <w:pPr>
        <w:keepNext w:val="0"/>
        <w:keepLines w:val="0"/>
        <w:pageBreakBefore w:val="0"/>
        <w:widowControl w:val="0"/>
        <w:kinsoku/>
        <w:wordWrap/>
        <w:overflowPunct/>
        <w:topLinePunct w:val="0"/>
        <w:autoSpaceDE w:val="0"/>
        <w:autoSpaceDN w:val="0"/>
        <w:bidi w:val="0"/>
        <w:adjustRightInd w:val="0"/>
        <w:snapToGrid/>
        <w:spacing w:line="576" w:lineRule="exact"/>
        <w:ind w:left="0" w:firstLine="640" w:firstLineChars="200"/>
        <w:jc w:val="left"/>
        <w:textAlignment w:val="auto"/>
        <w:rPr>
          <w:rFonts w:ascii="宋体" w:hAnsi="宋体"/>
          <w:sz w:val="32"/>
          <w:szCs w:val="32"/>
        </w:rPr>
      </w:pPr>
      <w:r>
        <w:rPr>
          <w:rFonts w:hint="eastAsia" w:ascii="宋体" w:hAnsi="宋体" w:cs="仿宋_GB2312"/>
          <w:sz w:val="32"/>
          <w:szCs w:val="32"/>
        </w:rPr>
        <w:t>部门主要负责人审签情况：已审签，同意对外公开</w:t>
      </w:r>
    </w:p>
    <w:p>
      <w:pPr>
        <w:keepNext w:val="0"/>
        <w:keepLines w:val="0"/>
        <w:pageBreakBefore w:val="0"/>
        <w:widowControl/>
        <w:kinsoku/>
        <w:wordWrap/>
        <w:overflowPunct/>
        <w:topLinePunct w:val="0"/>
        <w:autoSpaceDE/>
        <w:autoSpaceDN/>
        <w:bidi w:val="0"/>
        <w:adjustRightInd/>
        <w:snapToGrid/>
        <w:spacing w:line="576" w:lineRule="exact"/>
        <w:ind w:left="0"/>
        <w:jc w:val="center"/>
        <w:textAlignment w:val="auto"/>
        <w:rPr>
          <w:rFonts w:ascii="黑体" w:eastAsia="黑体"/>
          <w:color w:val="000000"/>
          <w:sz w:val="44"/>
          <w:szCs w:val="44"/>
        </w:rPr>
      </w:pPr>
      <w:r>
        <w:rPr>
          <w:rFonts w:ascii="方正小标宋简体" w:eastAsia="方正小标宋简体"/>
          <w:color w:val="000000"/>
          <w:sz w:val="36"/>
          <w:szCs w:val="36"/>
        </w:rPr>
        <w:br w:type="page"/>
      </w:r>
      <w:bookmarkStart w:id="12" w:name="_Toc15377196"/>
      <w:r>
        <w:rPr>
          <w:rFonts w:hint="eastAsia" w:ascii="黑体" w:eastAsia="黑体"/>
          <w:color w:val="000000"/>
          <w:sz w:val="44"/>
          <w:szCs w:val="44"/>
        </w:rPr>
        <w:t>目录</w:t>
      </w:r>
    </w:p>
    <w:p>
      <w:pPr>
        <w:pStyle w:val="12"/>
        <w:keepNext w:val="0"/>
        <w:keepLines w:val="0"/>
        <w:pageBreakBefore w:val="0"/>
        <w:widowControl w:val="0"/>
        <w:kinsoku/>
        <w:wordWrap/>
        <w:overflowPunct/>
        <w:topLinePunct w:val="0"/>
        <w:autoSpaceDE/>
        <w:autoSpaceDN/>
        <w:bidi w:val="0"/>
        <w:adjustRightInd/>
        <w:snapToGrid/>
        <w:spacing w:before="0" w:line="576" w:lineRule="exact"/>
        <w:ind w:left="0"/>
        <w:jc w:val="center"/>
        <w:textAlignment w:val="auto"/>
        <w:rPr>
          <w:rFonts w:hint="eastAsia" w:ascii="楷体_GB2312" w:eastAsia="楷体_GB2312" w:cs="楷体_GB2312"/>
          <w:b/>
          <w:bCs/>
          <w:sz w:val="24"/>
          <w:szCs w:val="24"/>
        </w:rPr>
      </w:pPr>
      <w:r>
        <w:rPr>
          <w:rFonts w:hint="eastAsia" w:ascii="楷体_GB2312" w:eastAsia="楷体_GB2312" w:cs="楷体_GB2312"/>
          <w:b/>
          <w:bCs/>
          <w:sz w:val="24"/>
          <w:szCs w:val="24"/>
        </w:rPr>
        <w:t>公开时间：2023年</w:t>
      </w:r>
      <w:r>
        <w:rPr>
          <w:rFonts w:hint="eastAsia" w:ascii="楷体_GB2312" w:eastAsia="楷体_GB2312" w:cs="楷体_GB2312"/>
          <w:b/>
          <w:bCs/>
          <w:sz w:val="24"/>
          <w:szCs w:val="24"/>
          <w:lang w:val="en-US" w:eastAsia="zh-CN"/>
        </w:rPr>
        <w:t>9</w:t>
      </w:r>
      <w:r>
        <w:rPr>
          <w:rFonts w:hint="eastAsia" w:ascii="楷体_GB2312" w:eastAsia="楷体_GB2312" w:cs="楷体_GB2312"/>
          <w:b/>
          <w:bCs/>
          <w:sz w:val="24"/>
          <w:szCs w:val="24"/>
        </w:rPr>
        <w:t xml:space="preserve"> 月</w:t>
      </w:r>
      <w:r>
        <w:rPr>
          <w:rFonts w:hint="eastAsia" w:ascii="楷体_GB2312" w:eastAsia="楷体_GB2312" w:cs="楷体_GB2312"/>
          <w:b/>
          <w:bCs/>
          <w:sz w:val="24"/>
          <w:szCs w:val="24"/>
          <w:lang w:val="en-US" w:eastAsia="zh-CN"/>
        </w:rPr>
        <w:t>12</w:t>
      </w:r>
      <w:r>
        <w:rPr>
          <w:rFonts w:hint="eastAsia" w:ascii="楷体_GB2312" w:eastAsia="楷体_GB2312" w:cs="楷体_GB2312"/>
          <w:b/>
          <w:bCs/>
          <w:sz w:val="24"/>
          <w:szCs w:val="24"/>
        </w:rPr>
        <w:t>日</w:t>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76" w:lineRule="exact"/>
        <w:ind w:left="0"/>
        <w:jc w:val="both"/>
        <w:textAlignment w:val="auto"/>
        <w:rPr>
          <w:sz w:val="20"/>
          <w:szCs w:val="20"/>
        </w:rPr>
      </w:pPr>
      <w:r>
        <w:rPr>
          <w:sz w:val="20"/>
          <w:szCs w:val="20"/>
        </w:rPr>
        <w:fldChar w:fldCharType="begin"/>
      </w:r>
      <w:r>
        <w:rPr>
          <w:sz w:val="20"/>
          <w:szCs w:val="20"/>
        </w:rPr>
        <w:instrText xml:space="preserve">TOC \o "1-3" \h \u </w:instrText>
      </w:r>
      <w:r>
        <w:rPr>
          <w:sz w:val="20"/>
          <w:szCs w:val="20"/>
        </w:rPr>
        <w:fldChar w:fldCharType="separate"/>
      </w:r>
      <w:r>
        <w:rPr>
          <w:sz w:val="20"/>
          <w:szCs w:val="20"/>
        </w:rPr>
        <w:fldChar w:fldCharType="begin"/>
      </w:r>
      <w:r>
        <w:rPr>
          <w:sz w:val="20"/>
          <w:szCs w:val="20"/>
        </w:rPr>
        <w:instrText xml:space="preserve"> HYPERLINK \l _Toc4822 </w:instrText>
      </w:r>
      <w:r>
        <w:rPr>
          <w:sz w:val="20"/>
          <w:szCs w:val="20"/>
        </w:rPr>
        <w:fldChar w:fldCharType="separate"/>
      </w:r>
      <w:r>
        <w:rPr>
          <w:rFonts w:hint="eastAsia" w:ascii="黑体" w:eastAsia="黑体" w:cs="Times New Roman"/>
          <w:sz w:val="20"/>
          <w:szCs w:val="20"/>
          <w:lang w:bidi="ar-SA"/>
        </w:rPr>
        <w:t>第一部分 单位概况</w:t>
      </w:r>
      <w:r>
        <w:rPr>
          <w:sz w:val="20"/>
          <w:szCs w:val="20"/>
        </w:rPr>
        <w:tab/>
      </w:r>
      <w:r>
        <w:rPr>
          <w:rFonts w:hint="eastAsia"/>
          <w:sz w:val="20"/>
          <w:szCs w:val="20"/>
          <w:lang w:val="en-US" w:eastAsia="zh-CN"/>
        </w:rPr>
        <w:t>4</w:t>
      </w:r>
      <w:r>
        <w:rPr>
          <w:sz w:val="20"/>
          <w:szCs w:val="20"/>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_Toc28308 </w:instrText>
      </w:r>
      <w:r>
        <w:rPr>
          <w:sz w:val="20"/>
          <w:szCs w:val="20"/>
        </w:rPr>
        <w:fldChar w:fldCharType="separate"/>
      </w:r>
      <w:r>
        <w:rPr>
          <w:rFonts w:hint="eastAsia" w:ascii="黑体" w:eastAsia="黑体" w:cs="Times New Roman"/>
          <w:bCs w:val="0"/>
          <w:sz w:val="20"/>
          <w:szCs w:val="20"/>
        </w:rPr>
        <w:t>一、基本职能及主要工作</w:t>
      </w:r>
      <w:r>
        <w:rPr>
          <w:sz w:val="20"/>
          <w:szCs w:val="20"/>
        </w:rPr>
        <w:tab/>
      </w:r>
      <w:r>
        <w:rPr>
          <w:rFonts w:hint="eastAsia"/>
          <w:sz w:val="20"/>
          <w:szCs w:val="20"/>
          <w:lang w:val="en-US" w:eastAsia="zh-CN"/>
        </w:rPr>
        <w:t>4</w:t>
      </w:r>
      <w:r>
        <w:rPr>
          <w:sz w:val="20"/>
          <w:szCs w:val="20"/>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_Toc31324 </w:instrText>
      </w:r>
      <w:r>
        <w:rPr>
          <w:sz w:val="20"/>
          <w:szCs w:val="20"/>
        </w:rPr>
        <w:fldChar w:fldCharType="separate"/>
      </w:r>
      <w:r>
        <w:rPr>
          <w:rFonts w:hint="eastAsia" w:ascii="仿宋" w:eastAsia="仿宋"/>
          <w:sz w:val="20"/>
          <w:szCs w:val="20"/>
        </w:rPr>
        <w:t>（一）主要职能</w:t>
      </w:r>
      <w:r>
        <w:rPr>
          <w:sz w:val="20"/>
          <w:szCs w:val="20"/>
        </w:rPr>
        <w:tab/>
      </w:r>
      <w:r>
        <w:rPr>
          <w:rFonts w:hint="eastAsia"/>
          <w:sz w:val="20"/>
          <w:szCs w:val="20"/>
          <w:lang w:val="en-US" w:eastAsia="zh-CN"/>
        </w:rPr>
        <w:t>4</w:t>
      </w:r>
      <w:r>
        <w:rPr>
          <w:sz w:val="20"/>
          <w:szCs w:val="20"/>
        </w:rPr>
        <w:fldChar w:fldCharType="end"/>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_Toc9030 </w:instrText>
      </w:r>
      <w:r>
        <w:rPr>
          <w:sz w:val="20"/>
          <w:szCs w:val="20"/>
        </w:rPr>
        <w:fldChar w:fldCharType="separate"/>
      </w:r>
      <w:r>
        <w:rPr>
          <w:rFonts w:hint="eastAsia" w:ascii="仿宋" w:eastAsia="仿宋"/>
          <w:sz w:val="20"/>
          <w:szCs w:val="20"/>
        </w:rPr>
        <w:t>（二）</w:t>
      </w:r>
      <w:r>
        <w:rPr>
          <w:rFonts w:ascii="仿宋" w:eastAsia="仿宋"/>
          <w:sz w:val="20"/>
          <w:szCs w:val="20"/>
        </w:rPr>
        <w:t>2022</w:t>
      </w:r>
      <w:r>
        <w:rPr>
          <w:rFonts w:hint="eastAsia" w:ascii="仿宋" w:eastAsia="仿宋"/>
          <w:sz w:val="20"/>
          <w:szCs w:val="20"/>
        </w:rPr>
        <w:t>重点工作完成情况</w:t>
      </w:r>
      <w:r>
        <w:rPr>
          <w:sz w:val="20"/>
          <w:szCs w:val="20"/>
        </w:rPr>
        <w:tab/>
      </w:r>
      <w:r>
        <w:rPr>
          <w:rFonts w:hint="eastAsia"/>
          <w:sz w:val="20"/>
          <w:szCs w:val="20"/>
          <w:lang w:val="en-US" w:eastAsia="zh-CN"/>
        </w:rPr>
        <w:t>5</w:t>
      </w:r>
      <w:r>
        <w:rPr>
          <w:sz w:val="20"/>
          <w:szCs w:val="20"/>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_Toc6006 </w:instrText>
      </w:r>
      <w:r>
        <w:rPr>
          <w:sz w:val="20"/>
          <w:szCs w:val="20"/>
        </w:rPr>
        <w:fldChar w:fldCharType="separate"/>
      </w:r>
      <w:r>
        <w:rPr>
          <w:rFonts w:hint="eastAsia" w:ascii="黑体" w:eastAsia="黑体" w:cs="Times New Roman"/>
          <w:bCs w:val="0"/>
          <w:sz w:val="20"/>
          <w:szCs w:val="20"/>
          <w:lang w:eastAsia="zh-CN"/>
        </w:rPr>
        <w:t>（三）</w:t>
      </w:r>
      <w:r>
        <w:rPr>
          <w:rFonts w:hint="eastAsia" w:ascii="黑体" w:eastAsia="黑体" w:cs="Times New Roman"/>
          <w:bCs w:val="0"/>
          <w:sz w:val="20"/>
          <w:szCs w:val="20"/>
        </w:rPr>
        <w:t>机构设置</w:t>
      </w:r>
      <w:r>
        <w:rPr>
          <w:sz w:val="20"/>
          <w:szCs w:val="20"/>
        </w:rPr>
        <w:tab/>
      </w:r>
      <w:r>
        <w:rPr>
          <w:rFonts w:hint="eastAsia"/>
          <w:sz w:val="20"/>
          <w:szCs w:val="20"/>
          <w:lang w:val="en-US" w:eastAsia="zh-CN"/>
        </w:rPr>
        <w:t>7</w:t>
      </w:r>
      <w:r>
        <w:rPr>
          <w:sz w:val="20"/>
          <w:szCs w:val="20"/>
        </w:rPr>
        <w:fldChar w:fldCharType="end"/>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76" w:lineRule="exact"/>
        <w:ind w:left="0"/>
        <w:jc w:val="both"/>
        <w:textAlignment w:val="auto"/>
        <w:rPr>
          <w:sz w:val="20"/>
          <w:szCs w:val="20"/>
        </w:rPr>
      </w:pPr>
      <w:r>
        <w:rPr>
          <w:sz w:val="20"/>
          <w:szCs w:val="20"/>
        </w:rPr>
        <w:fldChar w:fldCharType="begin"/>
      </w:r>
      <w:r>
        <w:rPr>
          <w:sz w:val="20"/>
          <w:szCs w:val="20"/>
        </w:rPr>
        <w:instrText xml:space="preserve"> HYPERLINK \l _Toc13072 </w:instrText>
      </w:r>
      <w:r>
        <w:rPr>
          <w:sz w:val="20"/>
          <w:szCs w:val="20"/>
        </w:rPr>
        <w:fldChar w:fldCharType="separate"/>
      </w:r>
      <w:r>
        <w:rPr>
          <w:rFonts w:hint="eastAsia" w:ascii="黑体" w:eastAsia="黑体" w:cs="黑体"/>
          <w:sz w:val="20"/>
          <w:szCs w:val="20"/>
        </w:rPr>
        <w:t>第二部分</w:t>
      </w:r>
      <w:r>
        <w:rPr>
          <w:rFonts w:ascii="黑体" w:eastAsia="黑体" w:cs="黑体"/>
          <w:sz w:val="20"/>
          <w:szCs w:val="20"/>
        </w:rPr>
        <w:t xml:space="preserve"> </w:t>
      </w:r>
      <w:r>
        <w:rPr>
          <w:rFonts w:hint="eastAsia" w:ascii="黑体" w:eastAsia="黑体" w:cs="黑体"/>
          <w:sz w:val="20"/>
          <w:szCs w:val="20"/>
        </w:rPr>
        <w:t>2022</w:t>
      </w:r>
      <w:r>
        <w:rPr>
          <w:rFonts w:ascii="黑体" w:eastAsia="黑体" w:cs="黑体"/>
          <w:sz w:val="20"/>
          <w:szCs w:val="20"/>
        </w:rPr>
        <w:t>年度部门决算情况说明</w:t>
      </w:r>
      <w:r>
        <w:rPr>
          <w:sz w:val="20"/>
          <w:szCs w:val="20"/>
        </w:rPr>
        <w:tab/>
      </w:r>
      <w:r>
        <w:rPr>
          <w:rFonts w:hint="eastAsia"/>
          <w:sz w:val="20"/>
          <w:szCs w:val="20"/>
          <w:lang w:val="en-US" w:eastAsia="zh-CN"/>
        </w:rPr>
        <w:t>7</w:t>
      </w:r>
      <w:r>
        <w:rPr>
          <w:sz w:val="20"/>
          <w:szCs w:val="20"/>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_Toc26866 </w:instrText>
      </w:r>
      <w:r>
        <w:rPr>
          <w:sz w:val="20"/>
          <w:szCs w:val="20"/>
        </w:rPr>
        <w:fldChar w:fldCharType="separate"/>
      </w:r>
      <w:r>
        <w:rPr>
          <w:rFonts w:hint="eastAsia" w:ascii="黑体" w:eastAsia="黑体" w:cs="Times New Roman"/>
          <w:bCs w:val="0"/>
          <w:sz w:val="20"/>
          <w:szCs w:val="20"/>
        </w:rPr>
        <w:t>一、收入支出决算总体情况说明</w:t>
      </w:r>
      <w:r>
        <w:rPr>
          <w:sz w:val="20"/>
          <w:szCs w:val="20"/>
        </w:rPr>
        <w:tab/>
      </w:r>
      <w:r>
        <w:rPr>
          <w:rFonts w:hint="eastAsia"/>
          <w:sz w:val="20"/>
          <w:szCs w:val="20"/>
          <w:lang w:val="en-US" w:eastAsia="zh-CN"/>
        </w:rPr>
        <w:t>7</w:t>
      </w:r>
      <w:r>
        <w:rPr>
          <w:sz w:val="20"/>
          <w:szCs w:val="20"/>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_Toc6572 </w:instrText>
      </w:r>
      <w:r>
        <w:rPr>
          <w:sz w:val="20"/>
          <w:szCs w:val="20"/>
        </w:rPr>
        <w:fldChar w:fldCharType="separate"/>
      </w:r>
      <w:r>
        <w:rPr>
          <w:rFonts w:hint="eastAsia" w:ascii="黑体" w:eastAsia="黑体" w:cs="Times New Roman"/>
          <w:bCs w:val="0"/>
          <w:sz w:val="20"/>
          <w:szCs w:val="20"/>
        </w:rPr>
        <w:t>二、收入决算情况说明</w:t>
      </w:r>
      <w:r>
        <w:rPr>
          <w:sz w:val="20"/>
          <w:szCs w:val="20"/>
        </w:rPr>
        <w:tab/>
      </w:r>
      <w:r>
        <w:rPr>
          <w:rFonts w:hint="eastAsia"/>
          <w:sz w:val="20"/>
          <w:szCs w:val="20"/>
          <w:lang w:val="en-US" w:eastAsia="zh-CN"/>
        </w:rPr>
        <w:t>8</w:t>
      </w:r>
      <w:r>
        <w:rPr>
          <w:sz w:val="20"/>
          <w:szCs w:val="20"/>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_Toc2831 </w:instrText>
      </w:r>
      <w:r>
        <w:rPr>
          <w:sz w:val="20"/>
          <w:szCs w:val="20"/>
        </w:rPr>
        <w:fldChar w:fldCharType="separate"/>
      </w:r>
      <w:r>
        <w:rPr>
          <w:rFonts w:hint="eastAsia" w:ascii="黑体" w:eastAsia="黑体" w:cs="Times New Roman"/>
          <w:bCs w:val="0"/>
          <w:sz w:val="20"/>
          <w:szCs w:val="20"/>
        </w:rPr>
        <w:t>三、支出决算情况说明</w:t>
      </w:r>
      <w:r>
        <w:rPr>
          <w:sz w:val="20"/>
          <w:szCs w:val="20"/>
        </w:rPr>
        <w:tab/>
      </w:r>
      <w:r>
        <w:rPr>
          <w:rFonts w:hint="eastAsia"/>
          <w:sz w:val="20"/>
          <w:szCs w:val="20"/>
          <w:lang w:val="en-US" w:eastAsia="zh-CN"/>
        </w:rPr>
        <w:t>9</w:t>
      </w:r>
      <w:r>
        <w:rPr>
          <w:sz w:val="20"/>
          <w:szCs w:val="20"/>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sz w:val="20"/>
          <w:szCs w:val="20"/>
        </w:rPr>
      </w:pPr>
      <w:r>
        <w:rPr>
          <w:sz w:val="20"/>
          <w:szCs w:val="20"/>
        </w:rPr>
        <w:fldChar w:fldCharType="begin"/>
      </w:r>
      <w:r>
        <w:rPr>
          <w:sz w:val="20"/>
          <w:szCs w:val="20"/>
        </w:rPr>
        <w:instrText xml:space="preserve"> HYPERLINK \l _Toc31774 </w:instrText>
      </w:r>
      <w:r>
        <w:rPr>
          <w:sz w:val="20"/>
          <w:szCs w:val="20"/>
        </w:rPr>
        <w:fldChar w:fldCharType="separate"/>
      </w:r>
      <w:r>
        <w:rPr>
          <w:rFonts w:hint="eastAsia" w:ascii="黑体" w:eastAsia="黑体" w:cs="Times New Roman"/>
          <w:bCs w:val="0"/>
          <w:sz w:val="20"/>
          <w:szCs w:val="20"/>
        </w:rPr>
        <w:t>四、财政拨款收入支出决算总体情况说明</w:t>
      </w:r>
      <w:r>
        <w:rPr>
          <w:sz w:val="20"/>
          <w:szCs w:val="20"/>
        </w:rPr>
        <w:tab/>
      </w:r>
      <w:r>
        <w:rPr>
          <w:rFonts w:hint="eastAsia"/>
          <w:sz w:val="20"/>
          <w:szCs w:val="20"/>
          <w:lang w:val="en-US" w:eastAsia="zh-CN"/>
        </w:rPr>
        <w:t>9</w:t>
      </w:r>
      <w:r>
        <w:rPr>
          <w:sz w:val="20"/>
          <w:szCs w:val="20"/>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_Toc10622 </w:instrText>
      </w:r>
      <w:r>
        <w:rPr>
          <w:sz w:val="20"/>
          <w:szCs w:val="20"/>
        </w:rPr>
        <w:fldChar w:fldCharType="separate"/>
      </w:r>
      <w:r>
        <w:rPr>
          <w:rFonts w:hint="eastAsia" w:ascii="黑体" w:eastAsia="黑体" w:cs="Times New Roman"/>
          <w:bCs w:val="0"/>
          <w:sz w:val="20"/>
          <w:szCs w:val="20"/>
        </w:rPr>
        <w:t>五、一般公共预算财政拨款支出决算情况说明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0</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_Toc28455 </w:instrText>
      </w:r>
      <w:r>
        <w:rPr>
          <w:sz w:val="20"/>
          <w:szCs w:val="20"/>
        </w:rPr>
        <w:fldChar w:fldCharType="separate"/>
      </w:r>
      <w:r>
        <w:rPr>
          <w:rFonts w:hint="eastAsia" w:ascii="仿宋" w:eastAsia="仿宋"/>
          <w:sz w:val="20"/>
          <w:szCs w:val="20"/>
        </w:rPr>
        <w:t>（一）一般公共预算财政拨款支出决算总体情况</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0</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default" w:eastAsia="仿宋_GB2312"/>
          <w:sz w:val="20"/>
          <w:szCs w:val="20"/>
          <w:lang w:val="en-US" w:eastAsia="zh-CN"/>
        </w:rPr>
      </w:pPr>
      <w:r>
        <w:rPr>
          <w:sz w:val="20"/>
          <w:szCs w:val="20"/>
        </w:rPr>
        <w:fldChar w:fldCharType="begin"/>
      </w:r>
      <w:r>
        <w:rPr>
          <w:sz w:val="20"/>
          <w:szCs w:val="20"/>
        </w:rPr>
        <w:instrText xml:space="preserve"> HYPERLINK \l _Toc1664 </w:instrText>
      </w:r>
      <w:r>
        <w:rPr>
          <w:sz w:val="20"/>
          <w:szCs w:val="20"/>
        </w:rPr>
        <w:fldChar w:fldCharType="separate"/>
      </w:r>
      <w:r>
        <w:rPr>
          <w:rFonts w:hint="eastAsia" w:ascii="仿宋" w:eastAsia="仿宋"/>
          <w:sz w:val="20"/>
          <w:szCs w:val="20"/>
        </w:rPr>
        <w:t>（二）一般公共预算财政拨款支出决算结构情况（一般公共预算收支表）</w:t>
      </w:r>
      <w:r>
        <w:rPr>
          <w:rFonts w:hint="eastAsia" w:ascii="仿宋" w:eastAsia="仿宋"/>
          <w:sz w:val="20"/>
          <w:szCs w:val="20"/>
          <w:lang w:val="en-US" w:eastAsia="zh-CN"/>
        </w:rPr>
        <w:t>.</w:t>
      </w:r>
      <w:r>
        <w:rPr>
          <w:sz w:val="20"/>
          <w:szCs w:val="20"/>
        </w:rPr>
        <w:fldChar w:fldCharType="end"/>
      </w:r>
      <w:r>
        <w:rPr>
          <w:rFonts w:hint="eastAsia"/>
          <w:sz w:val="20"/>
          <w:szCs w:val="20"/>
          <w:lang w:val="en-US" w:eastAsia="zh-CN"/>
        </w:rPr>
        <w:t>................................10</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_Toc21092 </w:instrText>
      </w:r>
      <w:r>
        <w:rPr>
          <w:sz w:val="20"/>
          <w:szCs w:val="20"/>
        </w:rPr>
        <w:fldChar w:fldCharType="separate"/>
      </w:r>
      <w:r>
        <w:rPr>
          <w:rFonts w:hint="eastAsia" w:ascii="仿宋" w:eastAsia="仿宋"/>
          <w:sz w:val="20"/>
          <w:szCs w:val="20"/>
        </w:rPr>
        <w:t>（三）一般公共预算财政拨款支出决算具体情况</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1</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_Toc6174 </w:instrText>
      </w:r>
      <w:r>
        <w:rPr>
          <w:sz w:val="20"/>
          <w:szCs w:val="20"/>
        </w:rPr>
        <w:fldChar w:fldCharType="separate"/>
      </w:r>
      <w:r>
        <w:rPr>
          <w:rFonts w:hint="eastAsia" w:ascii="黑体" w:eastAsia="黑体" w:cs="Times New Roman"/>
          <w:bCs w:val="0"/>
          <w:sz w:val="20"/>
          <w:szCs w:val="20"/>
        </w:rPr>
        <w:t>六、一般公共预算财政拨款基本支出决算情况说明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2</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_Toc27951 </w:instrText>
      </w:r>
      <w:r>
        <w:rPr>
          <w:sz w:val="20"/>
          <w:szCs w:val="20"/>
        </w:rPr>
        <w:fldChar w:fldCharType="separate"/>
      </w:r>
      <w:r>
        <w:rPr>
          <w:rFonts w:hint="eastAsia" w:ascii="黑体" w:eastAsia="黑体" w:cs="Times New Roman"/>
          <w:bCs w:val="0"/>
          <w:sz w:val="20"/>
          <w:szCs w:val="20"/>
        </w:rPr>
        <w:t>七、“三公”经费财政拨款支出决算情况说明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3</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_Toc21488 </w:instrText>
      </w:r>
      <w:r>
        <w:rPr>
          <w:sz w:val="20"/>
          <w:szCs w:val="20"/>
        </w:rPr>
        <w:fldChar w:fldCharType="separate"/>
      </w:r>
      <w:r>
        <w:rPr>
          <w:rFonts w:hint="eastAsia" w:ascii="仿宋" w:eastAsia="仿宋"/>
          <w:sz w:val="20"/>
          <w:szCs w:val="20"/>
        </w:rPr>
        <w:t>（一）“三公”经费财政拨款支出决算总体情况说明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3</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_Toc9150 </w:instrText>
      </w:r>
      <w:r>
        <w:rPr>
          <w:sz w:val="20"/>
          <w:szCs w:val="20"/>
        </w:rPr>
        <w:fldChar w:fldCharType="separate"/>
      </w:r>
      <w:r>
        <w:rPr>
          <w:rFonts w:hint="eastAsia" w:ascii="仿宋" w:eastAsia="仿宋"/>
          <w:sz w:val="20"/>
          <w:szCs w:val="20"/>
        </w:rPr>
        <w:t>（二）“三公”经费财政拨款支出决算具体情况说明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3</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_Toc18000 </w:instrText>
      </w:r>
      <w:r>
        <w:rPr>
          <w:sz w:val="20"/>
          <w:szCs w:val="20"/>
        </w:rPr>
        <w:fldChar w:fldCharType="separate"/>
      </w:r>
      <w:r>
        <w:rPr>
          <w:rFonts w:hint="eastAsia" w:ascii="黑体" w:eastAsia="黑体" w:cs="Times New Roman"/>
          <w:bCs w:val="0"/>
          <w:sz w:val="20"/>
          <w:szCs w:val="20"/>
        </w:rPr>
        <w:t>八、政府性基金预算支出决算情况说明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4</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_Toc3611 </w:instrText>
      </w:r>
      <w:r>
        <w:rPr>
          <w:sz w:val="20"/>
          <w:szCs w:val="20"/>
        </w:rPr>
        <w:fldChar w:fldCharType="separate"/>
      </w:r>
      <w:r>
        <w:rPr>
          <w:rFonts w:hint="eastAsia" w:ascii="黑体" w:eastAsia="黑体" w:cs="Times New Roman"/>
          <w:bCs w:val="0"/>
          <w:sz w:val="20"/>
          <w:szCs w:val="20"/>
        </w:rPr>
        <w:t>九、国有资本经营预算支出决算情况说明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4</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_Toc14313 </w:instrText>
      </w:r>
      <w:r>
        <w:rPr>
          <w:sz w:val="20"/>
          <w:szCs w:val="20"/>
        </w:rPr>
        <w:fldChar w:fldCharType="separate"/>
      </w:r>
      <w:r>
        <w:rPr>
          <w:rFonts w:hint="eastAsia" w:ascii="黑体" w:eastAsia="黑体" w:cs="Times New Roman"/>
          <w:bCs w:val="0"/>
          <w:sz w:val="20"/>
          <w:szCs w:val="20"/>
        </w:rPr>
        <w:t>十、其他重要事项的情况说明</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4</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_Toc18401 </w:instrText>
      </w:r>
      <w:r>
        <w:rPr>
          <w:sz w:val="20"/>
          <w:szCs w:val="20"/>
        </w:rPr>
        <w:fldChar w:fldCharType="separate"/>
      </w:r>
      <w:r>
        <w:rPr>
          <w:rFonts w:hint="eastAsia" w:ascii="仿宋" w:eastAsia="仿宋"/>
          <w:sz w:val="20"/>
          <w:szCs w:val="20"/>
        </w:rPr>
        <w:t>（一</w:t>
      </w:r>
      <w:r>
        <w:rPr>
          <w:rFonts w:hint="eastAsia" w:ascii="仿宋_GB2312" w:eastAsia="仿宋_GB2312" w:cs="仿宋_GB2312"/>
          <w:sz w:val="20"/>
          <w:szCs w:val="20"/>
        </w:rPr>
        <w:t>）机关运行经费支出</w:t>
      </w:r>
      <w:r>
        <w:rPr>
          <w:rFonts w:hint="eastAsia" w:ascii="仿宋" w:eastAsia="仿宋"/>
          <w:sz w:val="20"/>
          <w:szCs w:val="20"/>
        </w:rPr>
        <w:t>情况</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4</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_Toc32005 </w:instrText>
      </w:r>
      <w:r>
        <w:rPr>
          <w:sz w:val="20"/>
          <w:szCs w:val="20"/>
        </w:rPr>
        <w:fldChar w:fldCharType="separate"/>
      </w:r>
      <w:r>
        <w:rPr>
          <w:rFonts w:hint="eastAsia" w:ascii="仿宋" w:eastAsia="仿宋"/>
          <w:sz w:val="20"/>
          <w:szCs w:val="20"/>
        </w:rPr>
        <w:t>（二）政府采购支出情况(机构运行信息表)</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4</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_Toc18150 </w:instrText>
      </w:r>
      <w:r>
        <w:rPr>
          <w:sz w:val="20"/>
          <w:szCs w:val="20"/>
        </w:rPr>
        <w:fldChar w:fldCharType="separate"/>
      </w:r>
      <w:r>
        <w:rPr>
          <w:rFonts w:hint="eastAsia" w:ascii="仿宋" w:eastAsia="仿宋"/>
          <w:sz w:val="20"/>
          <w:szCs w:val="20"/>
        </w:rPr>
        <w:t>（三）国有资产占有使用情况</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5</w:t>
      </w:r>
    </w:p>
    <w:p>
      <w:pPr>
        <w:pStyle w:val="8"/>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_Toc9225 </w:instrText>
      </w:r>
      <w:r>
        <w:rPr>
          <w:sz w:val="20"/>
          <w:szCs w:val="20"/>
        </w:rPr>
        <w:fldChar w:fldCharType="separate"/>
      </w:r>
      <w:r>
        <w:rPr>
          <w:rFonts w:hint="eastAsia" w:ascii="仿宋" w:eastAsia="仿宋"/>
          <w:sz w:val="20"/>
          <w:szCs w:val="20"/>
        </w:rPr>
        <w:t>（四）预算绩效管理情况</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5</w:t>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76" w:lineRule="exact"/>
        <w:ind w:left="0"/>
        <w:jc w:val="both"/>
        <w:textAlignment w:val="auto"/>
        <w:rPr>
          <w:rFonts w:hint="eastAsia" w:eastAsia="仿宋"/>
          <w:sz w:val="20"/>
          <w:szCs w:val="20"/>
          <w:lang w:val="en-US" w:eastAsia="zh-CN"/>
        </w:rPr>
      </w:pPr>
      <w:r>
        <w:rPr>
          <w:sz w:val="20"/>
          <w:szCs w:val="20"/>
        </w:rPr>
        <w:fldChar w:fldCharType="begin"/>
      </w:r>
      <w:r>
        <w:rPr>
          <w:sz w:val="20"/>
          <w:szCs w:val="20"/>
        </w:rPr>
        <w:instrText xml:space="preserve"> HYPERLINK \l _Toc14398 </w:instrText>
      </w:r>
      <w:r>
        <w:rPr>
          <w:sz w:val="20"/>
          <w:szCs w:val="20"/>
        </w:rPr>
        <w:fldChar w:fldCharType="separate"/>
      </w:r>
      <w:r>
        <w:rPr>
          <w:rFonts w:hint="eastAsia" w:ascii="黑体" w:eastAsia="黑体" w:cs="黑体"/>
          <w:sz w:val="20"/>
          <w:szCs w:val="20"/>
        </w:rPr>
        <w:t>第三部分 名词解释</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5</w:t>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76" w:lineRule="exact"/>
        <w:ind w:left="0"/>
        <w:jc w:val="both"/>
        <w:textAlignment w:val="auto"/>
        <w:rPr>
          <w:rFonts w:hint="eastAsia" w:eastAsia="仿宋"/>
          <w:sz w:val="20"/>
          <w:szCs w:val="20"/>
          <w:lang w:val="en-US" w:eastAsia="zh-CN"/>
        </w:rPr>
      </w:pPr>
      <w:r>
        <w:rPr>
          <w:sz w:val="20"/>
          <w:szCs w:val="20"/>
        </w:rPr>
        <w:fldChar w:fldCharType="begin"/>
      </w:r>
      <w:r>
        <w:rPr>
          <w:sz w:val="20"/>
          <w:szCs w:val="20"/>
        </w:rPr>
        <w:instrText xml:space="preserve"> HYPERLINK \l _Toc9463 </w:instrText>
      </w:r>
      <w:r>
        <w:rPr>
          <w:sz w:val="20"/>
          <w:szCs w:val="20"/>
        </w:rPr>
        <w:fldChar w:fldCharType="separate"/>
      </w:r>
      <w:r>
        <w:rPr>
          <w:rFonts w:hint="eastAsia" w:ascii="黑体" w:eastAsia="黑体" w:cs="黑体"/>
          <w:sz w:val="20"/>
          <w:szCs w:val="20"/>
        </w:rPr>
        <w:t>第四部分 附件</w:t>
      </w:r>
      <w:r>
        <w:rPr>
          <w:sz w:val="20"/>
          <w:szCs w:val="20"/>
        </w:rPr>
        <w:tab/>
      </w:r>
      <w:r>
        <w:rPr>
          <w:rFonts w:hint="eastAsia"/>
          <w:sz w:val="20"/>
          <w:szCs w:val="20"/>
          <w:lang w:val="en-US" w:eastAsia="zh-CN"/>
        </w:rPr>
        <w:t>1</w:t>
      </w:r>
      <w:r>
        <w:rPr>
          <w:sz w:val="20"/>
          <w:szCs w:val="20"/>
        </w:rPr>
        <w:fldChar w:fldCharType="end"/>
      </w:r>
      <w:r>
        <w:rPr>
          <w:rFonts w:hint="eastAsia"/>
          <w:sz w:val="20"/>
          <w:szCs w:val="20"/>
          <w:lang w:val="en-US" w:eastAsia="zh-CN"/>
        </w:rPr>
        <w:t>9</w:t>
      </w:r>
    </w:p>
    <w:p>
      <w:pPr>
        <w:pStyle w:val="12"/>
        <w:keepNext w:val="0"/>
        <w:keepLines w:val="0"/>
        <w:pageBreakBefore w:val="0"/>
        <w:widowControl w:val="0"/>
        <w:tabs>
          <w:tab w:val="right" w:leader="dot" w:pos="8306"/>
          <w:tab w:val="clear" w:pos="8296"/>
        </w:tabs>
        <w:kinsoku/>
        <w:wordWrap/>
        <w:overflowPunct/>
        <w:topLinePunct w:val="0"/>
        <w:autoSpaceDE/>
        <w:autoSpaceDN/>
        <w:bidi w:val="0"/>
        <w:adjustRightInd/>
        <w:snapToGrid/>
        <w:spacing w:before="0" w:line="576" w:lineRule="exact"/>
        <w:ind w:left="0"/>
        <w:jc w:val="both"/>
        <w:textAlignment w:val="auto"/>
        <w:rPr>
          <w:rFonts w:hint="eastAsia" w:eastAsia="仿宋"/>
          <w:sz w:val="20"/>
          <w:szCs w:val="20"/>
          <w:lang w:val="en-US" w:eastAsia="zh-CN"/>
        </w:rPr>
      </w:pPr>
      <w:r>
        <w:rPr>
          <w:sz w:val="20"/>
          <w:szCs w:val="20"/>
        </w:rPr>
        <w:fldChar w:fldCharType="begin"/>
      </w:r>
      <w:r>
        <w:rPr>
          <w:sz w:val="20"/>
          <w:szCs w:val="20"/>
        </w:rPr>
        <w:instrText xml:space="preserve"> HYPERLINK \l _Toc7730 </w:instrText>
      </w:r>
      <w:r>
        <w:rPr>
          <w:sz w:val="20"/>
          <w:szCs w:val="20"/>
        </w:rPr>
        <w:fldChar w:fldCharType="separate"/>
      </w:r>
      <w:r>
        <w:rPr>
          <w:rFonts w:hint="eastAsia" w:ascii="黑体" w:eastAsia="黑体" w:cs="黑体"/>
          <w:sz w:val="20"/>
          <w:szCs w:val="20"/>
        </w:rPr>
        <w:t>第五部分 附表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_Toc506 </w:instrText>
      </w:r>
      <w:r>
        <w:rPr>
          <w:sz w:val="20"/>
          <w:szCs w:val="20"/>
        </w:rPr>
        <w:fldChar w:fldCharType="separate"/>
      </w:r>
      <w:r>
        <w:rPr>
          <w:rFonts w:hint="eastAsia" w:ascii="黑体" w:eastAsia="黑体" w:cs="Times New Roman"/>
          <w:bCs w:val="0"/>
          <w:sz w:val="20"/>
          <w:szCs w:val="20"/>
        </w:rPr>
        <w:t>一、收入支出决算总表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_Toc32553 </w:instrText>
      </w:r>
      <w:r>
        <w:rPr>
          <w:sz w:val="20"/>
          <w:szCs w:val="20"/>
        </w:rPr>
        <w:fldChar w:fldCharType="separate"/>
      </w:r>
      <w:r>
        <w:rPr>
          <w:rFonts w:hint="eastAsia" w:ascii="黑体" w:eastAsia="黑体" w:cs="Times New Roman"/>
          <w:bCs w:val="0"/>
          <w:sz w:val="20"/>
          <w:szCs w:val="20"/>
        </w:rPr>
        <w:t>二、收入决算表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_Toc2365 </w:instrText>
      </w:r>
      <w:r>
        <w:rPr>
          <w:sz w:val="20"/>
          <w:szCs w:val="20"/>
        </w:rPr>
        <w:fldChar w:fldCharType="separate"/>
      </w:r>
      <w:r>
        <w:rPr>
          <w:rFonts w:hint="eastAsia" w:ascii="黑体" w:eastAsia="黑体" w:cs="Times New Roman"/>
          <w:bCs w:val="0"/>
          <w:sz w:val="20"/>
          <w:szCs w:val="20"/>
        </w:rPr>
        <w:t>三、支出决算表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_Toc13453 </w:instrText>
      </w:r>
      <w:r>
        <w:rPr>
          <w:sz w:val="20"/>
          <w:szCs w:val="20"/>
        </w:rPr>
        <w:fldChar w:fldCharType="separate"/>
      </w:r>
      <w:r>
        <w:rPr>
          <w:rFonts w:hint="eastAsia" w:ascii="黑体" w:eastAsia="黑体" w:cs="Times New Roman"/>
          <w:bCs w:val="0"/>
          <w:sz w:val="20"/>
          <w:szCs w:val="20"/>
        </w:rPr>
        <w:t>四、财政拨款收入支出决算总表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_Toc10916 </w:instrText>
      </w:r>
      <w:r>
        <w:rPr>
          <w:sz w:val="20"/>
          <w:szCs w:val="20"/>
        </w:rPr>
        <w:fldChar w:fldCharType="separate"/>
      </w:r>
      <w:r>
        <w:rPr>
          <w:rFonts w:hint="eastAsia" w:ascii="黑体" w:eastAsia="黑体" w:cs="Times New Roman"/>
          <w:bCs w:val="0"/>
          <w:sz w:val="20"/>
          <w:szCs w:val="20"/>
        </w:rPr>
        <w:t>五、财政拨款支出决算明细表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_Toc8762 </w:instrText>
      </w:r>
      <w:r>
        <w:rPr>
          <w:sz w:val="20"/>
          <w:szCs w:val="20"/>
        </w:rPr>
        <w:fldChar w:fldCharType="separate"/>
      </w:r>
      <w:r>
        <w:rPr>
          <w:rFonts w:hint="eastAsia" w:ascii="黑体" w:eastAsia="黑体" w:cs="Times New Roman"/>
          <w:bCs w:val="0"/>
          <w:sz w:val="20"/>
          <w:szCs w:val="20"/>
        </w:rPr>
        <w:t>六、一般公共预算财政拨款支出决算表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_Toc10268 </w:instrText>
      </w:r>
      <w:r>
        <w:rPr>
          <w:sz w:val="20"/>
          <w:szCs w:val="20"/>
        </w:rPr>
        <w:fldChar w:fldCharType="separate"/>
      </w:r>
      <w:r>
        <w:rPr>
          <w:rFonts w:hint="eastAsia" w:ascii="黑体" w:eastAsia="黑体" w:cs="Times New Roman"/>
          <w:bCs w:val="0"/>
          <w:sz w:val="20"/>
          <w:szCs w:val="20"/>
        </w:rPr>
        <w:t>七、一般公共预算财政拨款支出决算明细表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_Toc8692 </w:instrText>
      </w:r>
      <w:r>
        <w:rPr>
          <w:sz w:val="20"/>
          <w:szCs w:val="20"/>
        </w:rPr>
        <w:fldChar w:fldCharType="separate"/>
      </w:r>
      <w:r>
        <w:rPr>
          <w:rFonts w:hint="eastAsia" w:ascii="黑体" w:eastAsia="黑体" w:cs="Times New Roman"/>
          <w:bCs w:val="0"/>
          <w:sz w:val="20"/>
          <w:szCs w:val="20"/>
        </w:rPr>
        <w:t>八、一般公共预算财政拨款基本支出决算表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_Toc23968 </w:instrText>
      </w:r>
      <w:r>
        <w:rPr>
          <w:sz w:val="20"/>
          <w:szCs w:val="20"/>
        </w:rPr>
        <w:fldChar w:fldCharType="separate"/>
      </w:r>
      <w:r>
        <w:rPr>
          <w:rFonts w:hint="eastAsia" w:ascii="黑体" w:eastAsia="黑体" w:cs="Times New Roman"/>
          <w:bCs w:val="0"/>
          <w:sz w:val="20"/>
          <w:szCs w:val="20"/>
        </w:rPr>
        <w:t>九、一般公共预算财政拨款项目支出决算表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_Toc3059 </w:instrText>
      </w:r>
      <w:r>
        <w:rPr>
          <w:sz w:val="20"/>
          <w:szCs w:val="20"/>
        </w:rPr>
        <w:fldChar w:fldCharType="separate"/>
      </w:r>
      <w:r>
        <w:rPr>
          <w:rFonts w:hint="eastAsia" w:ascii="黑体" w:eastAsia="黑体" w:cs="Times New Roman"/>
          <w:bCs w:val="0"/>
          <w:sz w:val="20"/>
          <w:szCs w:val="20"/>
        </w:rPr>
        <w:t>十、政府性基金预算财政拨款收入支出决算表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_Toc1569 </w:instrText>
      </w:r>
      <w:r>
        <w:rPr>
          <w:sz w:val="20"/>
          <w:szCs w:val="20"/>
        </w:rPr>
        <w:fldChar w:fldCharType="separate"/>
      </w:r>
      <w:r>
        <w:rPr>
          <w:rFonts w:hint="eastAsia" w:ascii="黑体" w:eastAsia="黑体" w:cs="Times New Roman"/>
          <w:bCs w:val="0"/>
          <w:sz w:val="20"/>
          <w:szCs w:val="20"/>
        </w:rPr>
        <w:t>十一、国有资本经营预算财政拨款收入支出决算表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_Toc19605 </w:instrText>
      </w:r>
      <w:r>
        <w:rPr>
          <w:sz w:val="20"/>
          <w:szCs w:val="20"/>
        </w:rPr>
        <w:fldChar w:fldCharType="separate"/>
      </w:r>
      <w:r>
        <w:rPr>
          <w:rFonts w:hint="eastAsia" w:ascii="黑体" w:eastAsia="黑体" w:cs="Times New Roman"/>
          <w:bCs w:val="0"/>
          <w:sz w:val="20"/>
          <w:szCs w:val="20"/>
        </w:rPr>
        <w:t>十二、国有资本经营预算财政拨款支出决算表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76" w:lineRule="exact"/>
        <w:ind w:left="0" w:leftChars="0"/>
        <w:textAlignment w:val="auto"/>
        <w:rPr>
          <w:rFonts w:hint="eastAsia" w:eastAsia="仿宋_GB2312"/>
          <w:sz w:val="20"/>
          <w:szCs w:val="20"/>
          <w:lang w:val="en-US" w:eastAsia="zh-CN"/>
        </w:rPr>
      </w:pPr>
      <w:r>
        <w:rPr>
          <w:sz w:val="20"/>
          <w:szCs w:val="20"/>
        </w:rPr>
        <w:fldChar w:fldCharType="begin"/>
      </w:r>
      <w:r>
        <w:rPr>
          <w:sz w:val="20"/>
          <w:szCs w:val="20"/>
        </w:rPr>
        <w:instrText xml:space="preserve"> HYPERLINK \l _Toc19696 </w:instrText>
      </w:r>
      <w:r>
        <w:rPr>
          <w:sz w:val="20"/>
          <w:szCs w:val="20"/>
        </w:rPr>
        <w:fldChar w:fldCharType="separate"/>
      </w:r>
      <w:r>
        <w:rPr>
          <w:rFonts w:hint="eastAsia" w:ascii="黑体" w:eastAsia="黑体" w:cs="Times New Roman"/>
          <w:bCs w:val="0"/>
          <w:sz w:val="20"/>
          <w:szCs w:val="20"/>
        </w:rPr>
        <w:t>十三、财政拨款“三公”经费支出决算表</w:t>
      </w:r>
      <w:r>
        <w:rPr>
          <w:sz w:val="20"/>
          <w:szCs w:val="20"/>
        </w:rPr>
        <w:tab/>
      </w:r>
      <w:r>
        <w:rPr>
          <w:rFonts w:hint="eastAsia"/>
          <w:sz w:val="20"/>
          <w:szCs w:val="20"/>
          <w:lang w:val="en-US" w:eastAsia="zh-CN"/>
        </w:rPr>
        <w:t>2</w:t>
      </w:r>
      <w:r>
        <w:rPr>
          <w:sz w:val="20"/>
          <w:szCs w:val="20"/>
        </w:rPr>
        <w:fldChar w:fldCharType="end"/>
      </w:r>
      <w:r>
        <w:rPr>
          <w:rFonts w:hint="eastAsia"/>
          <w:sz w:val="20"/>
          <w:szCs w:val="20"/>
          <w:lang w:val="en-US" w:eastAsia="zh-CN"/>
        </w:rPr>
        <w:t>5</w:t>
      </w:r>
    </w:p>
    <w:p>
      <w:pPr>
        <w:pStyle w:val="2"/>
        <w:keepNext w:val="0"/>
        <w:keepLines w:val="0"/>
        <w:pageBreakBefore w:val="0"/>
        <w:widowControl w:val="0"/>
        <w:kinsoku/>
        <w:wordWrap/>
        <w:overflowPunct/>
        <w:topLinePunct w:val="0"/>
        <w:autoSpaceDE/>
        <w:autoSpaceDN/>
        <w:bidi w:val="0"/>
        <w:adjustRightInd/>
        <w:snapToGrid/>
        <w:spacing w:line="576" w:lineRule="exact"/>
        <w:jc w:val="center"/>
        <w:textAlignment w:val="auto"/>
        <w:rPr>
          <w:sz w:val="20"/>
          <w:szCs w:val="20"/>
        </w:rPr>
      </w:pPr>
      <w:r>
        <w:rPr>
          <w:sz w:val="20"/>
          <w:szCs w:val="20"/>
        </w:rPr>
        <w:fldChar w:fldCharType="end"/>
      </w:r>
      <w:bookmarkStart w:id="13" w:name="_Toc1120"/>
      <w:bookmarkStart w:id="14" w:name="_Toc111208495"/>
    </w:p>
    <w:p>
      <w:pPr>
        <w:pStyle w:val="2"/>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eastAsia="方正小标宋简体" w:cs="方正小标宋简体"/>
          <w:b w:val="0"/>
          <w:bCs w:val="0"/>
        </w:rPr>
      </w:pPr>
      <w:r>
        <w:rPr>
          <w:rStyle w:val="21"/>
          <w:rFonts w:hint="eastAsia" w:ascii="方正小标宋简体" w:hAnsi="Times New Roman" w:eastAsia="方正小标宋简体" w:cs="方正小标宋简体"/>
          <w:b w:val="0"/>
          <w:bCs w:val="0"/>
        </w:rPr>
        <w:t xml:space="preserve">第一部分 </w:t>
      </w:r>
      <w:r>
        <w:rPr>
          <w:rStyle w:val="21"/>
          <w:rFonts w:hint="eastAsia" w:ascii="方正小标宋简体" w:hAnsi="Times New Roman" w:eastAsia="方正小标宋简体" w:cs="方正小标宋简体"/>
          <w:b w:val="0"/>
          <w:bCs w:val="0"/>
          <w:lang w:eastAsia="zh-CN"/>
        </w:rPr>
        <w:t>单位</w:t>
      </w:r>
      <w:r>
        <w:rPr>
          <w:rStyle w:val="21"/>
          <w:rFonts w:hint="eastAsia" w:ascii="方正小标宋简体" w:hAnsi="Times New Roman" w:eastAsia="方正小标宋简体" w:cs="方正小标宋简体"/>
          <w:b w:val="0"/>
          <w:bCs w:val="0"/>
        </w:rPr>
        <w:t>概况</w:t>
      </w:r>
      <w:bookmarkEnd w:id="12"/>
      <w:bookmarkEnd w:id="13"/>
      <w:bookmarkEnd w:id="14"/>
    </w:p>
    <w:p>
      <w:pPr>
        <w:pStyle w:val="4"/>
        <w:keepNext/>
        <w:keepLines/>
        <w:pageBreakBefore w:val="0"/>
        <w:widowControl w:val="0"/>
        <w:kinsoku/>
        <w:wordWrap/>
        <w:overflowPunct/>
        <w:topLinePunct w:val="0"/>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rPr>
      </w:pPr>
      <w:bookmarkStart w:id="15" w:name="_Toc15377197"/>
      <w:bookmarkStart w:id="16" w:name="_Toc111208496"/>
      <w:bookmarkStart w:id="17" w:name="_Toc113981010"/>
      <w:bookmarkStart w:id="18" w:name="_Toc4825"/>
      <w:bookmarkStart w:id="19" w:name="_Toc15377204"/>
      <w:r>
        <w:rPr>
          <w:rFonts w:hint="eastAsia" w:ascii="黑体" w:eastAsia="黑体" w:cs="黑体"/>
          <w:b w:val="0"/>
          <w:bCs/>
          <w:color w:val="000000"/>
        </w:rPr>
        <w:t>一、主要</w:t>
      </w:r>
      <w:r>
        <w:rPr>
          <w:rFonts w:hint="eastAsia" w:ascii="黑体" w:eastAsia="黑体" w:cs="黑体"/>
          <w:b w:val="0"/>
          <w:bCs/>
          <w:color w:val="000000"/>
          <w:lang w:eastAsia="zh-CN"/>
        </w:rPr>
        <w:t>职责</w:t>
      </w:r>
      <w:bookmarkEnd w:id="15"/>
      <w:bookmarkEnd w:id="16"/>
      <w:bookmarkEnd w:id="17"/>
      <w:bookmarkEnd w:id="18"/>
      <w:bookmarkStart w:id="20" w:name="_Toc15378445"/>
      <w:bookmarkStart w:id="21" w:name="_Toc15377198"/>
    </w:p>
    <w:p>
      <w:pPr>
        <w:pageBreakBefore w:val="0"/>
        <w:widowControl w:val="0"/>
        <w:kinsoku/>
        <w:wordWrap/>
        <w:overflowPunct/>
        <w:topLinePunct w:val="0"/>
        <w:autoSpaceDE/>
        <w:autoSpaceDN/>
        <w:bidi w:val="0"/>
        <w:adjustRightInd/>
        <w:snapToGrid/>
        <w:spacing w:beforeAutospacing="0" w:afterAutospacing="0" w:line="576" w:lineRule="exact"/>
        <w:ind w:left="0" w:firstLine="643" w:firstLineChars="200"/>
        <w:textAlignment w:val="auto"/>
        <w:outlineLvl w:val="2"/>
        <w:rPr>
          <w:rFonts w:hint="eastAsia" w:ascii="楷体_GB2312" w:eastAsia="楷体_GB2312" w:cs="楷体_GB2312"/>
          <w:b/>
          <w:bCs w:val="0"/>
          <w:color w:val="000000"/>
          <w:sz w:val="32"/>
          <w:szCs w:val="32"/>
        </w:rPr>
      </w:pPr>
      <w:r>
        <w:rPr>
          <w:rFonts w:hint="eastAsia" w:ascii="楷体_GB2312" w:eastAsia="楷体_GB2312" w:cs="楷体_GB2312"/>
          <w:b/>
          <w:bCs w:val="0"/>
          <w:color w:val="000000"/>
          <w:sz w:val="32"/>
          <w:szCs w:val="32"/>
        </w:rPr>
        <w:t>（一）主要职能</w:t>
      </w:r>
      <w:bookmarkEnd w:id="20"/>
      <w:bookmarkEnd w:id="21"/>
    </w:p>
    <w:p>
      <w:pPr>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outlineLvl w:val="2"/>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 1.会同相关部门对全县行政许可、非许可审批和相关服务项目进行清理、审核，上报县人民政府确认；负责梳理审查县级许可、非许可审批事项，确定办理具体内容，编制行政审批项目目录，并向社会公示。</w:t>
      </w:r>
    </w:p>
    <w:p>
      <w:pPr>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outlineLvl w:val="2"/>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 2.负责对在中心运行的行政许可、非许可审批事项的办理情况进行协调、监督、通报和考评；对经县人民政府批准，未进中心的行政许可、非许可审批事项的运行情况，会同监察机关进行监督检查。 </w:t>
      </w:r>
    </w:p>
    <w:p>
      <w:pPr>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outlineLvl w:val="2"/>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3.负责全县行政审批制度、工作机制和运行方式的改革等具体工作；组织对现有行政许可、非许可审批项目的办理环节、流程进行精简、优化；依法对涉及两个及两个以上部门的同一行政审批项目联合审批进行组织协调和督办。 </w:t>
      </w:r>
    </w:p>
    <w:p>
      <w:pPr>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outlineLvl w:val="2"/>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rPr>
        <w:t>4.负责中心的电子政务建设、管理、后勤保障和安全</w:t>
      </w:r>
      <w:r>
        <w:rPr>
          <w:rFonts w:hint="eastAsia" w:ascii="仿宋_GB2312" w:eastAsia="仿宋_GB2312" w:cs="仿宋_GB2312"/>
          <w:color w:val="000000"/>
          <w:sz w:val="32"/>
          <w:szCs w:val="32"/>
          <w:lang w:eastAsia="zh-CN"/>
        </w:rPr>
        <w:t>。</w:t>
      </w:r>
    </w:p>
    <w:p>
      <w:pPr>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outlineLvl w:val="2"/>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5.制定中心的各项规章制度、管理办法，并组织实施；负责服务窗口工作人员工作状况管理考核等具体工作；负责协调相关部门设立服务窗口，办理许可、非许可审批项目，以及派驻中心工作人员的管理与服务工作；负责受理办事企业和群众对服务窗口工作的投诉。 </w:t>
      </w:r>
    </w:p>
    <w:p>
      <w:pPr>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outlineLvl w:val="2"/>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6.负责对分中心和乡镇便民服务中心经进行业务指导和监督。 </w:t>
      </w:r>
    </w:p>
    <w:p>
      <w:pPr>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outlineLvl w:val="2"/>
        <w:rPr>
          <w:rFonts w:hint="eastAsia" w:ascii="仿宋_GB2312" w:eastAsia="仿宋_GB2312" w:cs="仿宋_GB2312"/>
          <w:sz w:val="32"/>
          <w:szCs w:val="32"/>
        </w:rPr>
      </w:pPr>
      <w:r>
        <w:rPr>
          <w:rFonts w:hint="eastAsia" w:ascii="仿宋_GB2312" w:eastAsia="仿宋_GB2312" w:cs="仿宋_GB2312"/>
          <w:color w:val="000000"/>
          <w:sz w:val="32"/>
          <w:szCs w:val="32"/>
        </w:rPr>
        <w:t>7.承办县委、县政府交办的其他工作。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bookmarkStart w:id="22" w:name="_Toc15378446"/>
      <w:bookmarkStart w:id="23" w:name="_Toc15377199"/>
      <w:r>
        <w:rPr>
          <w:rFonts w:hint="eastAsia" w:ascii="楷体_GB2312" w:eastAsia="楷体_GB2312" w:cs="楷体_GB2312"/>
          <w:b/>
          <w:color w:val="000000"/>
          <w:sz w:val="32"/>
          <w:szCs w:val="32"/>
        </w:rPr>
        <w:t>（二）2022重点工作完成情况</w:t>
      </w:r>
      <w:bookmarkEnd w:id="22"/>
      <w:bookmarkEnd w:id="23"/>
      <w:bookmarkStart w:id="24" w:name="_Toc15377200"/>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outlineLvl w:val="2"/>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年，我局以“互联网+政务服务”为引领，以政务服务标准化建设为抓手，以“便民、规范、廉洁、高效”的服务宗旨，以提升人民群众满意度为出发点和落脚点，不断创新服务方式，优化服务流程，着力打造便民廉洁高效的政务服务新环境，切实提高了政务服务质量和效率。</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b/>
          <w:bCs/>
          <w:color w:val="000000"/>
          <w:sz w:val="32"/>
          <w:szCs w:val="32"/>
          <w:lang w:val="en-US" w:eastAsia="zh-CN"/>
        </w:rPr>
        <w:t xml:space="preserve"> </w:t>
      </w:r>
      <w:r>
        <w:rPr>
          <w:rFonts w:hint="eastAsia" w:ascii="仿宋_GB2312" w:eastAsia="仿宋_GB2312" w:cs="仿宋_GB2312"/>
          <w:b/>
          <w:bCs/>
          <w:color w:val="000000"/>
          <w:sz w:val="32"/>
          <w:szCs w:val="32"/>
        </w:rPr>
        <w:t>一是</w:t>
      </w:r>
      <w:r>
        <w:rPr>
          <w:rFonts w:hint="eastAsia" w:ascii="仿宋_GB2312" w:eastAsia="仿宋_GB2312" w:cs="仿宋_GB2312"/>
          <w:b w:val="0"/>
          <w:bCs w:val="0"/>
          <w:color w:val="000000"/>
          <w:sz w:val="32"/>
          <w:szCs w:val="32"/>
        </w:rPr>
        <w:t>及时动态调整好了全县37个部门行政权力清单、责任清单。</w:t>
      </w:r>
      <w:r>
        <w:rPr>
          <w:rFonts w:hint="eastAsia" w:ascii="仿宋_GB2312" w:eastAsia="仿宋_GB2312" w:cs="仿宋_GB2312"/>
          <w:color w:val="000000"/>
          <w:sz w:val="32"/>
          <w:szCs w:val="32"/>
        </w:rPr>
        <w:t>梳理并公布出我县各镇各部门行政权力事项5456项，其中行政许可252项、行政处罚4348项、行政征收23项、行政强制事项162项、行政确认事项40项、行政裁决事项8项、行政给付事项26项、行政检查事项276项、行政奖励事项108项、其他行政权力事项214项。公共服务事项391项；镇级便民服务事项（含帮代办事项）109项，乡镇法定行政权力事项116项。</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b/>
          <w:bCs/>
          <w:color w:val="000000"/>
          <w:sz w:val="32"/>
          <w:szCs w:val="32"/>
        </w:rPr>
        <w:t>二是</w:t>
      </w:r>
      <w:r>
        <w:rPr>
          <w:rFonts w:hint="eastAsia" w:ascii="仿宋_GB2312" w:eastAsia="仿宋_GB2312" w:cs="仿宋_GB2312"/>
          <w:color w:val="000000"/>
          <w:sz w:val="32"/>
          <w:szCs w:val="32"/>
        </w:rPr>
        <w:t>现全县入驻政务服务大厅集中审批服务的23个部门，71名工作人员，集中行政审批政务服务事项170项，公共服务事项237项，政务服务大厅设置一般办件窗口67个，“综合窗口”5个、“跨省通办”窗口1个，“川渝通办窗口”1个、按照“只进一扇门”“最多跑一次”，“前台综合受理、后台分类审批、统一窗口出件”的要求，将与群众生产生活密切相关的低保、医疗卫生、就业、文化教育等事项纳入“综合窗口”，进一步优化了办事流程、办事指南。截至</w:t>
      </w:r>
      <w:r>
        <w:rPr>
          <w:rFonts w:hint="eastAsia" w:ascii="仿宋_GB2312" w:cs="仿宋_GB2312"/>
          <w:color w:val="000000"/>
          <w:sz w:val="32"/>
          <w:szCs w:val="32"/>
          <w:lang w:val="en-US" w:eastAsia="zh-CN"/>
        </w:rPr>
        <w:t>2022年底</w:t>
      </w:r>
      <w:r>
        <w:rPr>
          <w:rFonts w:hint="eastAsia" w:ascii="仿宋_GB2312" w:eastAsia="仿宋_GB2312" w:cs="仿宋_GB2312"/>
          <w:color w:val="000000"/>
          <w:sz w:val="32"/>
          <w:szCs w:val="32"/>
        </w:rPr>
        <w:t>，县政务服务大厅各服务窗口共办理审批服务事项87752件。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outlineLvl w:val="2"/>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b/>
          <w:bCs/>
          <w:color w:val="000000"/>
          <w:sz w:val="32"/>
          <w:szCs w:val="32"/>
        </w:rPr>
        <w:t>三是</w:t>
      </w:r>
      <w:r>
        <w:rPr>
          <w:rFonts w:hint="eastAsia" w:ascii="仿宋_GB2312" w:eastAsia="仿宋_GB2312" w:cs="仿宋_GB2312"/>
          <w:color w:val="000000"/>
          <w:sz w:val="32"/>
          <w:szCs w:val="32"/>
        </w:rPr>
        <w:t>按照省、州镇村便民服务“三化”试点扩面增效要求，结合两项改革“后半篇”工作，编制了《茂县乡镇级片区便民服务设施专项规划》。在2021年创建的“凤仪镇、富顺镇、沟口镇”三个省级示范便民服务中心的基础上，</w:t>
      </w:r>
      <w:r>
        <w:rPr>
          <w:rFonts w:hint="eastAsia" w:ascii="仿宋_GB2312" w:cs="仿宋_GB2312"/>
          <w:color w:val="000000"/>
          <w:sz w:val="32"/>
          <w:szCs w:val="32"/>
          <w:lang w:val="en-US" w:eastAsia="zh-CN"/>
        </w:rPr>
        <w:t>2022</w:t>
      </w:r>
      <w:r>
        <w:rPr>
          <w:rFonts w:hint="eastAsia" w:ascii="仿宋_GB2312" w:eastAsia="仿宋_GB2312" w:cs="仿宋_GB2312"/>
          <w:color w:val="000000"/>
          <w:sz w:val="32"/>
          <w:szCs w:val="32"/>
        </w:rPr>
        <w:t>年“土门镇、南新镇、渭门镇”三个镇创建省级示范便民服务中心。</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b/>
          <w:bCs/>
          <w:color w:val="000000"/>
          <w:sz w:val="32"/>
          <w:szCs w:val="32"/>
          <w:lang w:val="en-US" w:eastAsia="zh-CN"/>
        </w:rPr>
        <w:t xml:space="preserve"> </w:t>
      </w:r>
      <w:r>
        <w:rPr>
          <w:rFonts w:hint="eastAsia" w:ascii="仿宋_GB2312" w:eastAsia="仿宋_GB2312" w:cs="仿宋_GB2312"/>
          <w:b/>
          <w:bCs/>
          <w:color w:val="000000"/>
          <w:sz w:val="32"/>
          <w:szCs w:val="32"/>
        </w:rPr>
        <w:t>四是</w:t>
      </w:r>
      <w:r>
        <w:rPr>
          <w:rFonts w:hint="eastAsia" w:ascii="仿宋_GB2312" w:eastAsia="仿宋_GB2312" w:cs="仿宋_GB2312"/>
          <w:color w:val="000000"/>
          <w:sz w:val="32"/>
          <w:szCs w:val="32"/>
        </w:rPr>
        <w:t>全力推进“一网通办”工作。组织召开“一网通办”工作推进会，专题整改攻坚等各类会议和培训活动共13次，截至</w:t>
      </w:r>
      <w:r>
        <w:rPr>
          <w:rFonts w:hint="eastAsia" w:ascii="仿宋_GB2312" w:cs="仿宋_GB2312"/>
          <w:color w:val="000000"/>
          <w:sz w:val="32"/>
          <w:szCs w:val="32"/>
          <w:lang w:val="en-US" w:eastAsia="zh-CN"/>
        </w:rPr>
        <w:t>2022年底</w:t>
      </w:r>
      <w:r>
        <w:rPr>
          <w:rFonts w:hint="eastAsia" w:ascii="仿宋_GB2312" w:eastAsia="仿宋_GB2312" w:cs="仿宋_GB2312"/>
          <w:color w:val="000000"/>
          <w:sz w:val="32"/>
          <w:szCs w:val="32"/>
        </w:rPr>
        <w:t>，各部门、各镇在一体化平台办件92644件，梳理出县级“一件事一次办”实施事项64项，跨层级跨部门事项9项，“一件事”月平均办件量20件；“川渝通办”事项102个，“一证一照办”政务服务事项171个，通过有效督导，截至</w:t>
      </w:r>
      <w:bookmarkStart w:id="93" w:name="_GoBack"/>
      <w:bookmarkEnd w:id="93"/>
      <w:r>
        <w:rPr>
          <w:rFonts w:hint="eastAsia" w:ascii="仿宋_GB2312" w:cs="仿宋_GB2312"/>
          <w:color w:val="000000"/>
          <w:sz w:val="32"/>
          <w:szCs w:val="32"/>
          <w:lang w:val="en-US" w:eastAsia="zh-CN"/>
        </w:rPr>
        <w:t>2022年底,</w:t>
      </w:r>
      <w:r>
        <w:rPr>
          <w:rFonts w:hint="eastAsia" w:ascii="仿宋_GB2312" w:eastAsia="仿宋_GB2312" w:cs="仿宋_GB2312"/>
          <w:color w:val="000000"/>
          <w:sz w:val="32"/>
          <w:szCs w:val="32"/>
        </w:rPr>
        <w:t>我县在全省一体化办件平台的各指标得到持续提升，办事指南异常数为0</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全县支持预约办理事项414个，平均跑动次数降至1次。</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b/>
          <w:bCs/>
          <w:color w:val="000000"/>
          <w:sz w:val="32"/>
          <w:szCs w:val="32"/>
        </w:rPr>
        <w:t>五是</w:t>
      </w:r>
      <w:r>
        <w:rPr>
          <w:rFonts w:hint="eastAsia" w:ascii="仿宋_GB2312" w:cs="仿宋_GB2312"/>
          <w:b/>
          <w:bCs/>
          <w:color w:val="000000"/>
          <w:sz w:val="32"/>
          <w:szCs w:val="32"/>
          <w:lang w:eastAsia="zh-CN"/>
        </w:rPr>
        <w:t>做好了</w:t>
      </w:r>
      <w:r>
        <w:rPr>
          <w:rFonts w:hint="eastAsia" w:ascii="仿宋_GB2312" w:eastAsia="仿宋_GB2312" w:cs="仿宋_GB2312"/>
          <w:color w:val="000000"/>
          <w:sz w:val="32"/>
          <w:szCs w:val="32"/>
        </w:rPr>
        <w:t>“12345”政务服务热线工作</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共转办、督办群众来电931件</w:t>
      </w:r>
      <w:r>
        <w:rPr>
          <w:rFonts w:hint="eastAsia" w:ascii="仿宋_GB2312" w:cs="仿宋_GB2312"/>
          <w:color w:val="000000"/>
          <w:sz w:val="32"/>
          <w:szCs w:val="32"/>
          <w:lang w:eastAsia="zh-CN"/>
        </w:rPr>
        <w:t>。</w:t>
      </w:r>
      <w:r>
        <w:rPr>
          <w:rFonts w:hint="eastAsia" w:ascii="仿宋_GB2312" w:eastAsia="仿宋_GB2312" w:cs="仿宋_GB2312"/>
          <w:color w:val="000000"/>
          <w:sz w:val="32"/>
          <w:szCs w:val="32"/>
        </w:rPr>
        <w:t>六是公共资源交易。受理并组织集中采购活动29件次，预算总金额4188.766809万元，实际使用4055.021047万元，节约资金133.745762万元。</w:t>
      </w:r>
      <w:bookmarkStart w:id="25" w:name="_Toc111208497"/>
      <w:bookmarkStart w:id="26" w:name="_Toc113981011"/>
      <w:bookmarkStart w:id="27" w:name="_Toc14172"/>
    </w:p>
    <w:p>
      <w:pPr>
        <w:pStyle w:val="2"/>
        <w:rPr>
          <w:rFonts w:hint="eastAsia" w:ascii="仿宋_GB2312" w:eastAsia="仿宋_GB2312" w:cs="仿宋_GB2312"/>
          <w:color w:val="000000"/>
          <w:sz w:val="32"/>
          <w:szCs w:val="32"/>
        </w:rPr>
      </w:pPr>
    </w:p>
    <w:p>
      <w:pPr>
        <w:pStyle w:val="2"/>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3" w:firstLineChars="200"/>
        <w:textAlignment w:val="auto"/>
        <w:outlineLvl w:val="2"/>
        <w:rPr>
          <w:rFonts w:hint="eastAsia" w:ascii="楷体_GB2312" w:eastAsia="楷体_GB2312" w:cs="楷体_GB2312"/>
          <w:b/>
          <w:bCs/>
          <w:color w:val="000000"/>
          <w:sz w:val="32"/>
          <w:szCs w:val="32"/>
        </w:rPr>
      </w:pPr>
      <w:r>
        <w:rPr>
          <w:rFonts w:hint="eastAsia" w:ascii="楷体_GB2312" w:eastAsia="楷体_GB2312" w:cs="楷体_GB2312"/>
          <w:b/>
          <w:bCs/>
          <w:color w:val="000000"/>
          <w:sz w:val="32"/>
          <w:szCs w:val="32"/>
          <w:lang w:eastAsia="zh-CN"/>
        </w:rPr>
        <w:t>（三）</w:t>
      </w:r>
      <w:r>
        <w:rPr>
          <w:rFonts w:hint="eastAsia" w:ascii="楷体_GB2312" w:eastAsia="楷体_GB2312" w:cs="楷体_GB2312"/>
          <w:b/>
          <w:bCs/>
          <w:color w:val="000000"/>
          <w:sz w:val="32"/>
          <w:szCs w:val="32"/>
        </w:rPr>
        <w:t>机构设置</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outlineLvl w:val="2"/>
        <w:rPr>
          <w:rFonts w:hint="eastAsia" w:ascii="仿宋_GB2312" w:eastAsia="仿宋_GB2312" w:cs="仿宋_GB2312"/>
          <w:b w:val="0"/>
          <w:bCs w:val="0"/>
          <w:color w:val="000000"/>
          <w:sz w:val="32"/>
          <w:szCs w:val="32"/>
        </w:rPr>
      </w:pPr>
      <w:r>
        <w:rPr>
          <w:rFonts w:hint="eastAsia" w:ascii="仿宋_GB2312" w:eastAsia="仿宋_GB2312" w:cs="仿宋_GB2312"/>
          <w:b w:val="0"/>
          <w:bCs w:val="0"/>
          <w:color w:val="000000"/>
          <w:sz w:val="32"/>
          <w:szCs w:val="32"/>
        </w:rPr>
        <w:t>茂县行政审批局下属二级单位1个，其中行政单位0个，参照公务员法管理的事业单位0个，其他事业单位1个。 纳入茂县行政审批局2020年度部门决算编制范围的二级预算单位包括：茂县政务服务和公共资源交易中心。</w:t>
      </w:r>
      <w:bookmarkStart w:id="28" w:name="_Toc111208498"/>
      <w:bookmarkStart w:id="29" w:name="_Toc16637"/>
    </w:p>
    <w:p>
      <w:pPr>
        <w:pStyle w:val="2"/>
        <w:rPr>
          <w:rFonts w:hint="eastAsia"/>
        </w:rPr>
      </w:pPr>
    </w:p>
    <w:p>
      <w:pPr>
        <w:pStyle w:val="3"/>
        <w:keepNext/>
        <w:keepLines/>
        <w:pageBreakBefore w:val="0"/>
        <w:widowControl w:val="0"/>
        <w:kinsoku/>
        <w:wordWrap w:val="0"/>
        <w:overflowPunct/>
        <w:topLinePunct w:val="0"/>
        <w:autoSpaceDE/>
        <w:autoSpaceDN/>
        <w:bidi w:val="0"/>
        <w:adjustRightInd/>
        <w:snapToGrid/>
        <w:spacing w:before="0" w:beforeAutospacing="0" w:after="0" w:afterAutospacing="0" w:line="576" w:lineRule="exact"/>
        <w:ind w:left="0"/>
        <w:jc w:val="center"/>
        <w:textAlignment w:val="auto"/>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第二部分 2022</w:t>
      </w:r>
      <w:r>
        <w:rPr>
          <w:rFonts w:hint="eastAsia" w:ascii="方正小标宋简体" w:eastAsia="方正小标宋简体" w:cs="方正小标宋简体"/>
          <w:b w:val="0"/>
          <w:bCs w:val="0"/>
          <w:sz w:val="44"/>
          <w:szCs w:val="44"/>
          <w:u w:color="auto"/>
        </w:rPr>
        <w:t>年度部门决算情况说明</w:t>
      </w:r>
      <w:bookmarkEnd w:id="19"/>
      <w:bookmarkEnd w:id="28"/>
      <w:bookmarkEnd w:id="29"/>
    </w:p>
    <w:p>
      <w:pPr>
        <w:pStyle w:val="4"/>
        <w:keepNext/>
        <w:keepLines/>
        <w:pageBreakBefore w:val="0"/>
        <w:widowControl w:val="0"/>
        <w:kinsoku/>
        <w:wordWrap w:val="0"/>
        <w:overflowPunct/>
        <w:topLinePunct w:val="0"/>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30" w:name="_Toc15377205"/>
      <w:bookmarkStart w:id="31" w:name="_Toc18895"/>
      <w:bookmarkStart w:id="32" w:name="_Toc111208499"/>
      <w:r>
        <w:rPr>
          <w:rFonts w:hint="eastAsia" w:ascii="黑体" w:eastAsia="黑体" w:cs="黑体"/>
          <w:b w:val="0"/>
          <w:bCs/>
          <w:color w:val="000000"/>
          <w:sz w:val="32"/>
          <w:szCs w:val="32"/>
        </w:rPr>
        <w:t>一、收入支出决算总体情况说</w:t>
      </w:r>
      <w:bookmarkEnd w:id="30"/>
      <w:r>
        <w:rPr>
          <w:rFonts w:hint="eastAsia" w:ascii="黑体" w:eastAsia="黑体" w:cs="黑体"/>
          <w:b w:val="0"/>
          <w:bCs/>
          <w:color w:val="000000"/>
          <w:sz w:val="32"/>
          <w:szCs w:val="32"/>
        </w:rPr>
        <w:t>明</w:t>
      </w:r>
      <w:bookmarkEnd w:id="31"/>
      <w:bookmarkEnd w:id="32"/>
    </w:p>
    <w:p>
      <w:pPr>
        <w:pageBreakBefore w:val="0"/>
        <w:widowControl w:val="0"/>
        <w:kinsoku/>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196850</wp:posOffset>
            </wp:positionH>
            <wp:positionV relativeFrom="paragraph">
              <wp:posOffset>1200150</wp:posOffset>
            </wp:positionV>
            <wp:extent cx="5343525" cy="2477135"/>
            <wp:effectExtent l="4445" t="4445" r="5080" b="1397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eastAsia="仿宋_GB2312" w:cs="仿宋_GB2312"/>
          <w:color w:val="000000"/>
          <w:sz w:val="32"/>
          <w:szCs w:val="32"/>
        </w:rPr>
        <w:t>2022年度收入总计</w:t>
      </w:r>
      <w:r>
        <w:rPr>
          <w:rFonts w:hint="eastAsia" w:ascii="仿宋_GB2312" w:eastAsia="仿宋_GB2312" w:cs="仿宋_GB2312"/>
          <w:color w:val="000000"/>
          <w:sz w:val="32"/>
          <w:szCs w:val="32"/>
          <w:lang w:val="en-US" w:eastAsia="zh-CN"/>
        </w:rPr>
        <w:t>341.74</w:t>
      </w:r>
      <w:r>
        <w:rPr>
          <w:rFonts w:hint="eastAsia" w:ascii="仿宋_GB2312" w:eastAsia="仿宋_GB2312" w:cs="仿宋_GB2312"/>
          <w:color w:val="000000"/>
          <w:sz w:val="32"/>
          <w:szCs w:val="32"/>
        </w:rPr>
        <w:t>万元，支出总计</w:t>
      </w:r>
      <w:r>
        <w:rPr>
          <w:rFonts w:hint="eastAsia" w:ascii="仿宋_GB2312" w:eastAsia="仿宋_GB2312" w:cs="仿宋_GB2312"/>
          <w:color w:val="000000"/>
          <w:sz w:val="32"/>
          <w:szCs w:val="32"/>
          <w:lang w:val="en-US" w:eastAsia="zh-CN"/>
        </w:rPr>
        <w:t>341.74</w:t>
      </w:r>
      <w:r>
        <w:rPr>
          <w:rFonts w:hint="eastAsia" w:ascii="仿宋_GB2312" w:eastAsia="仿宋_GB2312" w:cs="仿宋_GB2312"/>
          <w:color w:val="000000"/>
          <w:sz w:val="32"/>
          <w:szCs w:val="32"/>
        </w:rPr>
        <w:t>万元。与2021年相比，收入总计</w:t>
      </w:r>
      <w:r>
        <w:rPr>
          <w:rFonts w:hint="eastAsia" w:ascii="仿宋_GB2312" w:eastAsia="仿宋_GB2312" w:cs="仿宋_GB2312"/>
          <w:color w:val="000000"/>
          <w:sz w:val="32"/>
          <w:szCs w:val="32"/>
          <w:lang w:val="en-US" w:eastAsia="zh-CN"/>
        </w:rPr>
        <w:t>减少214.81</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val="en-US" w:eastAsia="zh-CN"/>
        </w:rPr>
        <w:t>减少38.6</w:t>
      </w:r>
      <w:r>
        <w:rPr>
          <w:rFonts w:hint="eastAsia" w:ascii="仿宋_GB2312" w:eastAsia="仿宋_GB2312" w:cs="仿宋_GB2312"/>
          <w:color w:val="000000"/>
          <w:sz w:val="32"/>
          <w:szCs w:val="32"/>
        </w:rPr>
        <w:t>%，支出总计</w:t>
      </w:r>
      <w:r>
        <w:rPr>
          <w:rFonts w:hint="eastAsia" w:ascii="仿宋_GB2312" w:eastAsia="仿宋_GB2312" w:cs="仿宋_GB2312"/>
          <w:color w:val="000000"/>
          <w:sz w:val="32"/>
          <w:szCs w:val="32"/>
          <w:lang w:val="en-US" w:eastAsia="zh-CN"/>
        </w:rPr>
        <w:t>减少219.79</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val="en-US" w:eastAsia="zh-CN"/>
        </w:rPr>
        <w:t>减少39.14</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 xml:space="preserve"> </w:t>
      </w:r>
    </w:p>
    <w:p>
      <w:pPr>
        <w:pageBreakBefore w:val="0"/>
        <w:widowControl w:val="0"/>
        <w:kinsoku/>
        <w:overflowPunct/>
        <w:topLinePunct w:val="0"/>
        <w:autoSpaceDE/>
        <w:autoSpaceDN/>
        <w:bidi w:val="0"/>
        <w:spacing w:beforeAutospacing="0" w:afterAutospacing="0" w:line="576" w:lineRule="exact"/>
        <w:ind w:left="0" w:firstLine="643" w:firstLineChars="200"/>
        <w:jc w:val="center"/>
        <w:textAlignment w:val="auto"/>
        <w:rPr>
          <w:rFonts w:hint="eastAsia" w:ascii="仿宋_GB2312" w:eastAsia="仿宋_GB2312" w:cs="仿宋_GB2312"/>
          <w:b/>
          <w:bCs/>
          <w:color w:val="000000"/>
          <w:sz w:val="32"/>
          <w:szCs w:val="32"/>
        </w:rPr>
      </w:pPr>
      <w:r>
        <w:rPr>
          <w:rFonts w:hint="eastAsia" w:ascii="仿宋_GB2312" w:eastAsia="仿宋_GB2312" w:cs="仿宋_GB2312"/>
          <w:b/>
          <w:bCs/>
          <w:color w:val="000000"/>
          <w:sz w:val="32"/>
          <w:szCs w:val="32"/>
        </w:rPr>
        <w:t>（图1：收、支决算总计变动情况图）</w:t>
      </w:r>
    </w:p>
    <w:p>
      <w:pPr>
        <w:pStyle w:val="4"/>
        <w:keepNext/>
        <w:keepLines/>
        <w:pageBreakBefore w:val="0"/>
        <w:widowControl w:val="0"/>
        <w:kinsoku/>
        <w:wordWrap w:val="0"/>
        <w:overflowPunct/>
        <w:topLinePunct w:val="0"/>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33" w:name="_Toc23721"/>
      <w:bookmarkStart w:id="34" w:name="_Toc15377206"/>
      <w:bookmarkStart w:id="35" w:name="_Toc111208500"/>
      <w:r>
        <w:rPr>
          <w:rFonts w:hint="eastAsia" w:ascii="黑体" w:eastAsia="黑体" w:cs="黑体"/>
          <w:b w:val="0"/>
          <w:bCs/>
          <w:color w:val="000000"/>
          <w:sz w:val="32"/>
          <w:szCs w:val="32"/>
        </w:rPr>
        <w:t>二、收入决算情况说明</w:t>
      </w:r>
      <w:bookmarkEnd w:id="33"/>
      <w:bookmarkEnd w:id="34"/>
      <w:bookmarkEnd w:id="35"/>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3" w:firstLineChars="200"/>
        <w:textAlignment w:val="auto"/>
        <w:rPr>
          <w:rFonts w:hint="eastAsia" w:ascii="仿宋_GB2312" w:eastAsia="仿宋_GB2312" w:cs="仿宋_GB2312"/>
          <w:color w:val="000000"/>
          <w:sz w:val="32"/>
          <w:szCs w:val="32"/>
        </w:rPr>
      </w:pPr>
      <w:r>
        <w:rPr>
          <w:rFonts w:hint="eastAsia" w:ascii="楷体_GB2312" w:eastAsia="楷体_GB2312" w:cs="楷体_GB2312"/>
          <w:b/>
          <w:bCs/>
          <w:color w:val="FF0000"/>
          <w:sz w:val="32"/>
          <w:szCs w:val="32"/>
        </w:rPr>
        <w:drawing>
          <wp:anchor distT="0" distB="0" distL="114300" distR="114300" simplePos="0" relativeHeight="251659264" behindDoc="0" locked="0" layoutInCell="1" allowOverlap="1">
            <wp:simplePos x="0" y="0"/>
            <wp:positionH relativeFrom="column">
              <wp:posOffset>209550</wp:posOffset>
            </wp:positionH>
            <wp:positionV relativeFrom="paragraph">
              <wp:posOffset>2658745</wp:posOffset>
            </wp:positionV>
            <wp:extent cx="5332730" cy="3400425"/>
            <wp:effectExtent l="0" t="0" r="47" b="43"/>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年本年收入合计341.74万元，其中：一般公共预算财政拨款收入341.74万元，占100.00%；政府性基金预算财政拨款收入</w:t>
      </w:r>
      <w:r>
        <w:rPr>
          <w:rFonts w:hint="eastAsia" w:ascii="仿宋_GB2312" w:cs="仿宋_GB2312"/>
          <w:color w:val="000000"/>
          <w:sz w:val="32"/>
          <w:szCs w:val="32"/>
          <w:u w:color="auto"/>
          <w:lang w:val="en-US" w:eastAsia="zh-CN"/>
        </w:rPr>
        <w:t>0</w:t>
      </w:r>
      <w:r>
        <w:rPr>
          <w:rFonts w:hint="eastAsia" w:ascii="仿宋_GB2312" w:eastAsia="仿宋_GB2312" w:cs="仿宋_GB2312"/>
          <w:color w:val="000000"/>
          <w:sz w:val="32"/>
          <w:szCs w:val="32"/>
          <w:u w:color="auto"/>
        </w:rPr>
        <w:t>万元；国有资本经营预算财政拨款收入0万元；上级补助收入0万元；事业收入0万元；经营收入0</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；附属单位上缴收入0</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；其他收入0</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w:t>
      </w: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sz w:val="32"/>
          <w:szCs w:val="32"/>
        </w:rPr>
      </w:pPr>
      <w:r>
        <w:rPr>
          <w:rFonts w:hint="eastAsia" w:ascii="仿宋_GB2312" w:eastAsia="仿宋_GB2312" w:cs="仿宋_GB2312"/>
          <w:b/>
          <w:bCs/>
          <w:color w:val="000000"/>
          <w:sz w:val="32"/>
          <w:szCs w:val="32"/>
        </w:rPr>
        <w:t>（图2：收入决算结构图）</w:t>
      </w:r>
    </w:p>
    <w:p>
      <w:pPr>
        <w:pStyle w:val="4"/>
        <w:keepNext/>
        <w:keepLines/>
        <w:pageBreakBefore w:val="0"/>
        <w:widowControl w:val="0"/>
        <w:kinsoku/>
        <w:wordWrap w:val="0"/>
        <w:overflowPunct/>
        <w:topLinePunct w:val="0"/>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36" w:name="_Toc111208501"/>
      <w:bookmarkStart w:id="37" w:name="_Toc215"/>
      <w:bookmarkStart w:id="38" w:name="_Toc15377207"/>
      <w:r>
        <w:rPr>
          <w:rFonts w:hint="eastAsia" w:ascii="黑体" w:eastAsia="黑体" w:cs="黑体"/>
          <w:b w:val="0"/>
          <w:bCs/>
          <w:color w:val="000000"/>
          <w:sz w:val="32"/>
          <w:szCs w:val="32"/>
        </w:rPr>
        <w:t>三、支出决算情况说明</w:t>
      </w:r>
      <w:bookmarkEnd w:id="36"/>
      <w:bookmarkEnd w:id="37"/>
      <w:bookmarkEnd w:id="38"/>
    </w:p>
    <w:p>
      <w:pPr>
        <w:pStyle w:val="2"/>
        <w:keepNext/>
        <w:keepLines w:val="0"/>
        <w:pageBreakBefore w:val="0"/>
        <w:widowControl w:val="0"/>
        <w:kinsoku/>
        <w:wordWrap/>
        <w:overflowPunct/>
        <w:topLinePunct w:val="0"/>
        <w:autoSpaceDE/>
        <w:autoSpaceDN/>
        <w:bidi w:val="0"/>
        <w:adjustRightInd/>
        <w:snapToGrid/>
        <w:spacing w:beforeAutospacing="0" w:afterAutospacing="0" w:line="576" w:lineRule="exact"/>
        <w:ind w:left="0"/>
        <w:textAlignment w:val="auto"/>
        <w:rPr>
          <w:rFonts w:hint="eastAsia" w:ascii="仿宋_GB2312" w:eastAsia="仿宋_GB2312" w:cs="仿宋_GB2312"/>
          <w:color w:val="000000"/>
          <w:sz w:val="32"/>
          <w:szCs w:val="32"/>
        </w:rPr>
      </w:pPr>
      <w:r>
        <w:rPr>
          <w:rFonts w:hint="eastAsia" w:ascii="仿宋_GB2312" w:eastAsia="仿宋_GB2312" w:cs="仿宋_GB2312"/>
          <w:color w:val="FF0000"/>
          <w:sz w:val="32"/>
          <w:szCs w:val="32"/>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1533525</wp:posOffset>
            </wp:positionV>
            <wp:extent cx="5304155" cy="3429000"/>
            <wp:effectExtent l="0" t="0" r="47" b="43"/>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eastAsia="仿宋_GB2312" w:cs="仿宋_GB2312"/>
          <w:color w:val="000000"/>
          <w:sz w:val="32"/>
          <w:szCs w:val="32"/>
        </w:rPr>
        <w:t>2022年本年支出合计341.74万元，其中：基本支出340.66万元，占99.68%；项目支出1.08万元，占0.32%；上缴上级支出0万元；经营支出0万元；对附属单位补助支出0万元。</w:t>
      </w:r>
    </w:p>
    <w:p>
      <w:pPr>
        <w:pStyle w:val="2"/>
        <w:keepNext/>
        <w:keepLines w:val="0"/>
        <w:pageBreakBefore w:val="0"/>
        <w:widowControl w:val="0"/>
        <w:kinsoku/>
        <w:wordWrap/>
        <w:overflowPunct/>
        <w:topLinePunct w:val="0"/>
        <w:autoSpaceDE/>
        <w:autoSpaceDN/>
        <w:bidi w:val="0"/>
        <w:adjustRightInd/>
        <w:snapToGrid/>
        <w:spacing w:beforeAutospacing="0" w:afterAutospacing="0" w:line="576" w:lineRule="exact"/>
        <w:ind w:left="0"/>
        <w:jc w:val="center"/>
        <w:textAlignment w:val="auto"/>
        <w:rPr>
          <w:rFonts w:hint="eastAsia" w:ascii="仿宋_GB2312" w:eastAsia="仿宋_GB2312" w:cs="仿宋_GB2312"/>
          <w:b/>
          <w:bCs/>
          <w:color w:val="000000"/>
          <w:sz w:val="32"/>
          <w:szCs w:val="32"/>
        </w:rPr>
      </w:pPr>
      <w:r>
        <w:rPr>
          <w:rFonts w:hint="eastAsia" w:ascii="仿宋_GB2312" w:eastAsia="仿宋_GB2312" w:cs="仿宋_GB2312"/>
          <w:b/>
          <w:bCs/>
          <w:color w:val="000000"/>
          <w:sz w:val="32"/>
          <w:szCs w:val="32"/>
        </w:rPr>
        <w:t>（图3：支出决算结构图）</w:t>
      </w:r>
      <w:bookmarkStart w:id="39" w:name="_Toc15377208"/>
      <w:bookmarkStart w:id="40" w:name="_Toc4107"/>
      <w:bookmarkStart w:id="41" w:name="_Toc111208502"/>
    </w:p>
    <w:p>
      <w:pPr>
        <w:pStyle w:val="2"/>
        <w:keepNext/>
        <w:keepLines w:val="0"/>
        <w:pageBreakBefore w:val="0"/>
        <w:widowControl w:val="0"/>
        <w:kinsoku/>
        <w:wordWrap/>
        <w:overflowPunct/>
        <w:topLinePunct/>
        <w:autoSpaceDE/>
        <w:autoSpaceDN/>
        <w:bidi w:val="0"/>
        <w:adjustRightInd/>
        <w:snapToGrid/>
        <w:spacing w:beforeAutospacing="0" w:afterAutospacing="0" w:line="576" w:lineRule="exact"/>
        <w:ind w:left="0" w:firstLine="640" w:firstLineChars="200"/>
        <w:jc w:val="both"/>
        <w:textAlignment w:val="auto"/>
        <w:rPr>
          <w:rFonts w:hint="eastAsia" w:ascii="黑体" w:eastAsia="黑体" w:cs="黑体"/>
          <w:b w:val="0"/>
          <w:bCs/>
          <w:color w:val="000000"/>
          <w:sz w:val="32"/>
          <w:szCs w:val="32"/>
        </w:rPr>
      </w:pPr>
      <w:r>
        <w:rPr>
          <w:rFonts w:hint="eastAsia" w:ascii="黑体" w:eastAsia="黑体" w:cs="黑体"/>
          <w:b w:val="0"/>
          <w:bCs/>
          <w:color w:val="000000"/>
          <w:sz w:val="32"/>
          <w:szCs w:val="32"/>
          <w:lang w:eastAsia="zh-CN"/>
        </w:rPr>
        <w:t>四、</w:t>
      </w:r>
      <w:r>
        <w:rPr>
          <w:rFonts w:hint="eastAsia" w:ascii="黑体" w:eastAsia="黑体" w:cs="黑体"/>
          <w:b w:val="0"/>
          <w:bCs/>
          <w:color w:val="000000"/>
          <w:sz w:val="32"/>
          <w:szCs w:val="32"/>
        </w:rPr>
        <w:t>财政拨款收入支出决算总体情况说明</w:t>
      </w:r>
      <w:bookmarkEnd w:id="39"/>
      <w:bookmarkEnd w:id="40"/>
      <w:bookmarkEnd w:id="41"/>
    </w:p>
    <w:p>
      <w:pPr>
        <w:pStyle w:val="2"/>
        <w:keepNext/>
        <w:keepLines w:val="0"/>
        <w:pageBreakBefore w:val="0"/>
        <w:widowControl w:val="0"/>
        <w:kinsoku/>
        <w:wordWrap/>
        <w:overflowPunct/>
        <w:topLinePunct/>
        <w:autoSpaceDE/>
        <w:autoSpaceDN/>
        <w:bidi w:val="0"/>
        <w:adjustRightInd/>
        <w:snapToGrid/>
        <w:spacing w:beforeAutospacing="0" w:afterAutospacing="0" w:line="576" w:lineRule="exact"/>
        <w:ind w:left="0" w:firstLine="640" w:firstLineChars="200"/>
        <w:jc w:val="both"/>
        <w:textAlignment w:val="auto"/>
        <w:rPr>
          <w:rFonts w:hint="eastAsia" w:ascii="仿宋_GB2312" w:eastAsia="仿宋_GB2312" w:cs="仿宋_GB2312"/>
          <w:color w:val="000000"/>
          <w:sz w:val="32"/>
          <w:szCs w:val="32"/>
          <w:u w:color="auto"/>
        </w:rPr>
      </w:pPr>
      <w:r>
        <w:rPr>
          <w:rFonts w:hint="eastAsia" w:ascii="仿宋_GB2312" w:eastAsia="仿宋_GB2312" w:cs="仿宋_GB2312"/>
          <w:color w:val="000000"/>
          <w:sz w:val="32"/>
          <w:szCs w:val="32"/>
        </w:rPr>
        <w:t>2</w:t>
      </w:r>
      <w:r>
        <w:rPr>
          <w:rFonts w:hint="eastAsia" w:ascii="仿宋_GB2312" w:eastAsia="仿宋_GB2312" w:cs="仿宋_GB2312"/>
          <w:color w:val="000000"/>
          <w:sz w:val="32"/>
          <w:szCs w:val="32"/>
          <w:u w:color="auto"/>
        </w:rPr>
        <w:t>022年财政拨款收入总计341.74万元，财政拨款支出总计341.74万元。与2021年相比，财政拨款收入总计</w:t>
      </w:r>
      <w:r>
        <w:rPr>
          <w:rFonts w:hint="eastAsia" w:ascii="仿宋_GB2312" w:eastAsia="仿宋_GB2312" w:cs="仿宋_GB2312"/>
          <w:color w:val="000000"/>
          <w:sz w:val="32"/>
          <w:szCs w:val="32"/>
          <w:u w:color="auto"/>
          <w:lang w:val="en-US" w:eastAsia="zh-CN"/>
        </w:rPr>
        <w:t>减少214.81</w:t>
      </w:r>
      <w:r>
        <w:rPr>
          <w:rFonts w:hint="eastAsia" w:ascii="仿宋_GB2312" w:eastAsia="仿宋_GB2312" w:cs="仿宋_GB2312"/>
          <w:color w:val="000000"/>
          <w:sz w:val="32"/>
          <w:szCs w:val="32"/>
          <w:u w:color="auto"/>
        </w:rPr>
        <w:t>万元，</w:t>
      </w:r>
      <w:r>
        <w:rPr>
          <w:rFonts w:hint="eastAsia" w:ascii="仿宋_GB2312" w:eastAsia="仿宋_GB2312" w:cs="仿宋_GB2312"/>
          <w:color w:val="000000"/>
          <w:sz w:val="32"/>
          <w:szCs w:val="32"/>
          <w:u w:color="auto"/>
          <w:lang w:val="en-US" w:eastAsia="zh-CN"/>
        </w:rPr>
        <w:t>减少38.60</w:t>
      </w:r>
      <w:r>
        <w:rPr>
          <w:rFonts w:hint="eastAsia" w:ascii="仿宋_GB2312" w:eastAsia="仿宋_GB2312" w:cs="仿宋_GB2312"/>
          <w:color w:val="000000"/>
          <w:sz w:val="32"/>
          <w:szCs w:val="32"/>
          <w:u w:color="auto"/>
        </w:rPr>
        <w:t>%，财政拨款支出总计减少219.79万元，减少39.14%。</w:t>
      </w:r>
    </w:p>
    <w:p>
      <w:pPr>
        <w:pStyle w:val="2"/>
        <w:keepNext/>
        <w:keepLines w:val="0"/>
        <w:pageBreakBefore w:val="0"/>
        <w:widowControl w:val="0"/>
        <w:kinsoku/>
        <w:wordWrap/>
        <w:overflowPunct/>
        <w:topLinePunct/>
        <w:autoSpaceDE/>
        <w:autoSpaceDN/>
        <w:bidi w:val="0"/>
        <w:adjustRightInd/>
        <w:snapToGrid/>
        <w:spacing w:beforeAutospacing="0" w:afterAutospacing="0" w:line="576" w:lineRule="exact"/>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drawing>
          <wp:anchor distT="0" distB="0" distL="0" distR="0" simplePos="0" relativeHeight="251659264" behindDoc="0" locked="0" layoutInCell="1" allowOverlap="1">
            <wp:simplePos x="0" y="0"/>
            <wp:positionH relativeFrom="column">
              <wp:posOffset>282575</wp:posOffset>
            </wp:positionH>
            <wp:positionV relativeFrom="paragraph">
              <wp:posOffset>81280</wp:posOffset>
            </wp:positionV>
            <wp:extent cx="4981575" cy="2886710"/>
            <wp:effectExtent l="0" t="0" r="19" b="13"/>
            <wp:wrapSquare wrapText="bothSides"/>
            <wp:docPr id="4"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r>
        <w:rPr>
          <w:rFonts w:hint="eastAsia" w:ascii="仿宋_GB2312" w:eastAsia="仿宋_GB2312" w:cs="仿宋_GB2312"/>
          <w:b/>
          <w:bCs/>
          <w:color w:val="000000"/>
          <w:sz w:val="32"/>
          <w:szCs w:val="32"/>
        </w:rPr>
        <w:t>（图4：财政拨款收、支决算总计变动情况）</w:t>
      </w:r>
    </w:p>
    <w:p>
      <w:pPr>
        <w:pStyle w:val="4"/>
        <w:keepNext/>
        <w:keepLines/>
        <w:pageBreakBefore w:val="0"/>
        <w:widowControl w:val="0"/>
        <w:kinsoku/>
        <w:overflowPunct/>
        <w:topLinePunct w:val="0"/>
        <w:autoSpaceDE/>
        <w:autoSpaceDN/>
        <w:bidi w:val="0"/>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42" w:name="_Toc15377209"/>
      <w:bookmarkStart w:id="43" w:name="_Toc31079"/>
      <w:bookmarkStart w:id="44" w:name="_Toc111208503"/>
      <w:r>
        <w:rPr>
          <w:rFonts w:hint="eastAsia" w:ascii="黑体" w:eastAsia="黑体" w:cs="黑体"/>
          <w:b w:val="0"/>
          <w:bCs/>
          <w:color w:val="000000"/>
          <w:sz w:val="32"/>
          <w:szCs w:val="32"/>
        </w:rPr>
        <w:t>五、一般公共预算财政拨款支出决算情况说</w:t>
      </w:r>
      <w:bookmarkEnd w:id="42"/>
      <w:r>
        <w:rPr>
          <w:rFonts w:hint="eastAsia" w:ascii="黑体" w:eastAsia="黑体" w:cs="黑体"/>
          <w:b w:val="0"/>
          <w:bCs/>
          <w:color w:val="000000"/>
          <w:sz w:val="32"/>
          <w:szCs w:val="32"/>
        </w:rPr>
        <w:t>明</w:t>
      </w:r>
      <w:bookmarkEnd w:id="43"/>
      <w:bookmarkEnd w:id="44"/>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bookmarkStart w:id="45" w:name="_Toc15377210"/>
      <w:r>
        <w:rPr>
          <w:rFonts w:hint="eastAsia" w:ascii="楷体_GB2312" w:eastAsia="楷体_GB2312" w:cs="楷体_GB2312"/>
          <w:b/>
          <w:color w:val="000000"/>
          <w:sz w:val="32"/>
          <w:szCs w:val="32"/>
        </w:rPr>
        <w:t>（一）一般公共预算财政拨款支出决算总体情况</w:t>
      </w:r>
      <w:bookmarkEnd w:id="45"/>
    </w:p>
    <w:p>
      <w:pPr>
        <w:pageBreakBefore w:val="0"/>
        <w:widowControl w:val="0"/>
        <w:kinsoku/>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bookmarkStart w:id="46" w:name="_Toc15377211"/>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年一般公共预算财政拨款支出341.74</w:t>
      </w:r>
      <w:r>
        <w:rPr>
          <w:rFonts w:hint="eastAsia" w:ascii="仿宋_GB2312" w:eastAsia="仿宋_GB2312" w:cs="仿宋_GB2312"/>
          <w:color w:val="000000"/>
          <w:sz w:val="32"/>
          <w:szCs w:val="32"/>
        </w:rPr>
        <w:t>万元，占本年支出合计的</w:t>
      </w:r>
      <w:r>
        <w:rPr>
          <w:rFonts w:hint="eastAsia" w:ascii="仿宋_GB2312" w:eastAsia="仿宋_GB2312" w:cs="仿宋_GB2312"/>
          <w:color w:val="000000"/>
          <w:sz w:val="32"/>
          <w:szCs w:val="32"/>
          <w:u w:color="auto"/>
        </w:rPr>
        <w:t>100.00</w:t>
      </w:r>
      <w:r>
        <w:rPr>
          <w:rFonts w:hint="eastAsia" w:ascii="仿宋_GB2312" w:eastAsia="仿宋_GB2312" w:cs="仿宋_GB2312"/>
          <w:color w:val="000000"/>
          <w:sz w:val="32"/>
          <w:szCs w:val="32"/>
        </w:rPr>
        <w:t>%。与</w:t>
      </w:r>
      <w:r>
        <w:rPr>
          <w:rFonts w:hint="eastAsia" w:ascii="仿宋_GB2312" w:eastAsia="仿宋_GB2312" w:cs="仿宋_GB2312"/>
          <w:color w:val="000000"/>
          <w:sz w:val="32"/>
          <w:szCs w:val="32"/>
          <w:u w:color="auto"/>
        </w:rPr>
        <w:t>2021相比，一般公共预算财政拨款减少219.79</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减少39.14</w:t>
      </w:r>
      <w:r>
        <w:rPr>
          <w:rFonts w:hint="eastAsia" w:ascii="仿宋_GB2312" w:eastAsia="仿宋_GB2312" w:cs="仿宋_GB2312"/>
          <w:color w:val="000000"/>
          <w:sz w:val="32"/>
          <w:szCs w:val="32"/>
        </w:rPr>
        <w:t xml:space="preserve"> %。</w:t>
      </w:r>
      <w:r>
        <w:rPr>
          <w:rFonts w:hint="eastAsia" w:ascii="仿宋_GB2312" w:eastAsia="仿宋_GB2312" w:cs="仿宋_GB2312"/>
          <w:color w:val="000000"/>
          <w:sz w:val="32"/>
          <w:szCs w:val="32"/>
          <w:u w:color="auto"/>
        </w:rPr>
        <w:t xml:space="preserve"> </w:t>
      </w:r>
    </w:p>
    <w:p>
      <w:pPr>
        <w:pageBreakBefore w:val="0"/>
        <w:widowControl w:val="0"/>
        <w:kinsoku/>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b/>
          <w:bCs/>
          <w:color w:val="000000"/>
          <w:sz w:val="32"/>
          <w:szCs w:val="32"/>
        </w:rPr>
      </w:pPr>
      <w:r>
        <w:rPr>
          <w:rFonts w:hint="eastAsia" w:ascii="仿宋_GB2312" w:eastAsia="仿宋_GB2312" w:cs="仿宋_GB2312"/>
          <w:color w:val="000000"/>
          <w:sz w:val="32"/>
          <w:szCs w:val="32"/>
        </w:rPr>
        <w:t>（</w:t>
      </w:r>
      <w:r>
        <w:rPr>
          <w:rFonts w:hint="eastAsia" w:ascii="仿宋_GB2312" w:eastAsia="仿宋_GB2312" w:cs="仿宋_GB2312"/>
          <w:b/>
          <w:bCs/>
          <w:color w:val="000000"/>
          <w:sz w:val="32"/>
          <w:szCs w:val="32"/>
        </w:rPr>
        <w:t>图5：一般公共预算财政拨款支出决算变动情况）</w:t>
      </w:r>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r>
        <w:rPr>
          <w:rFonts w:hint="eastAsia" w:ascii="楷体_GB2312" w:eastAsia="楷体_GB2312" w:cs="楷体_GB2312"/>
          <w:b/>
          <w:color w:val="000000"/>
          <w:sz w:val="32"/>
          <w:szCs w:val="32"/>
        </w:rPr>
        <w:t>（二）一般公共预算财政拨款支出决算结构情况</w:t>
      </w:r>
      <w:bookmarkEnd w:id="46"/>
      <w:r>
        <w:rPr>
          <w:rFonts w:hint="eastAsia" w:ascii="楷体_GB2312" w:eastAsia="楷体_GB2312" w:cs="楷体_GB2312"/>
          <w:b/>
          <w:color w:val="000000"/>
          <w:sz w:val="32"/>
          <w:szCs w:val="32"/>
        </w:rPr>
        <w:t>（一般公共预算收支表）</w:t>
      </w:r>
    </w:p>
    <w:p>
      <w:pPr>
        <w:pageBreakBefore w:val="0"/>
        <w:widowControl w:val="0"/>
        <w:kinsoku/>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年一般公共预算财政拨款支出341.74</w:t>
      </w:r>
      <w:r>
        <w:rPr>
          <w:rFonts w:hint="eastAsia" w:ascii="仿宋_GB2312" w:eastAsia="仿宋_GB2312" w:cs="仿宋_GB2312"/>
          <w:color w:val="000000"/>
          <w:sz w:val="32"/>
          <w:szCs w:val="32"/>
        </w:rPr>
        <w:t xml:space="preserve">万元，主要用于以下方面: </w:t>
      </w:r>
      <w:r>
        <w:rPr>
          <w:rFonts w:hint="eastAsia" w:ascii="仿宋_GB2312" w:eastAsia="仿宋_GB2312" w:cs="仿宋_GB2312"/>
          <w:color w:val="000000"/>
          <w:sz w:val="32"/>
          <w:szCs w:val="32"/>
          <w:u w:color="auto"/>
        </w:rPr>
        <w:t>一般公共服务支出265.09万元，占77.57%；社会保障和就业支出38.43万元，占11.25%；卫生健康支出15.49万元，占4.53%；农林水支出1.08万元，占0.32%；住房保障支出21.65万元，占6.33%。</w:t>
      </w:r>
    </w:p>
    <w:p>
      <w:pPr>
        <w:pageBreakBefore w:val="0"/>
        <w:widowControl w:val="0"/>
        <w:kinsoku/>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sz w:val="32"/>
          <w:szCs w:val="32"/>
        </w:rPr>
        <w:drawing>
          <wp:anchor distT="0" distB="0" distL="0" distR="0" simplePos="0" relativeHeight="251659264" behindDoc="0" locked="0" layoutInCell="1" allowOverlap="1">
            <wp:simplePos x="0" y="0"/>
            <wp:positionH relativeFrom="column">
              <wp:posOffset>634365</wp:posOffset>
            </wp:positionH>
            <wp:positionV relativeFrom="paragraph">
              <wp:posOffset>219075</wp:posOffset>
            </wp:positionV>
            <wp:extent cx="4333240" cy="2886075"/>
            <wp:effectExtent l="0" t="0" r="3" b="43"/>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r>
        <w:rPr>
          <w:rFonts w:hint="eastAsia" w:ascii="仿宋_GB2312" w:eastAsia="仿宋_GB2312" w:cs="仿宋_GB2312"/>
          <w:b/>
          <w:bCs/>
          <w:color w:val="000000"/>
          <w:sz w:val="32"/>
          <w:szCs w:val="32"/>
        </w:rPr>
        <w:t>（图6：一般公共预算财政拨款支出决算结构）</w:t>
      </w:r>
      <w:bookmarkStart w:id="47" w:name="_Toc15377212"/>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r>
        <w:rPr>
          <w:rFonts w:hint="eastAsia" w:ascii="楷体_GB2312" w:eastAsia="楷体_GB2312" w:cs="楷体_GB2312"/>
          <w:b/>
          <w:color w:val="000000"/>
          <w:sz w:val="32"/>
          <w:szCs w:val="32"/>
        </w:rPr>
        <w:t>（三）一般公共预算财政拨款支出决算具体情况</w:t>
      </w:r>
      <w:bookmarkEnd w:id="47"/>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bookmarkStart w:id="48" w:name="_Toc15377444"/>
      <w:bookmarkStart w:id="49" w:name="_Toc15378460"/>
      <w:bookmarkStart w:id="50" w:name="_Toc15377213"/>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年一般公共预算支出决算数为341.74</w:t>
      </w:r>
      <w:r>
        <w:rPr>
          <w:rFonts w:hint="eastAsia" w:ascii="仿宋_GB2312" w:eastAsia="仿宋_GB2312" w:cs="仿宋_GB2312"/>
          <w:color w:val="000000"/>
          <w:sz w:val="32"/>
          <w:szCs w:val="32"/>
        </w:rPr>
        <w:t>万</w:t>
      </w:r>
      <w:r>
        <w:rPr>
          <w:rFonts w:hint="eastAsia" w:ascii="仿宋_GB2312" w:cs="仿宋_GB2312"/>
          <w:color w:val="000000"/>
          <w:sz w:val="32"/>
          <w:szCs w:val="32"/>
          <w:lang w:eastAsia="zh-CN"/>
        </w:rPr>
        <w:t>元</w:t>
      </w:r>
      <w:r>
        <w:rPr>
          <w:rFonts w:hint="eastAsia" w:ascii="仿宋_GB2312" w:eastAsia="仿宋_GB2312" w:cs="仿宋_GB2312"/>
          <w:color w:val="000000"/>
          <w:sz w:val="32"/>
          <w:szCs w:val="32"/>
        </w:rPr>
        <w:t>，完成预算100%。其中：</w:t>
      </w:r>
      <w:bookmarkEnd w:id="48"/>
      <w:bookmarkEnd w:id="49"/>
      <w:bookmarkEnd w:id="50"/>
    </w:p>
    <w:p>
      <w:pPr>
        <w:pageBreakBefore w:val="0"/>
        <w:widowControl w:val="0"/>
        <w:kinsoku/>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一般公共服务支出（201）政府办公厅（室）及相关机构事务（20103）行政运行（2010301）支出决算152.02万元，完成预算100%。</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2.一般公共服务支出（201）政府办公厅（室）及相关机构事务（20103）事业运行（2010350）支出决算113.06万元，完成预算100%。</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3.社会保障和就业支出（208）行政事业单位养老支出（20805）机关事业单位基本养老保险缴费支出（2080505）支出决算25.62万元，完成预算100%。</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4.社会保障和就业支出（208）行政事业单位养老支出（20805）机关事业单位职业年金缴费支出（2080506）支出决算12.81万元，完成预算100%。</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5.卫生健康支出（210）行政事业单位医疗（21011）行政单位医疗（2101101）支出决算7.44万元，完成预算100%。</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6.卫生健康支出（210）行政事业单位医疗（21011）事业单位医疗（2101102）支出决算8.06万元，完成预算100%。</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7.农林水支出（213）巩固脱贫衔接乡村振兴（21305）其他巩固脱贫衔接乡村振兴支出（2130599）支出决算1.08万元，完成预算100%。</w:t>
      </w:r>
      <w:r>
        <w:rPr>
          <w:rFonts w:hint="eastAsia" w:ascii="仿宋_GB2312" w:eastAsia="仿宋_GB2312" w:cs="仿宋_GB2312"/>
          <w:color w:val="000000"/>
          <w:sz w:val="32"/>
          <w:szCs w:val="32"/>
        </w:rPr>
        <w:cr/>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color w:val="000000"/>
          <w:sz w:val="32"/>
          <w:szCs w:val="32"/>
        </w:rPr>
        <w:t>8.住房保障支出（221）住房改革支出（22102）住房公积金（2210201）支出决算21.65万元，完成预算100%。</w:t>
      </w:r>
    </w:p>
    <w:p>
      <w:pPr>
        <w:pStyle w:val="4"/>
        <w:keepNext/>
        <w:keepLines/>
        <w:pageBreakBefore w:val="0"/>
        <w:widowControl w:val="0"/>
        <w:kinsoku/>
        <w:overflowPunct/>
        <w:topLinePunct w:val="0"/>
        <w:autoSpaceDE/>
        <w:autoSpaceDN/>
        <w:bidi w:val="0"/>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51" w:name="_Toc15377214"/>
      <w:bookmarkStart w:id="52" w:name="_Toc6617"/>
      <w:bookmarkStart w:id="53" w:name="_Toc111208504"/>
      <w:r>
        <w:rPr>
          <w:rFonts w:hint="eastAsia" w:ascii="黑体" w:eastAsia="黑体" w:cs="黑体"/>
          <w:b w:val="0"/>
          <w:bCs/>
          <w:color w:val="000000"/>
          <w:sz w:val="32"/>
          <w:szCs w:val="32"/>
        </w:rPr>
        <w:t>六、一般公共预算财政拨款基本支出决算情况说</w:t>
      </w:r>
      <w:bookmarkEnd w:id="51"/>
      <w:r>
        <w:rPr>
          <w:rFonts w:hint="eastAsia" w:ascii="黑体" w:eastAsia="黑体" w:cs="黑体"/>
          <w:b w:val="0"/>
          <w:bCs/>
          <w:color w:val="000000"/>
          <w:sz w:val="32"/>
          <w:szCs w:val="32"/>
        </w:rPr>
        <w:t>明</w:t>
      </w:r>
      <w:bookmarkEnd w:id="52"/>
      <w:bookmarkEnd w:id="53"/>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年一般公共预算财政拨款基本支出340.66</w:t>
      </w:r>
      <w:r>
        <w:rPr>
          <w:rFonts w:hint="eastAsia" w:ascii="仿宋_GB2312" w:eastAsia="仿宋_GB2312" w:cs="仿宋_GB2312"/>
          <w:color w:val="000000"/>
          <w:sz w:val="32"/>
          <w:szCs w:val="32"/>
        </w:rPr>
        <w:t>万元，其中：</w:t>
      </w:r>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人员经费</w:t>
      </w:r>
      <w:r>
        <w:rPr>
          <w:rFonts w:hint="eastAsia" w:ascii="仿宋_GB2312" w:eastAsia="仿宋_GB2312" w:cs="仿宋_GB2312"/>
          <w:color w:val="000000"/>
          <w:sz w:val="32"/>
          <w:szCs w:val="32"/>
          <w:u w:color="auto"/>
        </w:rPr>
        <w:t>296.78</w:t>
      </w:r>
      <w:r>
        <w:rPr>
          <w:rFonts w:hint="eastAsia" w:ascii="仿宋_GB2312" w:eastAsia="仿宋_GB2312" w:cs="仿宋_GB2312"/>
          <w:color w:val="000000"/>
          <w:sz w:val="32"/>
          <w:szCs w:val="32"/>
        </w:rPr>
        <w:t>万元，主要包括：</w:t>
      </w:r>
      <w:r>
        <w:rPr>
          <w:rFonts w:hint="eastAsia" w:ascii="仿宋_GB2312" w:eastAsia="仿宋_GB2312" w:cs="仿宋_GB2312"/>
          <w:color w:val="000000"/>
          <w:sz w:val="32"/>
          <w:szCs w:val="32"/>
          <w:u w:color="auto"/>
        </w:rPr>
        <w:t>基本工资70.59万元、津贴补贴39.04万元、奖金42.71万元、绩效工资59.54万元、机关事业单位基本养老保险缴费25.62万元、职业年金缴费12.81万元、职工基本医疗保险缴费15.49万元、其他社会保障缴费4.92万元、住房公积金21.65万元、医疗费2.22万元、生活补助2.16万元、奖励金0.03万元。</w:t>
      </w:r>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公用经费</w:t>
      </w:r>
      <w:r>
        <w:rPr>
          <w:rFonts w:hint="eastAsia" w:ascii="仿宋_GB2312" w:eastAsia="仿宋_GB2312" w:cs="仿宋_GB2312"/>
          <w:color w:val="000000"/>
          <w:sz w:val="32"/>
          <w:szCs w:val="32"/>
          <w:u w:color="auto"/>
        </w:rPr>
        <w:t>43.88</w:t>
      </w:r>
      <w:r>
        <w:rPr>
          <w:rFonts w:hint="eastAsia" w:ascii="仿宋_GB2312" w:eastAsia="仿宋_GB2312" w:cs="仿宋_GB2312"/>
          <w:color w:val="000000"/>
          <w:sz w:val="32"/>
          <w:szCs w:val="32"/>
        </w:rPr>
        <w:t>万元，主要包括：</w:t>
      </w:r>
      <w:r>
        <w:rPr>
          <w:rFonts w:hint="eastAsia" w:ascii="仿宋_GB2312" w:eastAsia="仿宋_GB2312" w:cs="仿宋_GB2312"/>
          <w:color w:val="000000"/>
          <w:sz w:val="32"/>
          <w:szCs w:val="32"/>
          <w:u w:color="auto"/>
        </w:rPr>
        <w:t>办公费35万元、邮电费1.14万元、差旅费6.82万元、培训费0.19万元、公务接待费0.73万元</w:t>
      </w:r>
      <w:r>
        <w:rPr>
          <w:rFonts w:hint="eastAsia" w:ascii="仿宋_GB2312" w:eastAsia="仿宋_GB2312" w:cs="仿宋_GB2312"/>
          <w:color w:val="000000"/>
          <w:sz w:val="32"/>
          <w:szCs w:val="32"/>
        </w:rPr>
        <w:t>。</w:t>
      </w:r>
    </w:p>
    <w:p>
      <w:pPr>
        <w:pStyle w:val="4"/>
        <w:keepNext/>
        <w:keepLines/>
        <w:pageBreakBefore w:val="0"/>
        <w:widowControl w:val="0"/>
        <w:kinsoku/>
        <w:overflowPunct/>
        <w:topLinePunct w:val="0"/>
        <w:autoSpaceDE/>
        <w:autoSpaceDN/>
        <w:bidi w:val="0"/>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54" w:name="_Toc111208505"/>
      <w:bookmarkStart w:id="55" w:name="_Toc15377215"/>
      <w:bookmarkStart w:id="56" w:name="_Toc32425"/>
      <w:r>
        <w:rPr>
          <w:rFonts w:hint="eastAsia" w:ascii="黑体" w:eastAsia="黑体" w:cs="黑体"/>
          <w:b w:val="0"/>
          <w:bCs/>
          <w:color w:val="000000"/>
          <w:sz w:val="32"/>
          <w:szCs w:val="32"/>
        </w:rPr>
        <w:t>七、“三公”经费财政拨款支出决算情况说明</w:t>
      </w:r>
      <w:bookmarkEnd w:id="54"/>
      <w:bookmarkEnd w:id="55"/>
      <w:bookmarkEnd w:id="56"/>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bookmarkStart w:id="57" w:name="_Toc15377216"/>
      <w:r>
        <w:rPr>
          <w:rFonts w:hint="eastAsia" w:ascii="楷体_GB2312" w:eastAsia="楷体_GB2312" w:cs="楷体_GB2312"/>
          <w:b/>
          <w:color w:val="000000"/>
          <w:sz w:val="32"/>
          <w:szCs w:val="32"/>
        </w:rPr>
        <w:t>（一）“三公”经费财政拨款支出决算总体情况说明</w:t>
      </w:r>
      <w:bookmarkEnd w:id="57"/>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年“三公”经费财政拨款支出决算为0.73</w:t>
      </w:r>
      <w:r>
        <w:rPr>
          <w:rFonts w:hint="eastAsia" w:ascii="仿宋_GB2312" w:eastAsia="仿宋_GB2312" w:cs="仿宋_GB2312"/>
          <w:color w:val="000000"/>
          <w:sz w:val="32"/>
          <w:szCs w:val="32"/>
        </w:rPr>
        <w:t>万元，完成预算</w:t>
      </w:r>
      <w:r>
        <w:rPr>
          <w:rFonts w:hint="eastAsia" w:ascii="仿宋_GB2312" w:eastAsia="仿宋_GB2312" w:cs="仿宋_GB2312"/>
          <w:color w:val="000000"/>
          <w:sz w:val="32"/>
          <w:szCs w:val="32"/>
          <w:u w:color="auto"/>
        </w:rPr>
        <w:t>100.00</w:t>
      </w:r>
      <w:r>
        <w:rPr>
          <w:rFonts w:hint="eastAsia" w:ascii="仿宋_GB2312" w:eastAsia="仿宋_GB2312" w:cs="仿宋_GB2312"/>
          <w:color w:val="000000"/>
          <w:sz w:val="32"/>
          <w:szCs w:val="32"/>
        </w:rPr>
        <w:t>%。</w:t>
      </w:r>
      <w:bookmarkStart w:id="58" w:name="_Toc15377217"/>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r>
        <w:rPr>
          <w:rFonts w:hint="eastAsia" w:ascii="楷体_GB2312" w:eastAsia="楷体_GB2312" w:cs="楷体_GB2312"/>
          <w:b/>
          <w:color w:val="000000"/>
          <w:sz w:val="32"/>
          <w:szCs w:val="32"/>
        </w:rPr>
        <w:t>（二）“三公”经费财政拨款支出决算具体情况说明</w:t>
      </w:r>
      <w:bookmarkEnd w:id="58"/>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年“三公”经费财政拨款支出0.73</w:t>
      </w:r>
      <w:r>
        <w:rPr>
          <w:rFonts w:hint="eastAsia" w:ascii="仿宋_GB2312" w:eastAsia="仿宋_GB2312" w:cs="仿宋_GB2312"/>
          <w:color w:val="000000"/>
          <w:sz w:val="32"/>
          <w:szCs w:val="32"/>
        </w:rPr>
        <w:t>万</w:t>
      </w:r>
      <w:r>
        <w:rPr>
          <w:rFonts w:hint="eastAsia" w:ascii="仿宋_GB2312" w:cs="仿宋_GB2312"/>
          <w:color w:val="000000"/>
          <w:sz w:val="32"/>
          <w:szCs w:val="32"/>
          <w:lang w:eastAsia="zh-CN"/>
        </w:rPr>
        <w:t>元</w:t>
      </w:r>
      <w:r>
        <w:rPr>
          <w:rFonts w:hint="eastAsia" w:ascii="仿宋_GB2312" w:eastAsia="仿宋_GB2312" w:cs="仿宋_GB2312"/>
          <w:color w:val="000000"/>
          <w:sz w:val="32"/>
          <w:szCs w:val="32"/>
        </w:rPr>
        <w:t>，因公出国（境）费支出决算</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万</w:t>
      </w:r>
      <w:r>
        <w:rPr>
          <w:rFonts w:hint="eastAsia" w:ascii="仿宋_GB2312" w:cs="仿宋_GB2312"/>
          <w:color w:val="000000"/>
          <w:sz w:val="32"/>
          <w:szCs w:val="32"/>
          <w:lang w:eastAsia="zh-CN"/>
        </w:rPr>
        <w:t>元</w:t>
      </w:r>
      <w:r>
        <w:rPr>
          <w:rFonts w:hint="eastAsia" w:ascii="仿宋_GB2312" w:eastAsia="仿宋_GB2312" w:cs="仿宋_GB2312"/>
          <w:color w:val="000000"/>
          <w:sz w:val="32"/>
          <w:szCs w:val="32"/>
        </w:rPr>
        <w:t>；公务用车购置及运行维护费支出决算</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万元；公务接待费支出决算</w:t>
      </w:r>
      <w:r>
        <w:rPr>
          <w:rFonts w:hint="eastAsia" w:ascii="仿宋_GB2312" w:eastAsia="仿宋_GB2312" w:cs="仿宋_GB2312"/>
          <w:color w:val="000000"/>
          <w:sz w:val="32"/>
          <w:szCs w:val="32"/>
          <w:u w:color="auto"/>
        </w:rPr>
        <w:t>0.73</w:t>
      </w:r>
      <w:r>
        <w:rPr>
          <w:rFonts w:hint="eastAsia" w:ascii="仿宋_GB2312" w:eastAsia="仿宋_GB2312" w:cs="仿宋_GB2312"/>
          <w:color w:val="000000"/>
          <w:sz w:val="32"/>
          <w:szCs w:val="32"/>
        </w:rPr>
        <w:t>万元，占</w:t>
      </w:r>
      <w:r>
        <w:rPr>
          <w:rFonts w:hint="eastAsia" w:ascii="仿宋_GB2312" w:eastAsia="仿宋_GB2312" w:cs="仿宋_GB2312"/>
          <w:color w:val="000000"/>
          <w:sz w:val="32"/>
          <w:szCs w:val="32"/>
          <w:u w:color="auto"/>
        </w:rPr>
        <w:t>100.00</w:t>
      </w:r>
      <w:r>
        <w:rPr>
          <w:rFonts w:hint="eastAsia" w:ascii="仿宋_GB2312" w:eastAsia="仿宋_GB2312" w:cs="仿宋_GB2312"/>
          <w:color w:val="000000"/>
          <w:sz w:val="32"/>
          <w:szCs w:val="32"/>
        </w:rPr>
        <w:t>%。具体情况如下：</w:t>
      </w: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r>
        <w:rPr>
          <w:rFonts w:hint="eastAsia" w:ascii="仿宋_GB2312" w:eastAsia="仿宋_GB2312" w:cs="仿宋_GB2312"/>
          <w:sz w:val="32"/>
          <w:szCs w:val="32"/>
        </w:rPr>
        <w:drawing>
          <wp:anchor distT="0" distB="0" distL="0" distR="0" simplePos="0" relativeHeight="251659264" behindDoc="0" locked="0" layoutInCell="1" allowOverlap="1">
            <wp:simplePos x="0" y="0"/>
            <wp:positionH relativeFrom="column">
              <wp:posOffset>454025</wp:posOffset>
            </wp:positionH>
            <wp:positionV relativeFrom="paragraph">
              <wp:posOffset>61595</wp:posOffset>
            </wp:positionV>
            <wp:extent cx="5037455" cy="2124710"/>
            <wp:effectExtent l="0" t="0" r="44" b="1"/>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ageBreakBefore w:val="0"/>
        <w:widowControl w:val="0"/>
        <w:kinsoku/>
        <w:overflowPunct/>
        <w:topLinePunct w:val="0"/>
        <w:autoSpaceDE/>
        <w:autoSpaceDN/>
        <w:bidi w:val="0"/>
        <w:spacing w:beforeAutospacing="0" w:afterAutospacing="0" w:line="576" w:lineRule="exact"/>
        <w:textAlignment w:val="auto"/>
        <w:rPr>
          <w:rFonts w:hint="eastAsia" w:ascii="仿宋_GB2312" w:eastAsia="仿宋_GB2312" w:cs="仿宋_GB2312"/>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b/>
          <w:bCs/>
          <w:color w:val="000000"/>
          <w:sz w:val="32"/>
          <w:szCs w:val="32"/>
        </w:rPr>
      </w:pPr>
    </w:p>
    <w:p>
      <w:pPr>
        <w:pageBreakBefore w:val="0"/>
        <w:widowControl w:val="0"/>
        <w:kinsoku/>
        <w:overflowPunct/>
        <w:topLinePunct w:val="0"/>
        <w:autoSpaceDE/>
        <w:autoSpaceDN/>
        <w:bidi w:val="0"/>
        <w:spacing w:beforeAutospacing="0" w:afterAutospacing="0" w:line="576" w:lineRule="exact"/>
        <w:jc w:val="center"/>
        <w:textAlignment w:val="auto"/>
        <w:rPr>
          <w:rFonts w:hint="eastAsia" w:ascii="仿宋_GB2312" w:eastAsia="仿宋_GB2312" w:cs="仿宋_GB2312"/>
          <w:color w:val="000000"/>
          <w:sz w:val="32"/>
          <w:szCs w:val="32"/>
        </w:rPr>
      </w:pPr>
      <w:r>
        <w:rPr>
          <w:rFonts w:hint="eastAsia" w:ascii="仿宋_GB2312" w:eastAsia="仿宋_GB2312" w:cs="仿宋_GB2312"/>
          <w:b/>
          <w:bCs/>
          <w:color w:val="000000"/>
          <w:sz w:val="32"/>
          <w:szCs w:val="32"/>
        </w:rPr>
        <w:t>（图7：“三公”经费财政拨款支出结构）</w:t>
      </w:r>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1.因公出国（境）经费支出</w:t>
      </w:r>
      <w:r>
        <w:rPr>
          <w:rFonts w:hint="eastAsia" w:ascii="仿宋_GB2312" w:eastAsia="仿宋_GB2312" w:cs="仿宋_GB2312"/>
          <w:color w:val="000000"/>
          <w:sz w:val="32"/>
          <w:szCs w:val="32"/>
          <w:u w:color="auto"/>
        </w:rPr>
        <w:t>0</w:t>
      </w:r>
      <w:r>
        <w:rPr>
          <w:rFonts w:hint="eastAsia" w:ascii="仿宋_GB2312" w:cs="仿宋_GB2312"/>
          <w:color w:val="000000"/>
          <w:sz w:val="32"/>
          <w:szCs w:val="32"/>
          <w:u w:color="auto"/>
          <w:lang w:val="en-US" w:eastAsia="zh-CN"/>
        </w:rPr>
        <w:t>-</w:t>
      </w:r>
      <w:r>
        <w:rPr>
          <w:rFonts w:hint="eastAsia" w:ascii="仿宋_GB2312" w:eastAsia="仿宋_GB2312" w:cs="仿宋_GB2312"/>
          <w:color w:val="000000"/>
          <w:sz w:val="32"/>
          <w:szCs w:val="32"/>
        </w:rPr>
        <w:t>万元。全年安排因公出国（境）团组</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次，出国（境）</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人。因公出国（境）支出决算比</w:t>
      </w:r>
      <w:r>
        <w:rPr>
          <w:rFonts w:hint="eastAsia" w:ascii="仿宋_GB2312" w:eastAsia="仿宋_GB2312" w:cs="仿宋_GB2312"/>
          <w:color w:val="000000"/>
          <w:sz w:val="32"/>
          <w:szCs w:val="32"/>
          <w:u w:color="auto"/>
        </w:rPr>
        <w:t>2021年增加0</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 xml:space="preserve"> </w:t>
      </w:r>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2.公务用车购置及运行维护费支出</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万元。公务用车购置及运行维护费支出决算比</w:t>
      </w:r>
      <w:r>
        <w:rPr>
          <w:rFonts w:hint="eastAsia" w:ascii="仿宋_GB2312" w:eastAsia="仿宋_GB2312" w:cs="仿宋_GB2312"/>
          <w:color w:val="000000"/>
          <w:sz w:val="32"/>
          <w:szCs w:val="32"/>
          <w:u w:color="auto"/>
        </w:rPr>
        <w:t>2021年增加0</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 xml:space="preserve"> </w:t>
      </w:r>
    </w:p>
    <w:p>
      <w:pPr>
        <w:pageBreakBefore w:val="0"/>
        <w:widowControl w:val="0"/>
        <w:kinsoku/>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其中：公务用车购置支出</w:t>
      </w:r>
      <w:r>
        <w:rPr>
          <w:rFonts w:hint="eastAsia" w:ascii="仿宋_GB2312" w:eastAsia="仿宋_GB2312" w:cs="仿宋_GB2312"/>
          <w:color w:val="000000"/>
          <w:sz w:val="32"/>
          <w:szCs w:val="32"/>
          <w:u w:color="auto"/>
        </w:rPr>
        <w:t>0万元。全年按规定更新购置公务用车0辆，其中：轿车0辆、金额0万元，越野车0辆、金额0万元，载客汽车0辆、金额0万元。截至</w:t>
      </w:r>
      <w:r>
        <w:rPr>
          <w:rFonts w:hint="eastAsia" w:ascii="仿宋_GB2312" w:eastAsia="仿宋_GB2312" w:cs="仿宋_GB2312"/>
          <w:color w:val="000000"/>
          <w:sz w:val="32"/>
          <w:szCs w:val="32"/>
        </w:rPr>
        <w:t>202</w:t>
      </w:r>
      <w:r>
        <w:rPr>
          <w:rFonts w:hint="eastAsia" w:ascii="仿宋_GB2312" w:cs="仿宋_GB2312"/>
          <w:color w:val="000000"/>
          <w:sz w:val="32"/>
          <w:szCs w:val="32"/>
          <w:lang w:val="en-US" w:eastAsia="zh-CN"/>
        </w:rPr>
        <w:t>2</w:t>
      </w:r>
      <w:r>
        <w:rPr>
          <w:rFonts w:hint="eastAsia" w:ascii="仿宋_GB2312" w:eastAsia="仿宋_GB2312" w:cs="仿宋_GB2312"/>
          <w:color w:val="000000"/>
          <w:sz w:val="32"/>
          <w:szCs w:val="32"/>
        </w:rPr>
        <w:t>年12月底，单位共有公务用车</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辆，其中：轿车</w:t>
      </w:r>
      <w:r>
        <w:rPr>
          <w:rFonts w:hint="eastAsia" w:ascii="仿宋_GB2312" w:eastAsia="仿宋_GB2312" w:cs="仿宋_GB2312"/>
          <w:color w:val="000000"/>
          <w:sz w:val="32"/>
          <w:szCs w:val="32"/>
          <w:u w:color="auto"/>
        </w:rPr>
        <w:t>0辆、越野车0辆、载客汽车0辆。</w:t>
      </w:r>
      <w:r>
        <w:rPr>
          <w:rFonts w:hint="eastAsia" w:ascii="仿宋_GB2312" w:eastAsia="仿宋_GB2312" w:cs="仿宋_GB2312"/>
          <w:color w:val="000000"/>
          <w:sz w:val="32"/>
          <w:szCs w:val="32"/>
        </w:rPr>
        <w:t>公务用车运行维护费支出</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 xml:space="preserve"> </w:t>
      </w:r>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3.公务接待费支出</w:t>
      </w:r>
      <w:r>
        <w:rPr>
          <w:rFonts w:hint="eastAsia" w:ascii="仿宋_GB2312" w:eastAsia="仿宋_GB2312" w:cs="仿宋_GB2312"/>
          <w:color w:val="000000"/>
          <w:sz w:val="32"/>
          <w:szCs w:val="32"/>
          <w:u w:color="auto"/>
        </w:rPr>
        <w:t>0.73万元，完成预算100.00</w:t>
      </w:r>
      <w:r>
        <w:rPr>
          <w:rFonts w:hint="eastAsia" w:ascii="仿宋_GB2312" w:eastAsia="仿宋_GB2312" w:cs="仿宋_GB2312"/>
          <w:color w:val="000000"/>
          <w:sz w:val="32"/>
          <w:szCs w:val="32"/>
        </w:rPr>
        <w:t>%。公务接待费支出决算比</w:t>
      </w:r>
      <w:r>
        <w:rPr>
          <w:rFonts w:hint="eastAsia" w:ascii="仿宋_GB2312" w:eastAsia="仿宋_GB2312" w:cs="仿宋_GB2312"/>
          <w:color w:val="000000"/>
          <w:sz w:val="32"/>
          <w:szCs w:val="32"/>
          <w:u w:color="auto"/>
        </w:rPr>
        <w:t>2021年减少0.16</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减少22.11</w:t>
      </w:r>
      <w:r>
        <w:rPr>
          <w:rFonts w:hint="eastAsia" w:ascii="仿宋_GB2312" w:eastAsia="仿宋_GB2312" w:cs="仿宋_GB2312"/>
          <w:color w:val="000000"/>
          <w:sz w:val="32"/>
          <w:szCs w:val="32"/>
        </w:rPr>
        <w:t>%。</w:t>
      </w:r>
      <w:bookmarkStart w:id="59" w:name="_Toc15377218"/>
      <w:r>
        <w:rPr>
          <w:rFonts w:hint="eastAsia" w:ascii="仿宋_GB2312" w:eastAsia="仿宋_GB2312" w:cs="仿宋_GB2312"/>
          <w:color w:val="000000"/>
          <w:sz w:val="32"/>
          <w:szCs w:val="32"/>
        </w:rPr>
        <w:t xml:space="preserve"> 国内公务接待支出</w:t>
      </w:r>
      <w:r>
        <w:rPr>
          <w:rFonts w:hint="eastAsia" w:ascii="仿宋_GB2312" w:eastAsia="仿宋_GB2312" w:cs="仿宋_GB2312"/>
          <w:color w:val="000000"/>
          <w:sz w:val="32"/>
          <w:szCs w:val="32"/>
          <w:u w:color="auto"/>
        </w:rPr>
        <w:t>0.73万元。国内公务接待12批次，80人次（不包括陪同人员），共计支出0.73万元。</w:t>
      </w:r>
      <w:r>
        <w:rPr>
          <w:rFonts w:hint="eastAsia" w:ascii="仿宋_GB2312" w:eastAsia="仿宋_GB2312" w:cs="仿宋_GB2312"/>
          <w:color w:val="000000"/>
          <w:sz w:val="32"/>
          <w:szCs w:val="32"/>
        </w:rPr>
        <w:t>外事接待支出</w:t>
      </w:r>
      <w:r>
        <w:rPr>
          <w:rFonts w:hint="eastAsia" w:ascii="仿宋_GB2312" w:eastAsia="仿宋_GB2312" w:cs="仿宋_GB2312"/>
          <w:color w:val="000000"/>
          <w:sz w:val="32"/>
          <w:szCs w:val="32"/>
          <w:u w:color="auto"/>
        </w:rPr>
        <w:t>0万元，外事接待0批次，0人，共计支出0万元。</w:t>
      </w:r>
    </w:p>
    <w:p>
      <w:pPr>
        <w:pStyle w:val="4"/>
        <w:keepNext/>
        <w:keepLines/>
        <w:pageBreakBefore w:val="0"/>
        <w:widowControl w:val="0"/>
        <w:kinsoku/>
        <w:overflowPunct/>
        <w:topLinePunct w:val="0"/>
        <w:autoSpaceDE/>
        <w:autoSpaceDN/>
        <w:bidi w:val="0"/>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60" w:name="_Toc10932"/>
      <w:bookmarkStart w:id="61" w:name="_Toc111208506"/>
      <w:r>
        <w:rPr>
          <w:rFonts w:hint="eastAsia" w:ascii="黑体" w:eastAsia="黑体" w:cs="黑体"/>
          <w:b w:val="0"/>
          <w:bCs/>
          <w:color w:val="000000"/>
          <w:sz w:val="32"/>
          <w:szCs w:val="32"/>
        </w:rPr>
        <w:t>八、政府性基金预算支出决算情况说明</w:t>
      </w:r>
      <w:bookmarkEnd w:id="59"/>
      <w:bookmarkEnd w:id="60"/>
      <w:bookmarkEnd w:id="61"/>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年政府性基金预算拨款支出0</w:t>
      </w:r>
      <w:r>
        <w:rPr>
          <w:rFonts w:hint="eastAsia" w:ascii="仿宋_GB2312" w:eastAsia="仿宋_GB2312" w:cs="仿宋_GB2312"/>
          <w:color w:val="000000"/>
          <w:sz w:val="32"/>
          <w:szCs w:val="32"/>
        </w:rPr>
        <w:t>万元。</w:t>
      </w:r>
      <w:bookmarkStart w:id="62" w:name="_Toc15377219"/>
    </w:p>
    <w:p>
      <w:pPr>
        <w:pStyle w:val="4"/>
        <w:keepNext/>
        <w:keepLines/>
        <w:pageBreakBefore w:val="0"/>
        <w:widowControl w:val="0"/>
        <w:kinsoku/>
        <w:overflowPunct/>
        <w:topLinePunct w:val="0"/>
        <w:autoSpaceDE/>
        <w:autoSpaceDN/>
        <w:bidi w:val="0"/>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63" w:name="_Toc111208507"/>
      <w:bookmarkStart w:id="64" w:name="_Toc20557"/>
      <w:r>
        <w:rPr>
          <w:rFonts w:hint="eastAsia" w:ascii="黑体" w:eastAsia="黑体" w:cs="黑体"/>
          <w:b w:val="0"/>
          <w:bCs/>
          <w:color w:val="000000"/>
          <w:sz w:val="32"/>
          <w:szCs w:val="32"/>
        </w:rPr>
        <w:t>九、国有资本经营预算支出决算情况说明</w:t>
      </w:r>
      <w:bookmarkEnd w:id="62"/>
      <w:bookmarkEnd w:id="63"/>
      <w:bookmarkEnd w:id="64"/>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年国有资本经营预算拨款支出0</w:t>
      </w:r>
      <w:r>
        <w:rPr>
          <w:rFonts w:hint="eastAsia" w:ascii="仿宋_GB2312" w:eastAsia="仿宋_GB2312" w:cs="仿宋_GB2312"/>
          <w:color w:val="000000"/>
          <w:sz w:val="32"/>
          <w:szCs w:val="32"/>
        </w:rPr>
        <w:t>万元。</w:t>
      </w:r>
      <w:bookmarkStart w:id="65" w:name="_Toc111208508"/>
      <w:bookmarkStart w:id="66" w:name="_Toc15377221"/>
      <w:bookmarkStart w:id="67" w:name="_Toc30403"/>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黑体" w:eastAsia="黑体" w:cs="黑体"/>
          <w:b w:val="0"/>
          <w:bCs/>
          <w:color w:val="000000"/>
          <w:sz w:val="32"/>
          <w:szCs w:val="32"/>
        </w:rPr>
      </w:pPr>
      <w:r>
        <w:rPr>
          <w:rFonts w:hint="eastAsia" w:ascii="黑体" w:eastAsia="黑体" w:cs="黑体"/>
          <w:b w:val="0"/>
          <w:bCs/>
          <w:color w:val="000000"/>
          <w:sz w:val="32"/>
          <w:szCs w:val="32"/>
        </w:rPr>
        <w:t>十、其他重要事项的情况说明</w:t>
      </w:r>
      <w:bookmarkEnd w:id="65"/>
      <w:bookmarkEnd w:id="66"/>
      <w:bookmarkEnd w:id="67"/>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bookmarkStart w:id="68" w:name="_Toc15377222"/>
      <w:r>
        <w:rPr>
          <w:rFonts w:hint="eastAsia" w:ascii="楷体_GB2312" w:eastAsia="楷体_GB2312" w:cs="楷体_GB2312"/>
          <w:b/>
          <w:color w:val="000000"/>
          <w:sz w:val="32"/>
          <w:szCs w:val="32"/>
        </w:rPr>
        <w:t>（一）机关运行经费支出情况</w:t>
      </w:r>
      <w:bookmarkEnd w:id="68"/>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年，机关运行经费支出24.81</w:t>
      </w:r>
      <w:r>
        <w:rPr>
          <w:rFonts w:hint="eastAsia" w:ascii="仿宋_GB2312" w:eastAsia="仿宋_GB2312" w:cs="仿宋_GB2312"/>
          <w:color w:val="000000"/>
          <w:sz w:val="32"/>
          <w:szCs w:val="32"/>
        </w:rPr>
        <w:t>万元，比</w:t>
      </w:r>
      <w:r>
        <w:rPr>
          <w:rFonts w:hint="eastAsia" w:ascii="仿宋_GB2312" w:eastAsia="仿宋_GB2312" w:cs="仿宋_GB2312"/>
          <w:color w:val="000000"/>
          <w:sz w:val="32"/>
          <w:szCs w:val="32"/>
          <w:u w:color="auto"/>
        </w:rPr>
        <w:t>2021年减少29.84</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u w:color="auto"/>
        </w:rPr>
        <w:t xml:space="preserve">减少120.28 %。 </w:t>
      </w:r>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bookmarkStart w:id="69" w:name="_Toc15377223"/>
      <w:r>
        <w:rPr>
          <w:rFonts w:hint="eastAsia" w:ascii="楷体_GB2312" w:eastAsia="楷体_GB2312" w:cs="楷体_GB2312"/>
          <w:b/>
          <w:color w:val="000000"/>
          <w:sz w:val="32"/>
          <w:szCs w:val="32"/>
        </w:rPr>
        <w:t>（二）政府采购支出情况</w:t>
      </w:r>
      <w:bookmarkEnd w:id="69"/>
      <w:r>
        <w:rPr>
          <w:rFonts w:hint="eastAsia" w:ascii="楷体_GB2312" w:eastAsia="楷体_GB2312" w:cs="楷体_GB2312"/>
          <w:b/>
          <w:color w:val="000000"/>
          <w:sz w:val="32"/>
          <w:szCs w:val="32"/>
        </w:rPr>
        <w:t>(机构运行信息表)</w:t>
      </w:r>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w:t>
      </w:r>
      <w:r>
        <w:rPr>
          <w:rFonts w:hint="eastAsia" w:ascii="仿宋_GB2312" w:eastAsia="仿宋_GB2312" w:cs="仿宋_GB2312"/>
          <w:color w:val="000000"/>
          <w:sz w:val="32"/>
          <w:szCs w:val="32"/>
          <w:u w:color="auto"/>
        </w:rPr>
        <w:t>年，政府采购支出总额5.93</w:t>
      </w:r>
      <w:r>
        <w:rPr>
          <w:rFonts w:hint="eastAsia" w:ascii="仿宋_GB2312" w:eastAsia="仿宋_GB2312" w:cs="仿宋_GB2312"/>
          <w:color w:val="000000"/>
          <w:sz w:val="32"/>
          <w:szCs w:val="32"/>
        </w:rPr>
        <w:t>万元，其中：政府采购货物支出</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万元、政府采购工程支出</w:t>
      </w:r>
      <w:r>
        <w:rPr>
          <w:rFonts w:hint="eastAsia" w:ascii="仿宋_GB2312" w:cs="仿宋_GB2312"/>
          <w:color w:val="000000"/>
          <w:sz w:val="32"/>
          <w:szCs w:val="32"/>
          <w:u w:color="auto"/>
          <w:lang w:val="en-US" w:eastAsia="zh-CN"/>
        </w:rPr>
        <w:t>0</w:t>
      </w:r>
      <w:r>
        <w:rPr>
          <w:rFonts w:hint="eastAsia" w:ascii="仿宋_GB2312" w:eastAsia="仿宋_GB2312" w:cs="仿宋_GB2312"/>
          <w:color w:val="000000"/>
          <w:sz w:val="32"/>
          <w:szCs w:val="32"/>
        </w:rPr>
        <w:t>万元、政府采购服务支出</w:t>
      </w:r>
      <w:r>
        <w:rPr>
          <w:rFonts w:hint="eastAsia" w:ascii="仿宋_GB2312" w:eastAsia="仿宋_GB2312" w:cs="仿宋_GB2312"/>
          <w:color w:val="000000"/>
          <w:sz w:val="32"/>
          <w:szCs w:val="32"/>
          <w:u w:color="auto"/>
        </w:rPr>
        <w:t>5.93</w:t>
      </w:r>
      <w:r>
        <w:rPr>
          <w:rFonts w:hint="eastAsia" w:ascii="仿宋_GB2312" w:eastAsia="仿宋_GB2312" w:cs="仿宋_GB2312"/>
          <w:color w:val="000000"/>
          <w:sz w:val="32"/>
          <w:szCs w:val="32"/>
        </w:rPr>
        <w:t>万元。授予中小企业合同金额</w:t>
      </w:r>
      <w:r>
        <w:rPr>
          <w:rFonts w:hint="eastAsia" w:ascii="仿宋_GB2312" w:cs="仿宋_GB2312"/>
          <w:color w:val="000000"/>
          <w:sz w:val="32"/>
          <w:szCs w:val="32"/>
          <w:u w:color="auto"/>
          <w:lang w:val="en-US" w:eastAsia="zh-CN"/>
        </w:rPr>
        <w:t>0</w:t>
      </w:r>
      <w:r>
        <w:rPr>
          <w:rFonts w:hint="eastAsia" w:ascii="仿宋_GB2312" w:eastAsia="仿宋_GB2312" w:cs="仿宋_GB2312"/>
          <w:color w:val="000000"/>
          <w:sz w:val="32"/>
          <w:szCs w:val="32"/>
        </w:rPr>
        <w:t>万元，其中：授予小微企业合同金额</w:t>
      </w:r>
      <w:r>
        <w:rPr>
          <w:rFonts w:hint="eastAsia" w:ascii="仿宋_GB2312" w:cs="仿宋_GB2312"/>
          <w:color w:val="000000"/>
          <w:sz w:val="32"/>
          <w:szCs w:val="32"/>
          <w:u w:color="auto"/>
          <w:lang w:val="en-US" w:eastAsia="zh-CN"/>
        </w:rPr>
        <w:t>0</w:t>
      </w:r>
      <w:r>
        <w:rPr>
          <w:rFonts w:hint="eastAsia" w:ascii="仿宋_GB2312" w:eastAsia="仿宋_GB2312" w:cs="仿宋_GB2312"/>
          <w:color w:val="000000"/>
          <w:sz w:val="32"/>
          <w:szCs w:val="32"/>
        </w:rPr>
        <w:t>万元。</w:t>
      </w:r>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bookmarkStart w:id="70" w:name="_Toc15377224"/>
      <w:r>
        <w:rPr>
          <w:rFonts w:hint="eastAsia" w:ascii="楷体_GB2312" w:eastAsia="楷体_GB2312" w:cs="楷体_GB2312"/>
          <w:b/>
          <w:color w:val="000000"/>
          <w:sz w:val="32"/>
          <w:szCs w:val="32"/>
        </w:rPr>
        <w:t>（三）国有资产占有使用情况</w:t>
      </w:r>
      <w:bookmarkEnd w:id="70"/>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截至</w:t>
      </w:r>
      <w:r>
        <w:rPr>
          <w:rFonts w:hint="eastAsia" w:ascii="仿宋_GB2312" w:eastAsia="仿宋_GB2312" w:cs="仿宋_GB2312"/>
          <w:color w:val="000000"/>
          <w:sz w:val="32"/>
          <w:szCs w:val="32"/>
          <w:u w:color="auto"/>
        </w:rPr>
        <w:t>2022年</w:t>
      </w:r>
      <w:r>
        <w:rPr>
          <w:rFonts w:hint="eastAsia" w:ascii="仿宋_GB2312" w:eastAsia="仿宋_GB2312" w:cs="仿宋_GB2312"/>
          <w:color w:val="000000"/>
          <w:sz w:val="32"/>
          <w:szCs w:val="32"/>
        </w:rPr>
        <w:t>12月31日，共有车辆</w:t>
      </w:r>
      <w:r>
        <w:rPr>
          <w:rFonts w:hint="eastAsia" w:ascii="仿宋_GB2312" w:eastAsia="仿宋_GB2312" w:cs="仿宋_GB2312"/>
          <w:color w:val="000000"/>
          <w:sz w:val="32"/>
          <w:szCs w:val="32"/>
          <w:u w:color="auto"/>
        </w:rPr>
        <w:t>0辆，其中：主要领导干部用车0</w:t>
      </w:r>
      <w:r>
        <w:rPr>
          <w:rFonts w:hint="eastAsia" w:ascii="仿宋_GB2312" w:eastAsia="仿宋_GB2312" w:cs="仿宋_GB2312"/>
          <w:color w:val="000000"/>
          <w:sz w:val="32"/>
          <w:szCs w:val="32"/>
        </w:rPr>
        <w:t>辆、机要通信用车</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辆、应急保障用车</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辆、其他用车</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辆。单价50万元以上通用设备</w:t>
      </w:r>
      <w:r>
        <w:rPr>
          <w:rFonts w:hint="eastAsia" w:ascii="仿宋_GB2312" w:eastAsia="仿宋_GB2312" w:cs="仿宋_GB2312"/>
          <w:color w:val="000000"/>
          <w:sz w:val="32"/>
          <w:szCs w:val="32"/>
          <w:u w:color="auto"/>
        </w:rPr>
        <w:t>0</w:t>
      </w:r>
      <w:r>
        <w:rPr>
          <w:rFonts w:hint="eastAsia" w:ascii="仿宋_GB2312" w:eastAsia="仿宋_GB2312" w:cs="仿宋_GB2312"/>
          <w:color w:val="000000"/>
          <w:sz w:val="32"/>
          <w:szCs w:val="32"/>
        </w:rPr>
        <w:t>台（套），单价100万元以上专用设备</w:t>
      </w:r>
      <w:r>
        <w:rPr>
          <w:rFonts w:hint="eastAsia" w:ascii="仿宋_GB2312" w:cs="仿宋_GB2312"/>
          <w:color w:val="000000"/>
          <w:sz w:val="32"/>
          <w:szCs w:val="32"/>
          <w:u w:color="auto"/>
          <w:lang w:val="en-US" w:eastAsia="zh-CN"/>
        </w:rPr>
        <w:t>0</w:t>
      </w:r>
      <w:r>
        <w:rPr>
          <w:rFonts w:hint="eastAsia" w:ascii="仿宋_GB2312" w:eastAsia="仿宋_GB2312" w:cs="仿宋_GB2312"/>
          <w:color w:val="000000"/>
          <w:sz w:val="32"/>
          <w:szCs w:val="32"/>
        </w:rPr>
        <w:t>台（套）。</w:t>
      </w:r>
    </w:p>
    <w:p>
      <w:pPr>
        <w:pageBreakBefore w:val="0"/>
        <w:widowControl w:val="0"/>
        <w:kinsoku/>
        <w:overflowPunct/>
        <w:topLinePunct w:val="0"/>
        <w:autoSpaceDE/>
        <w:autoSpaceDN/>
        <w:bidi w:val="0"/>
        <w:spacing w:beforeAutospacing="0" w:afterAutospacing="0" w:line="576" w:lineRule="exact"/>
        <w:ind w:left="0" w:firstLine="643" w:firstLineChars="200"/>
        <w:textAlignment w:val="auto"/>
        <w:outlineLvl w:val="2"/>
        <w:rPr>
          <w:rFonts w:hint="eastAsia" w:ascii="楷体_GB2312" w:eastAsia="楷体_GB2312" w:cs="楷体_GB2312"/>
          <w:b/>
          <w:color w:val="000000"/>
          <w:sz w:val="32"/>
          <w:szCs w:val="32"/>
        </w:rPr>
      </w:pPr>
      <w:r>
        <w:rPr>
          <w:rFonts w:hint="eastAsia" w:ascii="楷体_GB2312" w:eastAsia="楷体_GB2312" w:cs="楷体_GB2312"/>
          <w:b/>
          <w:color w:val="000000"/>
          <w:sz w:val="32"/>
          <w:szCs w:val="32"/>
        </w:rPr>
        <w:t>（四）预算绩效管理情况</w:t>
      </w:r>
    </w:p>
    <w:p>
      <w:pPr>
        <w:pStyle w:val="7"/>
        <w:pageBreakBefore w:val="0"/>
        <w:widowControl w:val="0"/>
        <w:kinsoku/>
        <w:overflowPunct/>
        <w:topLinePunct w:val="0"/>
        <w:autoSpaceDE/>
        <w:autoSpaceDN/>
        <w:bidi w:val="0"/>
        <w:spacing w:before="30" w:beforeLines="0" w:beforeAutospacing="0" w:afterAutospacing="0" w:line="576" w:lineRule="exact"/>
        <w:ind w:left="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   2022年1月至202</w:t>
      </w:r>
      <w:r>
        <w:rPr>
          <w:rFonts w:hint="eastAsia" w:cs="仿宋_GB2312"/>
          <w:color w:val="000000"/>
          <w:sz w:val="32"/>
          <w:szCs w:val="32"/>
          <w:lang w:val="en-US" w:eastAsia="zh-CN"/>
        </w:rPr>
        <w:t>2</w:t>
      </w:r>
      <w:r>
        <w:rPr>
          <w:rFonts w:hint="eastAsia" w:ascii="仿宋_GB2312" w:eastAsia="仿宋_GB2312" w:cs="仿宋_GB2312"/>
          <w:color w:val="000000"/>
          <w:sz w:val="32"/>
          <w:szCs w:val="32"/>
        </w:rPr>
        <w:t>年12月，我单位共有1个项目完成了绩效评价。</w:t>
      </w:r>
      <w:r>
        <w:rPr>
          <w:rFonts w:hint="eastAsia" w:ascii="仿宋_GB2312" w:eastAsia="仿宋_GB2312" w:cs="仿宋_GB2312"/>
          <w:color w:val="000000"/>
          <w:sz w:val="32"/>
          <w:szCs w:val="32"/>
          <w:lang w:val="en-US"/>
        </w:rPr>
        <w:t>镇、村便民服务“三化”示范创建项目</w:t>
      </w:r>
      <w:r>
        <w:rPr>
          <w:rFonts w:hint="eastAsia" w:ascii="仿宋_GB2312" w:eastAsia="仿宋_GB2312" w:cs="仿宋_GB2312"/>
          <w:color w:val="000000"/>
          <w:sz w:val="32"/>
          <w:szCs w:val="32"/>
        </w:rPr>
        <w:t>全年预算数</w:t>
      </w:r>
      <w:r>
        <w:rPr>
          <w:rFonts w:hint="eastAsia" w:ascii="仿宋_GB2312" w:eastAsia="仿宋_GB2312" w:cs="仿宋_GB2312"/>
          <w:color w:val="000000"/>
          <w:sz w:val="32"/>
          <w:szCs w:val="32"/>
          <w:lang w:val="en-US"/>
        </w:rPr>
        <w:t>56.84万元</w:t>
      </w:r>
      <w:r>
        <w:rPr>
          <w:rFonts w:hint="eastAsia" w:ascii="仿宋_GB2312" w:eastAsia="仿宋_GB2312" w:cs="仿宋_GB2312"/>
          <w:color w:val="000000"/>
          <w:sz w:val="32"/>
          <w:szCs w:val="32"/>
        </w:rPr>
        <w:t>，2022年支付</w:t>
      </w:r>
      <w:r>
        <w:rPr>
          <w:rFonts w:hint="eastAsia" w:ascii="仿宋_GB2312" w:eastAsia="仿宋_GB2312" w:cs="仿宋_GB2312"/>
          <w:color w:val="000000"/>
          <w:kern w:val="2"/>
          <w:sz w:val="32"/>
          <w:szCs w:val="32"/>
        </w:rPr>
        <w:t>55.93万元</w:t>
      </w:r>
      <w:r>
        <w:rPr>
          <w:rFonts w:hint="eastAsia" w:ascii="仿宋_GB2312" w:eastAsia="仿宋_GB2312" w:cs="仿宋_GB2312"/>
          <w:color w:val="000000"/>
          <w:sz w:val="32"/>
          <w:szCs w:val="32"/>
        </w:rPr>
        <w:t>,</w:t>
      </w:r>
      <w:r>
        <w:rPr>
          <w:rFonts w:hint="eastAsia" w:ascii="仿宋_GB2312" w:eastAsia="仿宋_GB2312" w:cs="仿宋_GB2312"/>
          <w:color w:val="000000"/>
          <w:kern w:val="2"/>
          <w:sz w:val="32"/>
          <w:szCs w:val="32"/>
        </w:rPr>
        <w:t>退回资金</w:t>
      </w:r>
      <w:r>
        <w:rPr>
          <w:rFonts w:hint="eastAsia" w:cs="仿宋_GB2312"/>
          <w:color w:val="000000"/>
          <w:kern w:val="2"/>
          <w:sz w:val="32"/>
          <w:szCs w:val="32"/>
          <w:lang w:val="en-US" w:eastAsia="zh-CN"/>
        </w:rPr>
        <w:t>0</w:t>
      </w:r>
      <w:r>
        <w:rPr>
          <w:rFonts w:hint="eastAsia" w:ascii="仿宋_GB2312" w:eastAsia="仿宋_GB2312" w:cs="仿宋_GB2312"/>
          <w:color w:val="000000"/>
          <w:kern w:val="2"/>
          <w:sz w:val="32"/>
          <w:szCs w:val="32"/>
        </w:rPr>
        <w:t>.91337</w:t>
      </w:r>
      <w:r>
        <w:rPr>
          <w:rFonts w:hint="eastAsia" w:cs="仿宋_GB2312"/>
          <w:color w:val="000000"/>
          <w:kern w:val="2"/>
          <w:sz w:val="32"/>
          <w:szCs w:val="32"/>
          <w:lang w:eastAsia="zh-CN"/>
        </w:rPr>
        <w:t>万</w:t>
      </w:r>
      <w:r>
        <w:rPr>
          <w:rFonts w:hint="eastAsia" w:ascii="仿宋_GB2312" w:eastAsia="仿宋_GB2312" w:cs="仿宋_GB2312"/>
          <w:kern w:val="2"/>
          <w:sz w:val="32"/>
          <w:szCs w:val="32"/>
        </w:rPr>
        <w:t>元</w:t>
      </w:r>
      <w:r>
        <w:rPr>
          <w:rFonts w:hint="eastAsia" w:ascii="仿宋_GB2312" w:eastAsia="仿宋_GB2312" w:cs="仿宋_GB2312"/>
          <w:color w:val="000000"/>
          <w:sz w:val="32"/>
          <w:szCs w:val="32"/>
        </w:rPr>
        <w:t>。通过项目实施，叠溪镇、南新镇两个便民服务中心及所辖的12个村便民服务室, 坝镇、渭门镇、洼底镇、土门镇、赤不苏镇、黑虎镇6个镇便民服务中心及所辖的15个中心村便民服务室分别完成省、州级示范创建，有力有效推动我县的示范创建工作,确保按时通过省、州验收及巩固提升已创建镇（富顺镇等）的创建成果。</w:t>
      </w:r>
    </w:p>
    <w:p>
      <w:pPr>
        <w:pageBreakBefore w:val="0"/>
        <w:widowControl w:val="0"/>
        <w:kinsoku/>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本部门按要求对2022年部门整体支出绩效评价情况开展自评，《茂县行政审批局部门2022年部门整体支出绩效评价报告》见附件1。</w:t>
      </w:r>
    </w:p>
    <w:p>
      <w:pPr>
        <w:pStyle w:val="3"/>
        <w:keepNext/>
        <w:keepLines/>
        <w:pageBreakBefore w:val="0"/>
        <w:widowControl w:val="0"/>
        <w:kinsoku/>
        <w:overflowPunct/>
        <w:topLinePunct w:val="0"/>
        <w:autoSpaceDE/>
        <w:autoSpaceDN/>
        <w:bidi w:val="0"/>
        <w:spacing w:before="0" w:beforeAutospacing="0" w:after="0" w:afterAutospacing="0" w:line="576" w:lineRule="exact"/>
        <w:ind w:left="0"/>
        <w:jc w:val="center"/>
        <w:textAlignment w:val="auto"/>
        <w:rPr>
          <w:rFonts w:hint="eastAsia" w:ascii="方正小标宋简体" w:eastAsia="方正小标宋简体" w:cs="方正小标宋简体"/>
          <w:b w:val="0"/>
          <w:bCs w:val="0"/>
          <w:sz w:val="44"/>
          <w:szCs w:val="44"/>
        </w:rPr>
      </w:pPr>
      <w:bookmarkStart w:id="71" w:name="_Toc111208509"/>
      <w:bookmarkStart w:id="72" w:name="_Toc15377225"/>
      <w:bookmarkStart w:id="73" w:name="_Toc16463"/>
      <w:r>
        <w:rPr>
          <w:rFonts w:hint="eastAsia" w:ascii="方正小标宋简体" w:eastAsia="方正小标宋简体" w:cs="方正小标宋简体"/>
          <w:b w:val="0"/>
          <w:bCs w:val="0"/>
          <w:sz w:val="44"/>
          <w:szCs w:val="44"/>
        </w:rPr>
        <w:t>第三部分 名词解释</w:t>
      </w:r>
      <w:bookmarkEnd w:id="71"/>
      <w:bookmarkEnd w:id="72"/>
      <w:bookmarkEnd w:id="73"/>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3.经营收入：指事业单位在专业业务活动及其辅助活动之外开展非独立核算经营活动取得的收入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4.其他收入：指单位取得的除上述收入以外的各项收入。</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xml:space="preserve">6.年初结转和结余：指以前年度尚未完成、结转到本年按有关规定继续使用的资金。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7.结余分配：指事业单位按照事业单位会计制度的规定从非财政补助结余中分配的事业基金和职工福利基金等。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8.年末结转和结余：指单位按有关规定结转到下年或以后年度继续使用的资金。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320" w:firstLineChars="1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9.一般公共服务支出（201）政府办公厅（室）及相关机构事务（20103）行政运行（2010301）：反映行政单位（包括实行公务员管理的事业单位）的基本支出。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10.一般公共服务支出（201）政府办公厅（室）及相关机构事务（20103）事业运行（2010350）：反映事业单位的基本支出，不包括行政单位（包括实行公务员管理的事业单位）后勤服务中心、医务室等附属事业单位。</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11.社会保障和就业支出（208）行政事业单位养老支出（20805）机关事业单位基本养老保险缴费支出（2080505）：反映机关事业单位实施养老保险制度由单位缴纳的基本养老保险费支出。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12.社会保障和就业支出（208）行政事业单位养老支出（20805）机关事业单位职业年金缴费支出（2080506）：反映机关事业单位实施养老保险制度由单位实际缴纳的职业年金支出。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13.卫生健康支出（210）行政事业单位医疗（21011）行政单位医疗（2101101）：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14.卫生健康支出（210）行政事业单位医疗（21011）事业单位医疗（2101102）：反映财政部门安排的事业单位基本医疗保险缴费经费，未参加医疗保险的事业单位的公费医疗经费，按国家规定享受离休人员待遇的医疗经费。</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15.农林水支出（213）巩固脱贫衔接乡村振兴（21305）其他巩固脱贫衔接乡村振兴支出（2130599）：反映除上述项目以外其他用于扶贫方面的支出。</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16.住房保障支出（221）住房改革支出（22102）住房公积金（2210201）：反映行政事业单位按人力资源和社会保障部、财政部规定的基本工资和津贴补贴以及规定比例为职工缴纳的住房公积金。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17.基本支出：指为保障机构正常运转、完成日常工作任务而发生的人员支出和公用支出。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18</w:t>
      </w:r>
      <w:r>
        <w:rPr>
          <w:rFonts w:hint="eastAsia" w:ascii="仿宋_GB2312" w:eastAsia="仿宋_GB2312" w:cs="仿宋_GB2312"/>
          <w:color w:val="000000"/>
          <w:sz w:val="32"/>
          <w:szCs w:val="32"/>
        </w:rPr>
        <w:t xml:space="preserve">.项目支出：指在基本支出之外为完成特定行政任务和事业发展目标所发生的支出。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1</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20</w:t>
      </w:r>
      <w:r>
        <w:rPr>
          <w:rFonts w:hint="eastAsia" w:ascii="仿宋_GB2312" w:eastAsia="仿宋_GB2312" w:cs="仿宋_GB2312"/>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w:t>
      </w: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firstLine="641"/>
        <w:textAlignment w:val="auto"/>
        <w:rPr>
          <w:rFonts w:hint="eastAsia" w:ascii="仿宋_GB2312" w:eastAsia="仿宋_GB2312" w:cs="仿宋_GB2312"/>
          <w:sz w:val="32"/>
          <w:szCs w:val="32"/>
        </w:rPr>
      </w:pPr>
      <w:r>
        <w:rPr>
          <w:rFonts w:hint="eastAsia" w:ascii="仿宋_GB2312" w:eastAsia="仿宋_GB2312" w:cs="仿宋_GB2312"/>
          <w:color w:val="000000"/>
          <w:sz w:val="32"/>
          <w:szCs w:val="32"/>
        </w:rPr>
        <w:t>2</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.财政应返还额度：为行政事业单位会计核算科目，用于核算实行国库集中支付的行政事业单位应收财政返还的资金额度。</w:t>
      </w:r>
    </w:p>
    <w:p>
      <w:pPr>
        <w:pageBreakBefore w:val="0"/>
        <w:widowControl/>
        <w:kinsoku/>
        <w:overflowPunct/>
        <w:topLinePunct w:val="0"/>
        <w:autoSpaceDE/>
        <w:autoSpaceDN/>
        <w:bidi w:val="0"/>
        <w:spacing w:beforeAutospacing="0" w:afterAutospacing="0" w:line="576" w:lineRule="exact"/>
        <w:ind w:left="0"/>
        <w:jc w:val="center"/>
        <w:textAlignment w:val="auto"/>
        <w:rPr>
          <w:rFonts w:hint="eastAsia" w:ascii="方正小标宋简体" w:eastAsia="方正小标宋简体" w:cs="方正小标宋简体"/>
          <w:b w:val="0"/>
          <w:bCs w:val="0"/>
          <w:sz w:val="44"/>
          <w:szCs w:val="44"/>
        </w:rPr>
      </w:pPr>
      <w:bookmarkStart w:id="74" w:name="_Toc111208510"/>
      <w:bookmarkStart w:id="75" w:name="_Toc25810"/>
      <w:r>
        <w:rPr>
          <w:rFonts w:hint="eastAsia" w:ascii="方正小标宋简体" w:eastAsia="方正小标宋简体" w:cs="方正小标宋简体"/>
          <w:b w:val="0"/>
          <w:bCs w:val="0"/>
          <w:sz w:val="44"/>
          <w:szCs w:val="44"/>
        </w:rPr>
        <w:t>第四部分 附件</w:t>
      </w:r>
      <w:bookmarkEnd w:id="74"/>
      <w:bookmarkEnd w:id="75"/>
    </w:p>
    <w:p>
      <w:pPr>
        <w:pageBreakBefore w:val="0"/>
        <w:widowControl/>
        <w:kinsoku/>
        <w:overflowPunct/>
        <w:topLinePunct w:val="0"/>
        <w:autoSpaceDE/>
        <w:autoSpaceDN/>
        <w:bidi w:val="0"/>
        <w:spacing w:beforeAutospacing="0" w:afterAutospacing="0" w:line="576" w:lineRule="exact"/>
        <w:ind w:left="0"/>
        <w:jc w:val="center"/>
        <w:textAlignment w:val="auto"/>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2022年茂县行政审批局部门</w:t>
      </w:r>
    </w:p>
    <w:p>
      <w:pPr>
        <w:pageBreakBefore w:val="0"/>
        <w:widowControl/>
        <w:kinsoku/>
        <w:overflowPunct/>
        <w:topLinePunct w:val="0"/>
        <w:autoSpaceDE/>
        <w:autoSpaceDN/>
        <w:bidi w:val="0"/>
        <w:spacing w:beforeAutospacing="0" w:afterAutospacing="0" w:line="576" w:lineRule="exact"/>
        <w:ind w:left="0"/>
        <w:jc w:val="center"/>
        <w:textAlignment w:val="auto"/>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rPr>
        <w:t>整体支出绩效评价报告</w:t>
      </w:r>
    </w:p>
    <w:p>
      <w:pPr>
        <w:pStyle w:val="2"/>
        <w:rPr>
          <w:rFonts w:hint="eastAsia"/>
        </w:rPr>
      </w:pPr>
    </w:p>
    <w:p>
      <w:pPr>
        <w:pageBreakBefore w:val="0"/>
        <w:widowControl/>
        <w:kinsoku/>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黑体" w:eastAsia="黑体" w:cs="黑体"/>
          <w:b w:val="0"/>
          <w:bCs/>
          <w:color w:val="000000"/>
          <w:kern w:val="0"/>
          <w:sz w:val="32"/>
          <w:szCs w:val="32"/>
          <w:lang w:val="zh-CN"/>
        </w:rPr>
      </w:pPr>
      <w:r>
        <w:rPr>
          <w:rFonts w:hint="eastAsia" w:ascii="黑体" w:eastAsia="黑体" w:cs="黑体"/>
          <w:b w:val="0"/>
          <w:bCs/>
          <w:color w:val="000000"/>
          <w:kern w:val="0"/>
          <w:sz w:val="32"/>
          <w:szCs w:val="32"/>
        </w:rPr>
        <w:t>一、</w:t>
      </w:r>
      <w:r>
        <w:rPr>
          <w:rFonts w:hint="eastAsia" w:ascii="黑体" w:eastAsia="黑体" w:cs="黑体"/>
          <w:b w:val="0"/>
          <w:bCs/>
          <w:color w:val="000000"/>
          <w:kern w:val="0"/>
          <w:sz w:val="32"/>
          <w:szCs w:val="32"/>
          <w:lang w:val="zh-CN"/>
        </w:rPr>
        <w:t>部门（单位）概况</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（一）机构组成</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茂县行政审批局是茂县人民政府工作部门，为正科级行政机构，内办公室、行政审批一室、行政审批二室、政务服务管理股（政策法规股）、和茂县城乡网格化服务管理指挥中心、政务服务和资源交易中心等股室。</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（二）机构职能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1.负责深化行政审批制度改革和“放管服”改革工作。贯彻实施有关法律、法规、规章，执行上级有关行政审批制度和“放管服”改革的方针、政策；会同有关部门推进行政审批制度和“放管服”改革，提出行政审批制度和“放管服”改革的建议；承担县本级行政权力清单和责任清单的动态调整，牵头全县行政权力清单和责任清单工作，建立完善相关工作机制；制定县行政审批局各项规章制度和管理办法，并组织实施。</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lang w:val="en-US" w:eastAsia="zh-CN"/>
        </w:rPr>
      </w:pPr>
      <w:r>
        <w:rPr>
          <w:rFonts w:hint="eastAsia" w:ascii="仿宋_GB2312" w:eastAsia="仿宋_GB2312" w:cs="仿宋_GB2312"/>
          <w:color w:val="000000"/>
          <w:kern w:val="0"/>
          <w:sz w:val="32"/>
          <w:szCs w:val="32"/>
        </w:rPr>
        <w:t>2.负责规范指导全县行政审批和政务服务工作，建立和完善相应工作机制，推进标准化建设；负责对划转的行政许可事项进行流程再造、环节优化、时限压缩，并对办理情况进行跟踪督办。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3.负责承办县直部门划入的涉及企业报效项目、市场准入、建设工程、交通水利、文教卫生、社会事务、涉农事务等方面的行政审批事项，及时将行政审批事项的结果通报给县直相关部门，逐步实行“一枚印章管审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4.负责指导、协调进驻政务服务大厅部门的行政审批和公共服务工作；对窗口工作人员进行日常管理、年度考核等工作。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5.负责对涉及全县行政审批工作、政务服务大厅工作及公共资源交易工作的投诉举报和承办、转办和督办工作。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6.负责对各乡镇便民服务中心相关工作的运行进行业务指导和监督，建立和完善高效的政务服务体系。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7.负责全县公共资源交易管理工作。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8.完成县委、县人民政府交办的其他任务。</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（三）人员概况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茂县行政审批局现有行政编制人员9名，事业编制人员10名。2022年12月我局实有在职职工16人，其中:行政在职6人,行政工勤2人,事业在职8人,退休人员3人。</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黑体" w:eastAsia="黑体" w:cs="黑体"/>
          <w:b w:val="0"/>
          <w:bCs/>
          <w:color w:val="000000"/>
          <w:kern w:val="0"/>
          <w:sz w:val="32"/>
          <w:szCs w:val="32"/>
        </w:rPr>
      </w:pPr>
      <w:r>
        <w:rPr>
          <w:rFonts w:hint="eastAsia" w:ascii="黑体" w:eastAsia="黑体" w:cs="黑体"/>
          <w:b w:val="0"/>
          <w:bCs/>
          <w:color w:val="000000"/>
          <w:kern w:val="0"/>
          <w:sz w:val="32"/>
          <w:szCs w:val="32"/>
        </w:rPr>
        <w:t>二、部门财政资金收支情况</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（一）部门财政资金收入情况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b w:val="0"/>
          <w:bCs w:val="0"/>
          <w:color w:val="000000"/>
          <w:kern w:val="0"/>
          <w:sz w:val="32"/>
          <w:szCs w:val="32"/>
        </w:rPr>
      </w:pPr>
      <w:r>
        <w:rPr>
          <w:rFonts w:hint="eastAsia" w:ascii="仿宋_GB2312" w:eastAsia="仿宋_GB2312" w:cs="仿宋_GB2312"/>
          <w:color w:val="000000"/>
          <w:kern w:val="0"/>
          <w:sz w:val="32"/>
          <w:szCs w:val="32"/>
        </w:rPr>
        <w:t>2022年1月至2022年12月，茂县行政审批局本年收入合计</w:t>
      </w:r>
      <w:r>
        <w:rPr>
          <w:rFonts w:hint="eastAsia" w:ascii="仿宋_GB2312" w:eastAsia="仿宋_GB2312" w:cs="仿宋_GB2312"/>
          <w:sz w:val="32"/>
          <w:szCs w:val="32"/>
        </w:rPr>
        <w:t>341.74</w:t>
      </w:r>
      <w:r>
        <w:rPr>
          <w:rFonts w:hint="eastAsia" w:ascii="仿宋_GB2312" w:eastAsia="仿宋_GB2312" w:cs="仿宋_GB2312"/>
          <w:color w:val="000000"/>
          <w:kern w:val="0"/>
          <w:sz w:val="32"/>
          <w:szCs w:val="32"/>
        </w:rPr>
        <w:t>万元，其中：一般公共财政预算拨款收入</w:t>
      </w:r>
      <w:r>
        <w:rPr>
          <w:rFonts w:hint="eastAsia" w:ascii="仿宋_GB2312" w:eastAsia="仿宋_GB2312" w:cs="仿宋_GB2312"/>
          <w:sz w:val="32"/>
          <w:szCs w:val="32"/>
        </w:rPr>
        <w:t>341.74</w:t>
      </w:r>
      <w:r>
        <w:rPr>
          <w:rFonts w:hint="eastAsia" w:ascii="仿宋_GB2312" w:eastAsia="仿宋_GB2312" w:cs="仿宋_GB2312"/>
          <w:color w:val="000000"/>
          <w:kern w:val="0"/>
          <w:sz w:val="32"/>
          <w:szCs w:val="32"/>
        </w:rPr>
        <w:t>万元，政府性基金预算财政拨款收入0万元。</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（二）部门财政资金支出情况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b w:val="0"/>
          <w:bCs w:val="0"/>
          <w:color w:val="000000"/>
          <w:kern w:val="0"/>
          <w:sz w:val="32"/>
          <w:szCs w:val="32"/>
        </w:rPr>
      </w:pPr>
      <w:r>
        <w:rPr>
          <w:rFonts w:hint="eastAsia" w:ascii="仿宋_GB2312" w:eastAsia="仿宋_GB2312" w:cs="仿宋_GB2312"/>
          <w:color w:val="000000"/>
          <w:kern w:val="0"/>
          <w:sz w:val="32"/>
          <w:szCs w:val="32"/>
        </w:rPr>
        <w:t>2022年1月至2022年12月茂县行政审批局本年支出合计341.74万元，其中：基本支出340.66万元，项目支出1.08万元。按功能分类，一般公共服务支出265.09万元、社会保障和就业支出38.43万元、卫生健康支出15.49万元、住房保障支出21.65万元、农林水支出1.08万元。按经济分类，工资福利支出294.59万元，对家庭和个人的补助3.27万元，商品服务支出43.88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2022年年末项目支出结余结转0万元。</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黑体" w:eastAsia="黑体" w:cs="黑体"/>
          <w:b w:val="0"/>
          <w:bCs/>
          <w:color w:val="000000"/>
          <w:kern w:val="0"/>
          <w:sz w:val="32"/>
          <w:szCs w:val="32"/>
          <w:lang w:val="zh-CN"/>
        </w:rPr>
      </w:pPr>
      <w:r>
        <w:rPr>
          <w:rFonts w:hint="eastAsia" w:ascii="黑体" w:eastAsia="黑体" w:cs="黑体"/>
          <w:b w:val="0"/>
          <w:bCs/>
          <w:color w:val="000000"/>
          <w:kern w:val="0"/>
          <w:sz w:val="32"/>
          <w:szCs w:val="32"/>
          <w:lang w:val="zh-CN"/>
        </w:rPr>
        <w:t>三、部门财政支出管理情况</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仿宋_GB2312" w:eastAsia="仿宋_GB2312" w:cs="仿宋_GB2312"/>
          <w:b/>
          <w:color w:val="000000"/>
          <w:kern w:val="0"/>
          <w:sz w:val="32"/>
          <w:szCs w:val="32"/>
          <w:lang w:val="zh-CN"/>
        </w:rPr>
      </w:pPr>
      <w:r>
        <w:rPr>
          <w:rFonts w:hint="eastAsia" w:ascii="楷体_GB2312" w:eastAsia="楷体_GB2312" w:cs="楷体_GB2312"/>
          <w:b/>
          <w:color w:val="000000"/>
          <w:kern w:val="0"/>
          <w:sz w:val="32"/>
          <w:szCs w:val="32"/>
          <w:lang w:val="zh-CN"/>
        </w:rPr>
        <w:t>（一）预算编制情况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茂县行政审批局及时组织财务人员进行预决算的编制，对本年度相应用款进行及时清理和处理，做到账账相符、账实相符、账证相符。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按先有预算再有支出的原则，及时处理相关事务；对绩效目标进行季度梳理和年度分析，及时上报相关报表；对专项预算提前细化，分科目上报，做到收支平衡。</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（二）执行管理情况</w:t>
      </w:r>
      <w:r>
        <w:rPr>
          <w:rFonts w:hint="eastAsia" w:ascii="楷体_GB2312" w:eastAsia="楷体_GB2312" w:cs="楷体_GB2312"/>
          <w:b/>
          <w:color w:val="000000"/>
          <w:kern w:val="0"/>
          <w:sz w:val="32"/>
          <w:szCs w:val="32"/>
          <w:lang w:val="zh-CN"/>
        </w:rPr>
        <w:tab/>
      </w:r>
    </w:p>
    <w:p>
      <w:pPr>
        <w:keepNext w:val="0"/>
        <w:keepLines w:val="0"/>
        <w:pageBreakBefore w:val="0"/>
        <w:widowControl/>
        <w:kinsoku/>
        <w:wordWrap/>
        <w:overflowPunct/>
        <w:topLinePunct w:val="0"/>
        <w:autoSpaceDE/>
        <w:autoSpaceDN/>
        <w:bidi w:val="0"/>
        <w:spacing w:beforeAutospacing="0" w:afterAutospacing="0" w:line="576" w:lineRule="exact"/>
        <w:ind w:left="0"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茂县行政审批局按照县财政的要求，及时分月、分季度上报相应计划，待财政审核通过后，严格按计划执行，各季度执行情况良好。</w:t>
      </w:r>
    </w:p>
    <w:p>
      <w:pPr>
        <w:keepNext w:val="0"/>
        <w:keepLines w:val="0"/>
        <w:pageBreakBefore w:val="0"/>
        <w:widowControl/>
        <w:kinsoku/>
        <w:wordWrap/>
        <w:overflowPunct/>
        <w:topLinePunct w:val="0"/>
        <w:autoSpaceDE/>
        <w:autoSpaceDN/>
        <w:bidi w:val="0"/>
        <w:spacing w:beforeAutospacing="0" w:afterAutospacing="0" w:line="576" w:lineRule="exact"/>
        <w:ind w:left="0"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基本支出2022年1月至2022年12月按月或季度进行申报，其中人员工资按月申报并直接支付，日常公用经费按月进行申报并支付，项目支出按项目实际开展进度申报并支付。</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（三）综合管理情况</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2022年1月至2022年12月，茂县行政审批局政府采购支出总额5.93万元。</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截至2022年6月30日，茂县行政审批局共有车辆0辆，其中：主要领导干部用车0辆、机要通信用车0辆、应急保障用车0辆、其他用车0辆。单价50万元以上通用设备0台（套），单价100万元以上专用设备0台（套）。</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楷体_GB2312" w:eastAsia="楷体_GB2312" w:cs="楷体_GB2312"/>
          <w:b/>
          <w:color w:val="000000"/>
          <w:kern w:val="0"/>
          <w:sz w:val="32"/>
          <w:szCs w:val="32"/>
          <w:lang w:val="zh-CN"/>
        </w:rPr>
      </w:pPr>
      <w:r>
        <w:rPr>
          <w:rFonts w:hint="eastAsia" w:ascii="楷体_GB2312" w:eastAsia="楷体_GB2312" w:cs="楷体_GB2312"/>
          <w:b/>
          <w:color w:val="000000"/>
          <w:kern w:val="0"/>
          <w:sz w:val="32"/>
          <w:szCs w:val="32"/>
          <w:lang w:val="zh-CN"/>
        </w:rPr>
        <w:t>（四）整体绩效</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sz w:val="32"/>
          <w:szCs w:val="32"/>
        </w:rPr>
        <w:t>2022年1月至2022年12月，我单位共有3个项目完成了绩效评价。</w:t>
      </w:r>
      <w:r>
        <w:rPr>
          <w:rFonts w:hint="eastAsia" w:ascii="仿宋_GB2312" w:eastAsia="仿宋_GB2312" w:cs="仿宋_GB2312"/>
          <w:sz w:val="32"/>
          <w:szCs w:val="32"/>
          <w:lang w:val="zh-CN"/>
        </w:rPr>
        <w:t>镇、村便民服务“三化”示范创建项目，</w:t>
      </w:r>
      <w:r>
        <w:rPr>
          <w:rFonts w:hint="eastAsia" w:ascii="仿宋_GB2312" w:eastAsia="仿宋_GB2312" w:cs="仿宋_GB2312"/>
          <w:sz w:val="32"/>
          <w:szCs w:val="32"/>
        </w:rPr>
        <w:t>该项目2022年使用资金55.93万元，退回资金9133.7元。</w:t>
      </w:r>
      <w:r>
        <w:rPr>
          <w:rFonts w:hint="eastAsia" w:ascii="仿宋_GB2312" w:eastAsia="仿宋_GB2312" w:cs="仿宋_GB2312"/>
          <w:color w:val="000000"/>
          <w:sz w:val="32"/>
          <w:szCs w:val="32"/>
        </w:rPr>
        <w:t>通过项目实施，</w:t>
      </w:r>
      <w:r>
        <w:rPr>
          <w:rFonts w:hint="eastAsia" w:ascii="仿宋_GB2312" w:eastAsia="仿宋_GB2312" w:cs="仿宋_GB2312"/>
          <w:sz w:val="32"/>
          <w:szCs w:val="32"/>
          <w:lang w:val="zh-CN"/>
        </w:rPr>
        <w:t>效推动我县的示范创建工作,确保按时通过省、州验收及巩固提升已创建镇（富顺镇等）的创建成果</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茂县乡镇级片区便民服务设施专项规划编制项目，该项目2022年使用资金6万元，年末退回资金2万元，2023年申请资金1.5万元，使用资金1.5万元。</w:t>
      </w:r>
      <w:r>
        <w:rPr>
          <w:rFonts w:hint="eastAsia" w:ascii="仿宋_GB2312" w:eastAsia="仿宋_GB2312" w:cs="仿宋_GB2312"/>
          <w:color w:val="000000"/>
          <w:sz w:val="32"/>
          <w:szCs w:val="32"/>
        </w:rPr>
        <w:t>通过项目实施，</w:t>
      </w:r>
      <w:r>
        <w:rPr>
          <w:rFonts w:hint="eastAsia" w:ascii="仿宋_GB2312" w:eastAsia="仿宋_GB2312" w:cs="仿宋_GB2312"/>
          <w:sz w:val="32"/>
          <w:szCs w:val="32"/>
        </w:rPr>
        <w:t>着力提升便民服务水平，助推乡村振兴、县域经济高质量发展</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textAlignment w:val="auto"/>
        <w:rPr>
          <w:rFonts w:hint="eastAsia" w:ascii="仿宋_GB2312" w:eastAsia="仿宋_GB2312" w:cs="仿宋_GB2312"/>
          <w:color w:val="000000"/>
          <w:sz w:val="32"/>
          <w:szCs w:val="32"/>
        </w:rPr>
      </w:pPr>
      <w:r>
        <w:rPr>
          <w:rFonts w:hint="eastAsia" w:ascii="仿宋_GB2312" w:eastAsia="仿宋_GB2312" w:cs="仿宋_GB2312"/>
          <w:sz w:val="32"/>
          <w:szCs w:val="32"/>
        </w:rPr>
        <w:t>茂县镇、村便民服务“标准化规范化便利化”示范创建项目，该项目2021年使用资金41.17万元，年末退回资金22.33万元，2022年申请资金22.33万元，使用资金21.24万元。年末退回资金10850.4元，2023年申请资金10850元，使用资金10850元。</w:t>
      </w:r>
      <w:r>
        <w:rPr>
          <w:rFonts w:hint="eastAsia" w:ascii="仿宋_GB2312" w:eastAsia="仿宋_GB2312" w:cs="仿宋_GB2312"/>
          <w:color w:val="000000"/>
          <w:sz w:val="32"/>
          <w:szCs w:val="32"/>
        </w:rPr>
        <w:t>通过项目实施，保障</w:t>
      </w:r>
      <w:r>
        <w:rPr>
          <w:rFonts w:hint="eastAsia" w:ascii="仿宋_GB2312" w:eastAsia="仿宋_GB2312" w:cs="仿宋_GB2312"/>
          <w:sz w:val="32"/>
          <w:szCs w:val="32"/>
          <w:lang w:val="zh-CN"/>
        </w:rPr>
        <w:t>《四川省政务服务和公共资源交易服务中心关于“示范便民服务中心”“示范便民服务室”创建活动工作方案》有效推进</w:t>
      </w:r>
      <w:r>
        <w:rPr>
          <w:rFonts w:hint="eastAsia" w:asci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公共资源交易及政务服务大厅聘用人员保险等资金项目，该项目2022年使用资金54.276088万元，年末退回资金8.191432万元。县行政审批局负责政务服务、政府集中采购等工作，承担集中审批、深化公共服务、规范公共资源交易等任务，涉及广大群众生活需求的民生事项，为提供便捷、优质的政务服务条件和规范高效的集中采购、公共资源交易的组织实施，现就公共资源交易、政务服务, 通过投入项目保障其工作正常运行。</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政务大厅日常运行工作经费，该项目2022年使用资金8.4588万元，年末退回资金0.5412万元，按照省州关于政务服务中心标准化建设的要求，为高效推动政务服务工作，保障政务服务大厅的正常运行，需对政务服务大厅电信网络、政务信息平台运行维护、公共设施、办公设备等及时进行维修维护，根据实际需要，特请求县人民政府解决政务服务大厅日常设备维护及购买相关办公用品及耗材经费，通过投入项目保障其工作正常运行。</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政务辅助人员工资工作经费，该项目2022年使用资金3.152万元，年末退回资金6.304万元，政务大厅“川渝通办”“综合窗口”等窗口需要人员，我局人员不足，结合工作实际和政务辅助人员工作表现，拟继续聘用4人满足工作需要，期限为一年，政务辅助人员工资按照每人每月1970元计算共计需要资金94560元，通过投入项目保障其工作正常运行。</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组织部转眉山对口帮扶工作经费，该项目2022年使用资金3.94785万元，年末退回资金0.05215万元，为贯彻落实眉山对口帮扶工作，组织部转眉山对口帮扶工作经费，有效的推进了政务服务工作提升政务服务效能。</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乡镇综合服务设施建设项目质保金，该项目2022年使用资金56.454524万元，通过投入项目保障之前项目乡镇综合服务设施建设项目质保金的实时支付。</w:t>
      </w:r>
    </w:p>
    <w:p>
      <w:pPr>
        <w:keepNext w:val="0"/>
        <w:keepLines w:val="0"/>
        <w:pageBreakBefore w:val="0"/>
        <w:widowControl/>
        <w:kinsoku/>
        <w:wordWrap/>
        <w:overflowPunct/>
        <w:topLinePunct w:val="0"/>
        <w:autoSpaceDE/>
        <w:autoSpaceDN/>
        <w:bidi w:val="0"/>
        <w:adjustRightInd w:val="0"/>
        <w:snapToGrid w:val="0"/>
        <w:spacing w:beforeAutospacing="0" w:afterAutospacing="0" w:line="576" w:lineRule="exact"/>
        <w:ind w:left="0" w:firstLine="720"/>
        <w:jc w:val="left"/>
        <w:textAlignment w:val="auto"/>
        <w:rPr>
          <w:rFonts w:hint="eastAsia" w:ascii="黑体" w:eastAsia="黑体" w:cs="黑体"/>
          <w:b w:val="0"/>
          <w:bCs/>
          <w:color w:val="000000"/>
          <w:kern w:val="0"/>
          <w:sz w:val="32"/>
          <w:szCs w:val="32"/>
          <w:lang w:val="zh-CN"/>
        </w:rPr>
      </w:pPr>
      <w:r>
        <w:rPr>
          <w:rFonts w:hint="eastAsia" w:ascii="黑体" w:eastAsia="黑体" w:cs="黑体"/>
          <w:b w:val="0"/>
          <w:bCs/>
          <w:color w:val="000000"/>
          <w:kern w:val="0"/>
          <w:sz w:val="32"/>
          <w:szCs w:val="32"/>
          <w:lang w:val="zh-CN"/>
        </w:rPr>
        <w:t>四、评价结论及建议</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楷体_GB2312" w:eastAsia="楷体_GB2312" w:cs="楷体_GB2312"/>
          <w:sz w:val="32"/>
          <w:szCs w:val="32"/>
        </w:rPr>
      </w:pPr>
      <w:r>
        <w:rPr>
          <w:rFonts w:hint="eastAsia" w:ascii="楷体_GB2312" w:eastAsia="楷体_GB2312" w:cs="楷体_GB2312"/>
          <w:sz w:val="32"/>
          <w:szCs w:val="32"/>
        </w:rPr>
        <w:t>（一）评价结论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2022年我单位部门整体支出绩效评价自查自评结果良好，全年基本支出保证了部门的正常运行和日常工作的正常开展，项目支出保障了重点工作的开展，达到预期绩效目标。</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楷体_GB2312" w:eastAsia="楷体_GB2312" w:cs="楷体_GB2312"/>
          <w:sz w:val="32"/>
          <w:szCs w:val="32"/>
        </w:rPr>
      </w:pPr>
      <w:r>
        <w:rPr>
          <w:rFonts w:hint="eastAsia" w:ascii="楷体_GB2312" w:eastAsia="楷体_GB2312" w:cs="楷体_GB2312"/>
          <w:sz w:val="32"/>
          <w:szCs w:val="32"/>
        </w:rPr>
        <w:t>（二）存在问题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firstLine="668" w:firstLineChars="209"/>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预算编制需完善，绩效目标的制定有待更科学更合理。</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楷体_GB2312" w:eastAsia="楷体_GB2312" w:cs="楷体_GB2312"/>
          <w:sz w:val="32"/>
          <w:szCs w:val="32"/>
        </w:rPr>
      </w:pPr>
      <w:r>
        <w:rPr>
          <w:rFonts w:hint="eastAsia" w:ascii="楷体_GB2312" w:eastAsia="楷体_GB2312" w:cs="楷体_GB2312"/>
          <w:sz w:val="32"/>
          <w:szCs w:val="32"/>
        </w:rPr>
        <w:t>（三）改进建议</w:t>
      </w:r>
    </w:p>
    <w:p>
      <w:pPr>
        <w:keepNext w:val="0"/>
        <w:keepLines w:val="0"/>
        <w:pageBreakBefore w:val="0"/>
        <w:widowControl w:val="0"/>
        <w:kinsoku/>
        <w:wordWrap/>
        <w:overflowPunct/>
        <w:topLinePunct w:val="0"/>
        <w:autoSpaceDE/>
        <w:autoSpaceDN/>
        <w:bidi w:val="0"/>
        <w:spacing w:beforeAutospacing="0" w:afterAutospacing="0" w:line="576" w:lineRule="exact"/>
        <w:ind w:left="0" w:firstLine="640" w:firstLineChars="200"/>
        <w:textAlignment w:val="auto"/>
        <w:rPr>
          <w:rFonts w:hint="eastAsia"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针对存在的问题，我们将进一步科学设定绩效目标，加强预算执行管理。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                            </w:t>
      </w:r>
    </w:p>
    <w:p>
      <w:pPr>
        <w:pStyle w:val="15"/>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textAlignment w:val="auto"/>
        <w:rPr>
          <w:rFonts w:hint="eastAsia" w:ascii="仿宋_GB2312" w:eastAsia="仿宋_GB2312" w:cs="仿宋_GB2312"/>
          <w:sz w:val="32"/>
          <w:szCs w:val="32"/>
        </w:rPr>
      </w:pPr>
      <w:bookmarkStart w:id="76" w:name="_Toc111208512"/>
      <w:bookmarkStart w:id="77" w:name="_Toc79163885"/>
      <w:bookmarkStart w:id="78" w:name="_Toc3074"/>
      <w:bookmarkStart w:id="79" w:name="_Toc79163635"/>
    </w:p>
    <w:p>
      <w:pPr>
        <w:pStyle w:val="15"/>
        <w:keepNext w:val="0"/>
        <w:keepLines/>
        <w:pageBreakBefore w:val="0"/>
        <w:widowControl/>
        <w:kinsoku/>
        <w:wordWrap w:val="0"/>
        <w:overflowPunct/>
        <w:topLinePunct/>
        <w:autoSpaceDE/>
        <w:autoSpaceDN/>
        <w:bidi w:val="0"/>
        <w:adjustRightInd/>
        <w:snapToGrid/>
        <w:spacing w:before="0" w:beforeAutospacing="0" w:after="0" w:afterAutospacing="0" w:line="576" w:lineRule="exact"/>
        <w:jc w:val="center"/>
        <w:textAlignment w:val="auto"/>
        <w:rPr>
          <w:rFonts w:hint="eastAsia" w:ascii="方正小标宋简体" w:eastAsia="方正小标宋简体" w:cs="方正小标宋简体"/>
          <w:b w:val="0"/>
          <w:bCs w:val="0"/>
          <w:sz w:val="44"/>
          <w:szCs w:val="44"/>
        </w:rPr>
      </w:pPr>
      <w:r>
        <w:rPr>
          <w:rFonts w:hint="eastAsia" w:ascii="方正小标宋简体" w:eastAsia="方正小标宋简体" w:cs="方正小标宋简体"/>
          <w:b w:val="0"/>
          <w:bCs w:val="0"/>
          <w:sz w:val="44"/>
          <w:szCs w:val="44"/>
          <w:lang w:eastAsia="zh-CN"/>
        </w:rPr>
        <w:t>第五部分</w:t>
      </w:r>
      <w:r>
        <w:rPr>
          <w:rFonts w:hint="eastAsia" w:ascii="方正小标宋简体" w:eastAsia="方正小标宋简体" w:cs="方正小标宋简体"/>
          <w:b w:val="0"/>
          <w:bCs w:val="0"/>
          <w:sz w:val="44"/>
          <w:szCs w:val="44"/>
          <w:lang w:val="en-US" w:eastAsia="zh-CN"/>
        </w:rPr>
        <w:t xml:space="preserve"> </w:t>
      </w:r>
      <w:r>
        <w:rPr>
          <w:rFonts w:hint="eastAsia" w:ascii="方正小标宋简体" w:eastAsia="方正小标宋简体" w:cs="方正小标宋简体"/>
          <w:b w:val="0"/>
          <w:bCs w:val="0"/>
          <w:sz w:val="44"/>
          <w:szCs w:val="44"/>
        </w:rPr>
        <w:t>附表</w:t>
      </w:r>
      <w:bookmarkEnd w:id="76"/>
      <w:bookmarkEnd w:id="77"/>
      <w:bookmarkEnd w:id="78"/>
      <w:bookmarkEnd w:id="79"/>
      <w:bookmarkStart w:id="80" w:name="_Toc20411"/>
    </w:p>
    <w:p>
      <w:pPr>
        <w:pStyle w:val="15"/>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r>
        <w:rPr>
          <w:rFonts w:hint="eastAsia" w:ascii="黑体" w:eastAsia="黑体" w:cs="黑体"/>
          <w:b w:val="0"/>
          <w:bCs/>
          <w:color w:val="000000"/>
          <w:sz w:val="32"/>
          <w:szCs w:val="32"/>
        </w:rPr>
        <w:t>一、收入支出决算总表</w:t>
      </w:r>
      <w:bookmarkEnd w:id="80"/>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1" w:name="_Toc12897"/>
      <w:r>
        <w:rPr>
          <w:rFonts w:hint="eastAsia" w:ascii="黑体" w:eastAsia="黑体" w:cs="黑体"/>
          <w:b w:val="0"/>
          <w:bCs/>
          <w:color w:val="000000"/>
          <w:sz w:val="32"/>
          <w:szCs w:val="32"/>
        </w:rPr>
        <w:t>二、收入决算表</w:t>
      </w:r>
      <w:bookmarkEnd w:id="81"/>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2" w:name="_Toc13296"/>
      <w:r>
        <w:rPr>
          <w:rFonts w:hint="eastAsia" w:ascii="黑体" w:eastAsia="黑体" w:cs="黑体"/>
          <w:b w:val="0"/>
          <w:bCs/>
          <w:color w:val="000000"/>
          <w:sz w:val="32"/>
          <w:szCs w:val="32"/>
        </w:rPr>
        <w:t>三、支出决算表</w:t>
      </w:r>
      <w:bookmarkEnd w:id="82"/>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3" w:name="_Toc23025"/>
      <w:r>
        <w:rPr>
          <w:rFonts w:hint="eastAsia" w:ascii="黑体" w:eastAsia="黑体" w:cs="黑体"/>
          <w:b w:val="0"/>
          <w:bCs/>
          <w:color w:val="000000"/>
          <w:sz w:val="32"/>
          <w:szCs w:val="32"/>
        </w:rPr>
        <w:t>四、财政拨款收入支出决算总表</w:t>
      </w:r>
      <w:bookmarkEnd w:id="83"/>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4" w:name="_Toc12880"/>
      <w:r>
        <w:rPr>
          <w:rFonts w:hint="eastAsia" w:ascii="黑体" w:eastAsia="黑体" w:cs="黑体"/>
          <w:b w:val="0"/>
          <w:bCs/>
          <w:color w:val="000000"/>
          <w:sz w:val="32"/>
          <w:szCs w:val="32"/>
        </w:rPr>
        <w:t>五、财政拨款支出决算明细表</w:t>
      </w:r>
      <w:bookmarkEnd w:id="84"/>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5" w:name="_Toc10945"/>
      <w:r>
        <w:rPr>
          <w:rFonts w:hint="eastAsia" w:ascii="黑体" w:eastAsia="黑体" w:cs="黑体"/>
          <w:b w:val="0"/>
          <w:bCs/>
          <w:color w:val="000000"/>
          <w:sz w:val="32"/>
          <w:szCs w:val="32"/>
        </w:rPr>
        <w:t>六、一般公共预算财政拨款支出决算表</w:t>
      </w:r>
      <w:bookmarkEnd w:id="85"/>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6" w:name="_Toc23218"/>
      <w:r>
        <w:rPr>
          <w:rFonts w:hint="eastAsia" w:ascii="黑体" w:eastAsia="黑体" w:cs="黑体"/>
          <w:b w:val="0"/>
          <w:bCs/>
          <w:color w:val="000000"/>
          <w:sz w:val="32"/>
          <w:szCs w:val="32"/>
        </w:rPr>
        <w:t>七、一般公共预算财政拨款支出决算明细表</w:t>
      </w:r>
      <w:bookmarkEnd w:id="86"/>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7" w:name="_Toc25924"/>
      <w:r>
        <w:rPr>
          <w:rFonts w:hint="eastAsia" w:ascii="黑体" w:eastAsia="黑体" w:cs="黑体"/>
          <w:b w:val="0"/>
          <w:bCs/>
          <w:color w:val="000000"/>
          <w:sz w:val="32"/>
          <w:szCs w:val="32"/>
        </w:rPr>
        <w:t>八、一般公共预算财政拨款基本支出决算表</w:t>
      </w:r>
      <w:bookmarkEnd w:id="87"/>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8" w:name="_Toc975"/>
      <w:r>
        <w:rPr>
          <w:rFonts w:hint="eastAsia" w:ascii="黑体" w:eastAsia="黑体" w:cs="黑体"/>
          <w:b w:val="0"/>
          <w:bCs/>
          <w:color w:val="000000"/>
          <w:sz w:val="32"/>
          <w:szCs w:val="32"/>
        </w:rPr>
        <w:t>九、一般公共预算财政拨款项目支出决算表</w:t>
      </w:r>
      <w:bookmarkEnd w:id="88"/>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89" w:name="_Toc1304"/>
      <w:r>
        <w:rPr>
          <w:rFonts w:hint="eastAsia" w:ascii="黑体" w:eastAsia="黑体" w:cs="黑体"/>
          <w:b w:val="0"/>
          <w:bCs/>
          <w:color w:val="000000"/>
          <w:sz w:val="32"/>
          <w:szCs w:val="32"/>
        </w:rPr>
        <w:t>十、政府性基金预算财政拨款收入支出决算表</w:t>
      </w:r>
      <w:bookmarkEnd w:id="89"/>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90" w:name="_Toc25457"/>
      <w:r>
        <w:rPr>
          <w:rFonts w:hint="eastAsia" w:ascii="黑体" w:eastAsia="黑体" w:cs="黑体"/>
          <w:b w:val="0"/>
          <w:bCs/>
          <w:color w:val="000000"/>
          <w:sz w:val="32"/>
          <w:szCs w:val="32"/>
        </w:rPr>
        <w:t>十一、国有资本经营预算财政拨款收入支出决算表</w:t>
      </w:r>
      <w:bookmarkEnd w:id="90"/>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91" w:name="_Toc30460"/>
      <w:r>
        <w:rPr>
          <w:rFonts w:hint="eastAsia" w:ascii="黑体" w:eastAsia="黑体" w:cs="黑体"/>
          <w:b w:val="0"/>
          <w:bCs/>
          <w:color w:val="000000"/>
          <w:sz w:val="32"/>
          <w:szCs w:val="32"/>
        </w:rPr>
        <w:t>十二、国有资本经营预算财政拨款支出决算表</w:t>
      </w:r>
      <w:bookmarkEnd w:id="91"/>
    </w:p>
    <w:p>
      <w:pPr>
        <w:pStyle w:val="4"/>
        <w:keepNext w:val="0"/>
        <w:keepLines/>
        <w:pageBreakBefore w:val="0"/>
        <w:widowControl/>
        <w:kinsoku/>
        <w:wordWrap w:val="0"/>
        <w:overflowPunct/>
        <w:topLinePunct/>
        <w:autoSpaceDE/>
        <w:autoSpaceDN/>
        <w:bidi w:val="0"/>
        <w:adjustRightInd/>
        <w:snapToGrid/>
        <w:spacing w:before="0" w:beforeAutospacing="0" w:after="0" w:afterAutospacing="0" w:line="576" w:lineRule="exact"/>
        <w:ind w:left="0" w:firstLine="640" w:firstLineChars="200"/>
        <w:textAlignment w:val="auto"/>
        <w:rPr>
          <w:rFonts w:hint="eastAsia" w:ascii="黑体" w:eastAsia="黑体" w:cs="黑体"/>
          <w:b w:val="0"/>
          <w:bCs/>
          <w:color w:val="000000"/>
          <w:sz w:val="32"/>
          <w:szCs w:val="32"/>
        </w:rPr>
      </w:pPr>
      <w:bookmarkStart w:id="92" w:name="_Toc28937"/>
      <w:r>
        <w:rPr>
          <w:rFonts w:hint="eastAsia" w:ascii="黑体" w:eastAsia="黑体" w:cs="黑体"/>
          <w:b w:val="0"/>
          <w:bCs/>
          <w:color w:val="000000"/>
          <w:sz w:val="32"/>
          <w:szCs w:val="32"/>
        </w:rPr>
        <w:t>十三、财政拨款“三公”经费支出决算表</w:t>
      </w:r>
      <w:bookmarkEnd w:id="92"/>
    </w:p>
    <w:sectPr>
      <w:headerReference r:id="rId3" w:type="default"/>
      <w:footerReference r:id="rId4" w:type="default"/>
      <w:pgSz w:w="11906" w:h="16838"/>
      <w:pgMar w:top="2098" w:right="1474" w:bottom="1984" w:left="158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099504"/>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MjM2OGQ3ZDc3NGQ3MmExZjk1YTg4MDIzOGFhN2Q4ZjYifQ=="/>
  </w:docVars>
  <w:rsids>
    <w:rsidRoot w:val="00000000"/>
    <w:rsid w:val="069F005B"/>
    <w:rsid w:val="085B4B52"/>
    <w:rsid w:val="0ACF36AF"/>
    <w:rsid w:val="11FE43E6"/>
    <w:rsid w:val="151B37AF"/>
    <w:rsid w:val="151B4D60"/>
    <w:rsid w:val="1D8D2573"/>
    <w:rsid w:val="22714212"/>
    <w:rsid w:val="2F5F4460"/>
    <w:rsid w:val="31892804"/>
    <w:rsid w:val="35957DBF"/>
    <w:rsid w:val="37FC4657"/>
    <w:rsid w:val="39362B5B"/>
    <w:rsid w:val="40D95004"/>
    <w:rsid w:val="51D14432"/>
    <w:rsid w:val="5A8C487E"/>
    <w:rsid w:val="5DAC6B63"/>
    <w:rsid w:val="5E897C12"/>
    <w:rsid w:val="60AA3E6F"/>
    <w:rsid w:val="63AA4436"/>
    <w:rsid w:val="67616BD8"/>
    <w:rsid w:val="71C31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z w:val="32"/>
      <w:szCs w:val="32"/>
      <w:lang w:val="en-US" w:eastAsia="zh-CN" w:bidi="ar-SA"/>
    </w:rPr>
  </w:style>
  <w:style w:type="paragraph" w:styleId="3">
    <w:name w:val="heading 1"/>
    <w:basedOn w:val="1"/>
    <w:next w:val="1"/>
    <w:link w:val="21"/>
    <w:qFormat/>
    <w:uiPriority w:val="0"/>
    <w:pPr>
      <w:keepNext/>
      <w:keepLines/>
      <w:widowControl w:val="0"/>
      <w:spacing w:before="340" w:after="330" w:line="578" w:lineRule="auto"/>
      <w:outlineLvl w:val="0"/>
    </w:pPr>
    <w:rPr>
      <w:rFonts w:eastAsia="宋体"/>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6">
    <w:name w:val="annotation text"/>
    <w:basedOn w:val="1"/>
    <w:qFormat/>
    <w:uiPriority w:val="0"/>
    <w:pPr>
      <w:jc w:val="left"/>
    </w:pPr>
  </w:style>
  <w:style w:type="paragraph" w:styleId="7">
    <w:name w:val="Body Text"/>
    <w:basedOn w:val="1"/>
    <w:qFormat/>
    <w:uiPriority w:val="0"/>
    <w:pPr>
      <w:spacing w:before="30" w:beforeLines="30"/>
    </w:pPr>
    <w:rPr>
      <w:rFonts w:ascii="仿宋_GB2312"/>
      <w:kern w:val="0"/>
      <w:sz w:val="24"/>
      <w:szCs w:val="20"/>
      <w:lang w:val="zh-CN"/>
    </w:r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eastAsia="宋体" w:cs="Arial"/>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eastAsia="宋体" w:cs="Arial"/>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able of figures"/>
    <w:basedOn w:val="1"/>
    <w:next w:val="1"/>
    <w:qFormat/>
    <w:uiPriority w:val="0"/>
    <w:pPr>
      <w:ind w:left="400" w:leftChars="200" w:hanging="200" w:hangingChars="200"/>
    </w:pPr>
  </w:style>
  <w:style w:type="paragraph" w:styleId="14">
    <w:name w:val="toc 2"/>
    <w:basedOn w:val="1"/>
    <w:next w:val="1"/>
    <w:qFormat/>
    <w:uiPriority w:val="0"/>
    <w:pPr>
      <w:tabs>
        <w:tab w:val="right" w:leader="dot" w:pos="8296"/>
      </w:tabs>
      <w:ind w:left="200" w:leftChars="200"/>
    </w:pPr>
  </w:style>
  <w:style w:type="paragraph" w:styleId="15">
    <w:name w:val="Normal (Web)"/>
    <w:basedOn w:val="1"/>
    <w:qFormat/>
    <w:uiPriority w:val="0"/>
    <w:pPr>
      <w:spacing w:before="100" w:beforeAutospacing="1" w:after="100" w:afterAutospacing="1"/>
      <w:jc w:val="left"/>
    </w:pPr>
    <w:rPr>
      <w:rFonts w:ascii="Calibri" w:hAnsi="Calibri" w:eastAsia="宋体"/>
      <w:kern w:val="0"/>
      <w:sz w:val="24"/>
      <w:szCs w:val="24"/>
    </w:r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character" w:customStyle="1" w:styleId="21">
    <w:name w:val="heading 1 Char"/>
    <w:basedOn w:val="17"/>
    <w:link w:val="3"/>
    <w:qFormat/>
    <w:uiPriority w:val="0"/>
    <w:rPr>
      <w:rFonts w:ascii="Times New Roman" w:hAnsi="Times New Roman" w:eastAsia="宋体" w:cs="Times New Roman"/>
      <w:b/>
      <w:bCs/>
      <w:kern w:val="44"/>
      <w:sz w:val="44"/>
      <w:szCs w:val="44"/>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3">
    <w:name w:val="Header Char"/>
    <w:basedOn w:val="17"/>
    <w:qFormat/>
    <w:uiPriority w:val="0"/>
    <w:rPr>
      <w:rFonts w:ascii="Times New Roman" w:hAnsi="Times New Roman"/>
      <w:sz w:val="18"/>
      <w:szCs w:val="18"/>
    </w:rPr>
  </w:style>
  <w:style w:type="character" w:customStyle="1" w:styleId="24">
    <w:name w:val="Footer Char"/>
    <w:basedOn w:val="17"/>
    <w:qFormat/>
    <w:uiPriority w:val="0"/>
    <w:rPr>
      <w:rFonts w:ascii="Times New Roman" w:hAnsi="Times New Roman"/>
      <w:sz w:val="18"/>
      <w:szCs w:val="18"/>
    </w:rPr>
  </w:style>
  <w:style w:type="character" w:customStyle="1" w:styleId="25">
    <w:name w:val="Body Text Char"/>
    <w:basedOn w:val="17"/>
    <w:qFormat/>
    <w:uiPriority w:val="0"/>
    <w:rPr>
      <w:rFonts w:ascii="Times New Roman" w:hAnsi="Times New Roman"/>
      <w:szCs w:val="24"/>
    </w:rPr>
  </w:style>
  <w:style w:type="paragraph" w:styleId="26">
    <w:name w:val="List Paragraph"/>
    <w:basedOn w:val="1"/>
    <w:qFormat/>
    <w:uiPriority w:val="0"/>
    <w:pPr>
      <w:ind w:firstLine="200" w:firstLineChars="200"/>
    </w:pPr>
  </w:style>
  <w:style w:type="paragraph" w:customStyle="1" w:styleId="27">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8">
    <w:name w:val="页眉 Char1"/>
    <w:basedOn w:val="17"/>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t" anchorCtr="0"/>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收、支决算总计变动情况图</a:t>
            </a:r>
            <a:endParaRPr lang="zh-CN"/>
          </a:p>
        </c:rich>
      </c:tx>
      <c:layout/>
      <c:overlay val="0"/>
      <c:spPr>
        <a:ln>
          <a:noFill/>
        </a:ln>
      </c:spPr>
    </c:title>
    <c:autoTitleDeleted val="0"/>
    <c:plotArea>
      <c:layout>
        <c:manualLayout>
          <c:layoutTarget val="inner"/>
          <c:xMode val="edge"/>
          <c:yMode val="edge"/>
          <c:x val="0.05598162"/>
          <c:y val="0.24786511"/>
          <c:w val="0.800713"/>
          <c:h val="0.65402776"/>
        </c:manualLayout>
      </c:layout>
      <c:barChart>
        <c:barDir val="col"/>
        <c:grouping val="clustered"/>
        <c:varyColors val="0"/>
        <c:ser>
          <c:idx val="1"/>
          <c:order val="0"/>
          <c:tx>
            <c:strRef>
              <c:f>收入</c:f>
              <c:strCache>
                <c:ptCount val="1"/>
                <c:pt idx="0">
                  <c:v>收入</c:v>
                </c:pt>
              </c:strCache>
            </c:strRef>
          </c:tx>
          <c:spPr>
            <a:solidFill>
              <a:srgbClr val="C0504D"/>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{2021,2022}</c:f>
              <c:numCache>
                <c:formatCode>General</c:formatCode>
                <c:ptCount val="2"/>
                <c:pt idx="0">
                  <c:v>2021</c:v>
                </c:pt>
                <c:pt idx="1">
                  <c:v>2022</c:v>
                </c:pt>
              </c:numCache>
            </c:numRef>
          </c:cat>
          <c:val>
            <c:numRef>
              <c:f>{556.55,341.74}</c:f>
              <c:numCache>
                <c:formatCode>General</c:formatCode>
                <c:ptCount val="2"/>
                <c:pt idx="0">
                  <c:v>556.55</c:v>
                </c:pt>
                <c:pt idx="1">
                  <c:v>341.74</c:v>
                </c:pt>
              </c:numCache>
            </c:numRef>
          </c:val>
        </c:ser>
        <c:ser>
          <c:idx val="2"/>
          <c:order val="1"/>
          <c:tx>
            <c:strRef>
              <c:f>支出</c:f>
              <c:strCache>
                <c:ptCount val="1"/>
                <c:pt idx="0">
                  <c:v>支出</c:v>
                </c:pt>
              </c:strCache>
            </c:strRef>
          </c:tx>
          <c:spPr>
            <a:solidFill>
              <a:srgbClr val="9BBB59"/>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{2021,2022}</c:f>
              <c:numCache>
                <c:formatCode>General</c:formatCode>
                <c:ptCount val="2"/>
                <c:pt idx="0">
                  <c:v>2021</c:v>
                </c:pt>
                <c:pt idx="1">
                  <c:v>2022</c:v>
                </c:pt>
              </c:numCache>
            </c:numRef>
          </c:cat>
          <c:val>
            <c:numRef>
              <c:f>{561.53,341.74}</c:f>
              <c:numCache>
                <c:formatCode>General</c:formatCode>
                <c:ptCount val="2"/>
                <c:pt idx="0">
                  <c:v>561.53</c:v>
                </c:pt>
                <c:pt idx="1">
                  <c:v>341.74</c:v>
                </c:pt>
              </c:numCache>
            </c:numRef>
          </c:val>
        </c:ser>
        <c:dLbls>
          <c:showLegendKey val="0"/>
          <c:showVal val="1"/>
          <c:showCatName val="0"/>
          <c:showSerName val="0"/>
          <c:showPercent val="0"/>
          <c:showBubbleSize val="0"/>
        </c:dLbls>
        <c:gapWidth val="41"/>
        <c:axId val="0"/>
        <c:axId val="1"/>
      </c:barChart>
      <c:catAx>
        <c:axId val="0"/>
        <c:scaling>
          <c:orientation val="minMax"/>
        </c:scaling>
        <c:delete val="0"/>
        <c:axPos val="b"/>
        <c:title>
          <c:tx>
            <c:rich>
              <a:bodyPr rot="0" spcFirstLastPara="0" vertOverflow="ellipsis" vert="horz" wrap="square" anchor="t" anchorCtr="0"/>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ln>
              <a:noFill/>
            </a:ln>
          </c:spPr>
        </c:title>
        <c:numFmt formatCode="General" sourceLinked="0"/>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title>
          <c:tx>
            <c:rich>
              <a:bodyPr rot="-5400000" spcFirstLastPara="0" vertOverflow="ellipsis" vert="horz" wrap="square" anchor="t" anchorCtr="0"/>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 </a:t>
                </a:r>
                <a:endParaRPr lang="zh-CN"/>
              </a:p>
            </c:rich>
          </c:tx>
          <c:layout/>
          <c:overlay val="0"/>
          <c:spPr>
            <a:ln>
              <a:noFill/>
            </a:ln>
          </c:spPr>
        </c:title>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gradFill rotWithShape="1">
      <a:gsLst>
        <a:gs pos="0">
          <a:srgbClr val="FFFFFF">
            <a:alpha val="100000"/>
          </a:srgbClr>
        </a:gs>
        <a:gs pos="68000">
          <a:srgbClr val="D9D9D9">
            <a:alpha val="100000"/>
          </a:srgbClr>
        </a:gs>
        <a:gs pos="100000">
          <a:srgbClr val="FFFFFF">
            <a:alpha val="100000"/>
          </a:srgbClr>
        </a:gs>
      </a:gsLst>
      <a:lin ang="5400000" scaled="1"/>
    </a:gra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t" anchorCtr="0"/>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收入决算结构图</a:t>
            </a:r>
            <a:endParaRPr lang="zh-CN"/>
          </a:p>
        </c:rich>
      </c:tx>
      <c:layout/>
      <c:overlay val="0"/>
      <c:spPr>
        <a:ln>
          <a:noFill/>
        </a:ln>
      </c:spPr>
    </c:title>
    <c:autoTitleDeleted val="0"/>
    <c:plotArea>
      <c:layout/>
      <c:pieChart>
        <c:varyColors val="1"/>
        <c:ser>
          <c:idx val="1"/>
          <c:order val="0"/>
          <c:spPr>
            <a:ln>
              <a:noFill/>
            </a:ln>
          </c:spPr>
          <c:explosion val="0"/>
          <c:dPt>
            <c:idx val="0"/>
            <c:bubble3D val="0"/>
            <c:spPr>
              <a:solidFill>
                <a:srgbClr val="4572A7"/>
              </a:solidFill>
            </c:spPr>
          </c:dPt>
          <c:dPt>
            <c:idx val="1"/>
            <c:bubble3D val="0"/>
            <c:spPr>
              <a:solidFill>
                <a:srgbClr val="AA4643"/>
              </a:solidFill>
            </c:spPr>
          </c:dPt>
          <c:dPt>
            <c:idx val="2"/>
            <c:bubble3D val="0"/>
            <c:spPr>
              <a:solidFill>
                <a:srgbClr val="89A54E"/>
              </a:solidFill>
            </c:spPr>
          </c:dPt>
          <c:dPt>
            <c:idx val="3"/>
            <c:bubble3D val="0"/>
            <c:spPr>
              <a:solidFill>
                <a:srgbClr val="71588F"/>
              </a:solidFill>
            </c:spPr>
          </c:dPt>
          <c:dPt>
            <c:idx val="4"/>
            <c:bubble3D val="0"/>
            <c:spPr>
              <a:solidFill>
                <a:srgbClr val="4198AF"/>
              </a:solidFill>
            </c:spPr>
          </c:dPt>
          <c:dPt>
            <c:idx val="5"/>
            <c:bubble3D val="0"/>
            <c:spPr>
              <a:solidFill>
                <a:srgbClr val="DB843D"/>
              </a:solidFill>
            </c:spPr>
          </c:dPt>
          <c:dPt>
            <c:idx val="6"/>
            <c:bubble3D val="0"/>
            <c:spPr>
              <a:solidFill>
                <a:srgbClr val="93A9CF"/>
              </a:solidFill>
            </c:spPr>
          </c:dPt>
          <c:dPt>
            <c:idx val="7"/>
            <c:bubble3D val="0"/>
            <c:spPr>
              <a:solidFill>
                <a:srgbClr val="D19392"/>
              </a:solidFill>
            </c:spPr>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{"一般公共预算财政拨款收入","政府性基金预算财政拨款收入","国有资本经营预算财政拨款收入","上级补助收入","事业收入","经营收入","附属单位上缴收入","其他收入"}</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{3417406.26,0,0,0,0,0,0,0}</c:f>
              <c:numCache>
                <c:formatCode>General</c:formatCode>
                <c:ptCount val="8"/>
                <c:pt idx="0">
                  <c:v>3417406.26</c:v>
                </c:pt>
                <c:pt idx="1">
                  <c:v>0</c:v>
                </c:pt>
                <c:pt idx="2">
                  <c:v>0</c:v>
                </c:pt>
                <c:pt idx="3">
                  <c:v>0</c:v>
                </c:pt>
                <c:pt idx="4">
                  <c:v>0</c:v>
                </c:pt>
                <c:pt idx="5">
                  <c:v>0</c:v>
                </c:pt>
                <c:pt idx="6">
                  <c:v>0</c:v>
                </c:pt>
                <c:pt idx="7">
                  <c:v>0</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t" anchorCtr="0"/>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支出决算结构图</a:t>
            </a:r>
            <a:endParaRPr lang="zh-CN"/>
          </a:p>
        </c:rich>
      </c:tx>
      <c:layout/>
      <c:overlay val="0"/>
      <c:spPr>
        <a:ln>
          <a:noFill/>
        </a:ln>
      </c:spPr>
    </c:title>
    <c:autoTitleDeleted val="0"/>
    <c:plotArea>
      <c:layout/>
      <c:pieChart>
        <c:varyColors val="1"/>
        <c:ser>
          <c:idx val="1"/>
          <c:order val="0"/>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numFmt formatCode="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{"基本支出","项目支出","上缴上级支出","经营支出","对附属单位补助支出"}</c:f>
              <c:strCache>
                <c:ptCount val="5"/>
                <c:pt idx="0">
                  <c:v>基本支出</c:v>
                </c:pt>
                <c:pt idx="1">
                  <c:v>项目支出</c:v>
                </c:pt>
                <c:pt idx="2">
                  <c:v>上缴上级支出</c:v>
                </c:pt>
                <c:pt idx="3">
                  <c:v>经营支出</c:v>
                </c:pt>
                <c:pt idx="4">
                  <c:v>对附属单位补助支出</c:v>
                </c:pt>
              </c:strCache>
            </c:strRef>
          </c:cat>
          <c:val>
            <c:numRef>
              <c:f>{3406606.26,10800,0,0,0}</c:f>
              <c:numCache>
                <c:formatCode>General</c:formatCode>
                <c:ptCount val="5"/>
                <c:pt idx="0">
                  <c:v>3406606.26</c:v>
                </c:pt>
                <c:pt idx="1">
                  <c:v>10800</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600" b="1" i="0" u="none" strike="noStrike" kern="1200" baseline="0">
                <a:solidFill>
                  <a:srgbClr val="1F497D"/>
                </a:solidFill>
                <a:latin typeface="Times New Roman" panose="02020603050405020304"/>
                <a:ea typeface="宋体" panose="02010600030101010101" charset="-122"/>
                <a:cs typeface="Arial" panose="020B0604020202020204" pitchFamily="2"/>
              </a:defRPr>
            </a:pPr>
            <a:r>
              <a:rPr lang="zh-CN"/>
              <a:t>财政拨款收、支决算总计变动情况</a:t>
            </a:r>
            <a:endParaRPr lang="zh-CN"/>
          </a:p>
        </c:rich>
      </c:tx>
      <c:layout/>
      <c:overlay val="0"/>
      <c:spPr>
        <a:noFill/>
        <a:ln>
          <a:noFill/>
        </a:ln>
      </c:spPr>
    </c:title>
    <c:autoTitleDeleted val="0"/>
    <c:plotArea>
      <c:layout/>
      <c:barChart>
        <c:barDir val="col"/>
        <c:grouping val="clustered"/>
        <c:varyColors val="0"/>
        <c:ser>
          <c:idx val="1"/>
          <c:order val="0"/>
          <c:tx>
            <c:strRef>
              <c:f>收入</c:f>
              <c:strCache>
                <c:ptCount val="1"/>
                <c:pt idx="0">
                  <c:v>收入</c:v>
                </c:pt>
              </c:strCache>
            </c:strRef>
          </c:tx>
          <c:spPr>
            <a:solidFill>
              <a:srgbClr val="C0504D"/>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{2021,2022}</c:f>
              <c:numCache>
                <c:formatCode>General</c:formatCode>
                <c:ptCount val="2"/>
                <c:pt idx="0">
                  <c:v>2021</c:v>
                </c:pt>
                <c:pt idx="1">
                  <c:v>2022</c:v>
                </c:pt>
              </c:numCache>
            </c:numRef>
          </c:cat>
          <c:val>
            <c:numRef>
              <c:f>{556.55,341.74}</c:f>
              <c:numCache>
                <c:formatCode>General</c:formatCode>
                <c:ptCount val="2"/>
                <c:pt idx="0">
                  <c:v>556.55</c:v>
                </c:pt>
                <c:pt idx="1">
                  <c:v>341.74</c:v>
                </c:pt>
              </c:numCache>
            </c:numRef>
          </c:val>
        </c:ser>
        <c:ser>
          <c:idx val="2"/>
          <c:order val="1"/>
          <c:tx>
            <c:strRef>
              <c:f>支出</c:f>
              <c:strCache>
                <c:ptCount val="1"/>
                <c:pt idx="0">
                  <c:v>支出</c:v>
                </c:pt>
              </c:strCache>
            </c:strRef>
          </c:tx>
          <c:spPr>
            <a:solidFill>
              <a:srgbClr val="9BBB59"/>
            </a:solidFill>
            <a:ln>
              <a:noFill/>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{2021,2022}</c:f>
              <c:numCache>
                <c:formatCode>General</c:formatCode>
                <c:ptCount val="2"/>
                <c:pt idx="0">
                  <c:v>2021</c:v>
                </c:pt>
                <c:pt idx="1">
                  <c:v>2022</c:v>
                </c:pt>
              </c:numCache>
            </c:numRef>
          </c:cat>
          <c:val>
            <c:numRef>
              <c:f>{561.53,341.74}</c:f>
              <c:numCache>
                <c:formatCode>General</c:formatCode>
                <c:ptCount val="2"/>
                <c:pt idx="0">
                  <c:v>561.53</c:v>
                </c:pt>
                <c:pt idx="1">
                  <c:v>341.74</c:v>
                </c:pt>
              </c:numCache>
            </c:numRef>
          </c:val>
        </c:ser>
        <c:dLbls>
          <c:showLegendKey val="0"/>
          <c:showVal val="1"/>
          <c:showCatName val="0"/>
          <c:showSerName val="0"/>
          <c:showPercent val="0"/>
          <c:showBubbleSize val="0"/>
        </c:dLbls>
        <c:gapWidth val="100"/>
        <c:overlap val="-24"/>
        <c:axId val="0"/>
        <c:axId val="1"/>
      </c:barChart>
      <c:catAx>
        <c:axId val="0"/>
        <c:scaling>
          <c:orientation val="minMax"/>
        </c:scaling>
        <c:delete val="0"/>
        <c:axPos val="b"/>
        <c:title>
          <c:tx>
            <c:rich>
              <a:bodyPr rot="0" spcFirstLastPara="0" vertOverflow="ellipsis" vert="horz" wrap="square" anchor="t" anchorCtr="0"/>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单位：万元</a:t>
                </a:r>
                <a:endParaRPr lang="zh-CN"/>
              </a:p>
            </c:rich>
          </c:tx>
          <c:layout/>
          <c:overlay val="0"/>
          <c:spPr>
            <a:ln>
              <a:noFill/>
            </a:ln>
          </c:spPr>
        </c:title>
        <c:numFmt formatCode="General" sourceLinked="0"/>
        <c:majorTickMark val="none"/>
        <c:minorTickMark val="none"/>
        <c:tickLblPos val="nextTo"/>
        <c:spPr>
          <a:ln w="6350" cap="flat" cmpd="sng" algn="ctr">
            <a:solidFill>
              <a:srgbClr val="D4E3F4"/>
            </a:solidFill>
            <a:prstDash val="solid"/>
            <a:round/>
          </a:ln>
        </c:spPr>
        <c:txPr>
          <a:bodyPr rot="-60000000" spcFirstLastPara="0" vertOverflow="ellipsis" vert="horz" wrap="square" anchor="ctr" anchorCtr="1"/>
          <a:lstStyle/>
          <a:p>
            <a:pPr>
              <a:defRPr lang="zh-CN" sz="900" b="0" i="0" u="none" strike="noStrike" kern="1200" baseline="0">
                <a:solidFill>
                  <a:srgbClr val="1F497D"/>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4E3F4"/>
              </a:solidFill>
              <a:prstDash val="solid"/>
              <a:round/>
            </a:ln>
          </c:spPr>
        </c:majorGridlines>
        <c:title>
          <c:tx>
            <c:rich>
              <a:bodyPr rot="-5400000" spcFirstLastPara="0" vertOverflow="ellipsis" vert="horz" wrap="square" anchor="t" anchorCtr="0"/>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 </a:t>
                </a:r>
                <a:endParaRPr lang="zh-CN"/>
              </a:p>
            </c:rich>
          </c:tx>
          <c:layout/>
          <c:overlay val="0"/>
          <c:spPr>
            <a:ln>
              <a:noFill/>
            </a:ln>
          </c:spPr>
        </c:title>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1F497D"/>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1F497D"/>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6350" cap="flat" cmpd="sng" algn="ctr">
      <a:solidFill>
        <a:srgbClr val="D4E3F4"/>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t" anchorCtr="0"/>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一般公共预算财政拨款支出</a:t>
            </a:r>
            <a:endParaRPr lang="zh-CN"/>
          </a:p>
        </c:rich>
      </c:tx>
      <c:layout/>
      <c:overlay val="0"/>
      <c:spPr>
        <a:ln>
          <a:noFill/>
        </a:ln>
      </c:spPr>
    </c:title>
    <c:autoTitleDeleted val="0"/>
    <c:plotArea>
      <c:layout/>
      <c:pieChart>
        <c:varyColors val="1"/>
        <c:ser>
          <c:idx val="1"/>
          <c:order val="0"/>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{"一般公共服务支出","社会保障和就业支出","卫生健康支出","农林水支出","住房保障支出"}</c:f>
              <c:strCache>
                <c:ptCount val="5"/>
                <c:pt idx="0">
                  <c:v>一般公共服务支出</c:v>
                </c:pt>
                <c:pt idx="1">
                  <c:v>社会保障和就业支出</c:v>
                </c:pt>
                <c:pt idx="2">
                  <c:v>卫生健康支出</c:v>
                </c:pt>
                <c:pt idx="3">
                  <c:v>农林水支出</c:v>
                </c:pt>
                <c:pt idx="4">
                  <c:v>住房保障支出</c:v>
                </c:pt>
              </c:strCache>
            </c:strRef>
          </c:cat>
          <c:val>
            <c:numRef>
              <c:f>{265.09,38.43,15.49,1.08,21.65}</c:f>
              <c:numCache>
                <c:formatCode>General</c:formatCode>
                <c:ptCount val="5"/>
                <c:pt idx="0">
                  <c:v>265.09</c:v>
                </c:pt>
                <c:pt idx="1">
                  <c:v>38.43</c:v>
                </c:pt>
                <c:pt idx="2">
                  <c:v>15.49</c:v>
                </c:pt>
                <c:pt idx="3">
                  <c:v>1.08</c:v>
                </c:pt>
                <c:pt idx="4">
                  <c:v>21.65</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t" anchorCtr="0"/>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三公经费</a:t>
            </a:r>
            <a:endParaRPr lang="zh-CN"/>
          </a:p>
        </c:rich>
      </c:tx>
      <c:layout/>
      <c:overlay val="0"/>
      <c:spPr>
        <a:ln>
          <a:noFill/>
        </a:ln>
      </c:spPr>
    </c:title>
    <c:autoTitleDeleted val="0"/>
    <c:plotArea>
      <c:layout/>
      <c:pieChart>
        <c:varyColors val="1"/>
        <c:ser>
          <c:idx val="1"/>
          <c:order val="0"/>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Lbls>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{"因公出国（境）费","公务用车购置及运行维护费","公务接待费"}</c:f>
              <c:strCache>
                <c:ptCount val="3"/>
                <c:pt idx="0">
                  <c:v>因公出国（境）费</c:v>
                </c:pt>
                <c:pt idx="1">
                  <c:v>公务用车购置及运行维护费</c:v>
                </c:pt>
                <c:pt idx="2">
                  <c:v>公务接待费</c:v>
                </c:pt>
              </c:strCache>
            </c:strRef>
          </c:cat>
          <c:val>
            <c:numRef>
              <c:f>{0,0,0.73}</c:f>
              <c:numCache>
                <c:formatCode>General</c:formatCode>
                <c:ptCount val="3"/>
                <c:pt idx="0">
                  <c:v>0</c:v>
                </c:pt>
                <c:pt idx="1">
                  <c:v>0</c:v>
                </c:pt>
                <c:pt idx="2">
                  <c:v>0.73</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25</Pages>
  <Words>9330</Words>
  <Characters>10492</Characters>
  <Lines>611</Lines>
  <Paragraphs>246</Paragraphs>
  <TotalTime>0</TotalTime>
  <ScaleCrop>false</ScaleCrop>
  <LinksUpToDate>false</LinksUpToDate>
  <CharactersWithSpaces>10641</CharactersWithSpaces>
  <Application>WPS Office_11.1.0.15319_F1E327BC-269C-435d-A152-05C5408002CA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2023-08-18T07:28:00Z</dcterms:created>
  <dc:creator>pjf</dc:creator>
  <cp:lastModifiedBy>Lenovo</cp:lastModifiedBy>
  <cp:lastPrinted>2023-09-14T09:08:00Z</cp:lastPrinted>
  <dcterms:modified xsi:type="dcterms:W3CDTF">2023-09-14T09:36:15Z</dcterms:modified>
  <dc:title>四川省决算编制说明</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CE3396C5F4A34671B5DC5CFA8E1D60E9_13</vt:lpwstr>
  </property>
</Properties>
</file>