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ind w:left="0" w:right="0"/>
        <w:jc w:val="center"/>
        <w:rPr>
          <w:rFonts w:hint="eastAsia" w:ascii="方正小标宋简体" w:hAnsi="宋体" w:eastAsia="方正小标宋简体" w:cs="Times New Roman"/>
          <w:kern w:val="2"/>
          <w:sz w:val="44"/>
          <w:szCs w:val="44"/>
        </w:rPr>
      </w:pPr>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2023年度</w:t>
      </w:r>
    </w:p>
    <w:p>
      <w:pPr>
        <w:pStyle w:val="5"/>
        <w:widowControl/>
        <w:ind w:left="0" w:right="0"/>
        <w:jc w:val="center"/>
        <w:rPr>
          <w:rFonts w:hint="eastAsia" w:ascii="方正小标宋简体" w:hAnsi="方正小标宋简体" w:eastAsia="方正小标宋简体" w:cs="方正小标宋简体"/>
          <w:kern w:val="2"/>
          <w:sz w:val="48"/>
          <w:szCs w:val="48"/>
          <w:lang w:eastAsia="zh-CN"/>
        </w:rPr>
      </w:pPr>
      <w:r>
        <w:rPr>
          <w:rFonts w:hint="eastAsia" w:ascii="方正小标宋简体" w:hAnsi="方正小标宋简体" w:eastAsia="方正小标宋简体" w:cs="方正小标宋简体"/>
          <w:kern w:val="2"/>
          <w:sz w:val="48"/>
          <w:szCs w:val="48"/>
        </w:rPr>
        <w:t>四川省阿坝州茂县</w:t>
      </w:r>
      <w:r>
        <w:rPr>
          <w:rFonts w:hint="eastAsia" w:ascii="方正小标宋简体" w:hAnsi="方正小标宋简体" w:eastAsia="方正小标宋简体" w:cs="方正小标宋简体"/>
          <w:kern w:val="2"/>
          <w:sz w:val="48"/>
          <w:szCs w:val="48"/>
          <w:lang w:eastAsia="zh-CN"/>
        </w:rPr>
        <w:t>行政审批局</w:t>
      </w:r>
    </w:p>
    <w:p>
      <w:pPr>
        <w:pStyle w:val="5"/>
        <w:widowControl/>
        <w:ind w:left="0" w:right="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kern w:val="2"/>
          <w:sz w:val="48"/>
          <w:szCs w:val="48"/>
          <w:lang w:eastAsia="zh-CN"/>
        </w:rPr>
        <w:t>汇总部门</w:t>
      </w:r>
      <w:r>
        <w:rPr>
          <w:rFonts w:hint="eastAsia" w:ascii="方正小标宋简体" w:hAnsi="方正小标宋简体" w:eastAsia="方正小标宋简体" w:cs="方正小标宋简体"/>
          <w:kern w:val="2"/>
          <w:sz w:val="48"/>
          <w:szCs w:val="48"/>
        </w:rPr>
        <w:t>决算</w:t>
      </w:r>
    </w:p>
    <w:p>
      <w:pPr>
        <w:pStyle w:val="5"/>
        <w:widowControl/>
        <w:ind w:left="0" w:right="0"/>
        <w:jc w:val="center"/>
        <w:rPr>
          <w:rFonts w:hint="eastAsia" w:ascii="黑体" w:hAnsi="宋体" w:eastAsia="黑体" w:cs="黑体"/>
          <w:kern w:val="2"/>
          <w:sz w:val="48"/>
          <w:szCs w:val="48"/>
          <w:lang w:val="en-US" w:eastAsia="zh-CN" w:bidi="ar"/>
        </w:rPr>
        <w:sectPr>
          <w:pgSz w:w="11906" w:h="16838"/>
          <w:pgMar w:top="1440" w:right="1800" w:bottom="1440" w:left="1800" w:header="851" w:footer="992" w:gutter="0"/>
          <w:pgNumType w:fmt="decimal" w:start="1"/>
          <w:cols w:space="425" w:num="1"/>
          <w:docGrid w:type="lines" w:linePitch="312" w:charSpace="0"/>
        </w:sectPr>
      </w:pPr>
    </w:p>
    <w:p>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pPr>
        <w:pStyle w:val="9"/>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公开时间：2024年9 月 25日</w:t>
      </w:r>
    </w:p>
    <w:p>
      <w:pPr>
        <w:pStyle w:val="9"/>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pPr>
        <w:pStyle w:val="9"/>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pPr>
        <w:pStyle w:val="11"/>
        <w:widowControl/>
        <w:adjustRightInd w:val="0"/>
        <w:snapToGrid w:val="0"/>
        <w:spacing w:before="0" w:beforeAutospacing="1" w:after="0" w:afterAutospacing="1" w:line="440" w:lineRule="exact"/>
        <w:ind w:left="0" w:leftChars="0" w:right="0" w:firstLine="480" w:firstLineChars="20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....................................................2</w:t>
      </w:r>
    </w:p>
    <w:p>
      <w:pPr>
        <w:pStyle w:val="11"/>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2023年度单位决算情况说明</w:t>
      </w:r>
      <w:r>
        <w:rPr>
          <w:rFonts w:hint="eastAsia" w:ascii="宋体" w:hAnsi="宋体" w:cs="宋体"/>
          <w:kern w:val="2"/>
          <w:sz w:val="24"/>
          <w:szCs w:val="24"/>
          <w:lang w:val="en-US" w:eastAsia="zh-CN" w:bidi="ar"/>
        </w:rPr>
        <w:t>..................................2</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....................................2</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............................................3</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........................4</w:t>
      </w:r>
    </w:p>
    <w:p>
      <w:pPr>
        <w:pStyle w:val="11"/>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....................6</w:t>
      </w:r>
    </w:p>
    <w:p>
      <w:pPr>
        <w:pStyle w:val="11"/>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..............................8</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............................8</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......................................8</w:t>
      </w:r>
    </w:p>
    <w:p>
      <w:pPr>
        <w:pStyle w:val="11"/>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..................................................10</w:t>
      </w:r>
    </w:p>
    <w:p>
      <w:pPr>
        <w:pStyle w:val="9"/>
        <w:widowControl/>
        <w:adjustRightInd w:val="0"/>
        <w:snapToGrid w:val="0"/>
        <w:spacing w:before="0" w:beforeAutospacing="0" w:after="0" w:afterAutospacing="1" w:line="440" w:lineRule="exact"/>
        <w:ind w:left="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附件......................................................12</w:t>
      </w:r>
    </w:p>
    <w:p>
      <w:pPr>
        <w:pStyle w:val="9"/>
        <w:widowControl/>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9"/>
        <w:widowControl/>
        <w:numPr>
          <w:ilvl w:val="0"/>
          <w:numId w:val="1"/>
        </w:numPr>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附表......................................................34</w:t>
      </w:r>
      <w:bookmarkStart w:id="1" w:name="_GoBack"/>
      <w:bookmarkEnd w:id="1"/>
    </w:p>
    <w:p>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十三、财政拨款“三公”经费支出决算表</w:t>
      </w:r>
    </w:p>
    <w:p>
      <w:pPr>
        <w:pStyle w:val="3"/>
        <w:widowControl/>
        <w:jc w:val="center"/>
        <w:rPr>
          <w:rFonts w:hint="eastAsia" w:ascii="黑体" w:hAnsi="宋体" w:eastAsia="黑体" w:cs="黑体"/>
          <w:b w:val="0"/>
          <w:bCs/>
          <w:kern w:val="44"/>
          <w:sz w:val="44"/>
          <w:szCs w:val="44"/>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7"/>
          <w:rFonts w:hint="eastAsia" w:ascii="黑体" w:hAnsi="宋体" w:eastAsia="黑体" w:cs="黑体"/>
          <w:b w:val="0"/>
          <w:bCs w:val="0"/>
          <w:kern w:val="44"/>
          <w:sz w:val="44"/>
          <w:szCs w:val="44"/>
        </w:rPr>
        <w:t>概况</w:t>
      </w:r>
    </w:p>
    <w:p>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9"/>
          <w:rFonts w:hint="eastAsia" w:ascii="黑体" w:hAnsi="宋体" w:eastAsia="黑体" w:cs="黑体"/>
          <w:b w:val="0"/>
          <w:bCs w:val="0"/>
          <w:sz w:val="32"/>
          <w:szCs w:val="32"/>
        </w:rPr>
        <w:t>主要职责</w:t>
      </w:r>
    </w:p>
    <w:p>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1.会同相关部门对全县行政许可、非许可审批和相关服务项目进行清理、审核，上报县人民政府确认；负责梳理审查县级许可、非许可审批事项，确定办理具体内容，编制行政审批项目目录，并向社会公示。</w:t>
      </w:r>
    </w:p>
    <w:p>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2.负责对在中心运行的行政许可、非许可审批事项的办理情况进行协调、监督、通报和考评；对经县人民政府批准，未进中心的行政许可、非许可审批事项的运行情况，会同监察机关进行监督检查。 </w:t>
      </w:r>
    </w:p>
    <w:p>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3.负责全县行政审批制度、工作机制和运行方式的改革等具体工作；组织对现有行政许可、非许可审批项目的办理环节、流程进行精简、优化；依法对涉及两个及两个以上部门的同一行政审批项目联合审批进行组织协调和督办。 </w:t>
      </w:r>
    </w:p>
    <w:p>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4.负责中心的电子政务建设、管理、后勤保障和安全</w:t>
      </w:r>
      <w:r>
        <w:rPr>
          <w:rFonts w:hint="eastAsia" w:ascii="仿宋_GB2312" w:eastAsia="仿宋_GB2312" w:cs="仿宋_GB2312"/>
          <w:color w:val="000000"/>
          <w:sz w:val="32"/>
          <w:szCs w:val="32"/>
          <w:lang w:eastAsia="zh-CN"/>
        </w:rPr>
        <w:t>。</w:t>
      </w:r>
    </w:p>
    <w:p>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制定中心的各项规章制度、管理办法，并组织实施；负责服务窗口工作人员工作状况管理考核等具体工作；负责协调相关部门设立服务窗口，办理许可、非许可审批项目，以及派驻中心工作人员的管理与服务工作；负责受理办事企业和群众对服务窗口工作的投诉。 </w:t>
      </w:r>
    </w:p>
    <w:p>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6.负责对分中心和乡镇便民服务中心经进行业务指导和监督。 </w:t>
      </w:r>
    </w:p>
    <w:p>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b w:val="0"/>
          <w:bCs w:val="0"/>
        </w:rPr>
      </w:pPr>
      <w:r>
        <w:rPr>
          <w:rFonts w:hint="eastAsia" w:ascii="仿宋_GB2312" w:eastAsia="仿宋_GB2312" w:cs="仿宋_GB2312"/>
          <w:color w:val="000000"/>
          <w:sz w:val="32"/>
          <w:szCs w:val="32"/>
        </w:rPr>
        <w:t>7.承办县委、县政府交办的其他工作。</w:t>
      </w:r>
    </w:p>
    <w:p>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茂县行政审批局</w:t>
      </w:r>
      <w:r>
        <w:rPr>
          <w:rFonts w:hint="eastAsia" w:ascii="仿宋_GB2312" w:eastAsia="仿宋_GB2312" w:cs="仿宋_GB2312"/>
          <w:b w:val="0"/>
          <w:bCs w:val="0"/>
          <w:color w:val="000000"/>
          <w:sz w:val="32"/>
          <w:szCs w:val="32"/>
          <w:lang w:eastAsia="zh-CN"/>
        </w:rPr>
        <w:t>是一级决算单位，</w:t>
      </w:r>
      <w:r>
        <w:rPr>
          <w:rFonts w:hint="eastAsia" w:ascii="仿宋_GB2312" w:eastAsia="仿宋_GB2312" w:cs="仿宋_GB2312"/>
          <w:b w:val="0"/>
          <w:bCs w:val="0"/>
          <w:color w:val="000000"/>
          <w:sz w:val="32"/>
          <w:szCs w:val="32"/>
        </w:rPr>
        <w:t>下属二级单位1个，其中行政单位0个，参照公务员法管理的事业单位0个，其他事业单位1个。 纳入茂县行政审批局2020年度部门决算编制范围的二级预算单位包括：茂县政务服务和公共资源交易中心。</w:t>
      </w:r>
    </w:p>
    <w:p>
      <w:pPr>
        <w:pStyle w:val="10"/>
        <w:rPr>
          <w:rFonts w:hint="eastAsia"/>
          <w:lang w:val="en-US" w:eastAsia="zh-CN"/>
        </w:rPr>
      </w:pPr>
    </w:p>
    <w:p>
      <w:pPr>
        <w:numPr>
          <w:ilvl w:val="0"/>
          <w:numId w:val="0"/>
        </w:numPr>
        <w:ind w:leftChars="0"/>
        <w:rPr>
          <w:rFonts w:hint="eastAsia"/>
        </w:rPr>
      </w:pP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2023年度</w:t>
      </w:r>
      <w:r>
        <w:rPr>
          <w:rStyle w:val="17"/>
          <w:rFonts w:hint="eastAsia" w:ascii="黑体" w:hAnsi="宋体" w:eastAsia="黑体" w:cs="黑体"/>
          <w:b w:val="0"/>
          <w:bCs/>
          <w:kern w:val="44"/>
          <w:sz w:val="44"/>
          <w:szCs w:val="44"/>
        </w:rPr>
        <w:t>单位决算情况说明</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20"/>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9"/>
          <w:rFonts w:hint="eastAsia" w:ascii="黑体" w:hAnsi="宋体" w:eastAsia="黑体" w:cs="黑体"/>
          <w:b w:val="0"/>
          <w:bCs/>
          <w:sz w:val="32"/>
          <w:szCs w:val="32"/>
        </w:rPr>
        <w:t>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2023年度收、支总计均为</w:t>
      </w:r>
      <w:r>
        <w:rPr>
          <w:rFonts w:hint="eastAsia" w:ascii="仿宋" w:hAnsi="仿宋" w:eastAsia="仿宋" w:cs="Times New Roman"/>
          <w:kern w:val="2"/>
          <w:sz w:val="32"/>
          <w:szCs w:val="32"/>
          <w:lang w:val="en-US" w:eastAsia="zh-CN" w:bidi="ar"/>
        </w:rPr>
        <w:t>357.65</w:t>
      </w:r>
      <w:r>
        <w:rPr>
          <w:rFonts w:hint="eastAsia" w:ascii="仿宋" w:hAnsi="仿宋" w:eastAsia="仿宋" w:cs="仿宋"/>
          <w:kern w:val="2"/>
          <w:sz w:val="32"/>
          <w:szCs w:val="32"/>
          <w:lang w:val="en-US" w:eastAsia="zh-CN" w:bidi="ar"/>
        </w:rPr>
        <w:t>万元。与2022年度相比，收、支总计各增加</w:t>
      </w:r>
      <w:r>
        <w:rPr>
          <w:rFonts w:hint="eastAsia" w:ascii="仿宋" w:hAnsi="仿宋" w:eastAsia="仿宋" w:cs="Times New Roman"/>
          <w:kern w:val="2"/>
          <w:sz w:val="32"/>
          <w:szCs w:val="32"/>
          <w:lang w:val="en-US" w:eastAsia="zh-CN" w:bidi="ar"/>
        </w:rPr>
        <w:t>15.91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4.66%</w:t>
      </w:r>
      <w:r>
        <w:rPr>
          <w:rFonts w:hint="eastAsia" w:ascii="仿宋" w:hAnsi="仿宋" w:eastAsia="仿宋" w:cs="仿宋"/>
          <w:kern w:val="2"/>
          <w:sz w:val="32"/>
          <w:szCs w:val="32"/>
          <w:lang w:val="en-US" w:eastAsia="zh-CN" w:bidi="ar"/>
        </w:rPr>
        <w:t>。主要变动原因是2023年工资福利的增加。</w:t>
      </w:r>
    </w:p>
    <w:p>
      <w:pPr>
        <w:pStyle w:val="10"/>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9"/>
          <w:rFonts w:hint="eastAsia" w:ascii="黑体" w:hAnsi="宋体" w:eastAsia="黑体" w:cs="黑体"/>
          <w:b w:val="0"/>
          <w:bCs/>
          <w:sz w:val="32"/>
          <w:szCs w:val="32"/>
        </w:rPr>
        <w:t>入决算情况说明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2023年度本年收入合计</w:t>
      </w:r>
      <w:r>
        <w:rPr>
          <w:rFonts w:hint="eastAsia" w:ascii="仿宋" w:hAnsi="仿宋" w:eastAsia="仿宋" w:cs="Times New Roman"/>
          <w:kern w:val="2"/>
          <w:sz w:val="32"/>
          <w:szCs w:val="32"/>
          <w:lang w:val="en-US" w:eastAsia="zh-CN" w:bidi="ar"/>
        </w:rPr>
        <w:t>357.65</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357.65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9"/>
          <w:rFonts w:hint="eastAsia" w:ascii="黑体" w:hAnsi="宋体" w:eastAsia="黑体" w:cs="黑体"/>
          <w:b w:val="0"/>
          <w:bCs/>
          <w:sz w:val="32"/>
          <w:szCs w:val="32"/>
        </w:rPr>
        <w:t>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2023年度本年支出合计</w:t>
      </w:r>
      <w:r>
        <w:rPr>
          <w:rFonts w:hint="eastAsia" w:ascii="仿宋" w:hAnsi="仿宋" w:eastAsia="仿宋" w:cs="Times New Roman"/>
          <w:kern w:val="2"/>
          <w:sz w:val="32"/>
          <w:szCs w:val="32"/>
          <w:lang w:val="en-US" w:eastAsia="zh-CN" w:bidi="ar"/>
        </w:rPr>
        <w:t>357.65</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357.65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w:t>
      </w:r>
    </w:p>
    <w:p>
      <w:pPr>
        <w:pStyle w:val="10"/>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9"/>
          <w:rFonts w:hint="eastAsia" w:ascii="黑体" w:hAnsi="宋体" w:eastAsia="黑体" w:cs="黑体"/>
          <w:b w:val="0"/>
          <w:bCs/>
          <w:kern w:val="2"/>
          <w:sz w:val="32"/>
          <w:szCs w:val="32"/>
          <w:lang w:val="en-US" w:eastAsia="zh-CN" w:bidi="ar"/>
        </w:rPr>
        <w:t>政拨款收入支出决算总体情况说明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2023年度财政拨款收、支总计均为</w:t>
      </w:r>
      <w:r>
        <w:rPr>
          <w:rFonts w:hint="eastAsia" w:ascii="仿宋" w:hAnsi="仿宋" w:eastAsia="仿宋" w:cs="Times New Roman"/>
          <w:kern w:val="2"/>
          <w:sz w:val="32"/>
          <w:szCs w:val="32"/>
          <w:lang w:val="en-US" w:eastAsia="zh-CN" w:bidi="ar"/>
        </w:rPr>
        <w:t>357.65</w:t>
      </w:r>
      <w:r>
        <w:rPr>
          <w:rFonts w:hint="eastAsia" w:ascii="仿宋" w:hAnsi="仿宋" w:eastAsia="仿宋" w:cs="仿宋"/>
          <w:kern w:val="2"/>
          <w:sz w:val="32"/>
          <w:szCs w:val="32"/>
          <w:lang w:val="en-US" w:eastAsia="zh-CN" w:bidi="ar"/>
        </w:rPr>
        <w:t>万元。与2022年度相比，财政拨款收、支总计各增加</w:t>
      </w:r>
      <w:r>
        <w:rPr>
          <w:rFonts w:hint="eastAsia" w:ascii="仿宋" w:hAnsi="仿宋" w:eastAsia="仿宋" w:cs="Times New Roman"/>
          <w:kern w:val="2"/>
          <w:sz w:val="32"/>
          <w:szCs w:val="32"/>
          <w:lang w:val="en-US" w:eastAsia="zh-CN" w:bidi="ar"/>
        </w:rPr>
        <w:t>15.91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4.66%</w:t>
      </w:r>
      <w:r>
        <w:rPr>
          <w:rFonts w:hint="eastAsia" w:ascii="仿宋" w:hAnsi="仿宋" w:eastAsia="仿宋" w:cs="仿宋"/>
          <w:kern w:val="2"/>
          <w:sz w:val="32"/>
          <w:szCs w:val="32"/>
          <w:lang w:val="en-US" w:eastAsia="zh-CN" w:bidi="ar"/>
        </w:rPr>
        <w:t>。主要变动原因是工资福利的增加。</w:t>
      </w:r>
    </w:p>
    <w:p>
      <w:pPr>
        <w:pStyle w:val="10"/>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pPr>
        <w:pStyle w:val="10"/>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357.65</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。与2022年度相比，一般公共预算财政拨款支出增加</w:t>
      </w:r>
      <w:r>
        <w:rPr>
          <w:rFonts w:hint="eastAsia" w:ascii="仿宋" w:hAnsi="仿宋" w:eastAsia="仿宋" w:cs="Times New Roman"/>
          <w:kern w:val="2"/>
          <w:sz w:val="32"/>
          <w:szCs w:val="32"/>
          <w:lang w:val="en-US" w:eastAsia="zh-CN" w:bidi="ar"/>
        </w:rPr>
        <w:t>15.91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4.66%</w:t>
      </w:r>
      <w:r>
        <w:rPr>
          <w:rFonts w:hint="eastAsia" w:ascii="仿宋" w:hAnsi="仿宋" w:eastAsia="仿宋" w:cs="仿宋"/>
          <w:kern w:val="2"/>
          <w:sz w:val="32"/>
          <w:szCs w:val="32"/>
          <w:lang w:val="en-US" w:eastAsia="zh-CN" w:bidi="ar"/>
        </w:rPr>
        <w:t>。主要变动原因是2023年工资福利的增加。</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2023年度一般公共预算财政拨款支出357.65万元，主要用于以下方面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仿宋"/>
          <w:b w:val="0"/>
          <w:bCs w:val="0"/>
          <w:kern w:val="2"/>
          <w:sz w:val="32"/>
          <w:szCs w:val="32"/>
          <w:lang w:val="en-US" w:eastAsia="zh-CN" w:bidi="ar"/>
        </w:rPr>
        <w:t>268.11</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74.96%</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45.55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12.74%</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21.36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5.97%</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22.63</w:t>
      </w:r>
      <w:r>
        <w:rPr>
          <w:rFonts w:hint="eastAsia" w:ascii="仿宋" w:hAnsi="仿宋" w:eastAsia="仿宋" w:cs="仿宋"/>
          <w:kern w:val="2"/>
          <w:sz w:val="32"/>
          <w:szCs w:val="32"/>
          <w:lang w:val="en-US" w:eastAsia="zh-CN" w:bidi="ar"/>
        </w:rPr>
        <w:t>万元，占6.3</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pt;width:327.85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2023年度一般公共预算支出决算数为</w:t>
      </w:r>
      <w:r>
        <w:rPr>
          <w:rFonts w:hint="eastAsia" w:ascii="仿宋" w:hAnsi="仿宋" w:eastAsia="仿宋" w:cs="Times New Roman"/>
          <w:b/>
          <w:bCs w:val="0"/>
          <w:kern w:val="2"/>
          <w:sz w:val="32"/>
          <w:szCs w:val="32"/>
          <w:lang w:val="en-US" w:eastAsia="zh-CN" w:bidi="ar"/>
        </w:rPr>
        <w:t>357.65万元</w:t>
      </w:r>
      <w:r>
        <w:rPr>
          <w:rFonts w:hint="eastAsia" w:ascii="仿宋" w:hAnsi="仿宋" w:eastAsia="仿宋" w:cs="仿宋"/>
          <w:kern w:val="2"/>
          <w:sz w:val="32"/>
          <w:szCs w:val="32"/>
          <w:lang w:val="en-US" w:eastAsia="zh-CN" w:bidi="ar"/>
        </w:rPr>
        <w:t>，</w:t>
      </w:r>
      <w:r>
        <w:rPr>
          <w:rStyle w:val="18"/>
          <w:rFonts w:hint="eastAsia" w:ascii="仿宋" w:hAnsi="仿宋" w:eastAsia="仿宋" w:cs="仿宋"/>
          <w:b/>
          <w:bCs/>
          <w:kern w:val="2"/>
          <w:sz w:val="32"/>
          <w:szCs w:val="32"/>
          <w:lang w:val="en-US" w:eastAsia="zh-CN" w:bidi="ar"/>
        </w:rPr>
        <w:t>完成预算</w:t>
      </w:r>
      <w:r>
        <w:rPr>
          <w:rStyle w:val="18"/>
          <w:rFonts w:hint="eastAsia" w:ascii="仿宋" w:hAnsi="仿宋" w:eastAsia="仿宋" w:cs="Times New Roman"/>
          <w:b/>
          <w:bCs/>
          <w:kern w:val="2"/>
          <w:sz w:val="32"/>
          <w:szCs w:val="32"/>
          <w:lang w:val="en-US" w:eastAsia="zh-CN" w:bidi="ar"/>
        </w:rPr>
        <w:t>100%</w:t>
      </w:r>
      <w:r>
        <w:rPr>
          <w:rStyle w:val="18"/>
          <w:rFonts w:hint="eastAsia" w:ascii="仿宋" w:hAnsi="仿宋" w:eastAsia="仿宋" w:cs="仿宋"/>
          <w:b/>
          <w:bCs/>
          <w:kern w:val="2"/>
          <w:sz w:val="32"/>
          <w:szCs w:val="32"/>
          <w:lang w:val="en-US" w:eastAsia="zh-CN" w:bidi="ar"/>
        </w:rPr>
        <w:t>。其中：</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1.一般公共服务（201）</w:t>
      </w:r>
      <w:r>
        <w:rPr>
          <w:rStyle w:val="18"/>
          <w:rFonts w:hint="eastAsia" w:ascii="仿宋" w:hAnsi="仿宋" w:eastAsia="仿宋" w:cs="Times New Roman"/>
          <w:b/>
          <w:bCs/>
          <w:kern w:val="2"/>
          <w:sz w:val="32"/>
          <w:szCs w:val="32"/>
          <w:lang w:val="en-US" w:eastAsia="zh-CN" w:bidi="ar"/>
        </w:rPr>
        <w:t>政府办公厅（室）及相关机构事务</w:t>
      </w:r>
      <w:r>
        <w:rPr>
          <w:rStyle w:val="18"/>
          <w:rFonts w:hint="eastAsia" w:ascii="仿宋" w:hAnsi="仿宋" w:eastAsia="仿宋" w:cs="仿宋"/>
          <w:b/>
          <w:bCs/>
          <w:kern w:val="2"/>
          <w:sz w:val="32"/>
          <w:szCs w:val="32"/>
          <w:lang w:val="en-US" w:eastAsia="zh-CN" w:bidi="ar"/>
        </w:rPr>
        <w:t>（20103）</w:t>
      </w:r>
      <w:r>
        <w:rPr>
          <w:rStyle w:val="18"/>
          <w:rFonts w:hint="eastAsia" w:ascii="仿宋" w:hAnsi="仿宋" w:eastAsia="仿宋" w:cs="Times New Roman"/>
          <w:b/>
          <w:bCs/>
          <w:kern w:val="2"/>
          <w:sz w:val="32"/>
          <w:szCs w:val="32"/>
          <w:lang w:val="en-US" w:eastAsia="zh-CN" w:bidi="ar"/>
        </w:rPr>
        <w:t>行政运行</w:t>
      </w:r>
      <w:r>
        <w:rPr>
          <w:rStyle w:val="18"/>
          <w:rFonts w:hint="eastAsia" w:ascii="仿宋" w:hAnsi="仿宋" w:eastAsia="仿宋" w:cs="仿宋"/>
          <w:b/>
          <w:bCs/>
          <w:kern w:val="2"/>
          <w:sz w:val="32"/>
          <w:szCs w:val="32"/>
          <w:lang w:val="en-US" w:eastAsia="zh-CN" w:bidi="ar"/>
        </w:rPr>
        <w:t>（2010301）</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151.96</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2.一般公共服务（201）</w:t>
      </w:r>
      <w:r>
        <w:rPr>
          <w:rStyle w:val="18"/>
          <w:rFonts w:hint="eastAsia" w:ascii="仿宋" w:hAnsi="仿宋" w:eastAsia="仿宋" w:cs="Times New Roman"/>
          <w:b/>
          <w:bCs/>
          <w:kern w:val="2"/>
          <w:sz w:val="32"/>
          <w:szCs w:val="32"/>
          <w:lang w:val="en-US" w:eastAsia="zh-CN" w:bidi="ar"/>
        </w:rPr>
        <w:t>政府办公厅（室）及相关机构事务</w:t>
      </w:r>
      <w:r>
        <w:rPr>
          <w:rStyle w:val="18"/>
          <w:rFonts w:hint="eastAsia" w:ascii="仿宋" w:hAnsi="仿宋" w:eastAsia="仿宋" w:cs="仿宋"/>
          <w:b/>
          <w:bCs/>
          <w:kern w:val="2"/>
          <w:sz w:val="32"/>
          <w:szCs w:val="32"/>
          <w:lang w:val="en-US" w:eastAsia="zh-CN" w:bidi="ar"/>
        </w:rPr>
        <w:t>（20103）</w:t>
      </w:r>
      <w:r>
        <w:rPr>
          <w:rStyle w:val="18"/>
          <w:rFonts w:hint="eastAsia" w:ascii="仿宋" w:hAnsi="仿宋" w:eastAsia="仿宋" w:cs="Times New Roman"/>
          <w:b/>
          <w:bCs/>
          <w:kern w:val="2"/>
          <w:sz w:val="32"/>
          <w:szCs w:val="32"/>
          <w:lang w:val="en-US" w:eastAsia="zh-CN" w:bidi="ar"/>
        </w:rPr>
        <w:t>事业运行</w:t>
      </w:r>
      <w:r>
        <w:rPr>
          <w:rStyle w:val="18"/>
          <w:rFonts w:hint="eastAsia" w:ascii="仿宋" w:hAnsi="仿宋" w:eastAsia="仿宋" w:cs="仿宋"/>
          <w:b/>
          <w:bCs/>
          <w:kern w:val="2"/>
          <w:sz w:val="32"/>
          <w:szCs w:val="32"/>
          <w:lang w:val="en-US" w:eastAsia="zh-CN" w:bidi="ar"/>
        </w:rPr>
        <w:t>（2010350）</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109.36</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lang w:val="en-US" w:eastAsia="zh-CN"/>
        </w:rPr>
      </w:pPr>
      <w:r>
        <w:rPr>
          <w:rStyle w:val="18"/>
          <w:rFonts w:hint="eastAsia" w:ascii="仿宋" w:hAnsi="仿宋" w:eastAsia="仿宋" w:cs="仿宋"/>
          <w:b/>
          <w:bCs/>
          <w:kern w:val="2"/>
          <w:sz w:val="32"/>
          <w:szCs w:val="32"/>
          <w:lang w:val="en-US" w:eastAsia="zh-CN" w:bidi="ar"/>
        </w:rPr>
        <w:t>3.一般公共服务（201）</w:t>
      </w:r>
      <w:r>
        <w:rPr>
          <w:rStyle w:val="18"/>
          <w:rFonts w:hint="eastAsia" w:ascii="仿宋" w:hAnsi="仿宋" w:eastAsia="仿宋" w:cs="Times New Roman"/>
          <w:b/>
          <w:bCs/>
          <w:kern w:val="2"/>
          <w:sz w:val="32"/>
          <w:szCs w:val="32"/>
          <w:lang w:val="en-US" w:eastAsia="zh-CN" w:bidi="ar"/>
        </w:rPr>
        <w:t>政府办公厅（室）及相关机构事务</w:t>
      </w:r>
      <w:r>
        <w:rPr>
          <w:rStyle w:val="18"/>
          <w:rFonts w:hint="eastAsia" w:ascii="仿宋" w:hAnsi="仿宋" w:eastAsia="仿宋" w:cs="仿宋"/>
          <w:b/>
          <w:bCs/>
          <w:kern w:val="2"/>
          <w:sz w:val="32"/>
          <w:szCs w:val="32"/>
          <w:lang w:val="en-US" w:eastAsia="zh-CN" w:bidi="ar"/>
        </w:rPr>
        <w:t>（20103）</w:t>
      </w:r>
      <w:r>
        <w:rPr>
          <w:rStyle w:val="18"/>
          <w:rFonts w:hint="eastAsia" w:ascii="仿宋" w:hAnsi="仿宋" w:eastAsia="仿宋" w:cs="Times New Roman"/>
          <w:b/>
          <w:bCs/>
          <w:kern w:val="2"/>
          <w:sz w:val="32"/>
          <w:szCs w:val="32"/>
          <w:lang w:val="en-US" w:eastAsia="zh-CN" w:bidi="ar"/>
        </w:rPr>
        <w:t>其他政府办公厅（室）及相关机构事务支出</w:t>
      </w:r>
      <w:r>
        <w:rPr>
          <w:rStyle w:val="18"/>
          <w:rFonts w:hint="eastAsia" w:ascii="仿宋" w:hAnsi="仿宋" w:eastAsia="仿宋" w:cs="仿宋"/>
          <w:b/>
          <w:bCs/>
          <w:kern w:val="2"/>
          <w:sz w:val="32"/>
          <w:szCs w:val="32"/>
          <w:lang w:val="en-US" w:eastAsia="zh-CN" w:bidi="ar"/>
        </w:rPr>
        <w:t>（2010399）</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6.79</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Times New Roman"/>
          <w:b/>
          <w:bCs/>
          <w:kern w:val="2"/>
          <w:sz w:val="32"/>
          <w:szCs w:val="32"/>
          <w:lang w:val="en-US" w:eastAsia="zh-CN" w:bidi="ar"/>
        </w:rPr>
        <w:t>4.</w:t>
      </w:r>
      <w:r>
        <w:rPr>
          <w:rStyle w:val="18"/>
          <w:rFonts w:hint="eastAsia" w:ascii="仿宋" w:hAnsi="仿宋" w:eastAsia="仿宋" w:cs="仿宋"/>
          <w:b/>
          <w:bCs/>
          <w:kern w:val="2"/>
          <w:sz w:val="32"/>
          <w:szCs w:val="32"/>
          <w:lang w:val="en-US" w:eastAsia="zh-CN" w:bidi="ar"/>
        </w:rPr>
        <w:t>社会保障和就业（208）</w:t>
      </w:r>
      <w:r>
        <w:rPr>
          <w:rStyle w:val="18"/>
          <w:rFonts w:hint="eastAsia" w:ascii="仿宋" w:hAnsi="仿宋" w:eastAsia="仿宋" w:cs="Times New Roman"/>
          <w:b/>
          <w:bCs/>
          <w:kern w:val="2"/>
          <w:sz w:val="32"/>
          <w:szCs w:val="32"/>
          <w:lang w:val="en-US" w:eastAsia="zh-CN" w:bidi="ar"/>
        </w:rPr>
        <w:t>行政事业单位养老支出</w:t>
      </w:r>
      <w:r>
        <w:rPr>
          <w:rStyle w:val="18"/>
          <w:rFonts w:hint="eastAsia" w:ascii="仿宋" w:hAnsi="仿宋" w:eastAsia="仿宋" w:cs="仿宋"/>
          <w:b/>
          <w:bCs/>
          <w:kern w:val="2"/>
          <w:sz w:val="32"/>
          <w:szCs w:val="32"/>
          <w:lang w:val="en-US" w:eastAsia="zh-CN" w:bidi="ar"/>
        </w:rPr>
        <w:t>（20805）</w:t>
      </w:r>
      <w:r>
        <w:rPr>
          <w:rStyle w:val="18"/>
          <w:rFonts w:hint="eastAsia" w:ascii="仿宋" w:hAnsi="仿宋" w:eastAsia="仿宋" w:cs="Times New Roman"/>
          <w:b/>
          <w:bCs/>
          <w:kern w:val="2"/>
          <w:sz w:val="32"/>
          <w:szCs w:val="32"/>
          <w:lang w:val="en-US" w:eastAsia="zh-CN" w:bidi="ar"/>
        </w:rPr>
        <w:t>机关事业单位基本养老保险缴费支出</w:t>
      </w:r>
      <w:r>
        <w:rPr>
          <w:rStyle w:val="18"/>
          <w:rFonts w:hint="eastAsia" w:ascii="仿宋" w:hAnsi="仿宋" w:eastAsia="仿宋" w:cs="仿宋"/>
          <w:b/>
          <w:bCs/>
          <w:kern w:val="2"/>
          <w:sz w:val="32"/>
          <w:szCs w:val="32"/>
          <w:lang w:val="en-US" w:eastAsia="zh-CN" w:bidi="ar"/>
        </w:rPr>
        <w:t>（2080505）</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30.75</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Style w:val="18"/>
          <w:rFonts w:hint="eastAsia" w:ascii="仿宋" w:hAnsi="仿宋" w:eastAsia="仿宋" w:cs="仿宋"/>
          <w:b/>
          <w:bCs/>
          <w:kern w:val="2"/>
          <w:sz w:val="32"/>
          <w:szCs w:val="32"/>
          <w:lang w:val="en-US" w:eastAsia="zh-CN" w:bidi="ar"/>
        </w:rPr>
        <w:t>5.社会保障和就业（208）</w:t>
      </w:r>
      <w:r>
        <w:rPr>
          <w:rStyle w:val="18"/>
          <w:rFonts w:hint="eastAsia" w:ascii="仿宋" w:hAnsi="仿宋" w:eastAsia="仿宋" w:cs="Times New Roman"/>
          <w:b/>
          <w:bCs/>
          <w:kern w:val="2"/>
          <w:sz w:val="32"/>
          <w:szCs w:val="32"/>
          <w:lang w:val="en-US" w:eastAsia="zh-CN" w:bidi="ar"/>
        </w:rPr>
        <w:t>行政事业单位养老支出</w:t>
      </w:r>
      <w:r>
        <w:rPr>
          <w:rStyle w:val="18"/>
          <w:rFonts w:hint="eastAsia" w:ascii="仿宋" w:hAnsi="仿宋" w:eastAsia="仿宋" w:cs="仿宋"/>
          <w:b/>
          <w:bCs/>
          <w:kern w:val="2"/>
          <w:sz w:val="32"/>
          <w:szCs w:val="32"/>
          <w:lang w:val="en-US" w:eastAsia="zh-CN" w:bidi="ar"/>
        </w:rPr>
        <w:t>（20805）</w:t>
      </w:r>
      <w:r>
        <w:rPr>
          <w:rStyle w:val="18"/>
          <w:rFonts w:hint="eastAsia" w:ascii="仿宋" w:hAnsi="仿宋" w:eastAsia="仿宋" w:cs="Times New Roman"/>
          <w:b/>
          <w:bCs/>
          <w:kern w:val="2"/>
          <w:sz w:val="32"/>
          <w:szCs w:val="32"/>
          <w:lang w:val="en-US" w:eastAsia="zh-CN" w:bidi="ar"/>
        </w:rPr>
        <w:t>机关事业单位职业年金缴费支出</w:t>
      </w:r>
      <w:r>
        <w:rPr>
          <w:rStyle w:val="18"/>
          <w:rFonts w:hint="eastAsia" w:ascii="仿宋" w:hAnsi="仿宋" w:eastAsia="仿宋" w:cs="仿宋"/>
          <w:b/>
          <w:bCs/>
          <w:kern w:val="2"/>
          <w:sz w:val="32"/>
          <w:szCs w:val="32"/>
          <w:lang w:val="en-US" w:eastAsia="zh-CN" w:bidi="ar"/>
        </w:rPr>
        <w:t>（2080506）</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14.8</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Times New Roman"/>
          <w:b/>
          <w:bCs/>
          <w:kern w:val="2"/>
          <w:sz w:val="32"/>
          <w:szCs w:val="32"/>
          <w:lang w:val="en-US" w:eastAsia="zh-CN" w:bidi="ar"/>
        </w:rPr>
        <w:t>6.</w:t>
      </w:r>
      <w:r>
        <w:rPr>
          <w:rFonts w:hint="eastAsia" w:ascii="仿宋" w:hAnsi="仿宋" w:eastAsia="仿宋" w:cs="仿宋"/>
          <w:b/>
          <w:bCs/>
          <w:kern w:val="2"/>
          <w:sz w:val="32"/>
          <w:szCs w:val="32"/>
          <w:lang w:val="en-US" w:eastAsia="zh-CN" w:bidi="ar"/>
        </w:rPr>
        <w:t>卫生健康</w:t>
      </w:r>
      <w:r>
        <w:rPr>
          <w:rStyle w:val="18"/>
          <w:rFonts w:hint="eastAsia" w:ascii="仿宋" w:hAnsi="仿宋" w:eastAsia="仿宋" w:cs="仿宋"/>
          <w:b/>
          <w:bCs/>
          <w:kern w:val="2"/>
          <w:sz w:val="32"/>
          <w:szCs w:val="32"/>
          <w:lang w:val="en-US" w:eastAsia="zh-CN" w:bidi="ar"/>
        </w:rPr>
        <w:t>（210）</w:t>
      </w:r>
      <w:r>
        <w:rPr>
          <w:rStyle w:val="18"/>
          <w:rFonts w:hint="eastAsia" w:ascii="仿宋" w:hAnsi="仿宋" w:eastAsia="仿宋" w:cs="Times New Roman"/>
          <w:b/>
          <w:bCs/>
          <w:kern w:val="2"/>
          <w:sz w:val="32"/>
          <w:szCs w:val="32"/>
          <w:lang w:val="en-US" w:eastAsia="zh-CN" w:bidi="ar"/>
        </w:rPr>
        <w:t>行政事业单位医疗</w:t>
      </w:r>
      <w:r>
        <w:rPr>
          <w:rStyle w:val="18"/>
          <w:rFonts w:hint="eastAsia" w:ascii="仿宋" w:hAnsi="仿宋" w:eastAsia="仿宋" w:cs="仿宋"/>
          <w:b/>
          <w:bCs/>
          <w:kern w:val="2"/>
          <w:sz w:val="32"/>
          <w:szCs w:val="32"/>
          <w:lang w:val="en-US" w:eastAsia="zh-CN" w:bidi="ar"/>
        </w:rPr>
        <w:t>（21011）</w:t>
      </w:r>
      <w:r>
        <w:rPr>
          <w:rStyle w:val="18"/>
          <w:rFonts w:hint="eastAsia" w:ascii="仿宋" w:hAnsi="仿宋" w:eastAsia="仿宋" w:cs="Times New Roman"/>
          <w:b/>
          <w:bCs/>
          <w:kern w:val="2"/>
          <w:sz w:val="32"/>
          <w:szCs w:val="32"/>
          <w:lang w:val="en-US" w:eastAsia="zh-CN" w:bidi="ar"/>
        </w:rPr>
        <w:t>行政单位医疗</w:t>
      </w:r>
      <w:r>
        <w:rPr>
          <w:rStyle w:val="18"/>
          <w:rFonts w:hint="eastAsia" w:ascii="仿宋" w:hAnsi="仿宋" w:eastAsia="仿宋" w:cs="仿宋"/>
          <w:b/>
          <w:bCs/>
          <w:kern w:val="2"/>
          <w:sz w:val="32"/>
          <w:szCs w:val="32"/>
          <w:lang w:val="en-US" w:eastAsia="zh-CN" w:bidi="ar"/>
        </w:rPr>
        <w:t>（2101101）</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10.59</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Fonts w:hint="eastAsia" w:ascii="仿宋" w:hAnsi="仿宋" w:eastAsia="仿宋" w:cs="仿宋"/>
          <w:b/>
          <w:bCs/>
          <w:kern w:val="2"/>
          <w:sz w:val="32"/>
          <w:szCs w:val="32"/>
          <w:lang w:val="en-US" w:eastAsia="zh-CN" w:bidi="ar"/>
        </w:rPr>
        <w:t>7.卫生健康</w:t>
      </w:r>
      <w:r>
        <w:rPr>
          <w:rStyle w:val="18"/>
          <w:rFonts w:hint="eastAsia" w:ascii="仿宋" w:hAnsi="仿宋" w:eastAsia="仿宋" w:cs="仿宋"/>
          <w:b/>
          <w:bCs/>
          <w:kern w:val="2"/>
          <w:sz w:val="32"/>
          <w:szCs w:val="32"/>
          <w:lang w:val="en-US" w:eastAsia="zh-CN" w:bidi="ar"/>
        </w:rPr>
        <w:t>（210）</w:t>
      </w:r>
      <w:r>
        <w:rPr>
          <w:rStyle w:val="18"/>
          <w:rFonts w:hint="eastAsia" w:ascii="仿宋" w:hAnsi="仿宋" w:eastAsia="仿宋" w:cs="Times New Roman"/>
          <w:b/>
          <w:bCs/>
          <w:kern w:val="2"/>
          <w:sz w:val="32"/>
          <w:szCs w:val="32"/>
          <w:lang w:val="en-US" w:eastAsia="zh-CN" w:bidi="ar"/>
        </w:rPr>
        <w:t>行政事业单位医疗</w:t>
      </w:r>
      <w:r>
        <w:rPr>
          <w:rStyle w:val="18"/>
          <w:rFonts w:hint="eastAsia" w:ascii="仿宋" w:hAnsi="仿宋" w:eastAsia="仿宋" w:cs="仿宋"/>
          <w:b/>
          <w:bCs/>
          <w:kern w:val="2"/>
          <w:sz w:val="32"/>
          <w:szCs w:val="32"/>
          <w:lang w:val="en-US" w:eastAsia="zh-CN" w:bidi="ar"/>
        </w:rPr>
        <w:t>（21011）事业</w:t>
      </w:r>
      <w:r>
        <w:rPr>
          <w:rStyle w:val="18"/>
          <w:rFonts w:hint="eastAsia" w:ascii="仿宋" w:hAnsi="仿宋" w:eastAsia="仿宋" w:cs="Times New Roman"/>
          <w:b/>
          <w:bCs/>
          <w:kern w:val="2"/>
          <w:sz w:val="32"/>
          <w:szCs w:val="32"/>
          <w:lang w:val="en-US" w:eastAsia="zh-CN" w:bidi="ar"/>
        </w:rPr>
        <w:t>单位医疗</w:t>
      </w:r>
      <w:r>
        <w:rPr>
          <w:rStyle w:val="18"/>
          <w:rFonts w:hint="eastAsia" w:ascii="仿宋" w:hAnsi="仿宋" w:eastAsia="仿宋" w:cs="仿宋"/>
          <w:b/>
          <w:bCs/>
          <w:kern w:val="2"/>
          <w:sz w:val="32"/>
          <w:szCs w:val="32"/>
          <w:lang w:val="en-US" w:eastAsia="zh-CN" w:bidi="ar"/>
        </w:rPr>
        <w:t>（2101102）</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10.77</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p>
    <w:p>
      <w:pPr>
        <w:spacing w:line="600" w:lineRule="exact"/>
        <w:ind w:firstLine="643" w:firstLineChars="200"/>
        <w:rPr>
          <w:rFonts w:hint="eastAsia" w:ascii="仿宋_GB2312" w:eastAsia="仿宋_GB2312"/>
          <w:color w:val="000000"/>
          <w:sz w:val="32"/>
          <w:szCs w:val="32"/>
        </w:rPr>
      </w:pPr>
      <w:r>
        <w:rPr>
          <w:rFonts w:hint="eastAsia" w:ascii="仿宋" w:hAnsi="仿宋" w:eastAsia="仿宋" w:cs="仿宋"/>
          <w:b/>
          <w:bCs/>
          <w:kern w:val="2"/>
          <w:sz w:val="32"/>
          <w:szCs w:val="32"/>
          <w:lang w:val="en-US" w:eastAsia="zh-CN" w:bidi="ar"/>
        </w:rPr>
        <w:t>8.住房保障支出（221）住房改革支出（22102）住房公积金（2210201）：</w:t>
      </w:r>
      <w:r>
        <w:rPr>
          <w:rStyle w:val="18"/>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22.63</w:t>
      </w:r>
      <w:r>
        <w:rPr>
          <w:rFonts w:hint="eastAsia" w:ascii="仿宋_GB2312" w:eastAsia="仿宋_GB2312"/>
          <w:color w:val="000000"/>
          <w:sz w:val="32"/>
          <w:szCs w:val="32"/>
        </w:rPr>
        <w:t>万元，完成预算的100%。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般公共预算财政拨款基本支出决算情况说明</w:t>
      </w:r>
      <w:r>
        <w:rPr>
          <w:rStyle w:val="19"/>
          <w:rFonts w:hint="eastAsia" w:ascii="黑体" w:hAnsi="宋体" w:eastAsia="黑体" w:cs="Times New Roman"/>
          <w:b w:val="0"/>
          <w:bCs/>
          <w:kern w:val="2"/>
          <w:sz w:val="32"/>
          <w:szCs w:val="32"/>
          <w:lang w:val="en-US" w:eastAsia="zh-CN" w:bidi="ar"/>
        </w:rPr>
        <w:tab/>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2023年度一般公共预算财政拨款基本支出</w:t>
      </w:r>
      <w:r>
        <w:rPr>
          <w:rFonts w:hint="eastAsia" w:ascii="仿宋" w:hAnsi="仿宋" w:eastAsia="仿宋" w:cs="Times New Roman"/>
          <w:kern w:val="2"/>
          <w:sz w:val="32"/>
          <w:szCs w:val="32"/>
          <w:lang w:val="en-US" w:eastAsia="zh-CN" w:bidi="ar"/>
        </w:rPr>
        <w:t>357.65</w:t>
      </w:r>
      <w:r>
        <w:rPr>
          <w:rFonts w:hint="eastAsia" w:ascii="仿宋" w:hAnsi="仿宋" w:eastAsia="仿宋" w:cs="仿宋"/>
          <w:kern w:val="2"/>
          <w:sz w:val="32"/>
          <w:szCs w:val="32"/>
          <w:lang w:val="en-US" w:eastAsia="zh-CN" w:bidi="ar"/>
        </w:rPr>
        <w:t>万元，其中：</w:t>
      </w:r>
    </w:p>
    <w:p>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312.95</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44.70</w:t>
      </w:r>
      <w:r>
        <w:rPr>
          <w:rFonts w:hint="eastAsia" w:ascii="仿宋" w:hAnsi="仿宋" w:eastAsia="仿宋"/>
          <w:color w:val="000000"/>
          <w:sz w:val="32"/>
          <w:szCs w:val="32"/>
        </w:rPr>
        <w:t>万元，主要包括：办公费、邮电费、差旅费、培训费、</w:t>
      </w:r>
      <w:r>
        <w:rPr>
          <w:rFonts w:hint="eastAsia" w:ascii="仿宋" w:hAnsi="仿宋" w:eastAsia="仿宋"/>
          <w:color w:val="000000"/>
          <w:sz w:val="32"/>
          <w:szCs w:val="32"/>
          <w:lang w:eastAsia="zh-CN"/>
        </w:rPr>
        <w:t>其他交通费</w:t>
      </w:r>
      <w:r>
        <w:rPr>
          <w:rFonts w:hint="eastAsia" w:ascii="仿宋" w:hAnsi="仿宋" w:eastAsia="仿宋"/>
          <w:color w:val="000000"/>
          <w:sz w:val="32"/>
          <w:szCs w:val="32"/>
        </w:rPr>
        <w:t>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9"/>
          <w:rFonts w:hint="eastAsia" w:ascii="黑体" w:hAnsi="宋体" w:eastAsia="黑体" w:cs="黑体"/>
          <w:b w:val="0"/>
          <w:bCs/>
          <w:kern w:val="2"/>
          <w:sz w:val="32"/>
          <w:szCs w:val="32"/>
          <w:lang w:val="en-US" w:eastAsia="zh-CN" w:bidi="ar"/>
        </w:rPr>
        <w:t>财政拨款</w:t>
      </w:r>
      <w:r>
        <w:rPr>
          <w:rStyle w:val="19"/>
          <w:rFonts w:hint="eastAsia" w:ascii="黑体" w:hAnsi="宋体" w:eastAsia="黑体" w:cs="黑体"/>
          <w:b/>
          <w:bCs/>
          <w:kern w:val="2"/>
          <w:sz w:val="32"/>
          <w:szCs w:val="32"/>
          <w:lang w:val="en-US" w:eastAsia="zh-CN" w:bidi="ar"/>
        </w:rPr>
        <w:t>“</w:t>
      </w:r>
      <w:r>
        <w:rPr>
          <w:rStyle w:val="19"/>
          <w:rFonts w:hint="eastAsia" w:ascii="黑体" w:hAnsi="宋体" w:eastAsia="黑体" w:cs="黑体"/>
          <w:b w:val="0"/>
          <w:bCs/>
          <w:kern w:val="2"/>
          <w:sz w:val="32"/>
          <w:szCs w:val="32"/>
          <w:lang w:val="en-US" w:eastAsia="zh-CN" w:bidi="ar"/>
        </w:rPr>
        <w:t>三公”经费支出决算情况说明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（一）“三公”经费财政拨款支出决算总体情况说明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2023年度“三公”经费财政拨款支出决算为</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万元，完成预算</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，较上年度减少0.73万元，减少100%。主要原因是2023年未产生公务接待费。</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（二）“三公”经费财政拨款支出决算具体情况说明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2023年度“三公”经费财政拨款支出决算中，因公出国（境）费支出决算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；公务用车购置费支出决算0万元，占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；公务用车运行维护费支出决算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；公务接待费支出决算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。具体情况如下：</w:t>
      </w:r>
    </w:p>
    <w:p>
      <w:pPr>
        <w:pStyle w:val="1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en-US" w:eastAsia="zh-CN" w:bidi="ar"/>
        </w:rPr>
        <w:drawing>
          <wp:inline distT="0" distB="0" distL="114300" distR="114300">
            <wp:extent cx="3537585" cy="2933700"/>
            <wp:effectExtent l="5080" t="4445" r="1968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default" w:ascii="仿宋_GB2312" w:hAnsi="Calibri" w:eastAsia="仿宋_GB2312" w:cs="Times New Roman"/>
          <w:kern w:val="2"/>
          <w:sz w:val="32"/>
          <w:szCs w:val="32"/>
          <w:lang w:val="en-US"/>
        </w:rPr>
      </w:pPr>
      <w:r>
        <w:rPr>
          <w:rFonts w:hint="eastAsia" w:ascii="仿宋_GB2312" w:hAnsi="Calibri" w:eastAsia="仿宋_GB2312" w:cs="Times New Roman"/>
          <w:b/>
          <w:bCs w:val="0"/>
          <w:kern w:val="2"/>
          <w:sz w:val="32"/>
          <w:szCs w:val="32"/>
          <w:lang w:val="en-US" w:eastAsia="zh-CN" w:bidi="ar"/>
        </w:rPr>
        <w:t>1.</w:t>
      </w:r>
      <w:r>
        <w:rPr>
          <w:rFonts w:hint="eastAsia" w:ascii="仿宋_GB2312" w:hAnsi="Calibri" w:eastAsia="仿宋_GB2312" w:cs="仿宋_GB2312"/>
          <w:b/>
          <w:bCs w:val="0"/>
          <w:kern w:val="2"/>
          <w:sz w:val="32"/>
          <w:szCs w:val="32"/>
          <w:lang w:val="en-US" w:eastAsia="zh-CN" w:bidi="ar"/>
        </w:rPr>
        <w:t>因公出国（境）经费支出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default" w:ascii="仿宋_GB2312" w:hAnsi="Calibri" w:eastAsia="仿宋_GB2312" w:cs="Times New Roman"/>
          <w:b/>
          <w:bCs w:val="0"/>
          <w:kern w:val="2"/>
          <w:sz w:val="32"/>
          <w:szCs w:val="32"/>
          <w:lang w:val="en-US"/>
        </w:rPr>
      </w:pPr>
      <w:r>
        <w:rPr>
          <w:rFonts w:hint="eastAsia" w:ascii="仿宋_GB2312" w:hAnsi="Calibri" w:eastAsia="仿宋_GB2312" w:cs="Times New Roman"/>
          <w:b/>
          <w:bCs w:val="0"/>
          <w:kern w:val="2"/>
          <w:sz w:val="32"/>
          <w:szCs w:val="32"/>
          <w:lang w:val="en-US" w:eastAsia="zh-CN" w:bidi="ar"/>
        </w:rPr>
        <w:t>2.</w:t>
      </w:r>
      <w:r>
        <w:rPr>
          <w:rFonts w:hint="eastAsia" w:ascii="仿宋_GB2312" w:hAnsi="Calibri" w:eastAsia="仿宋_GB2312" w:cs="仿宋_GB2312"/>
          <w:b/>
          <w:bCs w:val="0"/>
          <w:kern w:val="2"/>
          <w:sz w:val="32"/>
          <w:szCs w:val="32"/>
          <w:lang w:val="en-US" w:eastAsia="zh-CN" w:bidi="ar"/>
        </w:rPr>
        <w:t>公务用车购置及运行维护费支出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公务用车购置及运行维护费支出决算比2022年度增加</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万元，增长</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w:t>
      </w:r>
    </w:p>
    <w:p>
      <w:pPr>
        <w:pageBreakBefore w:val="0"/>
        <w:numPr>
          <w:ilvl w:val="0"/>
          <w:numId w:val="0"/>
        </w:numPr>
        <w:kinsoku/>
        <w:wordWrap/>
        <w:overflowPunct/>
        <w:topLinePunct w:val="0"/>
        <w:bidi w:val="0"/>
        <w:spacing w:line="576" w:lineRule="exact"/>
        <w:ind w:firstLine="643" w:firstLineChars="200"/>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b/>
          <w:bCs w:val="0"/>
          <w:kern w:val="2"/>
          <w:sz w:val="32"/>
          <w:szCs w:val="32"/>
          <w:lang w:val="en-US" w:eastAsia="zh-CN" w:bidi="ar"/>
        </w:rPr>
        <w:t>3.</w:t>
      </w:r>
      <w:r>
        <w:rPr>
          <w:rFonts w:hint="eastAsia" w:ascii="仿宋_GB2312" w:hAnsi="Calibri" w:eastAsia="仿宋_GB2312" w:cs="仿宋_GB2312"/>
          <w:b/>
          <w:bCs w:val="0"/>
          <w:kern w:val="2"/>
          <w:sz w:val="32"/>
          <w:szCs w:val="32"/>
          <w:lang w:val="en-US" w:eastAsia="zh-CN" w:bidi="ar"/>
        </w:rPr>
        <w:t>公务接待费支出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公务接待费支出决算比2022年度减少</w:t>
      </w:r>
      <w:r>
        <w:rPr>
          <w:rFonts w:hint="eastAsia" w:ascii="仿宋_GB2312" w:hAnsi="Calibri" w:eastAsia="仿宋_GB2312" w:cs="Times New Roman"/>
          <w:kern w:val="2"/>
          <w:sz w:val="32"/>
          <w:szCs w:val="32"/>
          <w:lang w:val="en-US" w:eastAsia="zh-CN" w:bidi="ar"/>
        </w:rPr>
        <w:t>0.73</w:t>
      </w:r>
      <w:r>
        <w:rPr>
          <w:rFonts w:hint="eastAsia" w:ascii="仿宋_GB2312" w:hAnsi="Calibri" w:eastAsia="仿宋_GB2312" w:cs="仿宋_GB2312"/>
          <w:kern w:val="2"/>
          <w:sz w:val="32"/>
          <w:szCs w:val="32"/>
          <w:lang w:val="en-US" w:eastAsia="zh-CN" w:bidi="ar"/>
        </w:rPr>
        <w:t>万元，下降100</w:t>
      </w:r>
      <w:r>
        <w:rPr>
          <w:rFonts w:hint="eastAsia" w:ascii="仿宋_GB2312" w:hAnsi="Calibri" w:eastAsia="仿宋_GB2312" w:cs="Times New Roman"/>
          <w:kern w:val="2"/>
          <w:sz w:val="32"/>
          <w:szCs w:val="32"/>
          <w:lang w:val="en-US" w:eastAsia="zh-CN" w:bidi="ar"/>
        </w:rPr>
        <w:t>%</w:t>
      </w:r>
      <w:r>
        <w:rPr>
          <w:rFonts w:hint="eastAsia" w:ascii="仿宋_GB2312" w:hAnsi="Calibri" w:eastAsia="仿宋_GB2312" w:cs="仿宋_GB2312"/>
          <w:kern w:val="2"/>
          <w:sz w:val="32"/>
          <w:szCs w:val="32"/>
          <w:lang w:val="en-US" w:eastAsia="zh-CN" w:bidi="ar"/>
        </w:rPr>
        <w:t>。主要原因是</w:t>
      </w:r>
      <w:r>
        <w:rPr>
          <w:rFonts w:hint="eastAsia" w:ascii="仿宋_GB2312" w:eastAsia="仿宋_GB2312"/>
          <w:color w:val="000000"/>
          <w:sz w:val="32"/>
          <w:szCs w:val="32"/>
        </w:rPr>
        <w:t>接待次数的</w:t>
      </w:r>
      <w:r>
        <w:rPr>
          <w:rFonts w:hint="eastAsia" w:ascii="仿宋_GB2312" w:eastAsia="仿宋_GB2312"/>
          <w:color w:val="000000"/>
          <w:sz w:val="32"/>
          <w:szCs w:val="32"/>
          <w:lang w:eastAsia="zh-CN"/>
        </w:rPr>
        <w:t>减少</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黑体" w:hAnsi="Calibri" w:eastAsia="黑体" w:cs="Times New Roman"/>
          <w:kern w:val="2"/>
          <w:sz w:val="32"/>
          <w:szCs w:val="32"/>
        </w:rPr>
      </w:pPr>
      <w:r>
        <w:rPr>
          <w:rFonts w:hint="eastAsia" w:ascii="仿宋" w:hAnsi="仿宋" w:eastAsia="仿宋" w:cs="仿宋"/>
          <w:b/>
          <w:bCs w:val="0"/>
          <w:kern w:val="2"/>
          <w:sz w:val="32"/>
          <w:szCs w:val="32"/>
          <w:lang w:val="en-US" w:eastAsia="zh-CN" w:bidi="ar"/>
        </w:rPr>
        <w:t>外事接待支出</w:t>
      </w:r>
      <w:r>
        <w:rPr>
          <w:rFonts w:hint="eastAsia" w:ascii="仿宋" w:hAnsi="仿宋" w:eastAsia="仿宋"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万元，外事接待</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批次，</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人次（不包括陪同人员），共计支出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9"/>
          <w:rFonts w:hint="eastAsia" w:ascii="黑体" w:hAnsi="宋体" w:eastAsia="黑体" w:cs="黑体"/>
          <w:b w:val="0"/>
          <w:bCs/>
          <w:kern w:val="2"/>
          <w:sz w:val="32"/>
          <w:szCs w:val="32"/>
          <w:lang w:val="en-US" w:eastAsia="zh-CN" w:bidi="ar"/>
        </w:rPr>
        <w:t>政府性基金预算支出决算情况说明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2023年度政府性基金预算财政拨款支出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九、国有资本经营预算支出决算情况说明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2023年度国有资本经营预算财政拨款支出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Fonts w:hint="eastAsia" w:ascii="方正小标宋简体" w:hAnsi="方正小标宋简体" w:eastAsia="方正小标宋简体" w:cs="方正小标宋简体"/>
          <w:kern w:val="2"/>
          <w:sz w:val="44"/>
          <w:szCs w:val="44"/>
          <w:lang w:val="en-US" w:eastAsia="zh-CN" w:bidi="ar"/>
        </w:rPr>
        <w:t xml:space="preserve"> </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十、其他重要事项的情况说明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w:t>
      </w:r>
      <w:r>
        <w:rPr>
          <w:rFonts w:hint="eastAsia" w:ascii="仿宋_GB2312" w:hAnsi="Calibri" w:eastAsia="仿宋_GB2312" w:cs="仿宋_GB2312"/>
          <w:kern w:val="2"/>
          <w:sz w:val="32"/>
          <w:szCs w:val="32"/>
          <w:lang w:val="en-US" w:eastAsia="zh-CN" w:bidi="ar"/>
        </w:rPr>
        <w:t>机关运行经费支出</w:t>
      </w:r>
      <w:r>
        <w:rPr>
          <w:rFonts w:hint="eastAsia" w:ascii="仿宋_GB2312" w:hAnsi="Calibri" w:eastAsia="仿宋_GB2312" w:cs="Times New Roman"/>
          <w:kern w:val="2"/>
          <w:sz w:val="32"/>
          <w:szCs w:val="32"/>
          <w:lang w:val="en-US" w:eastAsia="zh-CN" w:bidi="ar"/>
        </w:rPr>
        <w:t>44.7</w:t>
      </w:r>
      <w:r>
        <w:rPr>
          <w:rFonts w:hint="eastAsia" w:ascii="仿宋_GB2312" w:hAnsi="Calibri" w:eastAsia="仿宋_GB2312" w:cs="仿宋_GB2312"/>
          <w:kern w:val="2"/>
          <w:sz w:val="32"/>
          <w:szCs w:val="32"/>
          <w:lang w:val="en-US" w:eastAsia="zh-CN" w:bidi="ar"/>
        </w:rPr>
        <w:t>万元，比2022年度增加0.82万元，增长</w:t>
      </w:r>
      <w:r>
        <w:rPr>
          <w:rFonts w:hint="eastAsia" w:ascii="仿宋_GB2312" w:hAnsi="Calibri" w:eastAsia="仿宋_GB2312" w:cs="Times New Roman"/>
          <w:kern w:val="2"/>
          <w:sz w:val="32"/>
          <w:szCs w:val="32"/>
          <w:lang w:val="en-US" w:eastAsia="zh-CN" w:bidi="ar"/>
        </w:rPr>
        <w:t>1.87%</w:t>
      </w:r>
      <w:r>
        <w:rPr>
          <w:rFonts w:hint="eastAsia" w:ascii="仿宋_GB2312" w:hAnsi="Calibri" w:eastAsia="仿宋_GB2312" w:cs="仿宋_GB2312"/>
          <w:kern w:val="2"/>
          <w:sz w:val="32"/>
          <w:szCs w:val="32"/>
          <w:lang w:val="en-US" w:eastAsia="zh-CN" w:bidi="ar"/>
        </w:rPr>
        <w:t>。主要原因是办公费用增加。</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行政审批局无</w:t>
      </w:r>
      <w:r>
        <w:rPr>
          <w:rFonts w:hint="eastAsia" w:ascii="仿宋_GB2312" w:hAnsi="Calibri" w:eastAsia="仿宋_GB2312" w:cs="仿宋_GB2312"/>
          <w:kern w:val="2"/>
          <w:sz w:val="32"/>
          <w:szCs w:val="32"/>
          <w:lang w:val="en-US" w:eastAsia="zh-CN" w:bidi="ar"/>
        </w:rPr>
        <w:t>政府采购支出。</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截至2023年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辆、应急保障用车0辆、其他用车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年使用项目质保金</w:t>
      </w:r>
      <w:r>
        <w:rPr>
          <w:rFonts w:hint="eastAsia" w:ascii="仿宋_GB2312" w:hAnsi="仿宋_GB2312" w:eastAsia="仿宋_GB2312" w:cs="仿宋_GB2312"/>
          <w:color w:val="auto"/>
          <w:sz w:val="32"/>
          <w:szCs w:val="32"/>
          <w:lang w:val="en-US" w:eastAsia="zh-CN"/>
        </w:rPr>
        <w:t>6.29632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其中乡镇级片区便民服务设施专项规划编制资金</w:t>
      </w:r>
      <w:r>
        <w:rPr>
          <w:rFonts w:hint="eastAsia" w:ascii="仿宋_GB2312" w:hAnsi="仿宋_GB2312" w:eastAsia="仿宋_GB2312" w:cs="仿宋_GB2312"/>
          <w:color w:val="auto"/>
          <w:sz w:val="32"/>
          <w:szCs w:val="32"/>
          <w:lang w:val="en-US" w:eastAsia="zh-CN"/>
        </w:rPr>
        <w:t>1.5万元；茂县行政审批局支付镇村便民服务“三化”示范创建项目质保金1.0850万元；茂县行政审批局支付“好差评”系统采购项目质保金1.5840万元；茂县行政审批局（政务大厅）工作服采购项目质保金2.1274万元。</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2023年茂县</w:t>
      </w:r>
      <w:r>
        <w:rPr>
          <w:rFonts w:hint="eastAsia" w:ascii="仿宋_GB2312" w:hAnsi="仿宋_GB2312" w:eastAsia="仿宋_GB2312" w:cs="仿宋_GB2312"/>
          <w:color w:val="000000"/>
          <w:kern w:val="0"/>
          <w:sz w:val="32"/>
          <w:szCs w:val="32"/>
          <w:shd w:val="clear" w:color="auto" w:fill="FFFFFF"/>
          <w:lang w:val="zh-CN" w:eastAsia="zh-CN"/>
        </w:rPr>
        <w:t>行政审批局车辆租赁及保险费</w:t>
      </w:r>
      <w:r>
        <w:rPr>
          <w:rFonts w:hint="eastAsia" w:ascii="仿宋_GB2312" w:hAnsi="仿宋_GB2312" w:eastAsia="仿宋_GB2312" w:cs="仿宋_GB2312"/>
          <w:color w:val="000000"/>
          <w:kern w:val="0"/>
          <w:sz w:val="32"/>
          <w:szCs w:val="32"/>
          <w:shd w:val="clear" w:color="auto" w:fill="FFFFFF"/>
          <w:lang w:val="en-US" w:eastAsia="zh-CN"/>
        </w:rPr>
        <w:t>6.794075</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目标实现。以上两项资金</w:t>
      </w:r>
      <w:r>
        <w:rPr>
          <w:rFonts w:hint="eastAsia" w:ascii="仿宋_GB2312" w:hAnsi="仿宋_GB2312" w:eastAsia="仿宋_GB2312" w:cs="仿宋_GB2312"/>
          <w:sz w:val="32"/>
          <w:szCs w:val="32"/>
          <w:lang w:val="zh-CN"/>
        </w:rPr>
        <w:t>按照进度有效使用</w:t>
      </w:r>
      <w:r>
        <w:rPr>
          <w:rFonts w:hint="eastAsia" w:ascii="仿宋_GB2312" w:hAnsi="仿宋_GB2312" w:eastAsia="仿宋_GB2312" w:cs="仿宋_GB2312"/>
          <w:color w:val="000000"/>
          <w:kern w:val="0"/>
          <w:sz w:val="32"/>
          <w:szCs w:val="32"/>
          <w:shd w:val="clear" w:color="auto" w:fill="FFFFFF"/>
          <w:lang w:val="zh-CN"/>
        </w:rPr>
        <w:t>项目资金，</w:t>
      </w:r>
      <w:r>
        <w:rPr>
          <w:rFonts w:hint="eastAsia" w:ascii="仿宋_GB2312" w:hAnsi="仿宋_GB2312" w:eastAsia="仿宋_GB2312" w:cs="仿宋_GB2312"/>
          <w:sz w:val="32"/>
          <w:szCs w:val="32"/>
          <w:lang w:val="zh-CN"/>
        </w:rPr>
        <w:t>完成预期指标值。</w:t>
      </w:r>
      <w:r>
        <w:rPr>
          <w:rFonts w:hint="eastAsia" w:ascii="仿宋_GB2312" w:hAnsi="仿宋_GB2312" w:eastAsia="仿宋_GB2312" w:cs="仿宋_GB2312"/>
          <w:color w:val="auto"/>
          <w:sz w:val="32"/>
          <w:szCs w:val="32"/>
          <w:lang w:eastAsia="zh-CN"/>
        </w:rPr>
        <w:t>有效的推进了政务服务工作，提升政务服务效能，预算绩效评价报告见第四部分</w:t>
      </w:r>
      <w:r>
        <w:rPr>
          <w:rFonts w:hint="eastAsia" w:ascii="仿宋_GB2312" w:hAnsi="仿宋_GB2312" w:eastAsia="仿宋_GB2312" w:cs="仿宋_GB2312"/>
          <w:color w:val="auto"/>
          <w:sz w:val="32"/>
          <w:szCs w:val="32"/>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7"/>
          <w:rFonts w:hint="eastAsia" w:ascii="黑体" w:hAnsi="宋体" w:eastAsia="黑体" w:cs="黑体"/>
          <w:b w:val="0"/>
          <w:bCs/>
          <w:kern w:val="44"/>
          <w:sz w:val="44"/>
          <w:szCs w:val="44"/>
          <w:lang w:val="en-US" w:eastAsia="zh-CN" w:bidi="ar"/>
        </w:rPr>
        <w:t>词解释</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pPr>
        <w:pStyle w:val="21"/>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1"/>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center"/>
        <w:textAlignment w:val="auto"/>
        <w:outlineLvl w:val="0"/>
        <w:rPr>
          <w:rFonts w:hint="eastAsia" w:ascii="黑体" w:hAnsi="宋体" w:eastAsia="黑体" w:cs="Times New Roman"/>
          <w:b w:val="0"/>
          <w:bCs/>
          <w:kern w:val="44"/>
          <w:sz w:val="44"/>
          <w:szCs w:val="44"/>
        </w:rPr>
      </w:pPr>
      <w:r>
        <w:rPr>
          <w:rFonts w:hint="eastAsia" w:ascii="宋体" w:hAnsi="Calibri" w:eastAsia="宋体" w:cs="Times New Roman"/>
          <w:b/>
          <w:bCs w:val="0"/>
          <w:kern w:val="2"/>
          <w:sz w:val="44"/>
          <w:szCs w:val="44"/>
          <w:lang w:val="en-US" w:eastAsia="zh-CN" w:bidi="ar"/>
        </w:rPr>
        <w:br w:type="page"/>
      </w: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四部分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附件</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572" w:lineRule="exact"/>
        <w:ind w:left="0" w:right="0" w:firstLine="640" w:firstLineChars="200"/>
        <w:jc w:val="left"/>
        <w:textAlignment w:val="auto"/>
        <w:outlineLvl w:val="0"/>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widowControl/>
        <w:spacing w:line="578" w:lineRule="exact"/>
        <w:contextualSpacing/>
        <w:jc w:val="center"/>
        <w:rPr>
          <w:rFonts w:hint="eastAsia" w:eastAsia="方正小标宋简体"/>
          <w:bCs/>
          <w:sz w:val="44"/>
          <w:szCs w:val="44"/>
          <w:shd w:val="clear" w:color="auto" w:fill="FFFFFF"/>
          <w:lang w:eastAsia="zh-CN"/>
        </w:rPr>
      </w:pPr>
      <w:r>
        <w:rPr>
          <w:rFonts w:hint="eastAsia" w:ascii="仿宋_GB2312" w:hAnsi="Times New Roman" w:eastAsia="宋体" w:cs="Times New Roman"/>
          <w:kern w:val="2"/>
          <w:sz w:val="32"/>
          <w:szCs w:val="32"/>
        </w:rPr>
        <w:t xml:space="preserve"> </w:t>
      </w:r>
      <w:r>
        <w:rPr>
          <w:rFonts w:hint="eastAsia" w:eastAsia="方正小标宋简体"/>
          <w:bCs/>
          <w:sz w:val="44"/>
          <w:szCs w:val="44"/>
          <w:shd w:val="clear" w:color="auto" w:fill="FFFFFF"/>
          <w:lang w:eastAsia="zh-CN"/>
        </w:rPr>
        <w:t>茂县行政审批和政务服务管理局</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pStyle w:val="2"/>
      </w:pPr>
    </w:p>
    <w:p>
      <w:pPr>
        <w:widowControl/>
        <w:adjustRightInd w:val="0"/>
        <w:snapToGrid w:val="0"/>
        <w:spacing w:line="578" w:lineRule="exact"/>
        <w:ind w:firstLine="643" w:firstLineChars="200"/>
        <w:contextualSpacing/>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shd w:val="clear" w:color="auto" w:fill="FFFFFF"/>
          <w:lang w:val="zh-CN"/>
        </w:rPr>
        <w:t>一、部门（单位）基本情况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茂县行政审批局是茂县人民政府工作部门，为正科级行政机构，内</w:t>
      </w:r>
      <w:r>
        <w:rPr>
          <w:rFonts w:hint="eastAsia" w:ascii="仿宋_GB2312" w:hAnsi="仿宋_GB2312" w:eastAsia="仿宋_GB2312" w:cs="仿宋_GB2312"/>
          <w:color w:val="auto"/>
          <w:kern w:val="0"/>
          <w:sz w:val="32"/>
          <w:szCs w:val="32"/>
          <w:lang w:eastAsia="zh-CN"/>
        </w:rPr>
        <w:t>设</w:t>
      </w:r>
      <w:r>
        <w:rPr>
          <w:rFonts w:hint="eastAsia" w:ascii="仿宋_GB2312" w:hAnsi="仿宋_GB2312" w:eastAsia="仿宋_GB2312" w:cs="仿宋_GB2312"/>
          <w:color w:val="auto"/>
          <w:kern w:val="0"/>
          <w:sz w:val="32"/>
          <w:szCs w:val="32"/>
        </w:rPr>
        <w:t>办公室、行政审批一室、行政审批二室、政务服务管理股（政策法规股）、茂县城乡网格化服务管理指挥中心、政务服务和资源交易中心等股室。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321" w:firstLineChars="1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（二）机构职能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负责深化行政审批制度改革和“放管服”改革工作。贯彻实施有关法律、法规、规章，执行上级有关行政审批制度和“放管服”改革的方针、政策；会同有关部门推进行政审批制度和“放管服”改革，提出行政审批制度和“放管服”改革的建议；承担县本级行政权力清单和责任清单的动态调整，牵头全县行政权力清单和责任清单工作，建立完善相关工作机制；制定县行政审批局各项规章制度和管理办法，并组织实施。</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2.负责规范指导全县行政审批和政务服务工作，建立和完善相应工作机制，推进标准化建设；负责对划转的行政许可事项进行流程再造、环节优化、时限压缩，并对办理情况进行跟踪督办</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3.负责承办县直部门划入的涉及企业</w:t>
      </w:r>
      <w:r>
        <w:rPr>
          <w:rFonts w:hint="eastAsia" w:ascii="仿宋_GB2312" w:hAnsi="仿宋_GB2312" w:eastAsia="仿宋_GB2312" w:cs="仿宋_GB2312"/>
          <w:color w:val="auto"/>
          <w:kern w:val="0"/>
          <w:sz w:val="32"/>
          <w:szCs w:val="32"/>
          <w:lang w:eastAsia="zh-CN"/>
        </w:rPr>
        <w:t>投资</w:t>
      </w:r>
      <w:r>
        <w:rPr>
          <w:rFonts w:hint="eastAsia" w:ascii="仿宋_GB2312" w:hAnsi="仿宋_GB2312" w:eastAsia="仿宋_GB2312" w:cs="仿宋_GB2312"/>
          <w:color w:val="auto"/>
          <w:kern w:val="0"/>
          <w:sz w:val="32"/>
          <w:szCs w:val="32"/>
        </w:rPr>
        <w:t>项目、市场准入、建设工程、交通水利、文教卫生、社会事务、涉农事务等方面的行政审批事项，及时将行政审批事项的结果通报给县直相关部门，逐步实行“一枚印章管审批”。</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4.负责指导、协调进驻政务服务大厅部门的行政审批和公共服务工作；对窗口工作人员进行日常管理、年度考核等工作。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5.负责对涉及全县行政审批工作、政务服务大厅工作及公共资源交易工作的投诉举报和承办、转办和督办工作。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6.负责对各乡镇便民服务中心相关工作的运行进行业务指导和监督，建立和完善高效的政务服务体系。</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7.负责全县公共资源交易管理工作。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8.完成县委、县人民政府交办的其他任务。</w:t>
      </w:r>
    </w:p>
    <w:p>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1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（三）人员概况</w:t>
      </w:r>
    </w:p>
    <w:p>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茂县行政审批局现有行政编制人员9名，事业编制人员10名。202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年12月我局实有在职职工16人，其中:行政在职6人,行政工勤2人,事业在职8人,退休人员3人。</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二、部门资金收支情况</w:t>
      </w:r>
    </w:p>
    <w:p>
      <w:pPr>
        <w:keepNext w:val="0"/>
        <w:keepLines w:val="0"/>
        <w:pageBreakBefore w:val="0"/>
        <w:kinsoku/>
        <w:wordWrap/>
        <w:overflowPunct/>
        <w:topLinePunct w:val="0"/>
        <w:autoSpaceDE/>
        <w:autoSpaceDN/>
        <w:bidi w:val="0"/>
        <w:adjustRightInd w:val="0"/>
        <w:snapToGrid w:val="0"/>
        <w:spacing w:line="580" w:lineRule="exact"/>
        <w:ind w:firstLine="675" w:firstLineChars="21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（一）收入情况</w:t>
      </w:r>
    </w:p>
    <w:p>
      <w:pPr>
        <w:keepNext w:val="0"/>
        <w:keepLines w:val="0"/>
        <w:pageBreakBefore w:val="0"/>
        <w:kinsoku/>
        <w:wordWrap/>
        <w:overflowPunct/>
        <w:topLinePunct w:val="0"/>
        <w:autoSpaceDE/>
        <w:autoSpaceDN/>
        <w:bidi w:val="0"/>
        <w:adjustRightInd w:val="0"/>
        <w:snapToGrid w:val="0"/>
        <w:spacing w:line="580" w:lineRule="exact"/>
        <w:ind w:firstLine="672" w:firstLineChars="210"/>
        <w:textAlignment w:val="auto"/>
        <w:rPr>
          <w:rStyle w:val="22"/>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年12月，茂县行政审批局本年收入合计</w:t>
      </w:r>
      <w:r>
        <w:rPr>
          <w:rFonts w:hint="eastAsia" w:ascii="仿宋_GB2312" w:hAnsi="仿宋_GB2312" w:eastAsia="仿宋_GB2312" w:cs="仿宋_GB2312"/>
          <w:color w:val="auto"/>
          <w:sz w:val="32"/>
          <w:szCs w:val="32"/>
          <w:lang w:val="en-US" w:eastAsia="zh-CN"/>
        </w:rPr>
        <w:t>357.65</w:t>
      </w:r>
      <w:r>
        <w:rPr>
          <w:rFonts w:hint="eastAsia" w:ascii="仿宋_GB2312" w:hAnsi="仿宋_GB2312" w:eastAsia="仿宋_GB2312" w:cs="仿宋_GB2312"/>
          <w:color w:val="auto"/>
          <w:kern w:val="0"/>
          <w:sz w:val="32"/>
          <w:szCs w:val="32"/>
        </w:rPr>
        <w:t>万元，其中：一般公共财政预算拨款收入</w:t>
      </w:r>
      <w:r>
        <w:rPr>
          <w:rFonts w:hint="eastAsia" w:ascii="仿宋_GB2312" w:hAnsi="仿宋_GB2312" w:eastAsia="仿宋_GB2312" w:cs="仿宋_GB2312"/>
          <w:color w:val="auto"/>
          <w:sz w:val="32"/>
          <w:szCs w:val="32"/>
          <w:lang w:val="en-US" w:eastAsia="zh-CN"/>
        </w:rPr>
        <w:t>357.65</w:t>
      </w:r>
      <w:r>
        <w:rPr>
          <w:rFonts w:hint="eastAsia" w:ascii="仿宋_GB2312" w:hAnsi="仿宋_GB2312" w:eastAsia="仿宋_GB2312" w:cs="仿宋_GB2312"/>
          <w:color w:val="auto"/>
          <w:kern w:val="0"/>
          <w:sz w:val="32"/>
          <w:szCs w:val="32"/>
        </w:rPr>
        <w:t>万元，政府性基金预算财政拨款收入0万元。</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（二）支出情况</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Style w:val="22"/>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年12月茂县行政审批局本年支出合计</w:t>
      </w:r>
      <w:r>
        <w:rPr>
          <w:rFonts w:hint="eastAsia" w:ascii="仿宋_GB2312" w:hAnsi="仿宋_GB2312" w:eastAsia="仿宋_GB2312" w:cs="仿宋_GB2312"/>
          <w:color w:val="auto"/>
          <w:sz w:val="32"/>
          <w:szCs w:val="32"/>
          <w:lang w:val="en-US" w:eastAsia="zh-CN"/>
        </w:rPr>
        <w:t>357.65</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sz w:val="32"/>
          <w:szCs w:val="32"/>
          <w:lang w:val="en-US" w:eastAsia="zh-CN"/>
        </w:rPr>
        <w:t>357.65</w:t>
      </w:r>
      <w:r>
        <w:rPr>
          <w:rFonts w:hint="eastAsia" w:ascii="仿宋_GB2312" w:hAnsi="仿宋_GB2312" w:eastAsia="仿宋_GB2312" w:cs="仿宋_GB2312"/>
          <w:color w:val="auto"/>
          <w:kern w:val="0"/>
          <w:sz w:val="32"/>
          <w:szCs w:val="32"/>
        </w:rPr>
        <w:t>万元。按功能分类，一般公共服务支出</w:t>
      </w:r>
      <w:r>
        <w:rPr>
          <w:rFonts w:hint="eastAsia" w:ascii="仿宋_GB2312" w:hAnsi="仿宋_GB2312" w:eastAsia="仿宋_GB2312" w:cs="仿宋_GB2312"/>
          <w:color w:val="auto"/>
          <w:kern w:val="0"/>
          <w:sz w:val="32"/>
          <w:szCs w:val="32"/>
          <w:lang w:val="en-US" w:eastAsia="zh-CN"/>
        </w:rPr>
        <w:t>268.11</w:t>
      </w:r>
      <w:r>
        <w:rPr>
          <w:rFonts w:hint="eastAsia" w:ascii="仿宋_GB2312" w:hAnsi="仿宋_GB2312" w:eastAsia="仿宋_GB2312" w:cs="仿宋_GB2312"/>
          <w:color w:val="auto"/>
          <w:kern w:val="0"/>
          <w:sz w:val="32"/>
          <w:szCs w:val="32"/>
        </w:rPr>
        <w:t>万元、社会保障和就业支出</w:t>
      </w:r>
      <w:r>
        <w:rPr>
          <w:rFonts w:hint="eastAsia" w:ascii="仿宋_GB2312" w:hAnsi="仿宋_GB2312" w:eastAsia="仿宋_GB2312" w:cs="仿宋_GB2312"/>
          <w:color w:val="auto"/>
          <w:kern w:val="0"/>
          <w:sz w:val="32"/>
          <w:szCs w:val="32"/>
          <w:lang w:val="en-US" w:eastAsia="zh-CN"/>
        </w:rPr>
        <w:t>45.55</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21.36</w:t>
      </w:r>
      <w:r>
        <w:rPr>
          <w:rFonts w:hint="eastAsia" w:ascii="仿宋_GB2312" w:hAnsi="仿宋_GB2312" w:eastAsia="仿宋_GB2312" w:cs="仿宋_GB2312"/>
          <w:color w:val="auto"/>
          <w:kern w:val="0"/>
          <w:sz w:val="32"/>
          <w:szCs w:val="32"/>
        </w:rPr>
        <w:t>万元、住房保障支出</w:t>
      </w:r>
      <w:r>
        <w:rPr>
          <w:rFonts w:hint="eastAsia" w:ascii="仿宋_GB2312" w:hAnsi="仿宋_GB2312" w:eastAsia="仿宋_GB2312" w:cs="仿宋_GB2312"/>
          <w:color w:val="auto"/>
          <w:kern w:val="0"/>
          <w:sz w:val="32"/>
          <w:szCs w:val="32"/>
          <w:lang w:val="en-US" w:eastAsia="zh-CN"/>
        </w:rPr>
        <w:t>22.63</w:t>
      </w:r>
      <w:r>
        <w:rPr>
          <w:rFonts w:hint="eastAsia" w:ascii="仿宋_GB2312" w:hAnsi="仿宋_GB2312" w:eastAsia="仿宋_GB2312" w:cs="仿宋_GB2312"/>
          <w:color w:val="auto"/>
          <w:kern w:val="0"/>
          <w:sz w:val="32"/>
          <w:szCs w:val="32"/>
        </w:rPr>
        <w:t>万元。按经济分类，工资福利支出</w:t>
      </w:r>
      <w:r>
        <w:rPr>
          <w:rFonts w:hint="eastAsia" w:ascii="仿宋_GB2312" w:hAnsi="仿宋_GB2312" w:eastAsia="仿宋_GB2312" w:cs="仿宋_GB2312"/>
          <w:color w:val="auto"/>
          <w:kern w:val="0"/>
          <w:sz w:val="32"/>
          <w:szCs w:val="32"/>
          <w:lang w:val="en-US" w:eastAsia="zh-CN"/>
        </w:rPr>
        <w:t>310.76</w:t>
      </w:r>
      <w:r>
        <w:rPr>
          <w:rFonts w:hint="eastAsia" w:ascii="仿宋_GB2312" w:hAnsi="仿宋_GB2312" w:eastAsia="仿宋_GB2312" w:cs="仿宋_GB2312"/>
          <w:color w:val="auto"/>
          <w:kern w:val="0"/>
          <w:sz w:val="32"/>
          <w:szCs w:val="32"/>
        </w:rPr>
        <w:t>万元，对家庭和个人的补助</w:t>
      </w:r>
      <w:r>
        <w:rPr>
          <w:rFonts w:hint="eastAsia" w:ascii="仿宋_GB2312" w:hAnsi="仿宋_GB2312" w:eastAsia="仿宋_GB2312" w:cs="仿宋_GB2312"/>
          <w:color w:val="auto"/>
          <w:kern w:val="0"/>
          <w:sz w:val="32"/>
          <w:szCs w:val="32"/>
          <w:lang w:val="en-US" w:eastAsia="zh-CN"/>
        </w:rPr>
        <w:t>2.19</w:t>
      </w:r>
      <w:r>
        <w:rPr>
          <w:rFonts w:hint="eastAsia" w:ascii="仿宋_GB2312" w:hAnsi="仿宋_GB2312" w:eastAsia="仿宋_GB2312" w:cs="仿宋_GB2312"/>
          <w:color w:val="auto"/>
          <w:kern w:val="0"/>
          <w:sz w:val="32"/>
          <w:szCs w:val="32"/>
        </w:rPr>
        <w:t>万元，商品服务支出4</w:t>
      </w:r>
      <w:r>
        <w:rPr>
          <w:rFonts w:hint="eastAsia" w:ascii="仿宋_GB2312" w:hAnsi="仿宋_GB2312" w:eastAsia="仿宋_GB2312" w:cs="仿宋_GB2312"/>
          <w:color w:val="auto"/>
          <w:kern w:val="0"/>
          <w:sz w:val="32"/>
          <w:szCs w:val="32"/>
          <w:lang w:val="en-US" w:eastAsia="zh-CN"/>
        </w:rPr>
        <w:t>4.7</w:t>
      </w:r>
      <w:r>
        <w:rPr>
          <w:rFonts w:hint="eastAsia" w:ascii="仿宋_GB2312" w:hAnsi="仿宋_GB2312" w:eastAsia="仿宋_GB2312" w:cs="仿宋_GB2312"/>
          <w:color w:val="auto"/>
          <w:kern w:val="0"/>
          <w:sz w:val="32"/>
          <w:szCs w:val="32"/>
        </w:rPr>
        <w:t>万元。</w:t>
      </w:r>
    </w:p>
    <w:p>
      <w:pPr>
        <w:widowControl/>
        <w:numPr>
          <w:ilvl w:val="0"/>
          <w:numId w:val="0"/>
        </w:numPr>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结余分配和结转结余情况</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年年末项目支出结余结转0万元。</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kern w:val="0"/>
          <w:sz w:val="32"/>
          <w:szCs w:val="32"/>
          <w:shd w:val="clear" w:color="auto" w:fill="FFFFFF"/>
        </w:rPr>
        <w:t>三、部门预算绩效分析</w:t>
      </w:r>
    </w:p>
    <w:p>
      <w:pPr>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（一）部门预算总体绩效分析。</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r>
        <w:rPr>
          <w:rFonts w:hint="eastAsia" w:ascii="仿宋_GB2312" w:hAnsi="仿宋_GB2312" w:eastAsia="仿宋_GB2312" w:cs="仿宋_GB2312"/>
          <w:color w:val="auto"/>
          <w:kern w:val="0"/>
          <w:sz w:val="32"/>
          <w:szCs w:val="32"/>
        </w:rPr>
        <w:t>负责规范指导全县行政审批和政务服务工作，建立和完善相应工作机制，推进标准化建设；负责指导、协调进驻政务服务大厅部门的行政审批和公共服务工作；对窗口工作人员进行日常管理、年度考核等工作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负责对各乡镇便民服务中心相关工作的运行进行业务指导和监督，建立和完善高效的政务服务体系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负责全县公共资源交易管理工作</w:t>
      </w:r>
      <w:r>
        <w:rPr>
          <w:rFonts w:hint="eastAsia" w:ascii="仿宋_GB2312" w:hAnsi="仿宋_GB2312" w:eastAsia="仿宋_GB2312" w:cs="仿宋_GB2312"/>
          <w:color w:val="000000"/>
          <w:kern w:val="0"/>
          <w:sz w:val="32"/>
          <w:szCs w:val="32"/>
          <w:shd w:val="clear" w:color="auto" w:fill="FFFFFF"/>
          <w:lang w:val="zh-CN"/>
        </w:rPr>
        <w:t>。</w:t>
      </w:r>
    </w:p>
    <w:p>
      <w:pPr>
        <w:widowControl/>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r>
        <w:rPr>
          <w:rFonts w:hint="eastAsia" w:ascii="仿宋_GB2312" w:hAnsi="仿宋_GB2312" w:eastAsia="仿宋_GB2312" w:cs="仿宋_GB2312"/>
          <w:kern w:val="0"/>
          <w:sz w:val="32"/>
          <w:szCs w:val="32"/>
        </w:rPr>
        <w:t>根据《预算法》等法律法规的规定</w:t>
      </w:r>
      <w:r>
        <w:rPr>
          <w:rFonts w:hint="eastAsia" w:ascii="仿宋_GB2312" w:hAnsi="仿宋_GB2312" w:eastAsia="仿宋_GB2312" w:cs="仿宋_GB2312"/>
          <w:color w:val="000000"/>
          <w:kern w:val="0"/>
          <w:sz w:val="32"/>
          <w:szCs w:val="32"/>
          <w:shd w:val="clear" w:color="auto" w:fill="FFFFFF"/>
          <w:lang w:val="zh-CN" w:eastAsia="zh-CN"/>
        </w:rPr>
        <w:t>和本单位工作实际情况，严格按要求编制年初部门预算，确保年初预算编制的科学性和准确性。单位严控“三公”经费、会议、培训、差旅、办节办展、办公设备购置、信息网络及软件购置更新、课题经费等一般性支出。</w:t>
      </w:r>
      <w:r>
        <w:rPr>
          <w:rFonts w:hint="eastAsia" w:ascii="仿宋_GB2312" w:hAnsi="仿宋_GB2312" w:eastAsia="仿宋_GB2312" w:cs="仿宋_GB2312"/>
          <w:color w:val="auto"/>
          <w:kern w:val="0"/>
          <w:sz w:val="32"/>
          <w:szCs w:val="32"/>
        </w:rPr>
        <w:t>基本支出202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年12月按月或季度进行申报，其中人员工资按月申报并直接支付，日常公用经费按月进行申报并支付，项目支出按项目实际开展进度申报并支付。</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财务管理。</w:t>
      </w:r>
      <w:r>
        <w:rPr>
          <w:rFonts w:hint="eastAsia" w:ascii="仿宋_GB2312" w:hAnsi="仿宋_GB2312" w:eastAsia="仿宋_GB2312" w:cs="仿宋_GB2312"/>
          <w:color w:val="000000"/>
          <w:kern w:val="0"/>
          <w:sz w:val="32"/>
          <w:szCs w:val="32"/>
          <w:shd w:val="clear" w:color="auto" w:fill="FFFFFF"/>
          <w:lang w:val="zh-CN" w:eastAsia="zh-CN"/>
        </w:rPr>
        <w:t>根据《会计法》及财务工作有关规定，结合单位实际，制订了《茂县行政审批局财务管理制度》，合理设置财务工作岗位，明确职责权限，严格实行不相容岗位分离，严格按照相关财务管理制度规定使用各项资金。</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资产管理。人均资产无变化，科学合理分配使用资产，无闲置资产。</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5.</w:t>
      </w:r>
      <w:r>
        <w:rPr>
          <w:rFonts w:hint="eastAsia" w:ascii="仿宋_GB2312" w:hAnsi="仿宋_GB2312" w:eastAsia="仿宋_GB2312" w:cs="仿宋_GB2312"/>
          <w:color w:val="000000"/>
          <w:kern w:val="0"/>
          <w:sz w:val="32"/>
          <w:szCs w:val="32"/>
          <w:shd w:val="clear" w:color="auto" w:fill="FFFFFF"/>
          <w:lang w:val="zh-CN"/>
        </w:rPr>
        <w:t>采购管理。无</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常年项目绩效分析。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阶段（一次性）项目绩效分析。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13.09</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项目决策。围绕省州县政务服务工作要点，持续提升政务服务质量及效能。</w:t>
      </w:r>
      <w:r>
        <w:rPr>
          <w:rFonts w:hint="eastAsia" w:ascii="仿宋_GB2312" w:hAnsi="仿宋_GB2312" w:eastAsia="仿宋_GB2312" w:cs="仿宋_GB2312"/>
          <w:kern w:val="2"/>
          <w:sz w:val="32"/>
          <w:szCs w:val="32"/>
          <w:lang w:eastAsia="zh-CN"/>
        </w:rPr>
        <w:t>预算项目设立按规定履行评估论证、申报程序。项目绩效目标与计划期内的任务量、预算安排的资金量相匹配，绩效目标设置科学合理、规范完整，在规定时间完成了项目入库。</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lang w:val="zh-CN"/>
        </w:rPr>
        <w:t>。</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年使用项目质保金</w:t>
      </w:r>
      <w:r>
        <w:rPr>
          <w:rFonts w:hint="eastAsia" w:ascii="仿宋_GB2312" w:hAnsi="仿宋_GB2312" w:eastAsia="仿宋_GB2312" w:cs="仿宋_GB2312"/>
          <w:color w:val="auto"/>
          <w:sz w:val="32"/>
          <w:szCs w:val="32"/>
          <w:lang w:val="en-US" w:eastAsia="zh-CN"/>
        </w:rPr>
        <w:t>6.29632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其中乡镇级片区便民服务设施专项规划编制资金</w:t>
      </w:r>
      <w:r>
        <w:rPr>
          <w:rFonts w:hint="eastAsia" w:ascii="仿宋_GB2312" w:hAnsi="仿宋_GB2312" w:eastAsia="仿宋_GB2312" w:cs="仿宋_GB2312"/>
          <w:color w:val="auto"/>
          <w:sz w:val="32"/>
          <w:szCs w:val="32"/>
          <w:lang w:val="en-US" w:eastAsia="zh-CN"/>
        </w:rPr>
        <w:t>1.5万元；茂县行政审批局支付镇村便民服务“三化”示范创建项目质保金1.0850万元；茂县行政审批局支付“好差评”系统采购项目质保金1.5840万元；茂县行政审批局（政务大厅）工作服采购项目质保金2.1274万元。</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2023年茂县</w:t>
      </w:r>
      <w:r>
        <w:rPr>
          <w:rFonts w:hint="eastAsia" w:ascii="仿宋_GB2312" w:hAnsi="仿宋_GB2312" w:eastAsia="仿宋_GB2312" w:cs="仿宋_GB2312"/>
          <w:color w:val="000000"/>
          <w:kern w:val="0"/>
          <w:sz w:val="32"/>
          <w:szCs w:val="32"/>
          <w:shd w:val="clear" w:color="auto" w:fill="FFFFFF"/>
          <w:lang w:val="zh-CN" w:eastAsia="zh-CN"/>
        </w:rPr>
        <w:t>行政审批局车辆租赁及保险费</w:t>
      </w:r>
      <w:r>
        <w:rPr>
          <w:rFonts w:hint="eastAsia" w:ascii="仿宋_GB2312" w:hAnsi="仿宋_GB2312" w:eastAsia="仿宋_GB2312" w:cs="仿宋_GB2312"/>
          <w:color w:val="000000"/>
          <w:kern w:val="0"/>
          <w:sz w:val="32"/>
          <w:szCs w:val="32"/>
          <w:shd w:val="clear" w:color="auto" w:fill="FFFFFF"/>
          <w:lang w:val="en-US" w:eastAsia="zh-CN"/>
        </w:rPr>
        <w:t>6.794075</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目标实现。以上两项资金</w:t>
      </w:r>
      <w:r>
        <w:rPr>
          <w:rFonts w:hint="eastAsia" w:ascii="仿宋_GB2312" w:hAnsi="仿宋_GB2312" w:eastAsia="仿宋_GB2312" w:cs="仿宋_GB2312"/>
          <w:sz w:val="32"/>
          <w:szCs w:val="32"/>
          <w:lang w:val="zh-CN"/>
        </w:rPr>
        <w:t>按照进度有效使用</w:t>
      </w:r>
      <w:r>
        <w:rPr>
          <w:rFonts w:hint="eastAsia" w:ascii="仿宋_GB2312" w:hAnsi="仿宋_GB2312" w:eastAsia="仿宋_GB2312" w:cs="仿宋_GB2312"/>
          <w:color w:val="000000"/>
          <w:kern w:val="0"/>
          <w:sz w:val="32"/>
          <w:szCs w:val="32"/>
          <w:shd w:val="clear" w:color="auto" w:fill="FFFFFF"/>
          <w:lang w:val="zh-CN"/>
        </w:rPr>
        <w:t>项目资金，</w:t>
      </w:r>
      <w:r>
        <w:rPr>
          <w:rFonts w:hint="eastAsia" w:ascii="仿宋_GB2312" w:hAnsi="仿宋_GB2312" w:eastAsia="仿宋_GB2312" w:cs="仿宋_GB2312"/>
          <w:sz w:val="32"/>
          <w:szCs w:val="32"/>
          <w:lang w:val="zh-CN"/>
        </w:rPr>
        <w:t>完成预期指标值。</w:t>
      </w:r>
      <w:r>
        <w:rPr>
          <w:rFonts w:hint="eastAsia" w:ascii="仿宋_GB2312" w:hAnsi="仿宋_GB2312" w:eastAsia="仿宋_GB2312" w:cs="仿宋_GB2312"/>
          <w:color w:val="auto"/>
          <w:sz w:val="32"/>
          <w:szCs w:val="32"/>
          <w:lang w:eastAsia="zh-CN"/>
        </w:rPr>
        <w:t>有效的推进了政务服务工作，提升政务服务效能</w:t>
      </w:r>
      <w:r>
        <w:rPr>
          <w:rFonts w:hint="eastAsia" w:ascii="仿宋_GB2312" w:hAnsi="仿宋_GB2312" w:eastAsia="仿宋_GB2312" w:cs="仿宋_GB2312"/>
          <w:color w:val="auto"/>
          <w:sz w:val="32"/>
          <w:szCs w:val="32"/>
        </w:rPr>
        <w:t>。</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b/>
          <w:bCs/>
          <w:color w:val="000000"/>
          <w:kern w:val="0"/>
          <w:sz w:val="32"/>
          <w:szCs w:val="32"/>
          <w:shd w:val="clear" w:color="auto" w:fill="FFFFFF"/>
          <w:lang w:val="zh-CN"/>
        </w:rPr>
        <w:t>（三）重点领域绩效分析。</w:t>
      </w:r>
      <w:r>
        <w:rPr>
          <w:rFonts w:hint="eastAsia" w:ascii="仿宋_GB2312" w:hAnsi="仿宋_GB2312" w:eastAsia="仿宋_GB2312" w:cs="仿宋_GB2312"/>
          <w:sz w:val="32"/>
          <w:szCs w:val="32"/>
          <w:lang w:eastAsia="zh-CN"/>
        </w:rPr>
        <w:t>无</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（四）绩效结果应用情况。</w:t>
      </w:r>
      <w:r>
        <w:rPr>
          <w:rFonts w:hint="eastAsia" w:ascii="仿宋_GB2312" w:hAnsi="仿宋_GB2312" w:eastAsia="仿宋_GB2312" w:cs="仿宋_GB2312"/>
          <w:color w:val="000000"/>
          <w:kern w:val="0"/>
          <w:sz w:val="32"/>
          <w:szCs w:val="32"/>
          <w:shd w:val="clear" w:color="auto" w:fill="FFFFFF"/>
          <w:lang w:val="zh-CN"/>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四、评价结论及建议</w:t>
      </w:r>
    </w:p>
    <w:p>
      <w:pPr>
        <w:adjustRightInd w:val="0"/>
        <w:snapToGrid w:val="0"/>
        <w:spacing w:beforeLines="30" w:line="580" w:lineRule="exact"/>
        <w:ind w:firstLine="675" w:firstLineChars="21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000000"/>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年我单位部门整体支出绩效评价自查自评结果良好，全年基本支出保证了部门的正常运行和日常工作的正常开展，项目支出保障了重点工作的开展，达到预期绩效目标。</w:t>
      </w:r>
    </w:p>
    <w:p>
      <w:pPr>
        <w:adjustRightInd w:val="0"/>
        <w:snapToGrid w:val="0"/>
        <w:spacing w:beforeLines="30" w:line="580" w:lineRule="exact"/>
        <w:ind w:firstLine="675" w:firstLineChars="21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000000"/>
          <w:kern w:val="0"/>
          <w:sz w:val="32"/>
          <w:szCs w:val="32"/>
          <w:shd w:val="clear" w:color="auto" w:fill="FFFFFF"/>
          <w:lang w:val="zh-CN"/>
        </w:rPr>
        <w:t>（二）存在问题。</w:t>
      </w:r>
      <w:r>
        <w:rPr>
          <w:rFonts w:hint="eastAsia" w:ascii="仿宋_GB2312" w:hAnsi="仿宋_GB2312" w:eastAsia="仿宋_GB2312" w:cs="仿宋_GB2312"/>
          <w:color w:val="auto"/>
          <w:kern w:val="0"/>
          <w:sz w:val="32"/>
          <w:szCs w:val="32"/>
        </w:rPr>
        <w:t>预算编制需完善，绩效目标的制定有待更科学更合理。</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kern w:val="0"/>
          <w:sz w:val="32"/>
          <w:szCs w:val="32"/>
          <w:lang w:val="en"/>
        </w:rPr>
      </w:pPr>
      <w:r>
        <w:rPr>
          <w:rFonts w:hint="eastAsia" w:ascii="仿宋_GB2312" w:hAnsi="仿宋_GB2312" w:eastAsia="仿宋_GB2312" w:cs="仿宋_GB2312"/>
          <w:b/>
          <w:bCs/>
          <w:color w:val="000000"/>
          <w:kern w:val="0"/>
          <w:sz w:val="32"/>
          <w:szCs w:val="32"/>
          <w:shd w:val="clear" w:color="auto" w:fill="FFFFFF"/>
          <w:lang w:val="zh-CN"/>
        </w:rPr>
        <w:t>（三）改进建议。</w:t>
      </w:r>
      <w:bookmarkStart w:id="0" w:name="_Hlk110546638"/>
      <w:r>
        <w:rPr>
          <w:rFonts w:hint="eastAsia" w:ascii="仿宋_GB2312" w:hAnsi="仿宋_GB2312" w:eastAsia="仿宋_GB2312" w:cs="仿宋_GB2312"/>
          <w:color w:val="auto"/>
          <w:kern w:val="0"/>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bookmarkEnd w:id="0"/>
    <w:p>
      <w:pPr>
        <w:pStyle w:val="2"/>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附表：</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en-US" w:eastAsia="zh-CN" w:bidi="ar-SA"/>
        </w:rPr>
        <w:t>专项预算项目绩效评价指标体系</w:t>
      </w:r>
    </w:p>
    <w:p>
      <w:pPr>
        <w:widowControl/>
        <w:numPr>
          <w:ilvl w:val="0"/>
          <w:numId w:val="0"/>
        </w:numPr>
        <w:adjustRightInd w:val="0"/>
        <w:snapToGrid w:val="0"/>
        <w:spacing w:line="578" w:lineRule="exact"/>
        <w:ind w:firstLine="1600" w:firstLineChars="500"/>
        <w:contextualSpacing/>
        <w:jc w:val="left"/>
        <w:rPr>
          <w:rFonts w:hint="eastAsia" w:ascii="仿宋" w:hAnsi="仿宋" w:eastAsia="仿宋" w:cs="仿宋"/>
          <w:color w:val="auto"/>
          <w:kern w:val="0"/>
          <w:lang w:val="en-US" w:eastAsia="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rPr>
        <w:t>部门整体支出绩效目标完成情况自评表</w:t>
      </w:r>
      <w:r>
        <w:rPr>
          <w:rFonts w:hint="eastAsia" w:ascii="仿宋" w:hAnsi="仿宋" w:eastAsia="仿宋" w:cs="仿宋"/>
          <w:color w:val="auto"/>
          <w:kern w:val="0"/>
        </w:rPr>
        <w:t xml:space="preserve"> </w:t>
      </w:r>
      <w:r>
        <w:rPr>
          <w:rFonts w:hint="eastAsia" w:ascii="仿宋" w:hAnsi="仿宋" w:eastAsia="仿宋" w:cs="仿宋"/>
          <w:color w:val="auto"/>
          <w:kern w:val="0"/>
          <w:lang w:val="en-US" w:eastAsia="zh-CN"/>
        </w:rPr>
        <w:t xml:space="preserve">      </w:t>
      </w:r>
    </w:p>
    <w:p>
      <w:pPr>
        <w:widowControl/>
        <w:numPr>
          <w:ilvl w:val="0"/>
          <w:numId w:val="0"/>
        </w:numPr>
        <w:adjustRightInd w:val="0"/>
        <w:snapToGrid w:val="0"/>
        <w:spacing w:line="578" w:lineRule="exact"/>
        <w:contextualSpacing/>
        <w:jc w:val="left"/>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color w:val="auto"/>
          <w:kern w:val="0"/>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p>
    <w:p>
      <w:pPr>
        <w:widowControl/>
        <w:adjustRightInd w:val="0"/>
        <w:snapToGrid w:val="0"/>
        <w:spacing w:line="578" w:lineRule="exact"/>
        <w:ind w:firstLine="3520" w:firstLineChars="11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茂县行政审批</w:t>
      </w:r>
      <w:r>
        <w:rPr>
          <w:rFonts w:hint="eastAsia" w:ascii="仿宋_GB2312" w:hAnsi="仿宋_GB2312" w:eastAsia="仿宋_GB2312" w:cs="仿宋_GB2312"/>
          <w:color w:val="auto"/>
          <w:kern w:val="0"/>
          <w:sz w:val="32"/>
          <w:szCs w:val="32"/>
          <w:lang w:eastAsia="zh-CN"/>
        </w:rPr>
        <w:t>和政务服务管理</w:t>
      </w:r>
      <w:r>
        <w:rPr>
          <w:rFonts w:hint="eastAsia" w:ascii="仿宋_GB2312" w:hAnsi="仿宋_GB2312" w:eastAsia="仿宋_GB2312" w:cs="仿宋_GB2312"/>
          <w:color w:val="auto"/>
          <w:kern w:val="0"/>
          <w:sz w:val="32"/>
          <w:szCs w:val="32"/>
        </w:rPr>
        <w:t>局</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日</w:t>
      </w: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2"/>
        <w:ind w:left="0" w:leftChars="0" w:firstLine="0" w:firstLineChars="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附件</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718"/>
        <w:gridCol w:w="465"/>
        <w:gridCol w:w="721"/>
        <w:gridCol w:w="696"/>
        <w:gridCol w:w="1102"/>
        <w:gridCol w:w="953"/>
        <w:gridCol w:w="2739"/>
        <w:gridCol w:w="465"/>
        <w:gridCol w:w="465"/>
        <w:gridCol w:w="465"/>
        <w:gridCol w:w="465"/>
        <w:gridCol w:w="465"/>
        <w:gridCol w:w="465"/>
        <w:gridCol w:w="465"/>
        <w:gridCol w:w="465"/>
        <w:gridCol w:w="465"/>
        <w:gridCol w:w="465"/>
        <w:gridCol w:w="465"/>
        <w:gridCol w:w="482"/>
        <w:gridCol w:w="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lang w:eastAsia="zh-CN"/>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0" w:type="auto"/>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专项预算项目绩效评价指标体系</w:t>
            </w:r>
          </w:p>
        </w:tc>
        <w:tc>
          <w:tcPr>
            <w:tcW w:w="0" w:type="auto"/>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iCs w:val="0"/>
                <w:color w:val="000000"/>
                <w:sz w:val="48"/>
                <w:szCs w:val="4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整体</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样本</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定性</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定量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国家</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行业</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地方</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历史</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样本</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项目规划论证是否符合中省要求，项目绩效目标设置是否科学合理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1.项目规划符合中央、省委省政府有关决策部署安排，得1分；充分评估论证项目立项必要性、前瞻性、合理性和可行性，得3分。否则该项不得分。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中省要求全面完成绩效目标（含事前评估）、绩效评价、以前年度问题整改等预算绩效管理工作，得4分；省级部门对市县主管部门预算绩效管理要求是否到位，是否存在对市县资金分配和项目管理指导力度不够的情况，是否对市县开展评价、监督、指导等工作，得2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产业发展</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项目实施是否与省委省政府支持重点、产业支持政策符合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该项指标得分=项目实施符合省委省政府支持重点、六大优势产业做大做强、传统产业转型升级、产业支持政策的点位数量÷所有选点总数×100%×10。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成长性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项目实施对相关企业（机构）成长性的促进作用，主要反映支持对象创新创造创业能力情况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项目实施对相关行业企业体现促进的点位数量÷所有选点总数×100%×10。对相关企业（机构）创新创造能力提升、扩大投资、技术更新、就业促进以及对农业良种良机良法推广应用、工业科技研发投入、服务业消费新场景新模式、提升行业新质生产力等情况进行综合判断，可查看统计年鉴和企业近三年财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项目实施对相关企业（机构）主营业务收入、净利润、税收、产量等方面增长情况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反映企业主营业务收入、净利润、税收、产量等增长情况，需将企业（机构）涉及的所有经济指标纳入计算。以主营业务收入为例，主营业务收入增加率≥行业平均增加率，且≥企业上一年度主营业务收入增加率，得10分；主营业务收入增加率≥行业平均增加率且＜企业上一年度主营业务收入增加率，或≥企业上一年度主营业务收入增加率且＜行业平均增加率，得5分；否则不得分。该项指标得分=各指标算术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民生保障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区域均衡性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项目资金分配体现的均衡公平情况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对象精准性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资金实际支持对象是否符合管理要求，是否符合支持对象范围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对象人数）÷抽样的支持对象总人数×100%×10。主要查看项目资金分配和实施结果是否精准，是否存在明显的排他性和歧视性情形，是否及时落实到支持对象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资金实际补贴标准是否符合资金管理办法规定的补助标准，是否及时按标准兑现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资金涉及相关受益群体、支持对象的满意度调查访谈情况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该项指标得分=经调研的群众实际满意度得分×100%×5。反映项目相关方在项目实施过程中的人民群众满意值和获得感。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设施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在建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项目是否达到计划工程进度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工程进度≥计划工程进度，得15分；计划工程进度＞实际工程进度≥计划工程进度的85%，得10分；计划工程进度的85%＞实际工程进度≥计划工程进度的70%，得5分；实际工程进度＜计划工程进度的70%，不得分。按工程时间节点测算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项目是否达到预先确定的资金拨付进度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资金拨付进度≥预先确定的资金拨付进度，得15分；预先确定的资金拨付进度＞实际资金拨付进度≥预先确定的资金拨付进度的85%，得10分；预先确定的资金拨付进度的85%＞实际资金拨付进度≥预先确定的资金拨付进度的70%，得5分；实际资金拨付进度＜预先确定的资金拨付进度的70%，不得分。如有资金拨付计划、合同约定，按此测算。如无资金拨付计划，按工程进度测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行政运转</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是否按规定用途、适用范围进行本地区专项资金分配</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资金实际用途不符合专项资金管理要求的，发现一处扣2分。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资金管理程序是否符合专项资金管理要求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资金管理程序不符合专项资金管理要求的，发现一处扣2分。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资金分配标准是否符合专项资金管理要求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资金分配标准不符合专项资金管理要求的，发现一处扣2分。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rPr>
          <w:rFonts w:hint="eastAsia" w:ascii="仿宋_GB2312" w:hAnsi="仿宋_GB2312" w:eastAsia="仿宋_GB2312" w:cs="仿宋_GB2312"/>
          <w:color w:val="auto"/>
          <w:kern w:val="0"/>
          <w:sz w:val="32"/>
          <w:szCs w:val="32"/>
        </w:rPr>
      </w:pP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pPr>
    </w:p>
    <w:p>
      <w:pPr>
        <w:spacing w:line="578" w:lineRule="exact"/>
        <w:ind w:firstLine="420" w:firstLineChars="200"/>
        <w:rPr>
          <w:rFonts w:hint="eastAsia" w:ascii="黑体" w:hAnsi="黑体" w:eastAsia="黑体" w:cs="黑体"/>
        </w:rPr>
        <w:sectPr>
          <w:footerReference r:id="rId7" w:type="default"/>
          <w:pgSz w:w="16838" w:h="11906" w:orient="landscape"/>
          <w:pgMar w:top="1800" w:right="1440" w:bottom="1800" w:left="1440" w:header="851" w:footer="992" w:gutter="0"/>
          <w:pgNumType w:fmt="decimal" w:start="19"/>
          <w:cols w:space="425" w:num="1"/>
          <w:docGrid w:type="lines" w:linePitch="312" w:charSpace="0"/>
        </w:sectPr>
      </w:pPr>
    </w:p>
    <w:p>
      <w:pPr>
        <w:spacing w:line="578" w:lineRule="exact"/>
      </w:pPr>
      <w:r>
        <w:rPr>
          <w:rFonts w:hint="eastAsia" w:ascii="黑体" w:hAnsi="黑体" w:eastAsia="黑体" w:cs="黑体"/>
        </w:rPr>
        <w:t>附表</w:t>
      </w:r>
    </w:p>
    <w:tbl>
      <w:tblPr>
        <w:tblStyle w:val="13"/>
        <w:tblW w:w="10560" w:type="dxa"/>
        <w:jc w:val="center"/>
        <w:tblLayout w:type="fixed"/>
        <w:tblCellMar>
          <w:top w:w="15" w:type="dxa"/>
          <w:left w:w="15" w:type="dxa"/>
          <w:bottom w:w="15" w:type="dxa"/>
          <w:right w:w="15" w:type="dxa"/>
        </w:tblCellMar>
      </w:tblPr>
      <w:tblGrid>
        <w:gridCol w:w="1308"/>
        <w:gridCol w:w="1347"/>
        <w:gridCol w:w="1273"/>
        <w:gridCol w:w="1851"/>
        <w:gridCol w:w="1035"/>
        <w:gridCol w:w="1095"/>
        <w:gridCol w:w="915"/>
        <w:gridCol w:w="622"/>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（2023年度）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茂县行政审批和政务服务管理局</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3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281.97</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281.97</w:t>
            </w:r>
          </w:p>
        </w:tc>
        <w:tc>
          <w:tcPr>
            <w:tcW w:w="3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0.00</w:t>
            </w: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1.履行政治领导责任，贯彻落实党的路线方针政策</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2履行政治领导责任,学习、宣传、贯彻执行党的理论和路线方针政策，贯彻落实中央、省委、州委、县委的决策部署，发挥好把方向、管大局、保落实的重要作用</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3.行政审批、政务服务、公共资源交易管理:贯彻落实党中央关于行政审批、政务服务、公共资源管理等工作的方针政策和省委、州委、县委的决策部署，在履职责任过程中坚持和加强党对深化行政审批制度改革、“放管服”改革、行政审批、政务服务、公共资源交易管理等工作的集中统一领导</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4.行政审批制度改革和“放管服”改革:负责深化行政审批制度改革和“放管服”改革:指导全县行政审批和政务服务工作、建立和完善相应工作机制，推进标准化建设；承办县直部门划入的行政审批事项，并将结果通报给县直部门；负责窗口人员管理：负责投诉举报的承办、转办和督办；负责各乡镇便民服务中心相关工作的指导和监督。</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5.公共资源交易:负责全县公共资源交易管理工作</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6.对各镇便民服务中心相关工作的运行进行业务指导和监督，建立和完善高效的政务服务体系。</w:t>
            </w:r>
          </w:p>
          <w:p>
            <w:pPr>
              <w:widowControl/>
              <w:spacing w:line="300" w:lineRule="exact"/>
              <w:jc w:val="left"/>
              <w:textAlignment w:val="center"/>
              <w:rPr>
                <w:rFonts w:eastAsia="宋体"/>
                <w:color w:val="000000"/>
                <w:sz w:val="24"/>
              </w:rPr>
            </w:pPr>
            <w:r>
              <w:rPr>
                <w:rFonts w:hint="eastAsia" w:eastAsia="宋体"/>
                <w:color w:val="000000"/>
                <w:kern w:val="0"/>
                <w:sz w:val="24"/>
                <w:lang w:bidi="ar"/>
              </w:rPr>
              <w:t>7.驻村工作队员乡镇工作补贴及临时岗位补贴:驻村工作队乡镇工作补贴雅都镇500元每月，一年6000元。临岗补贴400元每月，一年4800元。</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工资福利支出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职工基本工资、津贴补贴、奖金、绩效工资、机关事业养老保险，职业年金等</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商品和服务支出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单位日常运转经费：办公费、差旅费、邮电费、维修（护）费、培训费、公务接待费等</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政务大厅日常运行经费</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大厅日常设备维护费、办公用品、耗材</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政务辅助人员工资</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为提高行政审批效率和政务服务水平支付劳务费</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622"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产出指标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数量指标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完成全县行政审批、公共资源交易工作、政务服务工作</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281.96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eastAsia="宋体"/>
                <w:color w:val="000000"/>
                <w:sz w:val="18"/>
                <w:szCs w:val="18"/>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质量指标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进一步优化政务服务，</w:t>
            </w:r>
            <w:r>
              <w:rPr>
                <w:rFonts w:hint="eastAsia" w:ascii="仿宋" w:hAnsi="仿宋" w:eastAsia="仿宋" w:cs="仿宋_GB2312"/>
                <w:color w:val="auto"/>
                <w:sz w:val="18"/>
                <w:szCs w:val="18"/>
                <w:lang w:eastAsia="zh-CN"/>
              </w:rPr>
              <w:t>提升政务服务效能，</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8"/>
                <w:szCs w:val="18"/>
              </w:rPr>
            </w:pPr>
            <w:r>
              <w:rPr>
                <w:rFonts w:hint="eastAsia" w:eastAsia="宋体"/>
                <w:color w:val="000000"/>
                <w:sz w:val="18"/>
                <w:szCs w:val="18"/>
                <w:lang w:val="en-US" w:eastAsia="zh-CN"/>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时效指标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rPr>
              <w:t>按时完成目标任务</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8"/>
                <w:szCs w:val="18"/>
              </w:rPr>
            </w:pPr>
            <w:r>
              <w:rPr>
                <w:rFonts w:hint="eastAsia" w:eastAsia="宋体"/>
                <w:color w:val="000000"/>
                <w:sz w:val="18"/>
                <w:szCs w:val="18"/>
                <w:lang w:eastAsia="zh-CN"/>
              </w:rPr>
              <w:t>年</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效益指标</w:t>
            </w:r>
          </w:p>
        </w:tc>
        <w:tc>
          <w:tcPr>
            <w:tcW w:w="127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社会效益</w:t>
            </w:r>
          </w:p>
          <w:p>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指标</w:t>
            </w:r>
          </w:p>
        </w:tc>
        <w:tc>
          <w:tcPr>
            <w:tcW w:w="185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ascii="仿宋" w:hAnsi="仿宋" w:eastAsia="仿宋" w:cs="仿宋_GB2312"/>
                <w:color w:val="auto"/>
                <w:sz w:val="18"/>
                <w:szCs w:val="18"/>
                <w:lang w:eastAsia="zh-CN"/>
              </w:rPr>
              <w:t>有效的推进了政务服务工作，方便群众办事</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eastAsia="zh-CN"/>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eastAsia="zh-CN"/>
              </w:rPr>
              <w:t>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经济效益指标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对行政许可事项进行流程再造、环节优化、时限压缩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优良中低差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服务对象满意度指标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推进”三化“建设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优良中低差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18"/>
                <w:szCs w:val="18"/>
              </w:rPr>
            </w:pPr>
            <w:r>
              <w:rPr>
                <w:rFonts w:hint="eastAsia" w:eastAsia="宋体"/>
                <w:color w:val="000000"/>
                <w:sz w:val="24"/>
                <w:lang w:val="en-US" w:eastAsia="zh-CN"/>
              </w:rPr>
              <w:t>100%</w:t>
            </w:r>
          </w:p>
        </w:tc>
      </w:tr>
    </w:tbl>
    <w:p>
      <w:pPr>
        <w:pStyle w:val="12"/>
        <w:ind w:left="0" w:leftChars="0" w:firstLine="0" w:firstLineChars="0"/>
        <w:rPr>
          <w:rFonts w:ascii="Times New Roman" w:eastAsia="黑体"/>
          <w:sz w:val="24"/>
          <w:szCs w:val="24"/>
        </w:rPr>
      </w:pPr>
    </w:p>
    <w:p>
      <w:pPr>
        <w:pStyle w:val="12"/>
        <w:keepNext w:val="0"/>
        <w:keepLines w:val="0"/>
        <w:pageBreakBefore w:val="0"/>
        <w:widowControl w:val="0"/>
        <w:suppressLineNumbers w:val="0"/>
        <w:kinsoku/>
        <w:wordWrap/>
        <w:overflowPunct/>
        <w:topLinePunct w:val="0"/>
        <w:autoSpaceDE w:val="0"/>
        <w:autoSpaceDN/>
        <w:bidi w:val="0"/>
        <w:snapToGrid/>
        <w:spacing w:before="0" w:beforeAutospacing="0" w:line="560" w:lineRule="exact"/>
        <w:ind w:left="420" w:leftChars="200" w:right="0" w:firstLine="640" w:firstLineChars="200"/>
        <w:textAlignment w:val="auto"/>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keepNext w:val="0"/>
        <w:keepLines w:val="0"/>
        <w:widowControl w:val="0"/>
        <w:suppressLineNumbers w:val="0"/>
        <w:suppressAutoHyphens/>
        <w:spacing w:before="0" w:beforeAutospacing="0" w:after="0" w:afterAutospacing="0"/>
        <w:ind w:left="0" w:right="0"/>
        <w:jc w:val="both"/>
        <w:rPr>
          <w:rFonts w:hint="eastAsia" w:ascii="黑体" w:hAnsi="宋体" w:eastAsia="黑体" w:cs="Times New Roman"/>
          <w:kern w:val="2"/>
          <w:sz w:val="44"/>
          <w:szCs w:val="44"/>
        </w:rPr>
      </w:pPr>
      <w:r>
        <w:rPr>
          <w:rFonts w:hint="eastAsia" w:ascii="黑体" w:hAnsi="宋体" w:eastAsia="黑体" w:cs="Times New Roman"/>
          <w:kern w:val="2"/>
          <w:sz w:val="44"/>
          <w:szCs w:val="44"/>
          <w:lang w:val="en-US" w:eastAsia="zh-CN" w:bidi="ar"/>
        </w:rPr>
        <w:br w:type="page"/>
      </w:r>
    </w:p>
    <w:p>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五部分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9"/>
          <w:rFonts w:hint="eastAsia" w:ascii="仿宋" w:hAnsi="仿宋" w:eastAsia="仿宋" w:cs="仿宋"/>
          <w:b w:val="0"/>
          <w:bCs w:val="0"/>
          <w:sz w:val="32"/>
          <w:szCs w:val="32"/>
        </w:rPr>
        <w:t>入支出决算总表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9"/>
          <w:rFonts w:hint="eastAsia" w:ascii="仿宋" w:hAnsi="仿宋" w:eastAsia="仿宋" w:cs="仿宋"/>
          <w:b w:val="0"/>
          <w:bCs w:val="0"/>
          <w:sz w:val="32"/>
          <w:szCs w:val="32"/>
        </w:rPr>
        <w:t>入决算表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9"/>
          <w:rFonts w:hint="eastAsia" w:ascii="仿宋" w:hAnsi="仿宋" w:eastAsia="仿宋" w:cs="仿宋"/>
          <w:b w:val="0"/>
          <w:bCs w:val="0"/>
          <w:sz w:val="32"/>
          <w:szCs w:val="32"/>
        </w:rPr>
        <w:t>出决算表</w:t>
      </w:r>
    </w:p>
    <w:p>
      <w:pPr>
        <w:pStyle w:val="4"/>
        <w:widowControl/>
        <w:rPr>
          <w:rFonts w:hint="eastAsia" w:ascii="仿宋" w:hAnsi="仿宋" w:eastAsia="仿宋" w:cs="Times New Roman"/>
          <w:b w:val="0"/>
          <w:bCs/>
          <w:kern w:val="2"/>
          <w:sz w:val="32"/>
          <w:szCs w:val="32"/>
        </w:rPr>
      </w:pPr>
      <w:r>
        <w:rPr>
          <w:rStyle w:val="19"/>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政拨款收入支出决算总表</w:t>
      </w:r>
    </w:p>
    <w:p>
      <w:pPr>
        <w:pStyle w:val="4"/>
        <w:widowControl/>
        <w:rPr>
          <w:rFonts w:hint="eastAsia" w:ascii="仿宋" w:hAnsi="仿宋" w:eastAsia="仿宋" w:cs="Times New Roman"/>
          <w:b w:val="0"/>
          <w:bCs w:val="0"/>
          <w:sz w:val="32"/>
          <w:szCs w:val="32"/>
        </w:rPr>
      </w:pPr>
      <w:r>
        <w:rPr>
          <w:rStyle w:val="19"/>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政拨款支出决算明细表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般公共预算财政拨款支出决算明细表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般公共预算财政拨款基本支出决算表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般公共预算财政拨款项目支出决算表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9"/>
          <w:rFonts w:hint="eastAsia" w:ascii="仿宋" w:hAnsi="仿宋" w:eastAsia="仿宋" w:cs="仿宋"/>
          <w:b w:val="0"/>
          <w:bCs w:val="0"/>
          <w:sz w:val="32"/>
          <w:szCs w:val="32"/>
        </w:rPr>
        <w:t>府性基金预算财政拨款收入支出决算表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9"/>
          <w:rFonts w:hint="eastAsia" w:ascii="仿宋" w:hAnsi="仿宋" w:eastAsia="仿宋" w:cs="仿宋"/>
          <w:b w:val="0"/>
          <w:bCs w:val="0"/>
          <w:sz w:val="32"/>
          <w:szCs w:val="32"/>
        </w:rPr>
        <w:t>有资本经营预算财政拨款收入支出决算表</w:t>
      </w:r>
    </w:p>
    <w:p>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十二、国有资本经营预算财政拨款支出决算表</w:t>
      </w:r>
    </w:p>
    <w:p>
      <w:pPr>
        <w:pStyle w:val="4"/>
        <w:widowControl/>
        <w:rPr>
          <w:rFonts w:hint="eastAsia" w:ascii="Cambria" w:hAnsi="Cambria" w:eastAsia="仿宋" w:cs="Times New Roman"/>
          <w:b/>
          <w:bCs/>
          <w:kern w:val="2"/>
          <w:sz w:val="32"/>
          <w:szCs w:val="32"/>
        </w:rPr>
      </w:pPr>
      <w:r>
        <w:rPr>
          <w:rStyle w:val="19"/>
          <w:rFonts w:hint="eastAsia" w:ascii="仿宋" w:hAnsi="仿宋" w:eastAsia="仿宋" w:cs="仿宋"/>
          <w:b w:val="0"/>
          <w:bCs w:val="0"/>
          <w:sz w:val="32"/>
          <w:szCs w:val="32"/>
        </w:rPr>
        <w:t>十三、财政拨款“三公”经费支出决算表</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sectPr>
      <w:footerReference r:id="rId8" w:type="default"/>
      <w:pgSz w:w="11906" w:h="16838"/>
      <w:pgMar w:top="1440" w:right="1800" w:bottom="1440" w:left="1800" w:header="851" w:footer="992" w:gutter="0"/>
      <w:pgNumType w:fmt="decimal"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795579"/>
    <w:multiLevelType w:val="singleLevel"/>
    <w:tmpl w:val="4E795579"/>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3B35AE9"/>
    <w:rsid w:val="04665056"/>
    <w:rsid w:val="09AE1F88"/>
    <w:rsid w:val="0A5F4902"/>
    <w:rsid w:val="0A977596"/>
    <w:rsid w:val="0B4F6C35"/>
    <w:rsid w:val="0DDD0AFB"/>
    <w:rsid w:val="10FB1AA8"/>
    <w:rsid w:val="147847D5"/>
    <w:rsid w:val="18465320"/>
    <w:rsid w:val="1A876E66"/>
    <w:rsid w:val="1AE90A58"/>
    <w:rsid w:val="1F736BA3"/>
    <w:rsid w:val="20282611"/>
    <w:rsid w:val="255517FA"/>
    <w:rsid w:val="25B56DD4"/>
    <w:rsid w:val="26757452"/>
    <w:rsid w:val="29EB2AFB"/>
    <w:rsid w:val="2C475206"/>
    <w:rsid w:val="2C8052CD"/>
    <w:rsid w:val="2C9B7130"/>
    <w:rsid w:val="2DD37B2E"/>
    <w:rsid w:val="2F956CDC"/>
    <w:rsid w:val="303A0C90"/>
    <w:rsid w:val="31424138"/>
    <w:rsid w:val="32866D48"/>
    <w:rsid w:val="38F131A4"/>
    <w:rsid w:val="3A282B8F"/>
    <w:rsid w:val="3BE04B81"/>
    <w:rsid w:val="3D6C1E8E"/>
    <w:rsid w:val="3E47640C"/>
    <w:rsid w:val="3E477ACF"/>
    <w:rsid w:val="3F3861FA"/>
    <w:rsid w:val="411B6B2F"/>
    <w:rsid w:val="414A4154"/>
    <w:rsid w:val="44502853"/>
    <w:rsid w:val="483427C0"/>
    <w:rsid w:val="487503AE"/>
    <w:rsid w:val="4C0146CD"/>
    <w:rsid w:val="4ED14148"/>
    <w:rsid w:val="50F530E7"/>
    <w:rsid w:val="582E2D75"/>
    <w:rsid w:val="5B9C3B0C"/>
    <w:rsid w:val="5C5F5DB2"/>
    <w:rsid w:val="5CE07708"/>
    <w:rsid w:val="5D131446"/>
    <w:rsid w:val="5EA33DE2"/>
    <w:rsid w:val="60233110"/>
    <w:rsid w:val="60D179CD"/>
    <w:rsid w:val="673C3788"/>
    <w:rsid w:val="6E6F337E"/>
    <w:rsid w:val="70B771A2"/>
    <w:rsid w:val="719A1C34"/>
    <w:rsid w:val="720F7F50"/>
    <w:rsid w:val="74BD6F2E"/>
    <w:rsid w:val="7521645C"/>
    <w:rsid w:val="770E4313"/>
    <w:rsid w:val="7B9D456B"/>
    <w:rsid w:val="7C5570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Body Text Indent"/>
    <w:basedOn w:val="1"/>
    <w:qFormat/>
    <w:uiPriority w:val="0"/>
    <w:pPr>
      <w:spacing w:after="120"/>
      <w:ind w:left="200" w:leftChars="200"/>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10">
    <w:name w:val="table of figures"/>
    <w:basedOn w:val="1"/>
    <w:next w:val="1"/>
    <w:unhideWhenUsed/>
    <w:qFormat/>
    <w:uiPriority w:val="0"/>
    <w:pPr>
      <w:ind w:left="200" w:leftChars="200" w:hanging="200" w:hangingChars="200"/>
    </w:pPr>
    <w:rPr>
      <w:rFonts w:hint="eastAsia"/>
      <w:sz w:val="32"/>
      <w:szCs w:val="21"/>
    </w:rPr>
  </w:style>
  <w:style w:type="paragraph" w:styleId="11">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2">
    <w:name w:val="Body Text First Indent 2"/>
    <w:basedOn w:val="6"/>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5">
    <w:name w:val="Strong"/>
    <w:basedOn w:val="14"/>
    <w:qFormat/>
    <w:uiPriority w:val="0"/>
    <w:rPr>
      <w:b/>
    </w:rPr>
  </w:style>
  <w:style w:type="character" w:customStyle="1" w:styleId="16">
    <w:name w:val="10"/>
    <w:basedOn w:val="14"/>
    <w:qFormat/>
    <w:uiPriority w:val="0"/>
    <w:rPr>
      <w:rFonts w:hint="default" w:ascii="Times New Roman" w:hAnsi="Times New Roman" w:cs="Times New Roman"/>
    </w:rPr>
  </w:style>
  <w:style w:type="character" w:customStyle="1" w:styleId="17">
    <w:name w:val="16"/>
    <w:basedOn w:val="14"/>
    <w:qFormat/>
    <w:uiPriority w:val="0"/>
    <w:rPr>
      <w:rFonts w:hint="default" w:ascii="Times New Roman" w:hAnsi="Times New Roman" w:cs="Times New Roman"/>
      <w:b/>
      <w:bCs/>
      <w:kern w:val="44"/>
      <w:sz w:val="44"/>
      <w:szCs w:val="44"/>
    </w:rPr>
  </w:style>
  <w:style w:type="character" w:customStyle="1" w:styleId="18">
    <w:name w:val="15"/>
    <w:basedOn w:val="14"/>
    <w:qFormat/>
    <w:uiPriority w:val="0"/>
    <w:rPr>
      <w:rFonts w:hint="default" w:ascii="Times New Roman" w:hAnsi="Times New Roman" w:cs="Times New Roman"/>
      <w:b/>
    </w:rPr>
  </w:style>
  <w:style w:type="character" w:customStyle="1" w:styleId="19">
    <w:name w:val="17"/>
    <w:basedOn w:val="14"/>
    <w:qFormat/>
    <w:uiPriority w:val="0"/>
    <w:rPr>
      <w:rFonts w:hint="default" w:ascii="Cambria" w:hAnsi="Cambria" w:eastAsia="宋体" w:cs="Times New Roman"/>
      <w:b/>
      <w:bCs/>
      <w:sz w:val="32"/>
      <w:szCs w:val="32"/>
    </w:rPr>
  </w:style>
  <w:style w:type="paragraph" w:customStyle="1" w:styleId="20">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1">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character" w:customStyle="1" w:styleId="22">
    <w:name w:val="标题 1 Char"/>
    <w:basedOn w:val="14"/>
    <w:link w:val="3"/>
    <w:qFormat/>
    <w:uiPriority w:val="0"/>
    <w:rPr>
      <w:rFonts w:hint="default" w:ascii="Calibri" w:hAnsi="Calibri" w:eastAsia="宋体" w:cs="Times New Roman"/>
      <w:b/>
      <w:bCs/>
      <w:kern w:val="44"/>
      <w:sz w:val="44"/>
      <w:szCs w:val="4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公出国（境）费支出</c:v>
                </c:pt>
                <c:pt idx="1">
                  <c:v>公务用车购置费支出</c:v>
                </c:pt>
                <c:pt idx="2">
                  <c:v>公务用车运行维护费支出</c:v>
                </c:pt>
                <c:pt idx="3">
                  <c:v>公务接待费支出</c:v>
                </c:pt>
              </c:strCache>
            </c:strRef>
          </c:cat>
          <c:val>
            <c:numRef>
              <c:f>Sheet1!$B$2:$B$5</c:f>
              <c:numCache>
                <c:formatCode>General</c:formatCode>
                <c:ptCount val="4"/>
                <c:pt idx="0">
                  <c:v>0</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10915</Words>
  <Characters>13724</Characters>
  <Lines>0</Lines>
  <Paragraphs>0</Paragraphs>
  <TotalTime>1</TotalTime>
  <ScaleCrop>false</ScaleCrop>
  <LinksUpToDate>false</LinksUpToDate>
  <CharactersWithSpaces>13793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沈 强</cp:lastModifiedBy>
  <cp:lastPrinted>2024-09-08T01:14:00Z</cp:lastPrinted>
  <dcterms:modified xsi:type="dcterms:W3CDTF">2024-09-25T09:41:13Z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D4A39BB81AD24DD694D5EAEE214133A3_12</vt:lpwstr>
  </property>
</Properties>
</file>