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F7DC7">
      <w:pPr>
        <w:pStyle w:val="5"/>
        <w:widowControl/>
        <w:ind w:left="0" w:right="0"/>
        <w:jc w:val="center"/>
        <w:rPr>
          <w:rFonts w:hint="eastAsia" w:ascii="方正小标宋简体" w:hAnsi="宋体" w:eastAsia="方正小标宋简体" w:cs="Times New Roman"/>
          <w:kern w:val="2"/>
          <w:sz w:val="44"/>
          <w:szCs w:val="44"/>
        </w:rPr>
      </w:pPr>
    </w:p>
    <w:p w14:paraId="7FC1FE0F">
      <w:pPr>
        <w:pStyle w:val="5"/>
        <w:widowControl/>
        <w:ind w:left="0" w:right="0"/>
        <w:jc w:val="center"/>
        <w:rPr>
          <w:rFonts w:hint="eastAsia" w:ascii="方正小标宋简体" w:hAnsi="方正小标宋简体" w:eastAsia="方正小标宋简体" w:cs="方正小标宋简体"/>
          <w:kern w:val="2"/>
          <w:sz w:val="48"/>
          <w:szCs w:val="48"/>
        </w:rPr>
      </w:pPr>
    </w:p>
    <w:p w14:paraId="2BD4ABB0">
      <w:pPr>
        <w:pStyle w:val="5"/>
        <w:widowControl/>
        <w:ind w:left="0" w:right="0"/>
        <w:jc w:val="center"/>
        <w:rPr>
          <w:rFonts w:hint="eastAsia" w:ascii="方正小标宋简体" w:hAnsi="方正小标宋简体" w:eastAsia="方正小标宋简体" w:cs="方正小标宋简体"/>
          <w:kern w:val="2"/>
          <w:sz w:val="48"/>
          <w:szCs w:val="48"/>
        </w:rPr>
      </w:pPr>
    </w:p>
    <w:p w14:paraId="0C955A1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p>
    <w:p w14:paraId="4362C120">
      <w:pPr>
        <w:pStyle w:val="5"/>
        <w:widowControl/>
        <w:ind w:left="0" w:right="0"/>
        <w:jc w:val="center"/>
        <w:rPr>
          <w:rFonts w:hint="eastAsia" w:ascii="黑体" w:hAnsi="宋体" w:eastAsia="黑体" w:cs="黑体"/>
          <w:kern w:val="2"/>
          <w:sz w:val="48"/>
          <w:szCs w:val="48"/>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15378442"/>
      <w:bookmarkStart w:id="1" w:name="_Toc15377194"/>
      <w:bookmarkStart w:id="2" w:name="_Toc15377426"/>
      <w:bookmarkStart w:id="3" w:name="_Toc15396598"/>
      <w:bookmarkStart w:id="4" w:name="_Toc15396476"/>
      <w:r>
        <w:rPr>
          <w:rFonts w:hint="eastAsia" w:ascii="方正小标宋简体" w:hAnsi="方正小标宋简体" w:eastAsia="方正小标宋简体" w:cs="方正小标宋简体"/>
          <w:sz w:val="52"/>
          <w:szCs w:val="52"/>
        </w:rPr>
        <w:t>四川省</w:t>
      </w:r>
      <w:bookmarkStart w:id="5" w:name="_Toc15306268"/>
      <w:r>
        <w:rPr>
          <w:rFonts w:hint="eastAsia" w:ascii="方正小标宋简体" w:hAnsi="方正小标宋简体" w:eastAsia="方正小标宋简体" w:cs="方正小标宋简体"/>
          <w:sz w:val="52"/>
          <w:szCs w:val="52"/>
          <w:lang w:eastAsia="zh-CN"/>
        </w:rPr>
        <w:t>阿坝州</w:t>
      </w:r>
      <w:r>
        <w:rPr>
          <w:rFonts w:hint="eastAsia" w:ascii="方正小标宋简体" w:hAnsi="方正小标宋简体" w:eastAsia="方正小标宋简体" w:cs="方正小标宋简体"/>
          <w:sz w:val="52"/>
          <w:szCs w:val="52"/>
        </w:rPr>
        <w:t>茂县</w:t>
      </w:r>
      <w:r>
        <w:rPr>
          <w:rFonts w:hint="eastAsia" w:ascii="方正小标宋简体" w:hAnsi="方正小标宋简体" w:eastAsia="方正小标宋简体" w:cs="方正小标宋简体"/>
          <w:sz w:val="52"/>
          <w:szCs w:val="52"/>
          <w:lang w:eastAsia="zh-CN"/>
        </w:rPr>
        <w:t>政务服务和公共资源交易服务</w:t>
      </w:r>
      <w:r>
        <w:rPr>
          <w:rFonts w:hint="eastAsia" w:ascii="方正小标宋简体" w:hAnsi="方正小标宋简体" w:eastAsia="方正小标宋简体" w:cs="方正小标宋简体"/>
          <w:sz w:val="52"/>
          <w:szCs w:val="52"/>
        </w:rPr>
        <w:t>中心</w:t>
      </w:r>
      <w:r>
        <w:rPr>
          <w:rFonts w:hint="eastAsia" w:ascii="方正小标宋简体" w:hAnsi="方正小标宋简体" w:eastAsia="方正小标宋简体" w:cs="方正小标宋简体"/>
          <w:sz w:val="52"/>
          <w:szCs w:val="52"/>
          <w:lang w:eastAsia="zh-CN"/>
        </w:rPr>
        <w:t>单位</w:t>
      </w:r>
      <w:r>
        <w:rPr>
          <w:rFonts w:hint="eastAsia" w:ascii="方正小标宋简体" w:hAnsi="方正小标宋简体" w:eastAsia="方正小标宋简体" w:cs="方正小标宋简体"/>
          <w:sz w:val="52"/>
          <w:szCs w:val="52"/>
        </w:rPr>
        <w:t>决算</w:t>
      </w:r>
      <w:bookmarkEnd w:id="0"/>
      <w:bookmarkEnd w:id="1"/>
      <w:bookmarkEnd w:id="2"/>
      <w:bookmarkEnd w:id="3"/>
      <w:bookmarkEnd w:id="4"/>
      <w:bookmarkEnd w:id="5"/>
    </w:p>
    <w:p w14:paraId="660EE8A9">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14:paraId="46D5C447">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14:paraId="6BBF0C8F">
      <w:pPr>
        <w:pStyle w:val="8"/>
        <w:widowControl/>
        <w:spacing w:after="0" w:afterAutospacing="1"/>
        <w:ind w:left="0" w:right="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公开时间：2025年9月 25日</w:t>
      </w:r>
    </w:p>
    <w:p w14:paraId="06D01C91">
      <w:pPr>
        <w:pStyle w:val="8"/>
        <w:widowControl/>
        <w:spacing w:after="0" w:afterAutospacing="1"/>
        <w:ind w:left="0" w:right="0"/>
        <w:jc w:val="both"/>
      </w:pPr>
      <w:r>
        <w:rPr>
          <w:rFonts w:hint="eastAsia" w:ascii="宋体" w:hAnsi="宋体" w:eastAsia="宋体" w:cs="宋体"/>
          <w:kern w:val="2"/>
          <w:sz w:val="24"/>
          <w:szCs w:val="24"/>
          <w:lang w:val="en-US" w:eastAsia="zh-CN" w:bidi="ar"/>
        </w:rPr>
        <w:t>第一部分 单位概况...................................................1</w:t>
      </w:r>
    </w:p>
    <w:p w14:paraId="0BBBD671">
      <w:pPr>
        <w:pStyle w:val="8"/>
        <w:widowControl/>
        <w:numPr>
          <w:ilvl w:val="0"/>
          <w:numId w:val="0"/>
        </w:numPr>
        <w:spacing w:after="0" w:afterAutospacing="1"/>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一、主要职责....................................................1</w:t>
      </w:r>
    </w:p>
    <w:p w14:paraId="2A1F9189">
      <w:pPr>
        <w:pStyle w:val="10"/>
        <w:widowControl/>
        <w:adjustRightInd w:val="0"/>
        <w:snapToGrid w:val="0"/>
        <w:spacing w:before="0" w:beforeAutospacing="1" w:after="0" w:afterAutospacing="1" w:line="440" w:lineRule="exact"/>
        <w:ind w:left="0" w:leftChars="0" w:right="0" w:firstLine="480" w:firstLineChars="20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二、机构设置</w:t>
      </w:r>
      <w:r>
        <w:rPr>
          <w:rFonts w:hint="eastAsia" w:ascii="宋体" w:hAnsi="宋体" w:cs="宋体"/>
          <w:kern w:val="2"/>
          <w:sz w:val="24"/>
          <w:szCs w:val="24"/>
          <w:lang w:val="en-US" w:eastAsia="zh-CN" w:bidi="ar"/>
        </w:rPr>
        <w:t>....................................................2</w:t>
      </w:r>
    </w:p>
    <w:p w14:paraId="1226FC04">
      <w:pPr>
        <w:pStyle w:val="10"/>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 xml:space="preserve">第二部分 </w:t>
      </w:r>
      <w:r>
        <w:rPr>
          <w:rFonts w:hint="eastAsia" w:ascii="宋体" w:hAnsi="宋体" w:eastAsia="宋体" w:cs="宋体"/>
          <w:kern w:val="2"/>
          <w:sz w:val="24"/>
          <w:szCs w:val="24"/>
          <w:lang w:val="en-US" w:eastAsia="zh-CN" w:bidi="ar"/>
        </w:rPr>
        <w:t>202</w:t>
      </w:r>
      <w:r>
        <w:rPr>
          <w:rFonts w:hint="eastAsia" w:ascii="宋体" w:hAnsi="宋体" w:cs="宋体"/>
          <w:kern w:val="2"/>
          <w:sz w:val="24"/>
          <w:szCs w:val="24"/>
          <w:lang w:val="en-US" w:eastAsia="zh-CN" w:bidi="ar"/>
        </w:rPr>
        <w:t>4</w:t>
      </w:r>
      <w:r>
        <w:rPr>
          <w:rFonts w:hint="eastAsia" w:ascii="宋体" w:hAnsi="宋体" w:eastAsia="宋体" w:cs="宋体"/>
          <w:kern w:val="2"/>
          <w:sz w:val="24"/>
          <w:szCs w:val="24"/>
          <w:lang w:val="en-US" w:eastAsia="zh-CN" w:bidi="ar"/>
        </w:rPr>
        <w:t>年度单位决算情况说明</w:t>
      </w:r>
      <w:r>
        <w:rPr>
          <w:rFonts w:hint="eastAsia" w:ascii="宋体" w:hAnsi="宋体" w:cs="宋体"/>
          <w:kern w:val="2"/>
          <w:sz w:val="24"/>
          <w:szCs w:val="24"/>
          <w:lang w:val="en-US" w:eastAsia="zh-CN" w:bidi="ar"/>
        </w:rPr>
        <w:t>..................................2</w:t>
      </w:r>
    </w:p>
    <w:p w14:paraId="3887009D">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一、收入支出决算总体情况说明</w:t>
      </w:r>
      <w:r>
        <w:rPr>
          <w:rFonts w:hint="eastAsia" w:ascii="宋体" w:hAnsi="宋体" w:cs="宋体"/>
          <w:kern w:val="2"/>
          <w:sz w:val="24"/>
          <w:szCs w:val="24"/>
          <w:lang w:val="en-US" w:eastAsia="zh-CN" w:bidi="ar"/>
        </w:rPr>
        <w:t>....................................2</w:t>
      </w:r>
    </w:p>
    <w:p w14:paraId="71D7F5DB">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二、收入决算情况说明</w:t>
      </w:r>
      <w:r>
        <w:rPr>
          <w:rFonts w:hint="eastAsia" w:ascii="宋体" w:hAnsi="宋体" w:cs="宋体"/>
          <w:kern w:val="2"/>
          <w:sz w:val="24"/>
          <w:szCs w:val="24"/>
          <w:lang w:val="en-US" w:eastAsia="zh-CN" w:bidi="ar"/>
        </w:rPr>
        <w:t>............................................2</w:t>
      </w:r>
    </w:p>
    <w:p w14:paraId="1CCEFA80">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三、支出决算情况说明</w:t>
      </w:r>
      <w:r>
        <w:rPr>
          <w:rFonts w:hint="eastAsia" w:ascii="宋体" w:hAnsi="宋体" w:cs="宋体"/>
          <w:kern w:val="2"/>
          <w:sz w:val="24"/>
          <w:szCs w:val="24"/>
          <w:lang w:val="en-US" w:eastAsia="zh-CN" w:bidi="ar"/>
        </w:rPr>
        <w:t>............................................3</w:t>
      </w:r>
    </w:p>
    <w:p w14:paraId="5FC2DC10">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四、财政拨款收入支出决算总体情况说明</w:t>
      </w:r>
      <w:r>
        <w:rPr>
          <w:rFonts w:hint="eastAsia" w:ascii="宋体" w:hAnsi="宋体" w:cs="宋体"/>
          <w:kern w:val="2"/>
          <w:sz w:val="24"/>
          <w:szCs w:val="24"/>
          <w:lang w:val="en-US" w:eastAsia="zh-CN" w:bidi="ar"/>
        </w:rPr>
        <w:t>............................3</w:t>
      </w:r>
    </w:p>
    <w:p w14:paraId="4FEBC6A8">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五、一般公共预算财政拨款支出决算情况说明</w:t>
      </w:r>
      <w:r>
        <w:rPr>
          <w:rFonts w:hint="eastAsia" w:ascii="宋体" w:hAnsi="宋体" w:cs="宋体"/>
          <w:kern w:val="2"/>
          <w:sz w:val="24"/>
          <w:szCs w:val="24"/>
          <w:lang w:val="en-US" w:eastAsia="zh-CN" w:bidi="ar"/>
        </w:rPr>
        <w:t>........................4</w:t>
      </w:r>
    </w:p>
    <w:p w14:paraId="210CD88C">
      <w:pPr>
        <w:pStyle w:val="10"/>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六、一般公共预算财政拨款基本支出决算情况说明</w:t>
      </w:r>
      <w:r>
        <w:rPr>
          <w:rFonts w:hint="eastAsia" w:ascii="宋体" w:hAnsi="宋体" w:cs="宋体"/>
          <w:kern w:val="2"/>
          <w:sz w:val="24"/>
          <w:szCs w:val="24"/>
          <w:lang w:val="en-US" w:eastAsia="zh-CN" w:bidi="ar"/>
        </w:rPr>
        <w:t>....................6</w:t>
      </w:r>
    </w:p>
    <w:p w14:paraId="232023FC">
      <w:pPr>
        <w:pStyle w:val="10"/>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七、财政拨款“三公”经费支出决算情况说明</w:t>
      </w:r>
      <w:r>
        <w:rPr>
          <w:rFonts w:hint="eastAsia" w:ascii="宋体" w:hAnsi="宋体" w:cs="宋体"/>
          <w:kern w:val="2"/>
          <w:sz w:val="24"/>
          <w:szCs w:val="24"/>
          <w:lang w:val="en-US" w:eastAsia="zh-CN" w:bidi="ar"/>
        </w:rPr>
        <w:t>........................6</w:t>
      </w:r>
    </w:p>
    <w:p w14:paraId="5A89FEA1">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八、政府性基金预算支出决算情况说明</w:t>
      </w:r>
      <w:r>
        <w:rPr>
          <w:rFonts w:hint="eastAsia" w:ascii="宋体" w:hAnsi="宋体" w:cs="宋体"/>
          <w:kern w:val="2"/>
          <w:sz w:val="24"/>
          <w:szCs w:val="24"/>
          <w:lang w:val="en-US" w:eastAsia="zh-CN" w:bidi="ar"/>
        </w:rPr>
        <w:t>..............................6</w:t>
      </w:r>
    </w:p>
    <w:p w14:paraId="1B373FE4">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九、国有资本经营预算支出决算情况说明</w:t>
      </w:r>
      <w:r>
        <w:rPr>
          <w:rFonts w:hint="eastAsia" w:ascii="宋体" w:hAnsi="宋体" w:cs="宋体"/>
          <w:kern w:val="2"/>
          <w:sz w:val="24"/>
          <w:szCs w:val="24"/>
          <w:lang w:val="en-US" w:eastAsia="zh-CN" w:bidi="ar"/>
        </w:rPr>
        <w:t>............................6</w:t>
      </w:r>
    </w:p>
    <w:p w14:paraId="65FC064A">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十、其他重要事项的情况说明</w:t>
      </w:r>
      <w:r>
        <w:rPr>
          <w:rFonts w:hint="eastAsia" w:ascii="宋体" w:hAnsi="宋体" w:cs="宋体"/>
          <w:kern w:val="2"/>
          <w:sz w:val="24"/>
          <w:szCs w:val="24"/>
          <w:lang w:val="en-US" w:eastAsia="zh-CN" w:bidi="ar"/>
        </w:rPr>
        <w:t>......................................6</w:t>
      </w:r>
    </w:p>
    <w:p w14:paraId="2A93510E">
      <w:pPr>
        <w:pStyle w:val="10"/>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kern w:val="2"/>
          <w:sz w:val="24"/>
          <w:szCs w:val="24"/>
          <w:lang w:val="en-US" w:eastAsia="zh-CN" w:bidi="ar"/>
        </w:rPr>
        <w:t>第三部分 名词解释</w:t>
      </w:r>
      <w:r>
        <w:rPr>
          <w:rFonts w:hint="eastAsia" w:ascii="宋体" w:hAnsi="宋体" w:cs="宋体"/>
          <w:kern w:val="2"/>
          <w:sz w:val="24"/>
          <w:szCs w:val="24"/>
          <w:lang w:val="en-US" w:eastAsia="zh-CN" w:bidi="ar"/>
        </w:rPr>
        <w:t>...................................................8</w:t>
      </w:r>
    </w:p>
    <w:p w14:paraId="764A0445">
      <w:pPr>
        <w:pStyle w:val="8"/>
        <w:widowControl/>
        <w:numPr>
          <w:ilvl w:val="0"/>
          <w:numId w:val="0"/>
        </w:numPr>
        <w:adjustRightInd w:val="0"/>
        <w:snapToGrid w:val="0"/>
        <w:spacing w:before="0" w:beforeAutospacing="0" w:after="0" w:afterAutospacing="1" w:line="440" w:lineRule="exact"/>
        <w:ind w:right="0" w:rightChars="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第四部分 附表......................................................11</w:t>
      </w:r>
    </w:p>
    <w:p w14:paraId="2643A860">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一、收入支出决算总表</w:t>
      </w:r>
    </w:p>
    <w:p w14:paraId="134D309E">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二、收入决算表</w:t>
      </w:r>
    </w:p>
    <w:p w14:paraId="0FBBA493">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三、支出决算表</w:t>
      </w:r>
    </w:p>
    <w:p w14:paraId="02E7F1E4">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四、财政拨款收入支出决算总表</w:t>
      </w:r>
    </w:p>
    <w:p w14:paraId="287F7720">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五、财政拨款支出决算明细表</w:t>
      </w:r>
    </w:p>
    <w:p w14:paraId="1B834262">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六、一般公共预算财政拨款支出决算表</w:t>
      </w:r>
    </w:p>
    <w:p w14:paraId="1DEC1805">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七、一般公共预算财政拨款支出决算明细表</w:t>
      </w:r>
    </w:p>
    <w:p w14:paraId="252F22E9">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八、一般公共预算财政拨款基本支出决算明细表</w:t>
      </w:r>
    </w:p>
    <w:p w14:paraId="5EC07A78">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九、一般公共预算财政拨款项目支出决算表</w:t>
      </w:r>
    </w:p>
    <w:p w14:paraId="63D8D9C2">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十、政府性基金预算财政拨款收入支出决算表</w:t>
      </w:r>
    </w:p>
    <w:p w14:paraId="12BE5555">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十一、国有资本经营预算财政拨款收入支出决算表</w:t>
      </w:r>
    </w:p>
    <w:p w14:paraId="1C343058">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十二、国有资本经营预算财政拨款支出决算表</w:t>
      </w:r>
    </w:p>
    <w:p w14:paraId="0BB98E4D">
      <w:pPr>
        <w:pStyle w:val="10"/>
        <w:widowControl/>
        <w:adjustRightInd w:val="0"/>
        <w:snapToGrid w:val="0"/>
        <w:spacing w:before="0" w:beforeAutospacing="1" w:after="0" w:afterAutospacing="1" w:line="440" w:lineRule="exact"/>
        <w:ind w:leftChars="200" w:right="0"/>
        <w:jc w:val="left"/>
        <w:rPr>
          <w:rFonts w:hint="default" w:ascii="黑体" w:hAnsi="宋体" w:eastAsia="黑体" w:cs="黑体"/>
          <w:b w:val="0"/>
          <w:bCs/>
          <w:kern w:val="44"/>
          <w:sz w:val="44"/>
          <w:szCs w:val="44"/>
          <w:lang w:val="en-US"/>
        </w:rPr>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kern w:val="2"/>
          <w:sz w:val="24"/>
          <w:szCs w:val="24"/>
          <w:lang w:val="en-US" w:eastAsia="zh-CN" w:bidi="ar"/>
        </w:rPr>
        <w:t>十三、财政拨款“三公”经费支出决算表</w:t>
      </w:r>
    </w:p>
    <w:p w14:paraId="303ADED3">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16"/>
          <w:rFonts w:hint="eastAsia" w:ascii="黑体" w:hAnsi="宋体" w:eastAsia="黑体" w:cs="黑体"/>
          <w:b w:val="0"/>
          <w:bCs w:val="0"/>
          <w:kern w:val="44"/>
          <w:sz w:val="44"/>
          <w:szCs w:val="44"/>
        </w:rPr>
        <w:t>概况</w:t>
      </w:r>
    </w:p>
    <w:p w14:paraId="17B49D0F">
      <w:pPr>
        <w:pStyle w:val="4"/>
        <w:keepNext/>
        <w:keepLines/>
        <w:pageBreakBefore w:val="0"/>
        <w:widowControl/>
        <w:numPr>
          <w:ilvl w:val="0"/>
          <w:numId w:val="1"/>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18"/>
          <w:rFonts w:hint="eastAsia" w:ascii="黑体" w:hAnsi="宋体" w:eastAsia="黑体" w:cs="黑体"/>
          <w:b w:val="0"/>
          <w:bCs w:val="0"/>
          <w:sz w:val="32"/>
          <w:szCs w:val="32"/>
        </w:rPr>
        <w:t>主要职责</w:t>
      </w:r>
    </w:p>
    <w:p w14:paraId="30A515CA">
      <w:pPr>
        <w:numPr>
          <w:ilvl w:val="0"/>
          <w:numId w:val="2"/>
        </w:numPr>
        <w:spacing w:line="600" w:lineRule="exact"/>
        <w:ind w:firstLine="640" w:firstLineChars="200"/>
        <w:outlineLvl w:val="2"/>
        <w:rPr>
          <w:rFonts w:ascii="仿宋" w:hAnsi="仿宋" w:eastAsia="仿宋"/>
          <w:color w:val="000000"/>
          <w:sz w:val="32"/>
          <w:szCs w:val="32"/>
        </w:rPr>
      </w:pPr>
      <w:r>
        <w:rPr>
          <w:rFonts w:ascii="仿宋" w:hAnsi="仿宋" w:eastAsia="仿宋"/>
          <w:color w:val="000000"/>
          <w:sz w:val="32"/>
          <w:szCs w:val="32"/>
        </w:rPr>
        <w:t>负责深化行政审批制度改革和“放管服”改革工作。贯彻实施有关法律、法规、规章，执行上级有关行政审批制度和“放管服”改革的方针、政策；会同有关部门推进行政审批制度和“放管服”改革，提出行政审批制度和“放管服”改革的建议；承担县本级行政权力清单和责任清单的动态调整，牵头全县行政权力清单和责任清单工作，建立完善相关工作机制；制定县行政审批局各项规章制度和管理办法，并组织实施。</w:t>
      </w:r>
    </w:p>
    <w:p w14:paraId="63C1B296">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负责规范指导全县行政审批和政务服务工作，建立和完善相应工作机制，推进标准化建设；负责对划转的行政许可事项进行流程再造、环节优化、时限压缩，并对办理情况进行跟踪督办。</w:t>
      </w:r>
    </w:p>
    <w:p w14:paraId="0DB7F93B">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承办县直部门划入的涉及企业报效项目、市场准入、建设工程、交通水利、文教卫生、社会事务、涉农事务等方面的行政审批事项，及时将行政审批事项的结果通报给县直相关部门，逐步实行“一枚印章管审批”。</w:t>
      </w:r>
    </w:p>
    <w:p w14:paraId="37ABD0AA">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负责指导、协调进驻政务服务大厅部门的行政审批和公共服务工作；对窗口工作人员进行日常管理、年度考核等工作。</w:t>
      </w:r>
    </w:p>
    <w:p w14:paraId="4E954F3F">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负责对涉及全县行政审批工作、政务服务大厅工作及公共资源交易工作的投诉举报和承办、转办和督办工作。</w:t>
      </w:r>
    </w:p>
    <w:p w14:paraId="7C1DB75B">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负责对各乡镇便民服务中心相关工作的运行进行业务指导和监督，建立和完善高效的政务服务体系。</w:t>
      </w:r>
    </w:p>
    <w:p w14:paraId="49E05ABE">
      <w:pPr>
        <w:numPr>
          <w:ilvl w:val="0"/>
          <w:numId w:val="2"/>
        </w:numPr>
        <w:spacing w:line="600" w:lineRule="exact"/>
        <w:ind w:left="0" w:leftChars="0" w:firstLine="640" w:firstLineChars="200"/>
        <w:outlineLvl w:val="2"/>
        <w:rPr>
          <w:rFonts w:ascii="仿宋" w:hAnsi="仿宋" w:eastAsia="仿宋"/>
          <w:color w:val="000000"/>
          <w:sz w:val="32"/>
          <w:szCs w:val="32"/>
        </w:rPr>
      </w:pPr>
      <w:r>
        <w:rPr>
          <w:rFonts w:ascii="仿宋" w:hAnsi="仿宋" w:eastAsia="仿宋"/>
          <w:color w:val="000000"/>
          <w:sz w:val="32"/>
          <w:szCs w:val="32"/>
        </w:rPr>
        <w:t>负责全县公共资源交易管理工作。</w:t>
      </w:r>
    </w:p>
    <w:p w14:paraId="53218D31">
      <w:pPr>
        <w:numPr>
          <w:ilvl w:val="0"/>
          <w:numId w:val="0"/>
        </w:numPr>
        <w:spacing w:line="600" w:lineRule="exact"/>
        <w:ind w:firstLine="640" w:firstLineChars="200"/>
        <w:outlineLvl w:val="2"/>
      </w:pPr>
      <w:r>
        <w:rPr>
          <w:rFonts w:ascii="仿宋" w:hAnsi="仿宋" w:eastAsia="仿宋"/>
          <w:color w:val="000000"/>
          <w:sz w:val="32"/>
          <w:szCs w:val="32"/>
        </w:rPr>
        <w:t>8.完成县委、县政府交办的其他任务。</w:t>
      </w:r>
    </w:p>
    <w:p w14:paraId="76A7AD1E">
      <w:pPr>
        <w:pStyle w:val="4"/>
        <w:keepNext/>
        <w:keepLines/>
        <w:pageBreakBefore w:val="0"/>
        <w:widowControl/>
        <w:numPr>
          <w:ilvl w:val="0"/>
          <w:numId w:val="1"/>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14:paraId="62C7A490">
      <w:pPr>
        <w:spacing w:line="600" w:lineRule="exact"/>
        <w:ind w:firstLine="640" w:firstLineChars="200"/>
        <w:rPr>
          <w:rFonts w:hint="eastAsia"/>
          <w:lang w:val="en-US" w:eastAsia="zh-CN"/>
        </w:rPr>
      </w:pPr>
      <w:r>
        <w:rPr>
          <w:rFonts w:hint="eastAsia" w:ascii="仿宋" w:hAnsi="仿宋" w:eastAsia="仿宋" w:cs="仿宋"/>
          <w:kern w:val="2"/>
          <w:sz w:val="32"/>
          <w:szCs w:val="32"/>
          <w:lang w:val="en-US" w:eastAsia="zh-CN" w:bidi="ar"/>
        </w:rPr>
        <w:t>茂县政务服务和公共资源交易服务中心是茂县行政审批局下属的二级预算单位，是事业单位。</w:t>
      </w:r>
    </w:p>
    <w:p w14:paraId="1C44DABB">
      <w:pPr>
        <w:numPr>
          <w:ilvl w:val="0"/>
          <w:numId w:val="0"/>
        </w:numPr>
        <w:ind w:leftChars="0"/>
        <w:rPr>
          <w:rFonts w:hint="eastAsia"/>
        </w:rPr>
      </w:pPr>
    </w:p>
    <w:p w14:paraId="6958BED3">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b w:val="0"/>
          <w:bCs/>
          <w:kern w:val="44"/>
          <w:sz w:val="44"/>
          <w:szCs w:val="44"/>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w:t>
      </w:r>
      <w:r>
        <w:rPr>
          <w:rFonts w:hint="eastAsia" w:ascii="黑体" w:hAnsi="宋体" w:eastAsia="黑体" w:cs="黑体"/>
          <w:b w:val="0"/>
          <w:bCs/>
          <w:kern w:val="44"/>
          <w:sz w:val="44"/>
          <w:szCs w:val="44"/>
          <w:lang w:val="en-US" w:eastAsia="zh-CN"/>
        </w:rPr>
        <w:t>4</w:t>
      </w:r>
      <w:r>
        <w:rPr>
          <w:rFonts w:hint="eastAsia" w:ascii="黑体" w:hAnsi="宋体" w:eastAsia="黑体" w:cs="黑体"/>
          <w:b w:val="0"/>
          <w:bCs/>
          <w:kern w:val="44"/>
          <w:sz w:val="44"/>
          <w:szCs w:val="44"/>
        </w:rPr>
        <w:t>年度</w:t>
      </w:r>
      <w:r>
        <w:rPr>
          <w:rStyle w:val="16"/>
          <w:rFonts w:hint="eastAsia" w:ascii="黑体" w:hAnsi="宋体" w:eastAsia="黑体" w:cs="黑体"/>
          <w:b w:val="0"/>
          <w:bCs/>
          <w:kern w:val="44"/>
          <w:sz w:val="44"/>
          <w:szCs w:val="44"/>
        </w:rPr>
        <w:t>单位决算情况说明</w:t>
      </w:r>
    </w:p>
    <w:p w14:paraId="7B38EC84">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3DDAF0B">
      <w:pPr>
        <w:pStyle w:val="19"/>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18"/>
          <w:rFonts w:hint="eastAsia" w:ascii="黑体" w:hAnsi="宋体" w:eastAsia="黑体" w:cs="黑体"/>
          <w:b w:val="0"/>
          <w:bCs/>
          <w:sz w:val="32"/>
          <w:szCs w:val="32"/>
        </w:rPr>
        <w:t>入支出决算总体情况说明</w:t>
      </w:r>
    </w:p>
    <w:p w14:paraId="05EDFE86">
      <w:pPr>
        <w:spacing w:line="600"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2024年度收、支总计均为</w:t>
      </w:r>
      <w:r>
        <w:rPr>
          <w:rFonts w:hint="eastAsia" w:ascii="仿宋" w:hAnsi="仿宋" w:eastAsia="仿宋" w:cs="Times New Roman"/>
          <w:kern w:val="2"/>
          <w:sz w:val="32"/>
          <w:szCs w:val="32"/>
          <w:lang w:val="en-US" w:eastAsia="zh-CN" w:bidi="ar"/>
        </w:rPr>
        <w:t>167.61</w:t>
      </w:r>
      <w:r>
        <w:rPr>
          <w:rFonts w:hint="eastAsia" w:ascii="仿宋" w:hAnsi="仿宋" w:eastAsia="仿宋" w:cs="仿宋"/>
          <w:kern w:val="2"/>
          <w:sz w:val="32"/>
          <w:szCs w:val="32"/>
          <w:lang w:val="en-US" w:eastAsia="zh-CN" w:bidi="ar"/>
        </w:rPr>
        <w:t>万元。与2023年度相比，收、支总计各增加</w:t>
      </w:r>
      <w:r>
        <w:rPr>
          <w:rFonts w:hint="eastAsia" w:ascii="仿宋" w:hAnsi="仿宋" w:eastAsia="仿宋" w:cs="Times New Roman"/>
          <w:kern w:val="2"/>
          <w:sz w:val="32"/>
          <w:szCs w:val="32"/>
          <w:lang w:val="en-US" w:eastAsia="zh-CN" w:bidi="ar"/>
        </w:rPr>
        <w:t>13.56</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8.8%</w:t>
      </w:r>
      <w:r>
        <w:rPr>
          <w:rFonts w:hint="eastAsia" w:ascii="仿宋" w:hAnsi="仿宋" w:eastAsia="仿宋" w:cs="仿宋"/>
          <w:kern w:val="2"/>
          <w:sz w:val="32"/>
          <w:szCs w:val="32"/>
          <w:lang w:val="en-US" w:eastAsia="zh-CN" w:bidi="ar"/>
        </w:rPr>
        <w:t>。主要变动原因是：人员增加和</w:t>
      </w:r>
      <w:r>
        <w:rPr>
          <w:rFonts w:hint="eastAsia" w:ascii="仿宋" w:eastAsia="仿宋"/>
          <w:color w:val="000000"/>
          <w:sz w:val="32"/>
          <w:szCs w:val="32"/>
          <w:lang w:eastAsia="zh-CN"/>
        </w:rPr>
        <w:t>工资福利的增加。</w:t>
      </w:r>
    </w:p>
    <w:p w14:paraId="3939C60D">
      <w:pPr>
        <w:pStyle w:val="9"/>
        <w:rPr>
          <w:rFonts w:hint="eastAsia"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14:paraId="5542B91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18"/>
          <w:rFonts w:hint="eastAsia" w:ascii="黑体" w:hAnsi="宋体" w:eastAsia="黑体" w:cs="黑体"/>
          <w:b w:val="0"/>
          <w:bCs/>
          <w:sz w:val="32"/>
          <w:szCs w:val="32"/>
        </w:rPr>
        <w:t>入决算情况说明</w:t>
      </w:r>
    </w:p>
    <w:p w14:paraId="634ABF9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2024年度本年收入合计</w:t>
      </w:r>
      <w:r>
        <w:rPr>
          <w:rFonts w:hint="eastAsia" w:ascii="仿宋" w:hAnsi="仿宋" w:eastAsia="仿宋" w:cs="Times New Roman"/>
          <w:kern w:val="2"/>
          <w:sz w:val="32"/>
          <w:szCs w:val="32"/>
          <w:lang w:val="en-US" w:eastAsia="zh-CN" w:bidi="ar"/>
        </w:rPr>
        <w:t>167.61</w:t>
      </w:r>
      <w:r>
        <w:rPr>
          <w:rFonts w:hint="eastAsia" w:ascii="仿宋" w:hAnsi="仿宋" w:eastAsia="仿宋" w:cs="仿宋"/>
          <w:kern w:val="2"/>
          <w:sz w:val="32"/>
          <w:szCs w:val="32"/>
          <w:lang w:val="en-US" w:eastAsia="zh-CN" w:bidi="ar"/>
        </w:rPr>
        <w:t>万元，其中：一般公共预算财政拨款收入</w:t>
      </w:r>
      <w:r>
        <w:rPr>
          <w:rFonts w:hint="eastAsia" w:ascii="仿宋" w:hAnsi="仿宋" w:eastAsia="仿宋" w:cs="Times New Roman"/>
          <w:kern w:val="2"/>
          <w:sz w:val="32"/>
          <w:szCs w:val="32"/>
          <w:lang w:val="en-US" w:eastAsia="zh-CN" w:bidi="ar"/>
        </w:rPr>
        <w:t>167.61</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政府性基金预算财政拨款收入0万元，占0%;国有资本经营预算财政拨款收入0万元，占0%；上级补助收入0万元，占0%；事业收入0万元；占0%；经营收入0万元，占0%；附属单位上缴收入0万元，占0%；其他收入0万元，占0%。</w:t>
      </w:r>
    </w:p>
    <w:p w14:paraId="5FEF15E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2DC35E3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56E1F5B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63E4A6C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207B50D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1F21CD7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39088B2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40pt;margin-top:-158.6pt;height:182.6pt;width:256.9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14:paraId="5EACA87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18"/>
          <w:rFonts w:hint="eastAsia" w:ascii="黑体" w:hAnsi="宋体" w:eastAsia="黑体" w:cs="黑体"/>
          <w:b w:val="0"/>
          <w:bCs/>
          <w:sz w:val="32"/>
          <w:szCs w:val="32"/>
        </w:rPr>
        <w:t>出决算情况说明</w:t>
      </w:r>
    </w:p>
    <w:p w14:paraId="1FB2BE5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shd w:val="clear" w:fill="7F7F7F"/>
        </w:rPr>
      </w:pPr>
      <w:r>
        <w:rPr>
          <w:rFonts w:hint="eastAsia" w:ascii="仿宋" w:hAnsi="仿宋" w:eastAsia="仿宋" w:cs="仿宋"/>
          <w:kern w:val="2"/>
          <w:sz w:val="32"/>
          <w:szCs w:val="32"/>
          <w:lang w:val="en-US" w:eastAsia="zh-CN" w:bidi="ar"/>
        </w:rPr>
        <w:t>2024年度本年支出合计</w:t>
      </w:r>
      <w:r>
        <w:rPr>
          <w:rFonts w:hint="eastAsia" w:ascii="仿宋" w:hAnsi="仿宋" w:eastAsia="仿宋" w:cs="Times New Roman"/>
          <w:kern w:val="2"/>
          <w:sz w:val="32"/>
          <w:szCs w:val="32"/>
          <w:lang w:val="en-US" w:eastAsia="zh-CN" w:bidi="ar"/>
        </w:rPr>
        <w:t>167.61</w:t>
      </w:r>
      <w:r>
        <w:rPr>
          <w:rFonts w:hint="eastAsia" w:ascii="仿宋" w:hAnsi="仿宋" w:eastAsia="仿宋" w:cs="仿宋"/>
          <w:kern w:val="2"/>
          <w:sz w:val="32"/>
          <w:szCs w:val="32"/>
          <w:lang w:val="en-US" w:eastAsia="zh-CN" w:bidi="ar"/>
        </w:rPr>
        <w:t>万元，其中：基本支出</w:t>
      </w:r>
      <w:r>
        <w:rPr>
          <w:rFonts w:hint="eastAsia" w:ascii="仿宋" w:hAnsi="仿宋" w:eastAsia="仿宋" w:cs="Times New Roman"/>
          <w:kern w:val="2"/>
          <w:sz w:val="32"/>
          <w:szCs w:val="32"/>
          <w:lang w:val="en-US" w:eastAsia="zh-CN" w:bidi="ar"/>
        </w:rPr>
        <w:t>167.61</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；项目支出</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0%；上缴上级支出0万元，占0%；经营支出0万元，占0%；对附属单位补助支出0万元，占0%。</w:t>
      </w:r>
    </w:p>
    <w:p w14:paraId="16A3E771">
      <w:pPr>
        <w:pStyle w:val="9"/>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9" o:spt="75" alt="" type="#_x0000_t75" style="height:160.55pt;width:193.15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7" r:id="rId14">
            <o:LockedField>false</o:LockedField>
          </o:OLEObject>
        </w:object>
      </w:r>
    </w:p>
    <w:p w14:paraId="49F714E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18"/>
          <w:rFonts w:hint="eastAsia" w:ascii="黑体" w:hAnsi="宋体" w:eastAsia="黑体" w:cs="黑体"/>
          <w:b w:val="0"/>
          <w:bCs/>
          <w:kern w:val="2"/>
          <w:sz w:val="32"/>
          <w:szCs w:val="32"/>
          <w:lang w:val="en-US" w:eastAsia="zh-CN" w:bidi="ar"/>
        </w:rPr>
        <w:t>政拨款收入支出决算总体情况说明</w:t>
      </w:r>
    </w:p>
    <w:p w14:paraId="054F9BF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2024年度财政拨款收、支总计均为</w:t>
      </w:r>
      <w:r>
        <w:rPr>
          <w:rFonts w:hint="eastAsia" w:ascii="仿宋" w:hAnsi="仿宋" w:eastAsia="仿宋" w:cs="Times New Roman"/>
          <w:kern w:val="2"/>
          <w:sz w:val="32"/>
          <w:szCs w:val="32"/>
          <w:lang w:val="en-US" w:eastAsia="zh-CN" w:bidi="ar"/>
        </w:rPr>
        <w:t>167.61</w:t>
      </w:r>
      <w:r>
        <w:rPr>
          <w:rFonts w:hint="eastAsia" w:ascii="仿宋" w:hAnsi="仿宋" w:eastAsia="仿宋" w:cs="仿宋"/>
          <w:kern w:val="2"/>
          <w:sz w:val="32"/>
          <w:szCs w:val="32"/>
          <w:lang w:val="en-US" w:eastAsia="zh-CN" w:bidi="ar"/>
        </w:rPr>
        <w:t>万元。与2023年度相比，财政拨款收、支总计各增加</w:t>
      </w:r>
      <w:r>
        <w:rPr>
          <w:rFonts w:hint="eastAsia" w:ascii="仿宋" w:hAnsi="仿宋" w:eastAsia="仿宋" w:cs="Times New Roman"/>
          <w:kern w:val="2"/>
          <w:sz w:val="32"/>
          <w:szCs w:val="32"/>
          <w:lang w:val="en-US" w:eastAsia="zh-CN" w:bidi="ar"/>
        </w:rPr>
        <w:t>13.56</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8.8%</w:t>
      </w:r>
      <w:r>
        <w:rPr>
          <w:rFonts w:hint="eastAsia" w:ascii="仿宋" w:hAnsi="仿宋" w:eastAsia="仿宋" w:cs="仿宋"/>
          <w:kern w:val="2"/>
          <w:sz w:val="32"/>
          <w:szCs w:val="32"/>
          <w:lang w:val="en-US" w:eastAsia="zh-CN" w:bidi="ar"/>
        </w:rPr>
        <w:t>。主要变动原因是：人员变动和</w:t>
      </w:r>
      <w:r>
        <w:rPr>
          <w:rFonts w:hint="eastAsia" w:ascii="仿宋" w:eastAsia="仿宋"/>
          <w:color w:val="000000"/>
          <w:sz w:val="32"/>
          <w:szCs w:val="32"/>
          <w:lang w:eastAsia="zh-CN"/>
        </w:rPr>
        <w:t>工资福利的增加。</w:t>
      </w:r>
    </w:p>
    <w:p w14:paraId="3C704628">
      <w:pPr>
        <w:pStyle w:val="9"/>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14:paraId="05920BD7">
      <w:pPr>
        <w:pStyle w:val="9"/>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18"/>
          <w:rFonts w:hint="eastAsia" w:ascii="黑体" w:hAnsi="宋体" w:eastAsia="黑体" w:cs="黑体"/>
          <w:b w:val="0"/>
          <w:bCs/>
          <w:kern w:val="2"/>
          <w:sz w:val="32"/>
          <w:szCs w:val="32"/>
          <w:lang w:val="en-US" w:eastAsia="zh-CN" w:bidi="ar"/>
        </w:rPr>
        <w:t>般公共预算财政拨款支出决算情况说明</w:t>
      </w:r>
    </w:p>
    <w:p w14:paraId="407E41C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14:paraId="1A3A3D7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2024年度一般公共预算财政拨款支出</w:t>
      </w:r>
      <w:r>
        <w:rPr>
          <w:rFonts w:hint="eastAsia" w:ascii="仿宋" w:hAnsi="仿宋" w:eastAsia="仿宋" w:cs="Times New Roman"/>
          <w:kern w:val="2"/>
          <w:sz w:val="32"/>
          <w:szCs w:val="32"/>
          <w:lang w:val="en-US" w:eastAsia="zh-CN" w:bidi="ar"/>
        </w:rPr>
        <w:t>167.61</w:t>
      </w:r>
      <w:r>
        <w:rPr>
          <w:rFonts w:hint="eastAsia" w:ascii="仿宋" w:hAnsi="仿宋" w:eastAsia="仿宋" w:cs="仿宋"/>
          <w:kern w:val="2"/>
          <w:sz w:val="32"/>
          <w:szCs w:val="32"/>
          <w:lang w:val="en-US" w:eastAsia="zh-CN" w:bidi="ar"/>
        </w:rPr>
        <w:t>万元，占本年支出合计的</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。与2023年度相比，一般公共预算财政拨款支出增加</w:t>
      </w:r>
      <w:r>
        <w:rPr>
          <w:rFonts w:hint="eastAsia" w:ascii="仿宋" w:hAnsi="仿宋" w:eastAsia="仿宋" w:cs="Times New Roman"/>
          <w:kern w:val="2"/>
          <w:sz w:val="32"/>
          <w:szCs w:val="32"/>
          <w:lang w:val="en-US" w:eastAsia="zh-CN" w:bidi="ar"/>
        </w:rPr>
        <w:t>13.56</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8.80%</w:t>
      </w:r>
      <w:r>
        <w:rPr>
          <w:rFonts w:hint="eastAsia" w:ascii="仿宋" w:hAnsi="仿宋" w:eastAsia="仿宋" w:cs="仿宋"/>
          <w:kern w:val="2"/>
          <w:sz w:val="32"/>
          <w:szCs w:val="32"/>
          <w:lang w:val="en-US" w:eastAsia="zh-CN" w:bidi="ar"/>
        </w:rPr>
        <w:t>。主要变动原因为人员变动和</w:t>
      </w:r>
      <w:r>
        <w:rPr>
          <w:rFonts w:hint="eastAsia" w:ascii="仿宋" w:eastAsia="仿宋"/>
          <w:color w:val="000000"/>
          <w:sz w:val="32"/>
          <w:szCs w:val="32"/>
          <w:lang w:eastAsia="zh-CN"/>
        </w:rPr>
        <w:t>工资福利的增加。</w:t>
      </w:r>
    </w:p>
    <w:p w14:paraId="308F4D3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9.5pt;margin-top:10.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14:paraId="4C97D1A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20CFB14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7D1973D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14:paraId="00269A0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43A2A88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6F3EBEC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14:paraId="6715780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14:paraId="1407013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2024年度一般公共预算财政拨款支出167.61万元，主要用于以下方面</w:t>
      </w:r>
      <w:r>
        <w:rPr>
          <w:rFonts w:hint="eastAsia" w:ascii="仿宋" w:hAnsi="仿宋" w:eastAsia="仿宋" w:cs="Times New Roman"/>
          <w:kern w:val="2"/>
          <w:sz w:val="32"/>
          <w:szCs w:val="32"/>
          <w:lang w:val="en-US" w:eastAsia="zh-CN" w:bidi="ar"/>
        </w:rPr>
        <w:t>:</w:t>
      </w:r>
      <w:r>
        <w:rPr>
          <w:rFonts w:hint="eastAsia" w:ascii="仿宋" w:hAnsi="仿宋" w:eastAsia="仿宋" w:cs="仿宋"/>
          <w:b/>
          <w:bCs w:val="0"/>
          <w:kern w:val="2"/>
          <w:sz w:val="32"/>
          <w:szCs w:val="32"/>
          <w:lang w:val="en-US" w:eastAsia="zh-CN" w:bidi="ar"/>
        </w:rPr>
        <w:t>一般公共服务</w:t>
      </w:r>
      <w:r>
        <w:rPr>
          <w:rFonts w:hint="eastAsia" w:ascii="仿宋" w:hAnsi="仿宋" w:eastAsia="仿宋" w:cs="仿宋"/>
          <w:b/>
          <w:bCs/>
          <w:kern w:val="2"/>
          <w:sz w:val="32"/>
          <w:szCs w:val="32"/>
          <w:lang w:val="en-US" w:eastAsia="zh-CN" w:bidi="ar"/>
        </w:rPr>
        <w:t>支出</w:t>
      </w:r>
      <w:r>
        <w:rPr>
          <w:rFonts w:hint="eastAsia" w:ascii="仿宋" w:hAnsi="仿宋" w:eastAsia="仿宋" w:cs="仿宋"/>
          <w:b w:val="0"/>
          <w:bCs w:val="0"/>
          <w:kern w:val="2"/>
          <w:sz w:val="32"/>
          <w:szCs w:val="32"/>
          <w:lang w:val="en-US" w:eastAsia="zh-CN" w:bidi="ar"/>
        </w:rPr>
        <w:t>120.62</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71.62%</w:t>
      </w:r>
      <w:r>
        <w:rPr>
          <w:rFonts w:hint="eastAsia" w:ascii="仿宋" w:hAnsi="仿宋" w:eastAsia="仿宋" w:cs="仿宋"/>
          <w:kern w:val="2"/>
          <w:sz w:val="32"/>
          <w:szCs w:val="32"/>
          <w:lang w:val="en-US" w:eastAsia="zh-CN" w:bidi="ar"/>
        </w:rPr>
        <w:t>；</w:t>
      </w:r>
      <w:r>
        <w:rPr>
          <w:rFonts w:hint="eastAsia" w:ascii="仿宋" w:hAnsi="仿宋" w:eastAsia="仿宋" w:cs="仿宋"/>
          <w:b/>
          <w:bCs w:val="0"/>
          <w:kern w:val="2"/>
          <w:sz w:val="32"/>
          <w:szCs w:val="32"/>
          <w:lang w:val="en-US" w:eastAsia="zh-CN" w:bidi="ar"/>
        </w:rPr>
        <w:t>社会保障和就业</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25.28</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15.64%</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卫生健康支出</w:t>
      </w:r>
      <w:r>
        <w:rPr>
          <w:rFonts w:hint="eastAsia" w:ascii="仿宋" w:hAnsi="仿宋" w:eastAsia="仿宋" w:cs="Times New Roman"/>
          <w:kern w:val="2"/>
          <w:sz w:val="32"/>
          <w:szCs w:val="32"/>
          <w:lang w:val="en-US" w:eastAsia="zh-CN" w:bidi="ar"/>
        </w:rPr>
        <w:t>10.58</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6.30%</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住房保障支出</w:t>
      </w:r>
      <w:r>
        <w:rPr>
          <w:rFonts w:hint="eastAsia" w:ascii="仿宋" w:hAnsi="仿宋" w:eastAsia="仿宋" w:cs="Times New Roman"/>
          <w:kern w:val="2"/>
          <w:sz w:val="32"/>
          <w:szCs w:val="32"/>
          <w:lang w:val="en-US" w:eastAsia="zh-CN" w:bidi="ar"/>
        </w:rPr>
        <w:t>11.14</w:t>
      </w:r>
      <w:r>
        <w:rPr>
          <w:rFonts w:hint="eastAsia" w:ascii="仿宋" w:hAnsi="仿宋" w:eastAsia="仿宋" w:cs="仿宋"/>
          <w:kern w:val="2"/>
          <w:sz w:val="32"/>
          <w:szCs w:val="32"/>
          <w:lang w:val="en-US" w:eastAsia="zh-CN" w:bidi="ar"/>
        </w:rPr>
        <w:t>万元，占7.40</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14:paraId="4AAFA0F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24.95pt;margin-top:1.15pt;height:197.45pt;width:327.9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14:paraId="3B9F2C5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726A962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2B761FD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6FABFBD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5165D36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43D8ED4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14:paraId="7FE9E02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14:paraId="6434959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2"/>
        <w:rPr>
          <w:rFonts w:hint="eastAsia" w:ascii="仿宋" w:hAnsi="仿宋" w:eastAsia="仿宋" w:cs="Times New Roman"/>
          <w:b w:val="0"/>
          <w:bCs/>
          <w:kern w:val="2"/>
          <w:sz w:val="32"/>
          <w:szCs w:val="32"/>
        </w:rPr>
      </w:pPr>
      <w:r>
        <w:rPr>
          <w:rFonts w:hint="eastAsia" w:ascii="仿宋" w:hAnsi="仿宋" w:eastAsia="仿宋" w:cs="仿宋"/>
          <w:b w:val="0"/>
          <w:bCs/>
          <w:kern w:val="2"/>
          <w:sz w:val="32"/>
          <w:szCs w:val="32"/>
          <w:lang w:val="en-US" w:eastAsia="zh-CN" w:bidi="ar"/>
        </w:rPr>
        <w:t>2024年度一般公共预算支出决算数为</w:t>
      </w:r>
      <w:r>
        <w:rPr>
          <w:rFonts w:hint="eastAsia" w:ascii="仿宋" w:hAnsi="仿宋" w:eastAsia="仿宋" w:cs="Times New Roman"/>
          <w:b w:val="0"/>
          <w:bCs/>
          <w:kern w:val="2"/>
          <w:sz w:val="32"/>
          <w:szCs w:val="32"/>
          <w:lang w:val="en-US" w:eastAsia="zh-CN" w:bidi="ar"/>
        </w:rPr>
        <w:t>154.05万元</w:t>
      </w:r>
      <w:r>
        <w:rPr>
          <w:rFonts w:hint="eastAsia" w:ascii="仿宋" w:hAnsi="仿宋" w:eastAsia="仿宋" w:cs="仿宋"/>
          <w:b w:val="0"/>
          <w:bCs/>
          <w:kern w:val="2"/>
          <w:sz w:val="32"/>
          <w:szCs w:val="32"/>
          <w:lang w:val="en-US" w:eastAsia="zh-CN" w:bidi="ar"/>
        </w:rPr>
        <w:t>，</w:t>
      </w:r>
      <w:r>
        <w:rPr>
          <w:rStyle w:val="17"/>
          <w:rFonts w:hint="eastAsia" w:ascii="仿宋" w:hAnsi="仿宋" w:eastAsia="仿宋" w:cs="仿宋"/>
          <w:b w:val="0"/>
          <w:bCs/>
          <w:kern w:val="2"/>
          <w:sz w:val="32"/>
          <w:szCs w:val="32"/>
          <w:lang w:val="en-US" w:eastAsia="zh-CN" w:bidi="ar"/>
        </w:rPr>
        <w:t>完成预算</w:t>
      </w:r>
      <w:r>
        <w:rPr>
          <w:rStyle w:val="17"/>
          <w:rFonts w:hint="eastAsia" w:ascii="仿宋" w:hAnsi="仿宋" w:eastAsia="仿宋" w:cs="Times New Roman"/>
          <w:b w:val="0"/>
          <w:bCs/>
          <w:kern w:val="2"/>
          <w:sz w:val="32"/>
          <w:szCs w:val="32"/>
          <w:lang w:val="en-US" w:eastAsia="zh-CN" w:bidi="ar"/>
        </w:rPr>
        <w:t>100%</w:t>
      </w:r>
      <w:r>
        <w:rPr>
          <w:rStyle w:val="17"/>
          <w:rFonts w:hint="eastAsia" w:ascii="仿宋" w:hAnsi="仿宋" w:eastAsia="仿宋" w:cs="仿宋"/>
          <w:b w:val="0"/>
          <w:bCs/>
          <w:kern w:val="2"/>
          <w:sz w:val="32"/>
          <w:szCs w:val="32"/>
          <w:lang w:val="en-US" w:eastAsia="zh-CN" w:bidi="ar"/>
        </w:rPr>
        <w:t>。其中：</w:t>
      </w:r>
    </w:p>
    <w:p w14:paraId="7B5389B7">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7"/>
          <w:rFonts w:hint="eastAsia" w:ascii="仿宋" w:hAnsi="仿宋" w:eastAsia="仿宋" w:cs="仿宋"/>
          <w:b w:val="0"/>
          <w:bCs/>
          <w:kern w:val="2"/>
          <w:sz w:val="32"/>
          <w:szCs w:val="32"/>
          <w:lang w:val="en-US" w:eastAsia="zh-CN" w:bidi="ar"/>
        </w:rPr>
      </w:pPr>
      <w:r>
        <w:rPr>
          <w:rStyle w:val="17"/>
          <w:rFonts w:hint="eastAsia" w:ascii="仿宋" w:hAnsi="仿宋" w:eastAsia="仿宋" w:cs="仿宋"/>
          <w:b/>
          <w:bCs/>
          <w:kern w:val="2"/>
          <w:sz w:val="32"/>
          <w:szCs w:val="32"/>
          <w:lang w:val="en-US" w:eastAsia="zh-CN" w:bidi="ar"/>
        </w:rPr>
        <w:t>1.一般公共服务（201）</w:t>
      </w:r>
      <w:r>
        <w:rPr>
          <w:rStyle w:val="17"/>
          <w:rFonts w:hint="eastAsia" w:ascii="仿宋" w:hAnsi="仿宋" w:eastAsia="仿宋" w:cs="Times New Roman"/>
          <w:b/>
          <w:bCs/>
          <w:kern w:val="2"/>
          <w:sz w:val="32"/>
          <w:szCs w:val="32"/>
          <w:lang w:val="en-US" w:eastAsia="zh-CN" w:bidi="ar"/>
        </w:rPr>
        <w:t>政府办公厅（室）及相关机构事务</w:t>
      </w:r>
      <w:r>
        <w:rPr>
          <w:rStyle w:val="17"/>
          <w:rFonts w:hint="eastAsia" w:ascii="仿宋" w:hAnsi="仿宋" w:eastAsia="仿宋" w:cs="仿宋"/>
          <w:b/>
          <w:bCs/>
          <w:kern w:val="2"/>
          <w:sz w:val="32"/>
          <w:szCs w:val="32"/>
          <w:lang w:val="en-US" w:eastAsia="zh-CN" w:bidi="ar"/>
        </w:rPr>
        <w:t>（03）</w:t>
      </w:r>
      <w:r>
        <w:rPr>
          <w:rStyle w:val="17"/>
          <w:rFonts w:hint="eastAsia" w:ascii="仿宋" w:hAnsi="仿宋" w:eastAsia="仿宋" w:cs="Times New Roman"/>
          <w:b/>
          <w:bCs/>
          <w:kern w:val="2"/>
          <w:sz w:val="32"/>
          <w:szCs w:val="32"/>
          <w:lang w:val="en-US" w:eastAsia="zh-CN" w:bidi="ar"/>
        </w:rPr>
        <w:t>事业运行</w:t>
      </w:r>
      <w:r>
        <w:rPr>
          <w:rStyle w:val="17"/>
          <w:rFonts w:hint="eastAsia" w:ascii="仿宋" w:hAnsi="仿宋" w:eastAsia="仿宋" w:cs="仿宋"/>
          <w:b/>
          <w:bCs/>
          <w:kern w:val="2"/>
          <w:sz w:val="32"/>
          <w:szCs w:val="32"/>
          <w:lang w:val="en-US" w:eastAsia="zh-CN" w:bidi="ar"/>
        </w:rPr>
        <w:t>（50）</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Style w:val="17"/>
          <w:rFonts w:hint="eastAsia" w:ascii="仿宋" w:hAnsi="仿宋" w:eastAsia="仿宋" w:cs="仿宋"/>
          <w:b w:val="0"/>
          <w:bCs/>
          <w:kern w:val="2"/>
          <w:sz w:val="32"/>
          <w:szCs w:val="32"/>
          <w:lang w:val="en-US" w:eastAsia="zh-CN" w:bidi="ar"/>
        </w:rPr>
        <w:t>支出决算为</w:t>
      </w:r>
      <w:r>
        <w:rPr>
          <w:rStyle w:val="17"/>
          <w:rFonts w:hint="eastAsia" w:ascii="仿宋" w:hAnsi="仿宋" w:eastAsia="仿宋" w:cs="Times New Roman"/>
          <w:b w:val="0"/>
          <w:bCs/>
          <w:kern w:val="2"/>
          <w:sz w:val="32"/>
          <w:szCs w:val="32"/>
          <w:lang w:val="en-US" w:eastAsia="zh-CN" w:bidi="ar"/>
        </w:rPr>
        <w:t>120.62</w:t>
      </w:r>
      <w:r>
        <w:rPr>
          <w:rStyle w:val="17"/>
          <w:rFonts w:hint="eastAsia" w:ascii="仿宋" w:hAnsi="仿宋" w:eastAsia="仿宋" w:cs="仿宋"/>
          <w:b w:val="0"/>
          <w:bCs/>
          <w:kern w:val="2"/>
          <w:sz w:val="32"/>
          <w:szCs w:val="32"/>
          <w:lang w:val="en-US" w:eastAsia="zh-CN" w:bidi="ar"/>
        </w:rPr>
        <w:t>万元，完成预算</w:t>
      </w:r>
      <w:r>
        <w:rPr>
          <w:rStyle w:val="17"/>
          <w:rFonts w:hint="eastAsia" w:ascii="仿宋" w:hAnsi="仿宋" w:eastAsia="仿宋" w:cs="Times New Roman"/>
          <w:b w:val="0"/>
          <w:bCs/>
          <w:kern w:val="2"/>
          <w:sz w:val="32"/>
          <w:szCs w:val="32"/>
          <w:lang w:val="en-US" w:eastAsia="zh-CN" w:bidi="ar"/>
        </w:rPr>
        <w:t>100%，</w:t>
      </w:r>
      <w:r>
        <w:rPr>
          <w:rStyle w:val="17"/>
          <w:rFonts w:hint="eastAsia" w:ascii="仿宋" w:hAnsi="仿宋" w:eastAsia="仿宋" w:cs="仿宋"/>
          <w:b w:val="0"/>
          <w:bCs/>
          <w:kern w:val="2"/>
          <w:sz w:val="32"/>
          <w:szCs w:val="32"/>
          <w:lang w:val="en-US" w:eastAsia="zh-CN" w:bidi="ar"/>
        </w:rPr>
        <w:t>决算数与预算数持平。</w:t>
      </w:r>
    </w:p>
    <w:p w14:paraId="1981E19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Style w:val="17"/>
          <w:rFonts w:hint="eastAsia" w:ascii="仿宋" w:hAnsi="仿宋" w:eastAsia="仿宋" w:cs="仿宋"/>
          <w:b w:val="0"/>
          <w:bCs/>
          <w:kern w:val="2"/>
          <w:sz w:val="32"/>
          <w:szCs w:val="32"/>
          <w:lang w:val="en-US" w:eastAsia="zh-CN" w:bidi="ar"/>
        </w:rPr>
      </w:pPr>
      <w:r>
        <w:rPr>
          <w:rStyle w:val="17"/>
          <w:rFonts w:hint="eastAsia" w:ascii="仿宋" w:hAnsi="仿宋" w:eastAsia="仿宋" w:cs="Times New Roman"/>
          <w:b/>
          <w:bCs/>
          <w:kern w:val="2"/>
          <w:sz w:val="32"/>
          <w:szCs w:val="32"/>
          <w:lang w:val="en-US" w:eastAsia="zh-CN" w:bidi="ar"/>
        </w:rPr>
        <w:t>2.</w:t>
      </w:r>
      <w:r>
        <w:rPr>
          <w:rStyle w:val="17"/>
          <w:rFonts w:hint="eastAsia" w:ascii="仿宋" w:hAnsi="仿宋" w:eastAsia="仿宋" w:cs="仿宋"/>
          <w:b/>
          <w:bCs/>
          <w:kern w:val="2"/>
          <w:sz w:val="32"/>
          <w:szCs w:val="32"/>
          <w:lang w:val="en-US" w:eastAsia="zh-CN" w:bidi="ar"/>
        </w:rPr>
        <w:t>社会保障和就业（208）</w:t>
      </w:r>
      <w:r>
        <w:rPr>
          <w:rStyle w:val="17"/>
          <w:rFonts w:hint="eastAsia" w:ascii="仿宋" w:hAnsi="仿宋" w:eastAsia="仿宋" w:cs="Times New Roman"/>
          <w:b/>
          <w:bCs/>
          <w:kern w:val="2"/>
          <w:sz w:val="32"/>
          <w:szCs w:val="32"/>
          <w:lang w:val="en-US" w:eastAsia="zh-CN" w:bidi="ar"/>
        </w:rPr>
        <w:t>行政事业单位养老支出</w:t>
      </w:r>
      <w:r>
        <w:rPr>
          <w:rStyle w:val="17"/>
          <w:rFonts w:hint="eastAsia" w:ascii="仿宋" w:hAnsi="仿宋" w:eastAsia="仿宋" w:cs="仿宋"/>
          <w:b/>
          <w:bCs/>
          <w:kern w:val="2"/>
          <w:sz w:val="32"/>
          <w:szCs w:val="32"/>
          <w:lang w:val="en-US" w:eastAsia="zh-CN" w:bidi="ar"/>
        </w:rPr>
        <w:t>（05）</w:t>
      </w:r>
      <w:r>
        <w:rPr>
          <w:rStyle w:val="17"/>
          <w:rFonts w:hint="eastAsia" w:ascii="仿宋" w:hAnsi="仿宋" w:eastAsia="仿宋" w:cs="Times New Roman"/>
          <w:b/>
          <w:bCs/>
          <w:kern w:val="2"/>
          <w:sz w:val="32"/>
          <w:szCs w:val="32"/>
          <w:lang w:val="en-US" w:eastAsia="zh-CN" w:bidi="ar"/>
        </w:rPr>
        <w:t>机关事业单位基本养老保险缴费支出</w:t>
      </w:r>
      <w:r>
        <w:rPr>
          <w:rStyle w:val="17"/>
          <w:rFonts w:hint="eastAsia" w:ascii="仿宋" w:hAnsi="仿宋" w:eastAsia="仿宋" w:cs="仿宋"/>
          <w:b/>
          <w:bCs/>
          <w:kern w:val="2"/>
          <w:sz w:val="32"/>
          <w:szCs w:val="32"/>
          <w:lang w:val="en-US" w:eastAsia="zh-CN" w:bidi="ar"/>
        </w:rPr>
        <w:t>（05）</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Style w:val="17"/>
          <w:rFonts w:hint="eastAsia" w:ascii="仿宋" w:hAnsi="仿宋" w:eastAsia="仿宋" w:cs="仿宋"/>
          <w:b w:val="0"/>
          <w:bCs/>
          <w:kern w:val="2"/>
          <w:sz w:val="32"/>
          <w:szCs w:val="32"/>
          <w:lang w:val="en-US" w:eastAsia="zh-CN" w:bidi="ar"/>
        </w:rPr>
        <w:t>支出决算为</w:t>
      </w:r>
      <w:r>
        <w:rPr>
          <w:rStyle w:val="17"/>
          <w:rFonts w:hint="eastAsia" w:ascii="仿宋" w:hAnsi="仿宋" w:eastAsia="仿宋" w:cs="Times New Roman"/>
          <w:b w:val="0"/>
          <w:bCs/>
          <w:kern w:val="2"/>
          <w:sz w:val="32"/>
          <w:szCs w:val="32"/>
          <w:lang w:val="en-US" w:eastAsia="zh-CN" w:bidi="ar"/>
        </w:rPr>
        <w:t>16.85</w:t>
      </w:r>
      <w:r>
        <w:rPr>
          <w:rStyle w:val="17"/>
          <w:rFonts w:hint="eastAsia" w:ascii="仿宋" w:hAnsi="仿宋" w:eastAsia="仿宋" w:cs="仿宋"/>
          <w:b w:val="0"/>
          <w:bCs/>
          <w:kern w:val="2"/>
          <w:sz w:val="32"/>
          <w:szCs w:val="32"/>
          <w:lang w:val="en-US" w:eastAsia="zh-CN" w:bidi="ar"/>
        </w:rPr>
        <w:t>万元，完成预算</w:t>
      </w:r>
      <w:r>
        <w:rPr>
          <w:rStyle w:val="17"/>
          <w:rFonts w:hint="eastAsia" w:ascii="仿宋" w:hAnsi="仿宋" w:eastAsia="仿宋" w:cs="Times New Roman"/>
          <w:b w:val="0"/>
          <w:bCs/>
          <w:kern w:val="2"/>
          <w:sz w:val="32"/>
          <w:szCs w:val="32"/>
          <w:lang w:val="en-US" w:eastAsia="zh-CN" w:bidi="ar"/>
        </w:rPr>
        <w:t>100%，</w:t>
      </w:r>
      <w:r>
        <w:rPr>
          <w:rStyle w:val="17"/>
          <w:rFonts w:hint="eastAsia" w:ascii="仿宋" w:hAnsi="仿宋" w:eastAsia="仿宋" w:cs="仿宋"/>
          <w:b w:val="0"/>
          <w:bCs/>
          <w:kern w:val="2"/>
          <w:sz w:val="32"/>
          <w:szCs w:val="32"/>
          <w:lang w:val="en-US" w:eastAsia="zh-CN" w:bidi="ar"/>
        </w:rPr>
        <w:t>决算数与预算数持平。</w:t>
      </w:r>
    </w:p>
    <w:p w14:paraId="734C45C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rPr>
      </w:pPr>
      <w:r>
        <w:rPr>
          <w:rStyle w:val="17"/>
          <w:rFonts w:hint="eastAsia" w:ascii="仿宋" w:hAnsi="仿宋" w:eastAsia="仿宋" w:cs="仿宋"/>
          <w:b/>
          <w:bCs/>
          <w:kern w:val="2"/>
          <w:sz w:val="32"/>
          <w:szCs w:val="32"/>
          <w:lang w:val="en-US" w:eastAsia="zh-CN" w:bidi="ar"/>
        </w:rPr>
        <w:t>3.社会保障和就业（208）</w:t>
      </w:r>
      <w:r>
        <w:rPr>
          <w:rStyle w:val="17"/>
          <w:rFonts w:hint="eastAsia" w:ascii="仿宋" w:hAnsi="仿宋" w:eastAsia="仿宋" w:cs="Times New Roman"/>
          <w:b/>
          <w:bCs/>
          <w:kern w:val="2"/>
          <w:sz w:val="32"/>
          <w:szCs w:val="32"/>
          <w:lang w:val="en-US" w:eastAsia="zh-CN" w:bidi="ar"/>
        </w:rPr>
        <w:t>行政事业单位养老支出</w:t>
      </w:r>
      <w:r>
        <w:rPr>
          <w:rStyle w:val="17"/>
          <w:rFonts w:hint="eastAsia" w:ascii="仿宋" w:hAnsi="仿宋" w:eastAsia="仿宋" w:cs="仿宋"/>
          <w:b/>
          <w:bCs/>
          <w:kern w:val="2"/>
          <w:sz w:val="32"/>
          <w:szCs w:val="32"/>
          <w:lang w:val="en-US" w:eastAsia="zh-CN" w:bidi="ar"/>
        </w:rPr>
        <w:t>（05）</w:t>
      </w:r>
      <w:r>
        <w:rPr>
          <w:rStyle w:val="17"/>
          <w:rFonts w:hint="eastAsia" w:ascii="仿宋" w:hAnsi="仿宋" w:eastAsia="仿宋" w:cs="Times New Roman"/>
          <w:b/>
          <w:bCs/>
          <w:kern w:val="2"/>
          <w:sz w:val="32"/>
          <w:szCs w:val="32"/>
          <w:lang w:val="en-US" w:eastAsia="zh-CN" w:bidi="ar"/>
        </w:rPr>
        <w:t>机关事业单位职业年金缴费支出</w:t>
      </w:r>
      <w:r>
        <w:rPr>
          <w:rStyle w:val="17"/>
          <w:rFonts w:hint="eastAsia" w:ascii="仿宋" w:hAnsi="仿宋" w:eastAsia="仿宋" w:cs="仿宋"/>
          <w:b/>
          <w:bCs/>
          <w:kern w:val="2"/>
          <w:sz w:val="32"/>
          <w:szCs w:val="32"/>
          <w:lang w:val="en-US" w:eastAsia="zh-CN" w:bidi="ar"/>
        </w:rPr>
        <w:t>（06）</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Style w:val="17"/>
          <w:rFonts w:hint="eastAsia" w:ascii="仿宋" w:hAnsi="仿宋" w:eastAsia="仿宋" w:cs="仿宋"/>
          <w:b w:val="0"/>
          <w:bCs/>
          <w:kern w:val="2"/>
          <w:sz w:val="32"/>
          <w:szCs w:val="32"/>
          <w:lang w:val="en-US" w:eastAsia="zh-CN" w:bidi="ar"/>
        </w:rPr>
        <w:t>支出决算为</w:t>
      </w:r>
      <w:r>
        <w:rPr>
          <w:rStyle w:val="17"/>
          <w:rFonts w:hint="eastAsia" w:ascii="仿宋" w:hAnsi="仿宋" w:eastAsia="仿宋" w:cs="Times New Roman"/>
          <w:b w:val="0"/>
          <w:bCs/>
          <w:kern w:val="2"/>
          <w:sz w:val="32"/>
          <w:szCs w:val="32"/>
          <w:lang w:val="en-US" w:eastAsia="zh-CN" w:bidi="ar"/>
        </w:rPr>
        <w:t>8.42</w:t>
      </w:r>
      <w:r>
        <w:rPr>
          <w:rStyle w:val="17"/>
          <w:rFonts w:hint="eastAsia" w:ascii="仿宋" w:hAnsi="仿宋" w:eastAsia="仿宋" w:cs="仿宋"/>
          <w:b w:val="0"/>
          <w:bCs/>
          <w:kern w:val="2"/>
          <w:sz w:val="32"/>
          <w:szCs w:val="32"/>
          <w:lang w:val="en-US" w:eastAsia="zh-CN" w:bidi="ar"/>
        </w:rPr>
        <w:t>万元，完成预算</w:t>
      </w:r>
      <w:r>
        <w:rPr>
          <w:rStyle w:val="17"/>
          <w:rFonts w:hint="eastAsia" w:ascii="仿宋" w:hAnsi="仿宋" w:eastAsia="仿宋" w:cs="Times New Roman"/>
          <w:b w:val="0"/>
          <w:bCs/>
          <w:kern w:val="2"/>
          <w:sz w:val="32"/>
          <w:szCs w:val="32"/>
          <w:lang w:val="en-US" w:eastAsia="zh-CN" w:bidi="ar"/>
        </w:rPr>
        <w:t>100%，</w:t>
      </w:r>
      <w:r>
        <w:rPr>
          <w:rStyle w:val="17"/>
          <w:rFonts w:hint="eastAsia" w:ascii="仿宋" w:hAnsi="仿宋" w:eastAsia="仿宋" w:cs="仿宋"/>
          <w:b w:val="0"/>
          <w:bCs/>
          <w:kern w:val="2"/>
          <w:sz w:val="32"/>
          <w:szCs w:val="32"/>
          <w:lang w:val="en-US" w:eastAsia="zh-CN" w:bidi="ar"/>
        </w:rPr>
        <w:t>决算数与预算数持平。</w:t>
      </w:r>
    </w:p>
    <w:p w14:paraId="057E9F0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b/>
          <w:bCs w:val="0"/>
          <w:kern w:val="2"/>
          <w:sz w:val="32"/>
          <w:szCs w:val="32"/>
        </w:rPr>
      </w:pPr>
      <w:r>
        <w:rPr>
          <w:rStyle w:val="17"/>
          <w:rFonts w:hint="eastAsia" w:ascii="仿宋" w:hAnsi="仿宋" w:eastAsia="仿宋" w:cs="Times New Roman"/>
          <w:b/>
          <w:bCs/>
          <w:kern w:val="2"/>
          <w:sz w:val="32"/>
          <w:szCs w:val="32"/>
          <w:lang w:val="en-US" w:eastAsia="zh-CN" w:bidi="ar"/>
        </w:rPr>
        <w:t>4.</w:t>
      </w:r>
      <w:r>
        <w:rPr>
          <w:rFonts w:hint="eastAsia" w:ascii="仿宋" w:hAnsi="仿宋" w:eastAsia="仿宋" w:cs="仿宋"/>
          <w:b/>
          <w:bCs/>
          <w:kern w:val="2"/>
          <w:sz w:val="32"/>
          <w:szCs w:val="32"/>
          <w:lang w:val="en-US" w:eastAsia="zh-CN" w:bidi="ar"/>
        </w:rPr>
        <w:t>卫生健康</w:t>
      </w:r>
      <w:r>
        <w:rPr>
          <w:rStyle w:val="17"/>
          <w:rFonts w:hint="eastAsia" w:ascii="仿宋" w:hAnsi="仿宋" w:eastAsia="仿宋" w:cs="仿宋"/>
          <w:b/>
          <w:bCs/>
          <w:kern w:val="2"/>
          <w:sz w:val="32"/>
          <w:szCs w:val="32"/>
          <w:lang w:val="en-US" w:eastAsia="zh-CN" w:bidi="ar"/>
        </w:rPr>
        <w:t>（210）</w:t>
      </w:r>
      <w:r>
        <w:rPr>
          <w:rStyle w:val="17"/>
          <w:rFonts w:hint="eastAsia" w:ascii="仿宋" w:hAnsi="仿宋" w:eastAsia="仿宋" w:cs="Times New Roman"/>
          <w:b/>
          <w:bCs/>
          <w:kern w:val="2"/>
          <w:sz w:val="32"/>
          <w:szCs w:val="32"/>
          <w:lang w:val="en-US" w:eastAsia="zh-CN" w:bidi="ar"/>
        </w:rPr>
        <w:t>行政事业单位医疗</w:t>
      </w:r>
      <w:r>
        <w:rPr>
          <w:rStyle w:val="17"/>
          <w:rFonts w:hint="eastAsia" w:ascii="仿宋" w:hAnsi="仿宋" w:eastAsia="仿宋" w:cs="仿宋"/>
          <w:b/>
          <w:bCs/>
          <w:kern w:val="2"/>
          <w:sz w:val="32"/>
          <w:szCs w:val="32"/>
          <w:lang w:val="en-US" w:eastAsia="zh-CN" w:bidi="ar"/>
        </w:rPr>
        <w:t>（11）</w:t>
      </w:r>
      <w:r>
        <w:rPr>
          <w:rStyle w:val="17"/>
          <w:rFonts w:hint="eastAsia" w:ascii="仿宋" w:hAnsi="仿宋" w:eastAsia="仿宋" w:cs="Times New Roman"/>
          <w:b/>
          <w:bCs/>
          <w:kern w:val="2"/>
          <w:sz w:val="32"/>
          <w:szCs w:val="32"/>
          <w:lang w:val="en-US" w:eastAsia="zh-CN" w:bidi="ar"/>
        </w:rPr>
        <w:t>事业单位医疗</w:t>
      </w:r>
      <w:r>
        <w:rPr>
          <w:rStyle w:val="17"/>
          <w:rFonts w:hint="eastAsia" w:ascii="仿宋" w:hAnsi="仿宋" w:eastAsia="仿宋" w:cs="仿宋"/>
          <w:b/>
          <w:bCs/>
          <w:kern w:val="2"/>
          <w:sz w:val="32"/>
          <w:szCs w:val="32"/>
          <w:lang w:val="en-US" w:eastAsia="zh-CN" w:bidi="ar"/>
        </w:rPr>
        <w:t>（02）</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仿宋"/>
          <w:b w:val="0"/>
          <w:bCs/>
          <w:kern w:val="2"/>
          <w:sz w:val="32"/>
          <w:szCs w:val="32"/>
          <w:lang w:val="en-US" w:eastAsia="zh-CN" w:bidi="ar"/>
        </w:rPr>
        <w:t>支出决算为</w:t>
      </w:r>
      <w:r>
        <w:rPr>
          <w:rStyle w:val="17"/>
          <w:rFonts w:hint="eastAsia" w:ascii="仿宋" w:hAnsi="仿宋" w:eastAsia="仿宋" w:cs="Times New Roman"/>
          <w:b w:val="0"/>
          <w:bCs/>
          <w:kern w:val="2"/>
          <w:sz w:val="32"/>
          <w:szCs w:val="32"/>
          <w:lang w:val="en-US" w:eastAsia="zh-CN" w:bidi="ar"/>
        </w:rPr>
        <w:t>10.58</w:t>
      </w:r>
      <w:r>
        <w:rPr>
          <w:rStyle w:val="17"/>
          <w:rFonts w:hint="eastAsia" w:ascii="仿宋" w:hAnsi="仿宋" w:eastAsia="仿宋" w:cs="仿宋"/>
          <w:b w:val="0"/>
          <w:bCs/>
          <w:kern w:val="2"/>
          <w:sz w:val="32"/>
          <w:szCs w:val="32"/>
          <w:lang w:val="en-US" w:eastAsia="zh-CN" w:bidi="ar"/>
        </w:rPr>
        <w:t>万元，完成预算</w:t>
      </w:r>
      <w:r>
        <w:rPr>
          <w:rStyle w:val="17"/>
          <w:rFonts w:hint="eastAsia" w:ascii="仿宋" w:hAnsi="仿宋" w:eastAsia="仿宋" w:cs="Times New Roman"/>
          <w:b w:val="0"/>
          <w:bCs/>
          <w:kern w:val="2"/>
          <w:sz w:val="32"/>
          <w:szCs w:val="32"/>
          <w:lang w:val="en-US" w:eastAsia="zh-CN" w:bidi="ar"/>
        </w:rPr>
        <w:t>100%，</w:t>
      </w:r>
      <w:r>
        <w:rPr>
          <w:rStyle w:val="17"/>
          <w:rFonts w:hint="eastAsia" w:ascii="仿宋" w:hAnsi="仿宋" w:eastAsia="仿宋" w:cs="仿宋"/>
          <w:b w:val="0"/>
          <w:bCs/>
          <w:kern w:val="2"/>
          <w:sz w:val="32"/>
          <w:szCs w:val="32"/>
          <w:lang w:val="en-US" w:eastAsia="zh-CN" w:bidi="ar"/>
        </w:rPr>
        <w:t>决算数与预算数持平。</w:t>
      </w:r>
    </w:p>
    <w:p w14:paraId="52779870">
      <w:pPr>
        <w:spacing w:line="600" w:lineRule="exact"/>
        <w:ind w:firstLine="643" w:firstLineChars="200"/>
        <w:rPr>
          <w:rFonts w:hint="eastAsia" w:ascii="仿宋" w:hAnsi="仿宋" w:eastAsia="仿宋" w:cs="Times New Roman"/>
          <w:b/>
          <w:bCs w:val="0"/>
          <w:kern w:val="2"/>
          <w:sz w:val="32"/>
          <w:szCs w:val="32"/>
        </w:rPr>
      </w:pPr>
      <w:r>
        <w:rPr>
          <w:rFonts w:hint="eastAsia" w:ascii="仿宋" w:hAnsi="仿宋" w:eastAsia="仿宋" w:cs="仿宋"/>
          <w:b/>
          <w:bCs/>
          <w:kern w:val="2"/>
          <w:sz w:val="32"/>
          <w:szCs w:val="32"/>
          <w:lang w:val="en-US" w:eastAsia="zh-CN" w:bidi="ar"/>
        </w:rPr>
        <w:t>5.住房保障支出（221）住房改革支出（02）住房公积金（01）：</w:t>
      </w:r>
      <w:r>
        <w:rPr>
          <w:rStyle w:val="17"/>
          <w:rFonts w:hint="eastAsia" w:ascii="仿宋" w:hAnsi="仿宋" w:eastAsia="仿宋" w:cs="仿宋"/>
          <w:b w:val="0"/>
          <w:bCs/>
          <w:kern w:val="2"/>
          <w:sz w:val="32"/>
          <w:szCs w:val="32"/>
          <w:lang w:val="en-US" w:eastAsia="zh-CN" w:bidi="ar"/>
        </w:rPr>
        <w:t>支出决算为</w:t>
      </w:r>
      <w:r>
        <w:rPr>
          <w:rFonts w:hint="eastAsia" w:ascii="仿宋_GB2312" w:eastAsia="仿宋_GB2312"/>
          <w:color w:val="000000"/>
          <w:sz w:val="32"/>
          <w:szCs w:val="32"/>
          <w:lang w:val="en-US" w:eastAsia="zh-CN"/>
        </w:rPr>
        <w:t>11.42</w:t>
      </w:r>
      <w:r>
        <w:rPr>
          <w:rFonts w:hint="eastAsia" w:ascii="仿宋_GB2312" w:eastAsia="仿宋_GB2312"/>
          <w:color w:val="000000"/>
          <w:sz w:val="32"/>
          <w:szCs w:val="32"/>
        </w:rPr>
        <w:t>万元，完成预算的100%</w:t>
      </w:r>
      <w:r>
        <w:rPr>
          <w:rStyle w:val="17"/>
          <w:rFonts w:hint="eastAsia" w:ascii="仿宋" w:hAnsi="仿宋" w:eastAsia="仿宋" w:cs="Times New Roman"/>
          <w:b w:val="0"/>
          <w:bCs/>
          <w:kern w:val="2"/>
          <w:sz w:val="32"/>
          <w:szCs w:val="32"/>
          <w:lang w:val="en-US" w:eastAsia="zh-CN" w:bidi="ar"/>
        </w:rPr>
        <w:t>，</w:t>
      </w:r>
      <w:r>
        <w:rPr>
          <w:rStyle w:val="17"/>
          <w:rFonts w:hint="eastAsia" w:ascii="仿宋" w:hAnsi="仿宋" w:eastAsia="仿宋" w:cs="仿宋"/>
          <w:b w:val="0"/>
          <w:bCs/>
          <w:kern w:val="2"/>
          <w:sz w:val="32"/>
          <w:szCs w:val="32"/>
          <w:lang w:val="en-US" w:eastAsia="zh-CN" w:bidi="ar"/>
        </w:rPr>
        <w:t>决算数与预算数持平。</w:t>
      </w:r>
    </w:p>
    <w:p w14:paraId="147ADFC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Cambria" w:hAnsi="Cambria" w:eastAsia="宋体" w:cs="Times New Roman"/>
          <w:b/>
          <w:bCs/>
          <w:sz w:val="32"/>
          <w:szCs w:val="32"/>
        </w:rPr>
      </w:pPr>
      <w:r>
        <w:rPr>
          <w:rFonts w:hint="eastAsia" w:ascii="黑体" w:hAnsi="宋体" w:eastAsia="黑体" w:cs="黑体"/>
          <w:kern w:val="2"/>
          <w:sz w:val="32"/>
          <w:szCs w:val="32"/>
          <w:lang w:val="en-US" w:eastAsia="zh-CN" w:bidi="ar"/>
        </w:rPr>
        <w:t>六</w:t>
      </w:r>
      <w:r>
        <w:rPr>
          <w:rFonts w:hint="eastAsia" w:ascii="黑体" w:hAnsi="宋体" w:eastAsia="黑体" w:cs="黑体"/>
          <w:b/>
          <w:bCs w:val="0"/>
          <w:kern w:val="2"/>
          <w:sz w:val="32"/>
          <w:szCs w:val="32"/>
          <w:lang w:val="en-US" w:eastAsia="zh-CN" w:bidi="ar"/>
        </w:rPr>
        <w:t>、一</w:t>
      </w:r>
      <w:r>
        <w:rPr>
          <w:rStyle w:val="18"/>
          <w:rFonts w:hint="eastAsia" w:ascii="黑体" w:hAnsi="宋体" w:eastAsia="黑体" w:cs="黑体"/>
          <w:b w:val="0"/>
          <w:bCs/>
          <w:kern w:val="2"/>
          <w:sz w:val="32"/>
          <w:szCs w:val="32"/>
          <w:lang w:val="en-US" w:eastAsia="zh-CN" w:bidi="ar"/>
        </w:rPr>
        <w:t>般公共预算财政拨款基本支出决算情况说明</w:t>
      </w:r>
      <w:r>
        <w:rPr>
          <w:rStyle w:val="18"/>
          <w:rFonts w:hint="eastAsia" w:ascii="黑体" w:hAnsi="宋体" w:eastAsia="黑体" w:cs="Times New Roman"/>
          <w:b w:val="0"/>
          <w:bCs/>
          <w:kern w:val="2"/>
          <w:sz w:val="32"/>
          <w:szCs w:val="32"/>
          <w:lang w:val="en-US" w:eastAsia="zh-CN" w:bidi="ar"/>
        </w:rPr>
        <w:tab/>
      </w:r>
    </w:p>
    <w:p w14:paraId="6CC7D2C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2024年度一般公共预算财政拨款基本支出</w:t>
      </w:r>
      <w:r>
        <w:rPr>
          <w:rFonts w:hint="eastAsia" w:ascii="仿宋" w:hAnsi="仿宋" w:eastAsia="仿宋" w:cs="Times New Roman"/>
          <w:kern w:val="2"/>
          <w:sz w:val="32"/>
          <w:szCs w:val="32"/>
          <w:lang w:val="en-US" w:eastAsia="zh-CN" w:bidi="ar"/>
        </w:rPr>
        <w:t>167.61</w:t>
      </w:r>
      <w:r>
        <w:rPr>
          <w:rFonts w:hint="eastAsia" w:ascii="仿宋" w:hAnsi="仿宋" w:eastAsia="仿宋" w:cs="仿宋"/>
          <w:kern w:val="2"/>
          <w:sz w:val="32"/>
          <w:szCs w:val="32"/>
          <w:lang w:val="en-US" w:eastAsia="zh-CN" w:bidi="ar"/>
        </w:rPr>
        <w:t>万元，其中：</w:t>
      </w:r>
    </w:p>
    <w:p w14:paraId="71F98A0B">
      <w:pPr>
        <w:spacing w:line="600" w:lineRule="exact"/>
        <w:ind w:firstLine="645"/>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人员经费</w:t>
      </w:r>
      <w:r>
        <w:rPr>
          <w:rFonts w:hint="eastAsia" w:ascii="仿宋" w:hAnsi="仿宋" w:eastAsia="仿宋" w:cs="Times New Roman"/>
          <w:kern w:val="2"/>
          <w:sz w:val="32"/>
          <w:szCs w:val="32"/>
          <w:lang w:val="en-US" w:eastAsia="zh-CN" w:bidi="ar"/>
        </w:rPr>
        <w:t>147.07</w:t>
      </w:r>
      <w:r>
        <w:rPr>
          <w:rFonts w:hint="eastAsia" w:ascii="仿宋" w:hAnsi="仿宋" w:eastAsia="仿宋" w:cs="仿宋"/>
          <w:kern w:val="2"/>
          <w:sz w:val="32"/>
          <w:szCs w:val="32"/>
          <w:lang w:val="en-US" w:eastAsia="zh-CN" w:bidi="ar"/>
        </w:rPr>
        <w:t>万元，</w:t>
      </w:r>
      <w:r>
        <w:rPr>
          <w:rFonts w:hint="eastAsia" w:ascii="仿宋" w:hAns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20.54</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w:t>
      </w:r>
      <w:r>
        <w:rPr>
          <w:rFonts w:hint="eastAsia" w:ascii="仿宋" w:hAnsi="仿宋" w:eastAsia="仿宋" w:cs="Times New Roman"/>
          <w:b/>
          <w:bCs w:val="0"/>
          <w:kern w:val="2"/>
          <w:sz w:val="32"/>
          <w:szCs w:val="32"/>
          <w:lang w:val="en-US" w:eastAsia="zh-CN" w:bidi="ar"/>
        </w:rPr>
        <w:t xml:space="preserve"> </w:t>
      </w:r>
      <w:bookmarkStart w:id="6" w:name="_GoBack"/>
      <w:bookmarkEnd w:id="6"/>
    </w:p>
    <w:p w14:paraId="7D546E0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18"/>
          <w:rFonts w:hint="eastAsia" w:ascii="黑体" w:hAnsi="宋体" w:eastAsia="黑体" w:cs="黑体"/>
          <w:b w:val="0"/>
          <w:bCs/>
          <w:kern w:val="2"/>
          <w:sz w:val="32"/>
          <w:szCs w:val="32"/>
          <w:lang w:val="en-US" w:eastAsia="zh-CN" w:bidi="ar"/>
        </w:rPr>
        <w:t>财政拨款</w:t>
      </w:r>
      <w:r>
        <w:rPr>
          <w:rStyle w:val="18"/>
          <w:rFonts w:hint="eastAsia" w:ascii="黑体" w:hAnsi="宋体" w:eastAsia="黑体" w:cs="黑体"/>
          <w:b/>
          <w:bCs/>
          <w:kern w:val="2"/>
          <w:sz w:val="32"/>
          <w:szCs w:val="32"/>
          <w:lang w:val="en-US" w:eastAsia="zh-CN" w:bidi="ar"/>
        </w:rPr>
        <w:t>“</w:t>
      </w:r>
      <w:r>
        <w:rPr>
          <w:rStyle w:val="18"/>
          <w:rFonts w:hint="eastAsia" w:ascii="黑体" w:hAnsi="宋体" w:eastAsia="黑体" w:cs="黑体"/>
          <w:b w:val="0"/>
          <w:bCs/>
          <w:kern w:val="2"/>
          <w:sz w:val="32"/>
          <w:szCs w:val="32"/>
          <w:lang w:val="en-US" w:eastAsia="zh-CN" w:bidi="ar"/>
        </w:rPr>
        <w:t>三公”经费支出决算情况说明</w:t>
      </w:r>
    </w:p>
    <w:p w14:paraId="4E753375">
      <w:pPr>
        <w:pageBreakBefore w:val="0"/>
        <w:kinsoku/>
        <w:wordWrap/>
        <w:overflowPunct/>
        <w:topLinePunct w:val="0"/>
        <w:bidi w:val="0"/>
        <w:spacing w:line="576" w:lineRule="exact"/>
        <w:ind w:firstLine="640"/>
        <w:textAlignment w:val="auto"/>
        <w:outlineLvl w:val="1"/>
        <w:rPr>
          <w:rFonts w:hint="eastAsia" w:ascii="仿宋_GB2312" w:hAnsi="宋体" w:eastAsia="仿宋_GB2312"/>
          <w:sz w:val="32"/>
          <w:szCs w:val="32"/>
          <w:lang w:eastAsia="zh-CN"/>
        </w:rPr>
      </w:pPr>
      <w:r>
        <w:rPr>
          <w:rFonts w:hint="eastAsia" w:ascii="仿宋" w:hAnsi="仿宋" w:eastAsia="仿宋"/>
          <w:color w:val="000000"/>
          <w:sz w:val="32"/>
          <w:szCs w:val="32"/>
          <w:lang w:val="en-US" w:eastAsia="zh-CN"/>
        </w:rPr>
        <w:t>2024年</w:t>
      </w:r>
      <w:r>
        <w:rPr>
          <w:rFonts w:hint="eastAsia" w:ascii="仿宋_GB2312" w:hAnsi="Calibri" w:eastAsia="仿宋_GB2312" w:cs="仿宋_GB2312"/>
          <w:kern w:val="2"/>
          <w:sz w:val="32"/>
          <w:szCs w:val="32"/>
          <w:lang w:val="en-US" w:eastAsia="zh-CN" w:bidi="ar"/>
        </w:rPr>
        <w:t>度</w:t>
      </w:r>
      <w:r>
        <w:rPr>
          <w:rFonts w:hint="eastAsia" w:ascii="仿宋_GB2312" w:hAnsi="宋体" w:eastAsia="仿宋_GB2312"/>
          <w:sz w:val="32"/>
          <w:szCs w:val="32"/>
        </w:rPr>
        <w:t>茂县</w:t>
      </w:r>
      <w:r>
        <w:rPr>
          <w:rFonts w:hint="eastAsia" w:ascii="仿宋_GB2312" w:hAnsi="宋体" w:eastAsia="仿宋_GB2312"/>
          <w:sz w:val="32"/>
          <w:szCs w:val="32"/>
          <w:lang w:eastAsia="zh-CN"/>
        </w:rPr>
        <w:t>政务服务和公共资源交易服务</w:t>
      </w:r>
      <w:r>
        <w:rPr>
          <w:rFonts w:hint="eastAsia" w:ascii="仿宋_GB2312" w:hAnsi="宋体" w:eastAsia="仿宋_GB2312"/>
          <w:sz w:val="32"/>
          <w:szCs w:val="32"/>
        </w:rPr>
        <w:t>中心</w:t>
      </w:r>
      <w:r>
        <w:rPr>
          <w:rFonts w:hint="eastAsia" w:ascii="仿宋_GB2312" w:hAnsi="宋体" w:eastAsia="仿宋_GB2312"/>
          <w:sz w:val="32"/>
          <w:szCs w:val="32"/>
          <w:lang w:eastAsia="zh-CN"/>
        </w:rPr>
        <w:t>“三公”经费支出</w:t>
      </w:r>
      <w:r>
        <w:rPr>
          <w:rFonts w:hint="eastAsia" w:ascii="仿宋_GB2312" w:hAnsi="宋体" w:eastAsia="仿宋_GB2312"/>
          <w:sz w:val="32"/>
          <w:szCs w:val="32"/>
          <w:lang w:val="en-US" w:eastAsia="zh-CN"/>
        </w:rPr>
        <w:t>0万元</w:t>
      </w:r>
      <w:r>
        <w:rPr>
          <w:rFonts w:hint="eastAsia" w:ascii="仿宋_GB2312" w:hAnsi="宋体" w:eastAsia="仿宋_GB2312"/>
          <w:sz w:val="32"/>
          <w:szCs w:val="32"/>
          <w:lang w:eastAsia="zh-CN"/>
        </w:rPr>
        <w:t>。</w:t>
      </w:r>
    </w:p>
    <w:p w14:paraId="5602527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18"/>
          <w:rFonts w:hint="eastAsia" w:ascii="黑体" w:hAnsi="宋体" w:eastAsia="黑体" w:cs="黑体"/>
          <w:b w:val="0"/>
          <w:bCs/>
          <w:kern w:val="2"/>
          <w:sz w:val="32"/>
          <w:szCs w:val="32"/>
          <w:lang w:val="en-US" w:eastAsia="zh-CN" w:bidi="ar"/>
        </w:rPr>
        <w:t>政府性基金预算支出决算情况说明</w:t>
      </w:r>
    </w:p>
    <w:p w14:paraId="3B87A21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2024年度政府性基金预算财政拨款支出0万元。</w:t>
      </w:r>
    </w:p>
    <w:p w14:paraId="05D7D994">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8"/>
          <w:rFonts w:hint="eastAsia" w:ascii="黑体" w:hAnsi="宋体" w:eastAsia="黑体" w:cs="黑体"/>
          <w:b w:val="0"/>
          <w:bCs/>
          <w:kern w:val="2"/>
          <w:sz w:val="32"/>
          <w:szCs w:val="32"/>
          <w:lang w:val="en-US" w:eastAsia="zh-CN" w:bidi="ar"/>
        </w:rPr>
        <w:t>九、国有资本经营预算支出决算情况说明</w:t>
      </w:r>
    </w:p>
    <w:p w14:paraId="0CCC5A1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2024年度国有资本经营预算财政拨款支出0万元。</w:t>
      </w:r>
      <w:r>
        <w:rPr>
          <w:rFonts w:hint="eastAsia" w:ascii="方正小标宋简体" w:hAnsi="方正小标宋简体" w:eastAsia="方正小标宋简体" w:cs="方正小标宋简体"/>
          <w:kern w:val="2"/>
          <w:sz w:val="44"/>
          <w:szCs w:val="44"/>
          <w:lang w:val="en-US" w:eastAsia="zh-CN" w:bidi="ar"/>
        </w:rPr>
        <w:t xml:space="preserve"> </w:t>
      </w:r>
    </w:p>
    <w:p w14:paraId="19E2A890">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8"/>
          <w:rFonts w:hint="eastAsia" w:ascii="黑体" w:hAnsi="宋体" w:eastAsia="黑体" w:cs="黑体"/>
          <w:b w:val="0"/>
          <w:bCs/>
          <w:kern w:val="2"/>
          <w:sz w:val="32"/>
          <w:szCs w:val="32"/>
          <w:lang w:val="en-US" w:eastAsia="zh-CN" w:bidi="ar"/>
        </w:rPr>
        <w:t>十、其他重要事项的情况说明</w:t>
      </w:r>
    </w:p>
    <w:p w14:paraId="1024873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14:paraId="169BC9AD">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outlineLvl w:val="2"/>
        <w:rPr>
          <w:rFonts w:hint="eastAsia" w:ascii="仿宋_GB2312" w:eastAsia="仿宋_GB2312"/>
          <w:color w:val="000000"/>
          <w:sz w:val="32"/>
          <w:szCs w:val="32"/>
          <w:lang w:val="en-US" w:eastAsia="zh-CN"/>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hAnsi="Calibri" w:eastAsia="仿宋_GB2312" w:cs="仿宋_GB2312"/>
          <w:kern w:val="2"/>
          <w:sz w:val="32"/>
          <w:szCs w:val="32"/>
          <w:lang w:val="en-US" w:eastAsia="zh-CN" w:bidi="ar"/>
        </w:rPr>
        <w:t>度</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0万元。</w:t>
      </w:r>
    </w:p>
    <w:p w14:paraId="28A9AB6E">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14:paraId="408F0BE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2024年度政府采购支出0万元。</w:t>
      </w:r>
    </w:p>
    <w:p w14:paraId="5E4D5415">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14:paraId="3B0138C4">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截至2024年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hAnsi="宋体" w:eastAsia="仿宋_GB2312"/>
          <w:sz w:val="32"/>
          <w:szCs w:val="32"/>
        </w:rPr>
        <w:t>茂县</w:t>
      </w:r>
      <w:r>
        <w:rPr>
          <w:rFonts w:hint="eastAsia" w:ascii="仿宋_GB2312" w:hAnsi="宋体" w:eastAsia="仿宋_GB2312"/>
          <w:sz w:val="32"/>
          <w:szCs w:val="32"/>
          <w:lang w:eastAsia="zh-CN"/>
        </w:rPr>
        <w:t>政务服务和公共资源交易服务</w:t>
      </w:r>
      <w:r>
        <w:rPr>
          <w:rFonts w:hint="eastAsia" w:ascii="仿宋_GB2312" w:hAnsi="宋体" w:eastAsia="仿宋_GB2312"/>
          <w:sz w:val="32"/>
          <w:szCs w:val="32"/>
        </w:rPr>
        <w:t>中心</w:t>
      </w:r>
      <w:r>
        <w:rPr>
          <w:rFonts w:hint="eastAsia" w:ascii="仿宋_GB2312" w:hAnsi="Calibri" w:eastAsia="仿宋_GB2312" w:cs="仿宋_GB2312"/>
          <w:kern w:val="2"/>
          <w:sz w:val="32"/>
          <w:szCs w:val="32"/>
          <w:lang w:val="en-US" w:eastAsia="zh-CN" w:bidi="ar"/>
        </w:rPr>
        <w:t>未占有、未使用国有资产。</w:t>
      </w:r>
    </w:p>
    <w:p w14:paraId="0E54360D">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14:paraId="6A96033F">
      <w:pPr>
        <w:pageBreakBefore w:val="0"/>
        <w:numPr>
          <w:ilvl w:val="0"/>
          <w:numId w:val="0"/>
        </w:numPr>
        <w:kinsoku/>
        <w:wordWrap/>
        <w:overflowPunct/>
        <w:topLinePunct w:val="0"/>
        <w:bidi w:val="0"/>
        <w:spacing w:line="576" w:lineRule="exact"/>
        <w:ind w:firstLine="640" w:firstLineChars="200"/>
        <w:textAlignment w:val="auto"/>
        <w:outlineLvl w:val="2"/>
      </w:pPr>
      <w:r>
        <w:rPr>
          <w:rFonts w:hint="eastAsia" w:ascii="仿宋_GB2312" w:eastAsia="仿宋_GB2312"/>
          <w:color w:val="000000"/>
          <w:sz w:val="32"/>
          <w:szCs w:val="32"/>
          <w:lang w:val="en-US" w:eastAsia="zh-CN"/>
        </w:rPr>
        <w:t>2024年度无项目目标。</w:t>
      </w:r>
      <w:r>
        <w:t> </w:t>
      </w:r>
    </w:p>
    <w:p w14:paraId="1DE057B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br w:type="page"/>
      </w:r>
    </w:p>
    <w:p w14:paraId="20F103D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16"/>
          <w:rFonts w:hint="eastAsia" w:ascii="黑体" w:hAnsi="宋体" w:eastAsia="黑体" w:cs="黑体"/>
          <w:b w:val="0"/>
          <w:bCs/>
          <w:kern w:val="44"/>
          <w:sz w:val="44"/>
          <w:szCs w:val="44"/>
          <w:lang w:val="en-US" w:eastAsia="zh-CN" w:bidi="ar"/>
        </w:rPr>
        <w:t>词解释</w:t>
      </w:r>
    </w:p>
    <w:p w14:paraId="0371ADC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14:paraId="44663F23">
      <w:pPr>
        <w:pStyle w:val="20"/>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14:paraId="4C12C231">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14:paraId="17EBA4C8">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7149D793">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14:paraId="1AA8E391">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34224DE">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379EFDEE">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14:paraId="0213468E">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14:paraId="729A7A78">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14:paraId="347EEE80">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14:paraId="2F9075C1">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14:paraId="3E2C1130">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14:paraId="7652B3F9">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14:paraId="135A49A2">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14:paraId="3E2D391A">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14:paraId="2A6F233D">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14:paraId="5E8154B4">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14:paraId="103FA242">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14:paraId="37A43ED7">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14:paraId="0F03AB3D">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14:paraId="3B70CCBD">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3D06282">
      <w:pPr>
        <w:pStyle w:val="20"/>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14:paraId="52AFCC54">
      <w:pPr>
        <w:pStyle w:val="20"/>
        <w:spacing w:line="560" w:lineRule="exact"/>
        <w:ind w:firstLine="480" w:firstLineChars="200"/>
      </w:pPr>
    </w:p>
    <w:p w14:paraId="65EBB382">
      <w:pPr>
        <w:pStyle w:val="20"/>
        <w:spacing w:line="560" w:lineRule="exact"/>
        <w:ind w:firstLine="480" w:firstLineChars="200"/>
      </w:pPr>
    </w:p>
    <w:p w14:paraId="6870C10F">
      <w:pPr>
        <w:pStyle w:val="20"/>
        <w:spacing w:line="560" w:lineRule="exact"/>
        <w:ind w:firstLine="480" w:firstLineChars="200"/>
      </w:pPr>
    </w:p>
    <w:p w14:paraId="537B66C8">
      <w:pPr>
        <w:pStyle w:val="20"/>
        <w:spacing w:line="560" w:lineRule="exact"/>
        <w:ind w:firstLine="480" w:firstLineChars="200"/>
      </w:pPr>
    </w:p>
    <w:p w14:paraId="029B1EC4">
      <w:pPr>
        <w:pStyle w:val="20"/>
        <w:spacing w:line="560" w:lineRule="exact"/>
        <w:ind w:firstLine="480" w:firstLineChars="200"/>
      </w:pPr>
    </w:p>
    <w:p w14:paraId="1E09E603">
      <w:pPr>
        <w:pStyle w:val="20"/>
        <w:spacing w:line="560" w:lineRule="exact"/>
        <w:ind w:firstLine="480" w:firstLineChars="200"/>
        <w:rPr>
          <w:rFonts w:hint="eastAsia"/>
        </w:rPr>
      </w:pPr>
    </w:p>
    <w:p w14:paraId="6CE6EBFC">
      <w:pPr>
        <w:keepNext w:val="0"/>
        <w:keepLines w:val="0"/>
        <w:widowControl w:val="0"/>
        <w:suppressLineNumbers w:val="0"/>
        <w:suppressAutoHyphens/>
        <w:spacing w:before="0" w:beforeAutospacing="0" w:after="0" w:afterAutospacing="0" w:line="600" w:lineRule="exact"/>
        <w:ind w:left="0" w:right="0"/>
        <w:jc w:val="center"/>
        <w:outlineLvl w:val="0"/>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16"/>
          <w:rFonts w:hint="eastAsia" w:ascii="黑体" w:hAnsi="宋体" w:eastAsia="黑体" w:cs="黑体"/>
          <w:b w:val="0"/>
          <w:bCs/>
          <w:kern w:val="44"/>
          <w:sz w:val="44"/>
          <w:szCs w:val="44"/>
          <w:lang w:val="en-US" w:eastAsia="zh-CN" w:bidi="ar"/>
        </w:rPr>
        <w:t>四部分</w:t>
      </w:r>
      <w:r>
        <w:rPr>
          <w:rStyle w:val="16"/>
          <w:rFonts w:hint="eastAsia" w:ascii="黑体" w:hAnsi="宋体" w:eastAsia="黑体" w:cs="Times New Roman"/>
          <w:b w:val="0"/>
          <w:bCs/>
          <w:kern w:val="44"/>
          <w:sz w:val="44"/>
          <w:szCs w:val="44"/>
          <w:lang w:val="en-US" w:eastAsia="zh-CN" w:bidi="ar"/>
        </w:rPr>
        <w:t xml:space="preserve"> </w:t>
      </w:r>
      <w:r>
        <w:rPr>
          <w:rStyle w:val="16"/>
          <w:rFonts w:hint="eastAsia" w:ascii="黑体" w:hAnsi="宋体" w:eastAsia="黑体" w:cs="黑体"/>
          <w:b w:val="0"/>
          <w:bCs/>
          <w:kern w:val="44"/>
          <w:sz w:val="44"/>
          <w:szCs w:val="44"/>
          <w:lang w:val="en-US" w:eastAsia="zh-CN" w:bidi="ar"/>
        </w:rPr>
        <w:t>附表</w:t>
      </w:r>
    </w:p>
    <w:p w14:paraId="6B441A8A">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18"/>
          <w:rFonts w:hint="eastAsia" w:ascii="仿宋" w:hAnsi="仿宋" w:eastAsia="仿宋" w:cs="仿宋"/>
          <w:b w:val="0"/>
          <w:bCs w:val="0"/>
          <w:sz w:val="32"/>
          <w:szCs w:val="32"/>
        </w:rPr>
        <w:t>入支出决算总表</w:t>
      </w:r>
    </w:p>
    <w:p w14:paraId="2659E219">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18"/>
          <w:rFonts w:hint="eastAsia" w:ascii="仿宋" w:hAnsi="仿宋" w:eastAsia="仿宋" w:cs="仿宋"/>
          <w:b w:val="0"/>
          <w:bCs w:val="0"/>
          <w:sz w:val="32"/>
          <w:szCs w:val="32"/>
        </w:rPr>
        <w:t>入决算表</w:t>
      </w:r>
    </w:p>
    <w:p w14:paraId="0850ACDE">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18"/>
          <w:rFonts w:hint="eastAsia" w:ascii="仿宋" w:hAnsi="仿宋" w:eastAsia="仿宋" w:cs="仿宋"/>
          <w:b w:val="0"/>
          <w:bCs w:val="0"/>
          <w:sz w:val="32"/>
          <w:szCs w:val="32"/>
        </w:rPr>
        <w:t>出决算表</w:t>
      </w:r>
    </w:p>
    <w:p w14:paraId="7880CA0F">
      <w:pPr>
        <w:pStyle w:val="4"/>
        <w:widowControl/>
        <w:rPr>
          <w:rFonts w:hint="eastAsia" w:ascii="仿宋" w:hAnsi="仿宋" w:eastAsia="仿宋" w:cs="Times New Roman"/>
          <w:b w:val="0"/>
          <w:bCs/>
          <w:kern w:val="2"/>
          <w:sz w:val="32"/>
          <w:szCs w:val="32"/>
        </w:rPr>
      </w:pPr>
      <w:r>
        <w:rPr>
          <w:rStyle w:val="18"/>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18"/>
          <w:rFonts w:hint="eastAsia" w:ascii="仿宋" w:hAnsi="仿宋" w:eastAsia="仿宋" w:cs="仿宋"/>
          <w:b w:val="0"/>
          <w:bCs w:val="0"/>
          <w:sz w:val="32"/>
          <w:szCs w:val="32"/>
        </w:rPr>
        <w:t>政拨款收入支出决算总表</w:t>
      </w:r>
    </w:p>
    <w:p w14:paraId="60190697">
      <w:pPr>
        <w:pStyle w:val="4"/>
        <w:widowControl/>
        <w:rPr>
          <w:rFonts w:hint="eastAsia" w:ascii="仿宋" w:hAnsi="仿宋" w:eastAsia="仿宋" w:cs="Times New Roman"/>
          <w:b w:val="0"/>
          <w:bCs w:val="0"/>
          <w:sz w:val="32"/>
          <w:szCs w:val="32"/>
        </w:rPr>
      </w:pPr>
      <w:r>
        <w:rPr>
          <w:rStyle w:val="18"/>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18"/>
          <w:rFonts w:hint="eastAsia" w:ascii="仿宋" w:hAnsi="仿宋" w:eastAsia="仿宋" w:cs="仿宋"/>
          <w:b w:val="0"/>
          <w:bCs w:val="0"/>
          <w:sz w:val="32"/>
          <w:szCs w:val="32"/>
        </w:rPr>
        <w:t>政拨款支出决算明细表</w:t>
      </w:r>
    </w:p>
    <w:p w14:paraId="055F40EB">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般公共预算财政拨款支出决算表</w:t>
      </w:r>
    </w:p>
    <w:p w14:paraId="6AF5C6F5">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般公共预算财政拨款支出决算明细表</w:t>
      </w:r>
    </w:p>
    <w:p w14:paraId="0A672185">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般公共预算财政拨款基本支出决算表</w:t>
      </w:r>
    </w:p>
    <w:p w14:paraId="24B43836">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般公共预算财政拨款项目支出决算表</w:t>
      </w:r>
    </w:p>
    <w:p w14:paraId="10F4C345">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18"/>
          <w:rFonts w:hint="eastAsia" w:ascii="仿宋" w:hAnsi="仿宋" w:eastAsia="仿宋" w:cs="仿宋"/>
          <w:b w:val="0"/>
          <w:bCs w:val="0"/>
          <w:sz w:val="32"/>
          <w:szCs w:val="32"/>
        </w:rPr>
        <w:t>府性基金预算财政拨款收入支出决算表</w:t>
      </w:r>
    </w:p>
    <w:p w14:paraId="3E1F4E22">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18"/>
          <w:rFonts w:hint="eastAsia" w:ascii="仿宋" w:hAnsi="仿宋" w:eastAsia="仿宋" w:cs="仿宋"/>
          <w:b w:val="0"/>
          <w:bCs w:val="0"/>
          <w:sz w:val="32"/>
          <w:szCs w:val="32"/>
        </w:rPr>
        <w:t>有资本经营预算财政拨款收入支出决算表</w:t>
      </w:r>
    </w:p>
    <w:p w14:paraId="2B617ED8">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十二、国有资本经营预算财政拨款支出决算表</w:t>
      </w:r>
    </w:p>
    <w:p w14:paraId="49AF128F">
      <w:pPr>
        <w:pStyle w:val="4"/>
        <w:widowControl/>
        <w:rPr>
          <w:rFonts w:hint="eastAsia" w:ascii="Cambria" w:hAnsi="Cambria" w:eastAsia="仿宋" w:cs="Times New Roman"/>
          <w:b/>
          <w:bCs/>
          <w:kern w:val="2"/>
          <w:sz w:val="32"/>
          <w:szCs w:val="32"/>
        </w:rPr>
      </w:pPr>
      <w:r>
        <w:rPr>
          <w:rStyle w:val="18"/>
          <w:rFonts w:hint="eastAsia" w:ascii="仿宋" w:hAnsi="仿宋" w:eastAsia="仿宋" w:cs="仿宋"/>
          <w:b w:val="0"/>
          <w:bCs w:val="0"/>
          <w:sz w:val="32"/>
          <w:szCs w:val="32"/>
        </w:rPr>
        <w:t>十三、财政拨款“三公”经费支出决算表</w:t>
      </w:r>
    </w:p>
    <w:p w14:paraId="0E936ED2">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14:paraId="621CA04E"/>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9A3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22C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BA8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3A3C">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9C1C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79C1C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BB251">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DDA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EED34"/>
    <w:multiLevelType w:val="singleLevel"/>
    <w:tmpl w:val="AD7EED34"/>
    <w:lvl w:ilvl="0" w:tentative="0">
      <w:start w:val="1"/>
      <w:numFmt w:val="decimal"/>
      <w:lvlText w:val="%1."/>
      <w:lvlJc w:val="left"/>
      <w:pPr>
        <w:tabs>
          <w:tab w:val="left" w:pos="312"/>
        </w:tabs>
      </w:pPr>
    </w:lvl>
  </w:abstractNum>
  <w:abstractNum w:abstractNumId="1">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GEwNTAwNThhMTdmM2FhY2FlMzkwNDNiZWM0NGIifQ=="/>
    <w:docVar w:name="KSO_WPS_MARK_KEY" w:val="24d0312c-7052-40e3-aaec-667171814512"/>
  </w:docVars>
  <w:rsids>
    <w:rsidRoot w:val="00000000"/>
    <w:rsid w:val="007429A2"/>
    <w:rsid w:val="03AF483B"/>
    <w:rsid w:val="03B35AE9"/>
    <w:rsid w:val="041B557E"/>
    <w:rsid w:val="04665056"/>
    <w:rsid w:val="09AE1F88"/>
    <w:rsid w:val="0A960382"/>
    <w:rsid w:val="0A977596"/>
    <w:rsid w:val="0DDD0AFB"/>
    <w:rsid w:val="10FB1AA8"/>
    <w:rsid w:val="147847D5"/>
    <w:rsid w:val="15FA1CFE"/>
    <w:rsid w:val="18102107"/>
    <w:rsid w:val="18465320"/>
    <w:rsid w:val="186D70E5"/>
    <w:rsid w:val="1A876E66"/>
    <w:rsid w:val="1F736BA3"/>
    <w:rsid w:val="223905D4"/>
    <w:rsid w:val="23D30F0C"/>
    <w:rsid w:val="255517FA"/>
    <w:rsid w:val="25B56DD4"/>
    <w:rsid w:val="26757452"/>
    <w:rsid w:val="29EB2AFB"/>
    <w:rsid w:val="2ABB2F4F"/>
    <w:rsid w:val="2C6311C4"/>
    <w:rsid w:val="2C8052CD"/>
    <w:rsid w:val="2DD37B2E"/>
    <w:rsid w:val="2F7A1D56"/>
    <w:rsid w:val="31424138"/>
    <w:rsid w:val="35763D57"/>
    <w:rsid w:val="381C7532"/>
    <w:rsid w:val="39B43A3B"/>
    <w:rsid w:val="3A282B8F"/>
    <w:rsid w:val="3D6701E3"/>
    <w:rsid w:val="3D6C1E8E"/>
    <w:rsid w:val="3E47640C"/>
    <w:rsid w:val="3E477ACF"/>
    <w:rsid w:val="3F3861FA"/>
    <w:rsid w:val="405A5EEC"/>
    <w:rsid w:val="414A4154"/>
    <w:rsid w:val="43CB1E59"/>
    <w:rsid w:val="44502853"/>
    <w:rsid w:val="483427C0"/>
    <w:rsid w:val="487503AE"/>
    <w:rsid w:val="4A3B288C"/>
    <w:rsid w:val="4C0146CD"/>
    <w:rsid w:val="4ED14148"/>
    <w:rsid w:val="50F530E7"/>
    <w:rsid w:val="514364CA"/>
    <w:rsid w:val="536961B3"/>
    <w:rsid w:val="582E2D75"/>
    <w:rsid w:val="58805B34"/>
    <w:rsid w:val="5B9C3B0C"/>
    <w:rsid w:val="5C5F5DB2"/>
    <w:rsid w:val="5D131446"/>
    <w:rsid w:val="5D752101"/>
    <w:rsid w:val="5EA33DE2"/>
    <w:rsid w:val="60233110"/>
    <w:rsid w:val="60D21CFD"/>
    <w:rsid w:val="6198312F"/>
    <w:rsid w:val="627C57DB"/>
    <w:rsid w:val="63BB030D"/>
    <w:rsid w:val="66F35260"/>
    <w:rsid w:val="673C3788"/>
    <w:rsid w:val="6B8D71AD"/>
    <w:rsid w:val="6BB931DF"/>
    <w:rsid w:val="6E6F337E"/>
    <w:rsid w:val="719A1C34"/>
    <w:rsid w:val="720F7F50"/>
    <w:rsid w:val="72411760"/>
    <w:rsid w:val="74BD6F2E"/>
    <w:rsid w:val="7521645C"/>
    <w:rsid w:val="770E4313"/>
    <w:rsid w:val="7B9D456B"/>
    <w:rsid w:val="7F413FA1"/>
    <w:rsid w:val="7F435763"/>
    <w:rsid w:val="7FBF7A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9">
    <w:name w:val="table of figures"/>
    <w:basedOn w:val="1"/>
    <w:next w:val="1"/>
    <w:unhideWhenUsed/>
    <w:qFormat/>
    <w:uiPriority w:val="0"/>
    <w:pPr>
      <w:ind w:left="200" w:leftChars="200" w:hanging="200" w:hangingChars="200"/>
    </w:pPr>
    <w:rPr>
      <w:rFonts w:hint="eastAsia"/>
      <w:sz w:val="32"/>
      <w:szCs w:val="21"/>
    </w:rPr>
  </w:style>
  <w:style w:type="paragraph" w:styleId="10">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1">
    <w:name w:val="Body Text First Indent 2"/>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character" w:styleId="14">
    <w:name w:val="Strong"/>
    <w:basedOn w:val="13"/>
    <w:qFormat/>
    <w:uiPriority w:val="0"/>
    <w:rPr>
      <w:b/>
    </w:rPr>
  </w:style>
  <w:style w:type="character" w:customStyle="1" w:styleId="15">
    <w:name w:val="10"/>
    <w:basedOn w:val="13"/>
    <w:qFormat/>
    <w:uiPriority w:val="0"/>
    <w:rPr>
      <w:rFonts w:hint="default" w:ascii="Times New Roman" w:hAnsi="Times New Roman" w:cs="Times New Roman"/>
    </w:rPr>
  </w:style>
  <w:style w:type="character" w:customStyle="1" w:styleId="16">
    <w:name w:val="16"/>
    <w:basedOn w:val="13"/>
    <w:qFormat/>
    <w:uiPriority w:val="0"/>
    <w:rPr>
      <w:rFonts w:hint="default" w:ascii="Times New Roman" w:hAnsi="Times New Roman" w:cs="Times New Roman"/>
      <w:b/>
      <w:bCs/>
      <w:kern w:val="44"/>
      <w:sz w:val="44"/>
      <w:szCs w:val="44"/>
    </w:rPr>
  </w:style>
  <w:style w:type="character" w:customStyle="1" w:styleId="17">
    <w:name w:val="15"/>
    <w:basedOn w:val="13"/>
    <w:qFormat/>
    <w:uiPriority w:val="0"/>
    <w:rPr>
      <w:rFonts w:hint="default" w:ascii="Times New Roman" w:hAnsi="Times New Roman" w:cs="Times New Roman"/>
      <w:b/>
    </w:rPr>
  </w:style>
  <w:style w:type="character" w:customStyle="1" w:styleId="18">
    <w:name w:val="17"/>
    <w:basedOn w:val="13"/>
    <w:qFormat/>
    <w:uiPriority w:val="0"/>
    <w:rPr>
      <w:rFonts w:hint="default" w:ascii="Cambria" w:hAnsi="Cambria" w:eastAsia="宋体" w:cs="Times New Roman"/>
      <w:b/>
      <w:bCs/>
      <w:sz w:val="32"/>
      <w:szCs w:val="32"/>
    </w:rPr>
  </w:style>
  <w:style w:type="paragraph" w:customStyle="1" w:styleId="19">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20">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3888</Words>
  <Characters>4793</Characters>
  <Lines>0</Lines>
  <Paragraphs>0</Paragraphs>
  <TotalTime>0</TotalTime>
  <ScaleCrop>false</ScaleCrop>
  <LinksUpToDate>false</LinksUpToDate>
  <CharactersWithSpaces>4828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沈 强</cp:lastModifiedBy>
  <cp:lastPrinted>2024-09-08T01:14:00Z</cp:lastPrinted>
  <dcterms:modified xsi:type="dcterms:W3CDTF">2025-09-28T08:54:40Z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D4A39BB81AD24DD694D5EAEE214133A3_12</vt:lpwstr>
  </property>
  <property fmtid="{D5CDD505-2E9C-101B-9397-08002B2CF9AE}" pid="4" name="KSOTemplateDocerSaveRecord">
    <vt:lpwstr>eyJoZGlkIjoiMjM2OGQ3ZDc3NGQ3MmExZjk1YTg4MDIzOGFhN2Q4ZjYiLCJ1c2VySWQiOiIyNjQ5OTE0NjYifQ==</vt:lpwstr>
  </property>
</Properties>
</file>