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A624E">
      <w:pPr>
        <w:pStyle w:val="5"/>
        <w:widowControl/>
        <w:ind w:left="0" w:right="0"/>
        <w:jc w:val="center"/>
        <w:rPr>
          <w:rFonts w:hint="eastAsia" w:ascii="方正小标宋简体" w:hAnsi="宋体" w:eastAsia="方正小标宋简体" w:cs="Times New Roman"/>
          <w:kern w:val="2"/>
          <w:sz w:val="44"/>
          <w:szCs w:val="44"/>
        </w:rPr>
      </w:pPr>
    </w:p>
    <w:p w14:paraId="6D298994">
      <w:pPr>
        <w:pStyle w:val="5"/>
        <w:widowControl/>
        <w:ind w:left="0" w:right="0"/>
        <w:jc w:val="center"/>
        <w:rPr>
          <w:rFonts w:hint="eastAsia" w:ascii="方正小标宋简体" w:hAnsi="方正小标宋简体" w:eastAsia="方正小标宋简体" w:cs="方正小标宋简体"/>
          <w:kern w:val="2"/>
          <w:sz w:val="48"/>
          <w:szCs w:val="48"/>
        </w:rPr>
      </w:pPr>
    </w:p>
    <w:p w14:paraId="5A7CF2AE">
      <w:pPr>
        <w:pStyle w:val="5"/>
        <w:widowControl/>
        <w:ind w:left="0" w:right="0"/>
        <w:jc w:val="center"/>
        <w:rPr>
          <w:rFonts w:hint="eastAsia" w:ascii="方正小标宋简体" w:hAnsi="方正小标宋简体" w:eastAsia="方正小标宋简体" w:cs="方正小标宋简体"/>
          <w:kern w:val="2"/>
          <w:sz w:val="48"/>
          <w:szCs w:val="48"/>
        </w:rPr>
      </w:pPr>
    </w:p>
    <w:p w14:paraId="6CB3BD86">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w:t>
      </w:r>
      <w:r>
        <w:rPr>
          <w:rFonts w:hint="eastAsia" w:ascii="方正小标宋简体" w:hAnsi="方正小标宋简体" w:eastAsia="方正小标宋简体" w:cs="方正小标宋简体"/>
          <w:kern w:val="2"/>
          <w:sz w:val="48"/>
          <w:szCs w:val="48"/>
          <w:lang w:val="en-US" w:eastAsia="zh-CN"/>
        </w:rPr>
        <w:t>5</w:t>
      </w:r>
      <w:r>
        <w:rPr>
          <w:rFonts w:hint="eastAsia" w:ascii="方正小标宋简体" w:hAnsi="方正小标宋简体" w:eastAsia="方正小标宋简体" w:cs="方正小标宋简体"/>
          <w:kern w:val="2"/>
          <w:sz w:val="48"/>
          <w:szCs w:val="48"/>
        </w:rPr>
        <w:t>年度四川省阿坝州茂县</w:t>
      </w:r>
    </w:p>
    <w:p w14:paraId="1A638D73">
      <w:pPr>
        <w:pStyle w:val="5"/>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lang w:eastAsia="zh-CN"/>
        </w:rPr>
        <w:t>行政审批和政务服务管理局</w:t>
      </w:r>
    </w:p>
    <w:p w14:paraId="31267F48">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本级</w:t>
      </w:r>
      <w:r>
        <w:rPr>
          <w:rFonts w:hint="eastAsia" w:ascii="方正小标宋简体" w:hAnsi="方正小标宋简体" w:eastAsia="方正小标宋简体" w:cs="方正小标宋简体"/>
          <w:kern w:val="2"/>
          <w:sz w:val="48"/>
          <w:szCs w:val="48"/>
        </w:rPr>
        <w:t>单位决算</w:t>
      </w:r>
    </w:p>
    <w:p w14:paraId="510338EA">
      <w:pPr>
        <w:pStyle w:val="5"/>
        <w:widowControl/>
        <w:ind w:left="0" w:right="0"/>
        <w:jc w:val="center"/>
        <w:rPr>
          <w:rFonts w:hint="eastAsia" w:ascii="黑体" w:hAnsi="宋体" w:eastAsia="黑体" w:cs="黑体"/>
          <w:kern w:val="2"/>
          <w:sz w:val="48"/>
          <w:szCs w:val="48"/>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EF5EFD6">
      <w:pPr>
        <w:pStyle w:val="5"/>
        <w:widowControl/>
        <w:ind w:left="0" w:right="0"/>
        <w:jc w:val="center"/>
        <w:rPr>
          <w:rFonts w:hint="eastAsia" w:ascii="黑体" w:hAnsi="宋体" w:eastAsia="黑体" w:cs="Times New Roman"/>
          <w:kern w:val="2"/>
          <w:sz w:val="28"/>
          <w:szCs w:val="28"/>
        </w:rPr>
      </w:pPr>
      <w:r>
        <w:rPr>
          <w:rFonts w:hint="eastAsia" w:ascii="黑体" w:hAnsi="宋体" w:eastAsia="黑体" w:cs="黑体"/>
          <w:kern w:val="2"/>
          <w:sz w:val="48"/>
          <w:szCs w:val="48"/>
          <w:lang w:val="en-US" w:eastAsia="zh-CN" w:bidi="ar"/>
        </w:rPr>
        <w:t>目录</w:t>
      </w:r>
    </w:p>
    <w:p w14:paraId="73DD6076">
      <w:pPr>
        <w:pStyle w:val="9"/>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公开时间：2026年  9月  4 日</w:t>
      </w:r>
    </w:p>
    <w:sdt>
      <w:sdtPr>
        <w:rPr>
          <w:rFonts w:ascii="宋体" w:hAnsi="宋体" w:eastAsia="宋体" w:cstheme="minorBidi"/>
          <w:kern w:val="2"/>
          <w:sz w:val="21"/>
          <w:szCs w:val="24"/>
          <w:lang w:val="en-US" w:eastAsia="zh-CN" w:bidi="ar-SA"/>
        </w:rPr>
        <w:id w:val="147477982"/>
        <w15:color w:val="DBDBDB"/>
        <w:docPartObj>
          <w:docPartGallery w:val="Table of Contents"/>
          <w:docPartUnique/>
        </w:docPartObj>
      </w:sdtPr>
      <w:sdtEndPr>
        <w:rPr>
          <w:rFonts w:hint="eastAsia" w:ascii="Calibri" w:hAnsi="Calibri" w:eastAsia="宋体" w:cs="Times New Roman"/>
          <w:b/>
          <w:bCs/>
          <w:kern w:val="44"/>
          <w:sz w:val="44"/>
          <w:szCs w:val="44"/>
          <w:lang w:val="en-US" w:eastAsia="zh-CN" w:bidi="ar"/>
        </w:rPr>
      </w:sdtEndPr>
      <w:sdtContent>
        <w:p w14:paraId="0E9D74A8">
          <w:pPr>
            <w:spacing w:before="0" w:beforeLines="0" w:after="0" w:afterLines="0" w:line="240" w:lineRule="auto"/>
            <w:ind w:left="0" w:leftChars="0" w:right="0" w:rightChars="0" w:firstLine="0" w:firstLineChars="0"/>
            <w:jc w:val="center"/>
          </w:pPr>
        </w:p>
        <w:p w14:paraId="2BBEA09B">
          <w:pPr>
            <w:pStyle w:val="9"/>
            <w:tabs>
              <w:tab w:val="right" w:leader="dot" w:pos="8306"/>
            </w:tabs>
            <w:jc w:val="both"/>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_Toc10962 </w:instrText>
          </w:r>
          <w:r>
            <w:rPr>
              <w:rFonts w:hint="eastAsia"/>
            </w:rPr>
            <w:fldChar w:fldCharType="separate"/>
          </w:r>
          <w:r>
            <w:rPr>
              <w:rFonts w:hint="eastAsia"/>
            </w:rPr>
            <w:t>第一部分 单位概况</w:t>
          </w:r>
          <w:r>
            <w:tab/>
          </w:r>
          <w:r>
            <w:fldChar w:fldCharType="begin"/>
          </w:r>
          <w:r>
            <w:instrText xml:space="preserve"> PAGEREF _Toc10962 \h </w:instrText>
          </w:r>
          <w:r>
            <w:fldChar w:fldCharType="separate"/>
          </w:r>
          <w:r>
            <w:t>1</w:t>
          </w:r>
          <w:r>
            <w:fldChar w:fldCharType="end"/>
          </w:r>
          <w:r>
            <w:rPr>
              <w:rFonts w:hint="eastAsia"/>
            </w:rPr>
            <w:fldChar w:fldCharType="end"/>
          </w:r>
        </w:p>
        <w:p w14:paraId="173674C5">
          <w:pPr>
            <w:pStyle w:val="13"/>
            <w:tabs>
              <w:tab w:val="right" w:leader="dot" w:pos="8306"/>
            </w:tabs>
          </w:pPr>
          <w:r>
            <w:rPr>
              <w:rFonts w:hint="eastAsia"/>
            </w:rPr>
            <w:fldChar w:fldCharType="begin"/>
          </w:r>
          <w:r>
            <w:rPr>
              <w:rFonts w:hint="eastAsia"/>
            </w:rPr>
            <w:instrText xml:space="preserve"> HYPERLINK \l _Toc4050 </w:instrText>
          </w:r>
          <w:r>
            <w:rPr>
              <w:rFonts w:hint="eastAsia"/>
            </w:rPr>
            <w:fldChar w:fldCharType="separate"/>
          </w:r>
          <w:r>
            <w:rPr>
              <w:rFonts w:hint="eastAsia"/>
              <w:lang w:val="en-US" w:eastAsia="zh-CN"/>
            </w:rPr>
            <w:t>一、</w:t>
          </w:r>
          <w:r>
            <w:rPr>
              <w:rFonts w:hint="eastAsia"/>
            </w:rPr>
            <w:t>主要职责</w:t>
          </w:r>
          <w:r>
            <w:tab/>
          </w:r>
          <w:r>
            <w:fldChar w:fldCharType="begin"/>
          </w:r>
          <w:r>
            <w:instrText xml:space="preserve"> PAGEREF _Toc4050 \h </w:instrText>
          </w:r>
          <w:r>
            <w:fldChar w:fldCharType="separate"/>
          </w:r>
          <w:r>
            <w:t>1</w:t>
          </w:r>
          <w:r>
            <w:fldChar w:fldCharType="end"/>
          </w:r>
          <w:r>
            <w:rPr>
              <w:rFonts w:hint="eastAsia"/>
            </w:rPr>
            <w:fldChar w:fldCharType="end"/>
          </w:r>
        </w:p>
        <w:p w14:paraId="05BB6417">
          <w:pPr>
            <w:pStyle w:val="13"/>
            <w:tabs>
              <w:tab w:val="right" w:leader="dot" w:pos="8306"/>
            </w:tabs>
          </w:pPr>
          <w:r>
            <w:rPr>
              <w:rFonts w:hint="eastAsia"/>
            </w:rPr>
            <w:fldChar w:fldCharType="begin"/>
          </w:r>
          <w:r>
            <w:rPr>
              <w:rFonts w:hint="eastAsia"/>
            </w:rPr>
            <w:instrText xml:space="preserve"> HYPERLINK \l _Toc3405 </w:instrText>
          </w:r>
          <w:r>
            <w:rPr>
              <w:rFonts w:hint="eastAsia"/>
            </w:rPr>
            <w:fldChar w:fldCharType="separate"/>
          </w:r>
          <w:r>
            <w:rPr>
              <w:rFonts w:hint="eastAsia"/>
              <w:lang w:eastAsia="zh-CN"/>
            </w:rPr>
            <w:t>二、</w:t>
          </w:r>
          <w:r>
            <w:rPr>
              <w:rFonts w:hint="eastAsia"/>
            </w:rPr>
            <w:t>机构设置</w:t>
          </w:r>
          <w:r>
            <w:tab/>
          </w:r>
          <w:r>
            <w:fldChar w:fldCharType="begin"/>
          </w:r>
          <w:r>
            <w:instrText xml:space="preserve"> PAGEREF _Toc3405 \h </w:instrText>
          </w:r>
          <w:r>
            <w:fldChar w:fldCharType="separate"/>
          </w:r>
          <w:r>
            <w:t>2</w:t>
          </w:r>
          <w:r>
            <w:fldChar w:fldCharType="end"/>
          </w:r>
          <w:r>
            <w:rPr>
              <w:rFonts w:hint="eastAsia"/>
            </w:rPr>
            <w:fldChar w:fldCharType="end"/>
          </w:r>
        </w:p>
        <w:p w14:paraId="497EE03D">
          <w:pPr>
            <w:pStyle w:val="9"/>
            <w:tabs>
              <w:tab w:val="right" w:leader="dot" w:pos="8306"/>
            </w:tabs>
          </w:pPr>
          <w:r>
            <w:rPr>
              <w:rFonts w:hint="eastAsia"/>
            </w:rPr>
            <w:fldChar w:fldCharType="begin"/>
          </w:r>
          <w:r>
            <w:rPr>
              <w:rFonts w:hint="eastAsia"/>
            </w:rPr>
            <w:instrText xml:space="preserve"> HYPERLINK \l _Toc32602 </w:instrText>
          </w:r>
          <w:r>
            <w:rPr>
              <w:rFonts w:hint="eastAsia"/>
            </w:rPr>
            <w:fldChar w:fldCharType="separate"/>
          </w:r>
          <w:r>
            <w:rPr>
              <w:rFonts w:hint="eastAsia"/>
            </w:rPr>
            <w:t>第二部分 202</w:t>
          </w:r>
          <w:r>
            <w:rPr>
              <w:rFonts w:hint="eastAsia"/>
              <w:lang w:val="en-US" w:eastAsia="zh-CN"/>
            </w:rPr>
            <w:t>5</w:t>
          </w:r>
          <w:r>
            <w:rPr>
              <w:rFonts w:hint="eastAsia"/>
            </w:rPr>
            <w:t>年度单位决算情况说明</w:t>
          </w:r>
          <w:r>
            <w:tab/>
          </w:r>
          <w:r>
            <w:fldChar w:fldCharType="begin"/>
          </w:r>
          <w:r>
            <w:instrText xml:space="preserve"> PAGEREF _Toc32602 \h </w:instrText>
          </w:r>
          <w:r>
            <w:fldChar w:fldCharType="separate"/>
          </w:r>
          <w:r>
            <w:t>2</w:t>
          </w:r>
          <w:r>
            <w:fldChar w:fldCharType="end"/>
          </w:r>
          <w:r>
            <w:rPr>
              <w:rFonts w:hint="eastAsia"/>
            </w:rPr>
            <w:fldChar w:fldCharType="end"/>
          </w:r>
        </w:p>
        <w:p w14:paraId="1397B72A">
          <w:pPr>
            <w:pStyle w:val="13"/>
            <w:tabs>
              <w:tab w:val="right" w:leader="dot" w:pos="8306"/>
            </w:tabs>
          </w:pPr>
          <w:r>
            <w:rPr>
              <w:rFonts w:hint="eastAsia"/>
            </w:rPr>
            <w:fldChar w:fldCharType="begin"/>
          </w:r>
          <w:r>
            <w:rPr>
              <w:rFonts w:hint="eastAsia"/>
            </w:rPr>
            <w:instrText xml:space="preserve"> HYPERLINK \l _Toc23016 </w:instrText>
          </w:r>
          <w:r>
            <w:rPr>
              <w:rFonts w:hint="eastAsia"/>
            </w:rPr>
            <w:fldChar w:fldCharType="separate"/>
          </w:r>
          <w:r>
            <w:rPr>
              <w:rFonts w:hint="eastAsia"/>
            </w:rPr>
            <w:t>一、收入支出决算总体情况说明</w:t>
          </w:r>
          <w:r>
            <w:tab/>
          </w:r>
          <w:r>
            <w:fldChar w:fldCharType="begin"/>
          </w:r>
          <w:r>
            <w:instrText xml:space="preserve"> PAGEREF _Toc23016 \h </w:instrText>
          </w:r>
          <w:r>
            <w:fldChar w:fldCharType="separate"/>
          </w:r>
          <w:r>
            <w:t>2</w:t>
          </w:r>
          <w:r>
            <w:fldChar w:fldCharType="end"/>
          </w:r>
          <w:r>
            <w:rPr>
              <w:rFonts w:hint="eastAsia"/>
            </w:rPr>
            <w:fldChar w:fldCharType="end"/>
          </w:r>
        </w:p>
        <w:p w14:paraId="7CC0CB0A">
          <w:pPr>
            <w:pStyle w:val="13"/>
            <w:tabs>
              <w:tab w:val="right" w:leader="dot" w:pos="8306"/>
            </w:tabs>
          </w:pPr>
          <w:r>
            <w:rPr>
              <w:rFonts w:hint="eastAsia"/>
            </w:rPr>
            <w:fldChar w:fldCharType="begin"/>
          </w:r>
          <w:r>
            <w:rPr>
              <w:rFonts w:hint="eastAsia"/>
            </w:rPr>
            <w:instrText xml:space="preserve"> HYPERLINK \l _Toc10127 </w:instrText>
          </w:r>
          <w:r>
            <w:rPr>
              <w:rFonts w:hint="eastAsia"/>
            </w:rPr>
            <w:fldChar w:fldCharType="separate"/>
          </w:r>
          <w:r>
            <w:rPr>
              <w:rFonts w:hint="eastAsia"/>
            </w:rPr>
            <w:t>二、收入决算情况说明</w:t>
          </w:r>
          <w:r>
            <w:tab/>
          </w:r>
          <w:r>
            <w:fldChar w:fldCharType="begin"/>
          </w:r>
          <w:r>
            <w:instrText xml:space="preserve"> PAGEREF _Toc10127 \h </w:instrText>
          </w:r>
          <w:r>
            <w:fldChar w:fldCharType="separate"/>
          </w:r>
          <w:r>
            <w:t>3</w:t>
          </w:r>
          <w:r>
            <w:fldChar w:fldCharType="end"/>
          </w:r>
          <w:r>
            <w:rPr>
              <w:rFonts w:hint="eastAsia"/>
            </w:rPr>
            <w:fldChar w:fldCharType="end"/>
          </w:r>
        </w:p>
        <w:p w14:paraId="0E90712D">
          <w:pPr>
            <w:pStyle w:val="13"/>
            <w:tabs>
              <w:tab w:val="right" w:leader="dot" w:pos="8306"/>
            </w:tabs>
          </w:pPr>
          <w:r>
            <w:rPr>
              <w:rFonts w:hint="eastAsia"/>
            </w:rPr>
            <w:fldChar w:fldCharType="begin"/>
          </w:r>
          <w:r>
            <w:rPr>
              <w:rFonts w:hint="eastAsia"/>
            </w:rPr>
            <w:instrText xml:space="preserve"> HYPERLINK \l _Toc6232 </w:instrText>
          </w:r>
          <w:r>
            <w:rPr>
              <w:rFonts w:hint="eastAsia"/>
            </w:rPr>
            <w:fldChar w:fldCharType="separate"/>
          </w:r>
          <w:r>
            <w:rPr>
              <w:rFonts w:hint="eastAsia"/>
            </w:rPr>
            <w:t>三、支出决算情况说明</w:t>
          </w:r>
          <w:r>
            <w:tab/>
          </w:r>
          <w:r>
            <w:fldChar w:fldCharType="begin"/>
          </w:r>
          <w:r>
            <w:instrText xml:space="preserve"> PAGEREF _Toc6232 \h </w:instrText>
          </w:r>
          <w:r>
            <w:fldChar w:fldCharType="separate"/>
          </w:r>
          <w:r>
            <w:t>3</w:t>
          </w:r>
          <w:r>
            <w:fldChar w:fldCharType="end"/>
          </w:r>
          <w:r>
            <w:rPr>
              <w:rFonts w:hint="eastAsia"/>
            </w:rPr>
            <w:fldChar w:fldCharType="end"/>
          </w:r>
        </w:p>
        <w:p w14:paraId="1EF13E9A">
          <w:pPr>
            <w:pStyle w:val="13"/>
            <w:tabs>
              <w:tab w:val="right" w:leader="dot" w:pos="8306"/>
            </w:tabs>
          </w:pPr>
          <w:r>
            <w:rPr>
              <w:rFonts w:hint="eastAsia"/>
            </w:rPr>
            <w:fldChar w:fldCharType="begin"/>
          </w:r>
          <w:r>
            <w:rPr>
              <w:rFonts w:hint="eastAsia"/>
            </w:rPr>
            <w:instrText xml:space="preserve"> HYPERLINK \l _Toc9139 </w:instrText>
          </w:r>
          <w:r>
            <w:rPr>
              <w:rFonts w:hint="eastAsia"/>
            </w:rPr>
            <w:fldChar w:fldCharType="separate"/>
          </w:r>
          <w:r>
            <w:rPr>
              <w:rFonts w:hint="eastAsia"/>
              <w:lang w:val="en-US" w:eastAsia="zh-CN"/>
            </w:rPr>
            <w:t>四、财政拨款收入支出决算总体情况说明</w:t>
          </w:r>
          <w:r>
            <w:tab/>
          </w:r>
          <w:r>
            <w:fldChar w:fldCharType="begin"/>
          </w:r>
          <w:r>
            <w:instrText xml:space="preserve"> PAGEREF _Toc9139 \h </w:instrText>
          </w:r>
          <w:r>
            <w:fldChar w:fldCharType="separate"/>
          </w:r>
          <w:r>
            <w:t>3</w:t>
          </w:r>
          <w:r>
            <w:fldChar w:fldCharType="end"/>
          </w:r>
          <w:r>
            <w:rPr>
              <w:rFonts w:hint="eastAsia"/>
            </w:rPr>
            <w:fldChar w:fldCharType="end"/>
          </w:r>
        </w:p>
        <w:p w14:paraId="0DF81ADD">
          <w:pPr>
            <w:pStyle w:val="13"/>
            <w:tabs>
              <w:tab w:val="right" w:leader="dot" w:pos="8306"/>
            </w:tabs>
          </w:pPr>
          <w:r>
            <w:rPr>
              <w:rFonts w:hint="eastAsia"/>
            </w:rPr>
            <w:fldChar w:fldCharType="begin"/>
          </w:r>
          <w:r>
            <w:rPr>
              <w:rFonts w:hint="eastAsia"/>
            </w:rPr>
            <w:instrText xml:space="preserve"> HYPERLINK \l _Toc26544 </w:instrText>
          </w:r>
          <w:r>
            <w:rPr>
              <w:rFonts w:hint="eastAsia"/>
            </w:rPr>
            <w:fldChar w:fldCharType="separate"/>
          </w:r>
          <w:r>
            <w:rPr>
              <w:rFonts w:hint="eastAsia"/>
              <w:lang w:val="en-US" w:eastAsia="zh-CN"/>
            </w:rPr>
            <w:t>五、一般公共预算财政拨款支出决算情况说明</w:t>
          </w:r>
          <w:r>
            <w:tab/>
          </w:r>
          <w:r>
            <w:fldChar w:fldCharType="begin"/>
          </w:r>
          <w:r>
            <w:instrText xml:space="preserve"> PAGEREF _Toc26544 \h </w:instrText>
          </w:r>
          <w:r>
            <w:fldChar w:fldCharType="separate"/>
          </w:r>
          <w:r>
            <w:t>4</w:t>
          </w:r>
          <w:r>
            <w:fldChar w:fldCharType="end"/>
          </w:r>
          <w:r>
            <w:rPr>
              <w:rFonts w:hint="eastAsia"/>
            </w:rPr>
            <w:fldChar w:fldCharType="end"/>
          </w:r>
        </w:p>
        <w:p w14:paraId="72993844">
          <w:pPr>
            <w:pStyle w:val="13"/>
            <w:tabs>
              <w:tab w:val="right" w:leader="dot" w:pos="8306"/>
            </w:tabs>
          </w:pPr>
          <w:r>
            <w:rPr>
              <w:rFonts w:hint="eastAsia"/>
            </w:rPr>
            <w:fldChar w:fldCharType="begin"/>
          </w:r>
          <w:r>
            <w:rPr>
              <w:rFonts w:hint="eastAsia"/>
            </w:rPr>
            <w:instrText xml:space="preserve"> HYPERLINK \l _Toc11264 </w:instrText>
          </w:r>
          <w:r>
            <w:rPr>
              <w:rFonts w:hint="eastAsia"/>
            </w:rPr>
            <w:fldChar w:fldCharType="separate"/>
          </w:r>
          <w:r>
            <w:rPr>
              <w:rFonts w:hint="eastAsia"/>
              <w:lang w:val="en-US" w:eastAsia="zh-CN"/>
            </w:rPr>
            <w:t>六、一般公共预算财政拨款基本支出决算情况说明</w:t>
          </w:r>
          <w:r>
            <w:tab/>
          </w:r>
          <w:r>
            <w:fldChar w:fldCharType="begin"/>
          </w:r>
          <w:r>
            <w:instrText xml:space="preserve"> PAGEREF _Toc11264 \h </w:instrText>
          </w:r>
          <w:r>
            <w:fldChar w:fldCharType="separate"/>
          </w:r>
          <w:r>
            <w:t>6</w:t>
          </w:r>
          <w:r>
            <w:fldChar w:fldCharType="end"/>
          </w:r>
          <w:r>
            <w:rPr>
              <w:rFonts w:hint="eastAsia"/>
            </w:rPr>
            <w:fldChar w:fldCharType="end"/>
          </w:r>
        </w:p>
        <w:p w14:paraId="5F4DF327">
          <w:pPr>
            <w:pStyle w:val="13"/>
            <w:tabs>
              <w:tab w:val="right" w:leader="dot" w:pos="8306"/>
            </w:tabs>
          </w:pPr>
          <w:r>
            <w:rPr>
              <w:rFonts w:hint="eastAsia"/>
            </w:rPr>
            <w:fldChar w:fldCharType="begin"/>
          </w:r>
          <w:r>
            <w:rPr>
              <w:rFonts w:hint="eastAsia"/>
            </w:rPr>
            <w:instrText xml:space="preserve"> HYPERLINK \l _Toc9963 </w:instrText>
          </w:r>
          <w:r>
            <w:rPr>
              <w:rFonts w:hint="eastAsia"/>
            </w:rPr>
            <w:fldChar w:fldCharType="separate"/>
          </w:r>
          <w:r>
            <w:rPr>
              <w:rFonts w:hint="eastAsia"/>
              <w:lang w:val="en-US" w:eastAsia="zh-CN"/>
            </w:rPr>
            <w:t>七、财政拨款“三公”经费支出决算情况说明</w:t>
          </w:r>
          <w:r>
            <w:tab/>
          </w:r>
          <w:r>
            <w:fldChar w:fldCharType="begin"/>
          </w:r>
          <w:r>
            <w:instrText xml:space="preserve"> PAGEREF _Toc9963 \h </w:instrText>
          </w:r>
          <w:r>
            <w:fldChar w:fldCharType="separate"/>
          </w:r>
          <w:r>
            <w:t>7</w:t>
          </w:r>
          <w:r>
            <w:fldChar w:fldCharType="end"/>
          </w:r>
          <w:r>
            <w:rPr>
              <w:rFonts w:hint="eastAsia"/>
            </w:rPr>
            <w:fldChar w:fldCharType="end"/>
          </w:r>
        </w:p>
        <w:p w14:paraId="11720E43">
          <w:pPr>
            <w:pStyle w:val="13"/>
            <w:tabs>
              <w:tab w:val="right" w:leader="dot" w:pos="8306"/>
            </w:tabs>
          </w:pPr>
          <w:r>
            <w:rPr>
              <w:rFonts w:hint="eastAsia"/>
            </w:rPr>
            <w:fldChar w:fldCharType="begin"/>
          </w:r>
          <w:r>
            <w:rPr>
              <w:rFonts w:hint="eastAsia"/>
            </w:rPr>
            <w:instrText xml:space="preserve"> HYPERLINK \l _Toc13443 </w:instrText>
          </w:r>
          <w:r>
            <w:rPr>
              <w:rFonts w:hint="eastAsia"/>
            </w:rPr>
            <w:fldChar w:fldCharType="separate"/>
          </w:r>
          <w:r>
            <w:rPr>
              <w:rFonts w:hint="eastAsia"/>
              <w:lang w:val="en-US" w:eastAsia="zh-CN"/>
            </w:rPr>
            <w:t>八、政府性基金预算支出决算情况说明</w:t>
          </w:r>
          <w:r>
            <w:tab/>
          </w:r>
          <w:r>
            <w:fldChar w:fldCharType="begin"/>
          </w:r>
          <w:r>
            <w:instrText xml:space="preserve"> PAGEREF _Toc13443 \h </w:instrText>
          </w:r>
          <w:r>
            <w:fldChar w:fldCharType="separate"/>
          </w:r>
          <w:r>
            <w:t>7</w:t>
          </w:r>
          <w:r>
            <w:fldChar w:fldCharType="end"/>
          </w:r>
          <w:r>
            <w:rPr>
              <w:rFonts w:hint="eastAsia"/>
            </w:rPr>
            <w:fldChar w:fldCharType="end"/>
          </w:r>
        </w:p>
        <w:p w14:paraId="159990A6">
          <w:pPr>
            <w:pStyle w:val="13"/>
            <w:tabs>
              <w:tab w:val="right" w:leader="dot" w:pos="8306"/>
            </w:tabs>
          </w:pPr>
          <w:r>
            <w:rPr>
              <w:rFonts w:hint="eastAsia"/>
            </w:rPr>
            <w:fldChar w:fldCharType="begin"/>
          </w:r>
          <w:r>
            <w:rPr>
              <w:rFonts w:hint="eastAsia"/>
            </w:rPr>
            <w:instrText xml:space="preserve"> HYPERLINK \l _Toc20190 </w:instrText>
          </w:r>
          <w:r>
            <w:rPr>
              <w:rFonts w:hint="eastAsia"/>
            </w:rPr>
            <w:fldChar w:fldCharType="separate"/>
          </w:r>
          <w:r>
            <w:rPr>
              <w:rFonts w:hint="eastAsia"/>
              <w:lang w:val="en-US" w:eastAsia="zh-CN"/>
            </w:rPr>
            <w:t>九、国有资本经营预算支出决算情况说明</w:t>
          </w:r>
          <w:r>
            <w:tab/>
          </w:r>
          <w:r>
            <w:fldChar w:fldCharType="begin"/>
          </w:r>
          <w:r>
            <w:instrText xml:space="preserve"> PAGEREF _Toc20190 \h </w:instrText>
          </w:r>
          <w:r>
            <w:fldChar w:fldCharType="separate"/>
          </w:r>
          <w:r>
            <w:t>7</w:t>
          </w:r>
          <w:r>
            <w:fldChar w:fldCharType="end"/>
          </w:r>
          <w:r>
            <w:rPr>
              <w:rFonts w:hint="eastAsia"/>
            </w:rPr>
            <w:fldChar w:fldCharType="end"/>
          </w:r>
        </w:p>
        <w:p w14:paraId="36C26006">
          <w:pPr>
            <w:pStyle w:val="13"/>
            <w:tabs>
              <w:tab w:val="right" w:leader="dot" w:pos="8306"/>
            </w:tabs>
          </w:pPr>
          <w:r>
            <w:rPr>
              <w:rFonts w:hint="eastAsia"/>
            </w:rPr>
            <w:fldChar w:fldCharType="begin"/>
          </w:r>
          <w:r>
            <w:rPr>
              <w:rFonts w:hint="eastAsia"/>
            </w:rPr>
            <w:instrText xml:space="preserve"> HYPERLINK \l _Toc15317 </w:instrText>
          </w:r>
          <w:r>
            <w:rPr>
              <w:rFonts w:hint="eastAsia"/>
            </w:rPr>
            <w:fldChar w:fldCharType="separate"/>
          </w:r>
          <w:r>
            <w:rPr>
              <w:rFonts w:hint="eastAsia"/>
              <w:lang w:val="en-US" w:eastAsia="zh-CN"/>
            </w:rPr>
            <w:t>十、其他重要事项的情况说明</w:t>
          </w:r>
          <w:r>
            <w:tab/>
          </w:r>
          <w:r>
            <w:fldChar w:fldCharType="begin"/>
          </w:r>
          <w:r>
            <w:instrText xml:space="preserve"> PAGEREF _Toc15317 \h </w:instrText>
          </w:r>
          <w:r>
            <w:fldChar w:fldCharType="separate"/>
          </w:r>
          <w:r>
            <w:t>7</w:t>
          </w:r>
          <w:r>
            <w:fldChar w:fldCharType="end"/>
          </w:r>
          <w:r>
            <w:rPr>
              <w:rFonts w:hint="eastAsia"/>
            </w:rPr>
            <w:fldChar w:fldCharType="end"/>
          </w:r>
        </w:p>
        <w:p w14:paraId="69E8F51B">
          <w:pPr>
            <w:pStyle w:val="9"/>
            <w:tabs>
              <w:tab w:val="right" w:leader="dot" w:pos="8306"/>
            </w:tabs>
          </w:pPr>
          <w:r>
            <w:rPr>
              <w:rFonts w:hint="eastAsia"/>
            </w:rPr>
            <w:fldChar w:fldCharType="begin"/>
          </w:r>
          <w:r>
            <w:rPr>
              <w:rFonts w:hint="eastAsia"/>
            </w:rPr>
            <w:instrText xml:space="preserve"> HYPERLINK \l _Toc28808 </w:instrText>
          </w:r>
          <w:r>
            <w:rPr>
              <w:rFonts w:hint="eastAsia"/>
            </w:rPr>
            <w:fldChar w:fldCharType="separate"/>
          </w:r>
          <w:r>
            <w:rPr>
              <w:rFonts w:hint="eastAsia"/>
              <w:lang w:val="en-US" w:eastAsia="zh-CN"/>
            </w:rPr>
            <w:t>第三部分  名词解释</w:t>
          </w:r>
          <w:r>
            <w:tab/>
          </w:r>
          <w:r>
            <w:fldChar w:fldCharType="begin"/>
          </w:r>
          <w:r>
            <w:instrText xml:space="preserve"> PAGEREF _Toc28808 \h </w:instrText>
          </w:r>
          <w:r>
            <w:fldChar w:fldCharType="separate"/>
          </w:r>
          <w:r>
            <w:t>8</w:t>
          </w:r>
          <w:r>
            <w:fldChar w:fldCharType="end"/>
          </w:r>
          <w:r>
            <w:rPr>
              <w:rFonts w:hint="eastAsia"/>
            </w:rPr>
            <w:fldChar w:fldCharType="end"/>
          </w:r>
          <w:bookmarkStart w:id="30" w:name="_GoBack"/>
          <w:bookmarkEnd w:id="30"/>
        </w:p>
        <w:p w14:paraId="08EAF6E9">
          <w:pPr>
            <w:pStyle w:val="9"/>
            <w:tabs>
              <w:tab w:val="right" w:leader="dot" w:pos="8306"/>
            </w:tabs>
          </w:pPr>
          <w:r>
            <w:rPr>
              <w:rFonts w:hint="eastAsia"/>
            </w:rPr>
            <w:fldChar w:fldCharType="begin"/>
          </w:r>
          <w:r>
            <w:rPr>
              <w:rFonts w:hint="eastAsia"/>
            </w:rPr>
            <w:instrText xml:space="preserve"> HYPERLINK \l _Toc4247 </w:instrText>
          </w:r>
          <w:r>
            <w:rPr>
              <w:rFonts w:hint="eastAsia"/>
            </w:rPr>
            <w:fldChar w:fldCharType="separate"/>
          </w:r>
          <w:r>
            <w:rPr>
              <w:rFonts w:hint="eastAsia"/>
              <w:lang w:val="en-US" w:eastAsia="zh-CN"/>
            </w:rPr>
            <w:t>第四部分 附表</w:t>
          </w:r>
          <w:r>
            <w:tab/>
          </w:r>
          <w:r>
            <w:fldChar w:fldCharType="begin"/>
          </w:r>
          <w:r>
            <w:instrText xml:space="preserve"> PAGEREF _Toc4247 \h </w:instrText>
          </w:r>
          <w:r>
            <w:fldChar w:fldCharType="separate"/>
          </w:r>
          <w:r>
            <w:t>11</w:t>
          </w:r>
          <w:r>
            <w:fldChar w:fldCharType="end"/>
          </w:r>
          <w:r>
            <w:rPr>
              <w:rFonts w:hint="eastAsia"/>
            </w:rPr>
            <w:fldChar w:fldCharType="end"/>
          </w:r>
        </w:p>
        <w:p w14:paraId="7E239892">
          <w:pPr>
            <w:pStyle w:val="13"/>
            <w:tabs>
              <w:tab w:val="right" w:leader="dot" w:pos="8306"/>
            </w:tabs>
          </w:pPr>
          <w:r>
            <w:rPr>
              <w:rFonts w:hint="eastAsia"/>
            </w:rPr>
            <w:fldChar w:fldCharType="begin"/>
          </w:r>
          <w:r>
            <w:rPr>
              <w:rFonts w:hint="eastAsia"/>
            </w:rPr>
            <w:instrText xml:space="preserve"> HYPERLINK \l _Toc8990 </w:instrText>
          </w:r>
          <w:r>
            <w:rPr>
              <w:rFonts w:hint="eastAsia"/>
            </w:rPr>
            <w:fldChar w:fldCharType="separate"/>
          </w:r>
          <w:r>
            <w:rPr>
              <w:rFonts w:hint="eastAsia"/>
              <w:bCs w:val="0"/>
            </w:rPr>
            <w:t>一、收入支出决算总表</w:t>
          </w:r>
          <w:r>
            <w:tab/>
          </w:r>
          <w:r>
            <w:fldChar w:fldCharType="begin"/>
          </w:r>
          <w:r>
            <w:instrText xml:space="preserve"> PAGEREF _Toc8990 \h </w:instrText>
          </w:r>
          <w:r>
            <w:fldChar w:fldCharType="separate"/>
          </w:r>
          <w:r>
            <w:t>11</w:t>
          </w:r>
          <w:r>
            <w:fldChar w:fldCharType="end"/>
          </w:r>
          <w:r>
            <w:rPr>
              <w:rFonts w:hint="eastAsia"/>
            </w:rPr>
            <w:fldChar w:fldCharType="end"/>
          </w:r>
        </w:p>
        <w:p w14:paraId="6D916133">
          <w:pPr>
            <w:pStyle w:val="13"/>
            <w:tabs>
              <w:tab w:val="right" w:leader="dot" w:pos="8306"/>
            </w:tabs>
          </w:pPr>
          <w:r>
            <w:rPr>
              <w:rFonts w:hint="eastAsia"/>
            </w:rPr>
            <w:fldChar w:fldCharType="begin"/>
          </w:r>
          <w:r>
            <w:rPr>
              <w:rFonts w:hint="eastAsia"/>
            </w:rPr>
            <w:instrText xml:space="preserve"> HYPERLINK \l _Toc19425 </w:instrText>
          </w:r>
          <w:r>
            <w:rPr>
              <w:rFonts w:hint="eastAsia"/>
            </w:rPr>
            <w:fldChar w:fldCharType="separate"/>
          </w:r>
          <w:r>
            <w:rPr>
              <w:rFonts w:hint="eastAsia"/>
              <w:bCs w:val="0"/>
            </w:rPr>
            <w:t>二、收入决算表</w:t>
          </w:r>
          <w:r>
            <w:tab/>
          </w:r>
          <w:r>
            <w:fldChar w:fldCharType="begin"/>
          </w:r>
          <w:r>
            <w:instrText xml:space="preserve"> PAGEREF _Toc19425 \h </w:instrText>
          </w:r>
          <w:r>
            <w:fldChar w:fldCharType="separate"/>
          </w:r>
          <w:r>
            <w:t>11</w:t>
          </w:r>
          <w:r>
            <w:fldChar w:fldCharType="end"/>
          </w:r>
          <w:r>
            <w:rPr>
              <w:rFonts w:hint="eastAsia"/>
            </w:rPr>
            <w:fldChar w:fldCharType="end"/>
          </w:r>
        </w:p>
        <w:p w14:paraId="4D8EA353">
          <w:pPr>
            <w:pStyle w:val="13"/>
            <w:tabs>
              <w:tab w:val="right" w:leader="dot" w:pos="8306"/>
            </w:tabs>
          </w:pPr>
          <w:r>
            <w:rPr>
              <w:rFonts w:hint="eastAsia"/>
            </w:rPr>
            <w:fldChar w:fldCharType="begin"/>
          </w:r>
          <w:r>
            <w:rPr>
              <w:rFonts w:hint="eastAsia"/>
            </w:rPr>
            <w:instrText xml:space="preserve"> HYPERLINK \l _Toc18247 </w:instrText>
          </w:r>
          <w:r>
            <w:rPr>
              <w:rFonts w:hint="eastAsia"/>
            </w:rPr>
            <w:fldChar w:fldCharType="separate"/>
          </w:r>
          <w:r>
            <w:rPr>
              <w:rFonts w:hint="eastAsia"/>
              <w:bCs w:val="0"/>
            </w:rPr>
            <w:t>三、支出决算表</w:t>
          </w:r>
          <w:r>
            <w:tab/>
          </w:r>
          <w:r>
            <w:fldChar w:fldCharType="begin"/>
          </w:r>
          <w:r>
            <w:instrText xml:space="preserve"> PAGEREF _Toc18247 \h </w:instrText>
          </w:r>
          <w:r>
            <w:fldChar w:fldCharType="separate"/>
          </w:r>
          <w:r>
            <w:t>11</w:t>
          </w:r>
          <w:r>
            <w:fldChar w:fldCharType="end"/>
          </w:r>
          <w:r>
            <w:rPr>
              <w:rFonts w:hint="eastAsia"/>
            </w:rPr>
            <w:fldChar w:fldCharType="end"/>
          </w:r>
        </w:p>
        <w:p w14:paraId="2CC97847">
          <w:pPr>
            <w:pStyle w:val="13"/>
            <w:tabs>
              <w:tab w:val="right" w:leader="dot" w:pos="8306"/>
            </w:tabs>
          </w:pPr>
          <w:r>
            <w:rPr>
              <w:rFonts w:hint="eastAsia"/>
            </w:rPr>
            <w:fldChar w:fldCharType="begin"/>
          </w:r>
          <w:r>
            <w:rPr>
              <w:rFonts w:hint="eastAsia"/>
            </w:rPr>
            <w:instrText xml:space="preserve"> HYPERLINK \l _Toc28666 </w:instrText>
          </w:r>
          <w:r>
            <w:rPr>
              <w:rFonts w:hint="eastAsia"/>
            </w:rPr>
            <w:fldChar w:fldCharType="separate"/>
          </w:r>
          <w:r>
            <w:rPr>
              <w:rFonts w:hint="eastAsia"/>
              <w:bCs w:val="0"/>
            </w:rPr>
            <w:t>四、财政拨款收入支出决算总表</w:t>
          </w:r>
          <w:r>
            <w:tab/>
          </w:r>
          <w:r>
            <w:fldChar w:fldCharType="begin"/>
          </w:r>
          <w:r>
            <w:instrText xml:space="preserve"> PAGEREF _Toc28666 \h </w:instrText>
          </w:r>
          <w:r>
            <w:fldChar w:fldCharType="separate"/>
          </w:r>
          <w:r>
            <w:t>11</w:t>
          </w:r>
          <w:r>
            <w:fldChar w:fldCharType="end"/>
          </w:r>
          <w:r>
            <w:rPr>
              <w:rFonts w:hint="eastAsia"/>
            </w:rPr>
            <w:fldChar w:fldCharType="end"/>
          </w:r>
        </w:p>
        <w:p w14:paraId="0F68DA98">
          <w:pPr>
            <w:pStyle w:val="13"/>
            <w:tabs>
              <w:tab w:val="right" w:leader="dot" w:pos="8306"/>
            </w:tabs>
          </w:pPr>
          <w:r>
            <w:rPr>
              <w:rFonts w:hint="eastAsia"/>
            </w:rPr>
            <w:fldChar w:fldCharType="begin"/>
          </w:r>
          <w:r>
            <w:rPr>
              <w:rFonts w:hint="eastAsia"/>
            </w:rPr>
            <w:instrText xml:space="preserve"> HYPERLINK \l _Toc29024 </w:instrText>
          </w:r>
          <w:r>
            <w:rPr>
              <w:rFonts w:hint="eastAsia"/>
            </w:rPr>
            <w:fldChar w:fldCharType="separate"/>
          </w:r>
          <w:r>
            <w:rPr>
              <w:rFonts w:hint="eastAsia"/>
              <w:bCs w:val="0"/>
            </w:rPr>
            <w:t>五、财政拨款支出决算明细表</w:t>
          </w:r>
          <w:r>
            <w:tab/>
          </w:r>
          <w:r>
            <w:fldChar w:fldCharType="begin"/>
          </w:r>
          <w:r>
            <w:instrText xml:space="preserve"> PAGEREF _Toc29024 \h </w:instrText>
          </w:r>
          <w:r>
            <w:fldChar w:fldCharType="separate"/>
          </w:r>
          <w:r>
            <w:t>11</w:t>
          </w:r>
          <w:r>
            <w:fldChar w:fldCharType="end"/>
          </w:r>
          <w:r>
            <w:rPr>
              <w:rFonts w:hint="eastAsia"/>
            </w:rPr>
            <w:fldChar w:fldCharType="end"/>
          </w:r>
        </w:p>
        <w:p w14:paraId="5D77BB19">
          <w:pPr>
            <w:pStyle w:val="13"/>
            <w:tabs>
              <w:tab w:val="right" w:leader="dot" w:pos="8306"/>
            </w:tabs>
          </w:pPr>
          <w:r>
            <w:rPr>
              <w:rFonts w:hint="eastAsia"/>
            </w:rPr>
            <w:fldChar w:fldCharType="begin"/>
          </w:r>
          <w:r>
            <w:rPr>
              <w:rFonts w:hint="eastAsia"/>
            </w:rPr>
            <w:instrText xml:space="preserve"> HYPERLINK \l _Toc22045 </w:instrText>
          </w:r>
          <w:r>
            <w:rPr>
              <w:rFonts w:hint="eastAsia"/>
            </w:rPr>
            <w:fldChar w:fldCharType="separate"/>
          </w:r>
          <w:r>
            <w:rPr>
              <w:rFonts w:hint="eastAsia"/>
              <w:bCs w:val="0"/>
            </w:rPr>
            <w:t>六、一般公共预算财政拨款支出决算表</w:t>
          </w:r>
          <w:r>
            <w:tab/>
          </w:r>
          <w:r>
            <w:fldChar w:fldCharType="begin"/>
          </w:r>
          <w:r>
            <w:instrText xml:space="preserve"> PAGEREF _Toc22045 \h </w:instrText>
          </w:r>
          <w:r>
            <w:fldChar w:fldCharType="separate"/>
          </w:r>
          <w:r>
            <w:t>11</w:t>
          </w:r>
          <w:r>
            <w:fldChar w:fldCharType="end"/>
          </w:r>
          <w:r>
            <w:rPr>
              <w:rFonts w:hint="eastAsia"/>
            </w:rPr>
            <w:fldChar w:fldCharType="end"/>
          </w:r>
        </w:p>
        <w:p w14:paraId="3BF460E6">
          <w:pPr>
            <w:pStyle w:val="13"/>
            <w:tabs>
              <w:tab w:val="right" w:leader="dot" w:pos="8306"/>
            </w:tabs>
          </w:pPr>
          <w:r>
            <w:rPr>
              <w:rFonts w:hint="eastAsia"/>
            </w:rPr>
            <w:fldChar w:fldCharType="begin"/>
          </w:r>
          <w:r>
            <w:rPr>
              <w:rFonts w:hint="eastAsia"/>
            </w:rPr>
            <w:instrText xml:space="preserve"> HYPERLINK \l _Toc6855 </w:instrText>
          </w:r>
          <w:r>
            <w:rPr>
              <w:rFonts w:hint="eastAsia"/>
            </w:rPr>
            <w:fldChar w:fldCharType="separate"/>
          </w:r>
          <w:r>
            <w:rPr>
              <w:rFonts w:hint="eastAsia"/>
              <w:bCs w:val="0"/>
            </w:rPr>
            <w:t>七、一般公共预算财政拨款支出决算明细表</w:t>
          </w:r>
          <w:r>
            <w:tab/>
          </w:r>
          <w:r>
            <w:fldChar w:fldCharType="begin"/>
          </w:r>
          <w:r>
            <w:instrText xml:space="preserve"> PAGEREF _Toc6855 \h </w:instrText>
          </w:r>
          <w:r>
            <w:fldChar w:fldCharType="separate"/>
          </w:r>
          <w:r>
            <w:t>11</w:t>
          </w:r>
          <w:r>
            <w:fldChar w:fldCharType="end"/>
          </w:r>
          <w:r>
            <w:rPr>
              <w:rFonts w:hint="eastAsia"/>
            </w:rPr>
            <w:fldChar w:fldCharType="end"/>
          </w:r>
        </w:p>
        <w:p w14:paraId="0C36855E">
          <w:pPr>
            <w:pStyle w:val="13"/>
            <w:tabs>
              <w:tab w:val="right" w:leader="dot" w:pos="8306"/>
            </w:tabs>
          </w:pPr>
          <w:r>
            <w:rPr>
              <w:rFonts w:hint="eastAsia"/>
            </w:rPr>
            <w:fldChar w:fldCharType="begin"/>
          </w:r>
          <w:r>
            <w:rPr>
              <w:rFonts w:hint="eastAsia"/>
            </w:rPr>
            <w:instrText xml:space="preserve"> HYPERLINK \l _Toc11030 </w:instrText>
          </w:r>
          <w:r>
            <w:rPr>
              <w:rFonts w:hint="eastAsia"/>
            </w:rPr>
            <w:fldChar w:fldCharType="separate"/>
          </w:r>
          <w:r>
            <w:rPr>
              <w:rFonts w:hint="eastAsia"/>
              <w:bCs w:val="0"/>
            </w:rPr>
            <w:t>八、一般公共预算财政拨款基本支出决算表</w:t>
          </w:r>
          <w:r>
            <w:tab/>
          </w:r>
          <w:r>
            <w:fldChar w:fldCharType="begin"/>
          </w:r>
          <w:r>
            <w:instrText xml:space="preserve"> PAGEREF _Toc11030 \h </w:instrText>
          </w:r>
          <w:r>
            <w:fldChar w:fldCharType="separate"/>
          </w:r>
          <w:r>
            <w:t>11</w:t>
          </w:r>
          <w:r>
            <w:fldChar w:fldCharType="end"/>
          </w:r>
          <w:r>
            <w:rPr>
              <w:rFonts w:hint="eastAsia"/>
            </w:rPr>
            <w:fldChar w:fldCharType="end"/>
          </w:r>
        </w:p>
        <w:p w14:paraId="18D4FDEF">
          <w:pPr>
            <w:pStyle w:val="13"/>
            <w:tabs>
              <w:tab w:val="right" w:leader="dot" w:pos="8306"/>
            </w:tabs>
          </w:pPr>
          <w:r>
            <w:rPr>
              <w:rFonts w:hint="eastAsia"/>
            </w:rPr>
            <w:fldChar w:fldCharType="begin"/>
          </w:r>
          <w:r>
            <w:rPr>
              <w:rFonts w:hint="eastAsia"/>
            </w:rPr>
            <w:instrText xml:space="preserve"> HYPERLINK \l _Toc31347 </w:instrText>
          </w:r>
          <w:r>
            <w:rPr>
              <w:rFonts w:hint="eastAsia"/>
            </w:rPr>
            <w:fldChar w:fldCharType="separate"/>
          </w:r>
          <w:r>
            <w:rPr>
              <w:rFonts w:hint="eastAsia"/>
              <w:bCs w:val="0"/>
            </w:rPr>
            <w:t>九、一般公共预算财政拨款项目支出决算表</w:t>
          </w:r>
          <w:r>
            <w:tab/>
          </w:r>
          <w:r>
            <w:fldChar w:fldCharType="begin"/>
          </w:r>
          <w:r>
            <w:instrText xml:space="preserve"> PAGEREF _Toc31347 \h </w:instrText>
          </w:r>
          <w:r>
            <w:fldChar w:fldCharType="separate"/>
          </w:r>
          <w:r>
            <w:t>11</w:t>
          </w:r>
          <w:r>
            <w:fldChar w:fldCharType="end"/>
          </w:r>
          <w:r>
            <w:rPr>
              <w:rFonts w:hint="eastAsia"/>
            </w:rPr>
            <w:fldChar w:fldCharType="end"/>
          </w:r>
        </w:p>
        <w:p w14:paraId="15FD7AF0">
          <w:pPr>
            <w:pStyle w:val="13"/>
            <w:tabs>
              <w:tab w:val="right" w:leader="dot" w:pos="8306"/>
            </w:tabs>
          </w:pPr>
          <w:r>
            <w:rPr>
              <w:rFonts w:hint="eastAsia"/>
            </w:rPr>
            <w:fldChar w:fldCharType="begin"/>
          </w:r>
          <w:r>
            <w:rPr>
              <w:rFonts w:hint="eastAsia"/>
            </w:rPr>
            <w:instrText xml:space="preserve"> HYPERLINK \l _Toc31216 </w:instrText>
          </w:r>
          <w:r>
            <w:rPr>
              <w:rFonts w:hint="eastAsia"/>
            </w:rPr>
            <w:fldChar w:fldCharType="separate"/>
          </w:r>
          <w:r>
            <w:rPr>
              <w:rFonts w:hint="eastAsia"/>
              <w:bCs w:val="0"/>
            </w:rPr>
            <w:t>十、政府性基金预算财政拨款收入支出决算表</w:t>
          </w:r>
          <w:r>
            <w:tab/>
          </w:r>
          <w:r>
            <w:fldChar w:fldCharType="begin"/>
          </w:r>
          <w:r>
            <w:instrText xml:space="preserve"> PAGEREF _Toc31216 \h </w:instrText>
          </w:r>
          <w:r>
            <w:fldChar w:fldCharType="separate"/>
          </w:r>
          <w:r>
            <w:t>11</w:t>
          </w:r>
          <w:r>
            <w:fldChar w:fldCharType="end"/>
          </w:r>
          <w:r>
            <w:rPr>
              <w:rFonts w:hint="eastAsia"/>
            </w:rPr>
            <w:fldChar w:fldCharType="end"/>
          </w:r>
        </w:p>
        <w:p w14:paraId="1FCAD883">
          <w:pPr>
            <w:pStyle w:val="13"/>
            <w:tabs>
              <w:tab w:val="right" w:leader="dot" w:pos="8306"/>
            </w:tabs>
          </w:pPr>
          <w:r>
            <w:rPr>
              <w:rFonts w:hint="eastAsia"/>
            </w:rPr>
            <w:fldChar w:fldCharType="begin"/>
          </w:r>
          <w:r>
            <w:rPr>
              <w:rFonts w:hint="eastAsia"/>
            </w:rPr>
            <w:instrText xml:space="preserve"> HYPERLINK \l _Toc10090 </w:instrText>
          </w:r>
          <w:r>
            <w:rPr>
              <w:rFonts w:hint="eastAsia"/>
            </w:rPr>
            <w:fldChar w:fldCharType="separate"/>
          </w:r>
          <w:r>
            <w:rPr>
              <w:rFonts w:hint="eastAsia"/>
              <w:bCs w:val="0"/>
            </w:rPr>
            <w:t>十一、国有资本经营预算财政拨款收入支出决算表</w:t>
          </w:r>
          <w:r>
            <w:tab/>
          </w:r>
          <w:r>
            <w:fldChar w:fldCharType="begin"/>
          </w:r>
          <w:r>
            <w:instrText xml:space="preserve"> PAGEREF _Toc10090 \h </w:instrText>
          </w:r>
          <w:r>
            <w:fldChar w:fldCharType="separate"/>
          </w:r>
          <w:r>
            <w:t>11</w:t>
          </w:r>
          <w:r>
            <w:fldChar w:fldCharType="end"/>
          </w:r>
          <w:r>
            <w:rPr>
              <w:rFonts w:hint="eastAsia"/>
            </w:rPr>
            <w:fldChar w:fldCharType="end"/>
          </w:r>
        </w:p>
        <w:p w14:paraId="3A1F61A9">
          <w:pPr>
            <w:pStyle w:val="13"/>
            <w:tabs>
              <w:tab w:val="right" w:leader="dot" w:pos="8306"/>
            </w:tabs>
          </w:pPr>
          <w:r>
            <w:rPr>
              <w:rFonts w:hint="eastAsia"/>
            </w:rPr>
            <w:fldChar w:fldCharType="begin"/>
          </w:r>
          <w:r>
            <w:rPr>
              <w:rFonts w:hint="eastAsia"/>
            </w:rPr>
            <w:instrText xml:space="preserve"> HYPERLINK \l _Toc32027 </w:instrText>
          </w:r>
          <w:r>
            <w:rPr>
              <w:rFonts w:hint="eastAsia"/>
            </w:rPr>
            <w:fldChar w:fldCharType="separate"/>
          </w:r>
          <w:r>
            <w:rPr>
              <w:rFonts w:hint="eastAsia"/>
              <w:bCs w:val="0"/>
            </w:rPr>
            <w:t>十二、国有资本经营预算财政拨款支出决算表</w:t>
          </w:r>
          <w:r>
            <w:tab/>
          </w:r>
          <w:r>
            <w:fldChar w:fldCharType="begin"/>
          </w:r>
          <w:r>
            <w:instrText xml:space="preserve"> PAGEREF _Toc32027 \h </w:instrText>
          </w:r>
          <w:r>
            <w:fldChar w:fldCharType="separate"/>
          </w:r>
          <w:r>
            <w:t>11</w:t>
          </w:r>
          <w:r>
            <w:fldChar w:fldCharType="end"/>
          </w:r>
          <w:r>
            <w:rPr>
              <w:rFonts w:hint="eastAsia"/>
            </w:rPr>
            <w:fldChar w:fldCharType="end"/>
          </w:r>
        </w:p>
        <w:p w14:paraId="30C3CD2C">
          <w:pPr>
            <w:pStyle w:val="13"/>
            <w:tabs>
              <w:tab w:val="right" w:leader="dot" w:pos="8306"/>
            </w:tabs>
          </w:pPr>
          <w:r>
            <w:rPr>
              <w:rFonts w:hint="eastAsia"/>
            </w:rPr>
            <w:fldChar w:fldCharType="begin"/>
          </w:r>
          <w:r>
            <w:rPr>
              <w:rFonts w:hint="eastAsia"/>
            </w:rPr>
            <w:instrText xml:space="preserve"> HYPERLINK \l _Toc31702 </w:instrText>
          </w:r>
          <w:r>
            <w:rPr>
              <w:rFonts w:hint="eastAsia"/>
            </w:rPr>
            <w:fldChar w:fldCharType="separate"/>
          </w:r>
          <w:r>
            <w:rPr>
              <w:rFonts w:hint="eastAsia"/>
              <w:bCs w:val="0"/>
            </w:rPr>
            <w:t>十三、财政拨款“三公”经费支出决算表</w:t>
          </w:r>
          <w:r>
            <w:tab/>
          </w:r>
          <w:r>
            <w:fldChar w:fldCharType="begin"/>
          </w:r>
          <w:r>
            <w:instrText xml:space="preserve"> PAGEREF _Toc31702 \h </w:instrText>
          </w:r>
          <w:r>
            <w:fldChar w:fldCharType="separate"/>
          </w:r>
          <w:r>
            <w:t>11</w:t>
          </w:r>
          <w:r>
            <w:fldChar w:fldCharType="end"/>
          </w:r>
          <w:r>
            <w:rPr>
              <w:rFonts w:hint="eastAsia"/>
            </w:rPr>
            <w:fldChar w:fldCharType="end"/>
          </w:r>
        </w:p>
        <w:p w14:paraId="4611664B">
          <w:pPr>
            <w:pStyle w:val="3"/>
            <w:pageBreakBefore w:val="0"/>
            <w:kinsoku/>
            <w:wordWrap/>
            <w:overflowPunct/>
            <w:topLinePunct w:val="0"/>
            <w:autoSpaceDE/>
            <w:autoSpaceDN/>
            <w:bidi w:val="0"/>
            <w:spacing w:line="576" w:lineRule="exact"/>
            <w:jc w:val="center"/>
            <w:textAlignment w:val="auto"/>
            <w:rPr>
              <w:rFonts w:hint="eastAsia" w:ascii="Calibri" w:hAnsi="Calibri" w:eastAsia="宋体" w:cs="Times New Roman"/>
              <w:b/>
              <w:bCs/>
              <w:kern w:val="44"/>
              <w:sz w:val="44"/>
              <w:szCs w:val="44"/>
              <w:lang w:val="en-US" w:eastAsia="zh-CN" w:bidi="ar"/>
            </w:rPr>
          </w:pPr>
          <w:r>
            <w:rPr>
              <w:rFonts w:hint="eastAsia"/>
            </w:rPr>
            <w:fldChar w:fldCharType="end"/>
          </w:r>
        </w:p>
      </w:sdtContent>
    </w:sdt>
    <w:p w14:paraId="798F9119">
      <w:pPr>
        <w:rPr>
          <w:rFonts w:hint="eastAsia"/>
        </w:rPr>
      </w:pPr>
    </w:p>
    <w:p w14:paraId="631D3BCB">
      <w:pPr>
        <w:pStyle w:val="3"/>
        <w:pageBreakBefore w:val="0"/>
        <w:kinsoku/>
        <w:wordWrap/>
        <w:overflowPunct/>
        <w:topLinePunct w:val="0"/>
        <w:autoSpaceDE/>
        <w:autoSpaceDN/>
        <w:bidi w:val="0"/>
        <w:spacing w:line="576" w:lineRule="exact"/>
        <w:jc w:val="center"/>
        <w:textAlignment w:val="auto"/>
        <w:rPr>
          <w:rFonts w:hint="eastAsia"/>
        </w:rPr>
        <w:sectPr>
          <w:headerReference r:id="rId3" w:type="default"/>
          <w:footerReference r:id="rId4" w:type="default"/>
          <w:pgSz w:w="11906" w:h="16838"/>
          <w:pgMar w:top="1440" w:right="1800" w:bottom="1440" w:left="1800" w:header="851" w:footer="992" w:gutter="0"/>
          <w:pgNumType w:fmt="decimal" w:start="32"/>
          <w:cols w:space="425" w:num="1"/>
          <w:docGrid w:type="lines" w:linePitch="312" w:charSpace="0"/>
        </w:sectPr>
      </w:pPr>
    </w:p>
    <w:p w14:paraId="34B5F739">
      <w:pPr>
        <w:pStyle w:val="3"/>
        <w:pageBreakBefore w:val="0"/>
        <w:kinsoku/>
        <w:wordWrap/>
        <w:overflowPunct/>
        <w:topLinePunct w:val="0"/>
        <w:autoSpaceDE/>
        <w:autoSpaceDN/>
        <w:bidi w:val="0"/>
        <w:spacing w:line="576" w:lineRule="exact"/>
        <w:jc w:val="center"/>
        <w:textAlignment w:val="auto"/>
        <w:rPr>
          <w:rFonts w:hint="eastAsia"/>
        </w:rPr>
      </w:pPr>
      <w:bookmarkStart w:id="0" w:name="_Toc10962"/>
      <w:r>
        <w:rPr>
          <w:rFonts w:hint="eastAsia"/>
        </w:rPr>
        <w:t>第一部分 单位概况</w:t>
      </w:r>
      <w:bookmarkEnd w:id="0"/>
    </w:p>
    <w:p w14:paraId="7EC9AF7B">
      <w:pPr>
        <w:pStyle w:val="4"/>
        <w:pageBreakBefore w:val="0"/>
        <w:kinsoku/>
        <w:wordWrap/>
        <w:overflowPunct/>
        <w:topLinePunct w:val="0"/>
        <w:autoSpaceDE/>
        <w:autoSpaceDN/>
        <w:bidi w:val="0"/>
        <w:spacing w:line="576" w:lineRule="exact"/>
        <w:ind w:firstLine="643" w:firstLineChars="200"/>
        <w:textAlignment w:val="auto"/>
        <w:rPr>
          <w:rFonts w:hint="eastAsia"/>
        </w:rPr>
      </w:pPr>
      <w:bookmarkStart w:id="1" w:name="_Toc4050"/>
      <w:r>
        <w:rPr>
          <w:rFonts w:hint="eastAsia"/>
          <w:lang w:val="en-US" w:eastAsia="zh-CN"/>
        </w:rPr>
        <w:t>一、</w:t>
      </w:r>
      <w:r>
        <w:rPr>
          <w:rFonts w:hint="eastAsia"/>
        </w:rPr>
        <w:t>主要职责</w:t>
      </w:r>
      <w:bookmarkEnd w:id="1"/>
    </w:p>
    <w:p w14:paraId="0777D799">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w:t>
      </w:r>
    </w:p>
    <w:p w14:paraId="4ADFCA32">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2.负责对在中心运行的行政许可、非许可审批事项的办理情况进行协调、监督、通报和考评；对经县人民政府批准，未进中心的行政许可、非许可审批事项的运行情况，会同监察机关进行监督检查。 </w:t>
      </w:r>
    </w:p>
    <w:p w14:paraId="1304E371">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3.负责全县行政审批制度、工作机制和运行方式的改革等具体工作；组织对现有行政许可、非许可审批项目的办理环节、流程进行精简、优化；依法对涉及两个及两个以上部门的同一行政审批项目联合审批进行组织协调和督办。 </w:t>
      </w:r>
    </w:p>
    <w:p w14:paraId="266EF712">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4.负责中心的电子政务建设、管理、后勤保障和安全</w:t>
      </w:r>
      <w:r>
        <w:rPr>
          <w:rFonts w:hint="eastAsia" w:ascii="仿宋_GB2312" w:eastAsia="仿宋_GB2312" w:cs="仿宋_GB2312"/>
          <w:color w:val="000000"/>
          <w:sz w:val="32"/>
          <w:szCs w:val="32"/>
          <w:lang w:eastAsia="zh-CN"/>
        </w:rPr>
        <w:t>。</w:t>
      </w:r>
    </w:p>
    <w:p w14:paraId="2E172EFC">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w:t>
      </w:r>
    </w:p>
    <w:p w14:paraId="5DC33DF3">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6.负责对分中心和乡镇便民服务中心经进行业务指导和监督。 </w:t>
      </w:r>
    </w:p>
    <w:p w14:paraId="409AA4A2">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sz w:val="32"/>
          <w:szCs w:val="32"/>
        </w:rPr>
      </w:pPr>
      <w:r>
        <w:rPr>
          <w:rFonts w:hint="eastAsia" w:ascii="仿宋_GB2312" w:eastAsia="仿宋_GB2312" w:cs="仿宋_GB2312"/>
          <w:color w:val="000000"/>
          <w:sz w:val="32"/>
          <w:szCs w:val="32"/>
        </w:rPr>
        <w:t>7.承办县委、县政府交办的其他工作。</w:t>
      </w:r>
    </w:p>
    <w:p w14:paraId="0851185E">
      <w:pPr>
        <w:pStyle w:val="4"/>
        <w:pageBreakBefore w:val="0"/>
        <w:kinsoku/>
        <w:wordWrap/>
        <w:overflowPunct/>
        <w:topLinePunct w:val="0"/>
        <w:autoSpaceDE/>
        <w:autoSpaceDN/>
        <w:bidi w:val="0"/>
        <w:spacing w:line="576" w:lineRule="exact"/>
        <w:ind w:firstLine="643" w:firstLineChars="200"/>
        <w:textAlignment w:val="auto"/>
        <w:rPr>
          <w:rFonts w:hint="eastAsia"/>
          <w:lang w:val="en-US" w:eastAsia="zh-CN"/>
        </w:rPr>
      </w:pPr>
      <w:bookmarkStart w:id="2" w:name="_Toc3405"/>
      <w:r>
        <w:rPr>
          <w:rFonts w:hint="eastAsia"/>
          <w:lang w:eastAsia="zh-CN"/>
        </w:rPr>
        <w:t>二、</w:t>
      </w:r>
      <w:r>
        <w:rPr>
          <w:rFonts w:hint="eastAsia"/>
        </w:rPr>
        <w:t>机构设置</w:t>
      </w:r>
      <w:bookmarkEnd w:id="2"/>
    </w:p>
    <w:p w14:paraId="22299B74">
      <w:pPr>
        <w:pageBreakBefore w:val="0"/>
        <w:widowControl w:val="0"/>
        <w:kinsoku/>
        <w:wordWrap/>
        <w:overflowPunct/>
        <w:topLinePunct w:val="0"/>
        <w:autoSpaceDE/>
        <w:autoSpaceDN/>
        <w:bidi w:val="0"/>
        <w:spacing w:line="576" w:lineRule="exact"/>
        <w:ind w:firstLine="800" w:firstLineChars="25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茂县行政审批和政务服务管理局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0BAA0857">
      <w:pPr>
        <w:pStyle w:val="5"/>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rPr>
          <w:rFonts w:hint="eastAsia" w:ascii="仿宋_GB2312" w:eastAsia="仿宋_GB2312" w:cs="仿宋_GB2312"/>
          <w:b w:val="0"/>
          <w:bCs w:val="0"/>
          <w:color w:val="000000"/>
          <w:sz w:val="32"/>
          <w:szCs w:val="32"/>
          <w:lang w:val="en-US" w:eastAsia="zh-CN"/>
        </w:rPr>
      </w:pPr>
      <w:r>
        <w:rPr>
          <w:rFonts w:hint="eastAsia" w:ascii="Times New Roman" w:hAnsi="Times New Roman" w:eastAsia="仿宋_GB2312" w:cs="仿宋_GB2312"/>
          <w:color w:val="auto"/>
          <w:sz w:val="32"/>
          <w:szCs w:val="32"/>
          <w:highlight w:val="none"/>
        </w:rPr>
        <w:t>纳入</w:t>
      </w:r>
      <w:r>
        <w:rPr>
          <w:rFonts w:hint="eastAsia" w:ascii="Times New Roman" w:hAnsi="Times New Roman" w:eastAsia="仿宋_GB2312" w:cs="仿宋_GB2312"/>
          <w:color w:val="auto"/>
          <w:sz w:val="32"/>
          <w:szCs w:val="32"/>
          <w:highlight w:val="none"/>
          <w:lang w:eastAsia="zh-CN"/>
        </w:rPr>
        <w:t>茂县行政审批和政务服务管理局</w:t>
      </w:r>
      <w:r>
        <w:rPr>
          <w:rFonts w:hint="eastAsia" w:ascii="Times New Roman"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rPr>
        <w:t>部门决算编制范围的二级预算单位包括：</w:t>
      </w:r>
      <w:r>
        <w:rPr>
          <w:rFonts w:hint="eastAsia" w:ascii="Times New Roman" w:hAnsi="Times New Roman" w:eastAsia="仿宋_GB2312" w:cs="仿宋_GB2312"/>
          <w:color w:val="auto"/>
          <w:sz w:val="32"/>
          <w:szCs w:val="32"/>
          <w:highlight w:val="none"/>
          <w:lang w:val="en-US" w:eastAsia="zh-CN"/>
        </w:rPr>
        <w:t>茂县政务服务和公共资源交易服务中心</w:t>
      </w:r>
    </w:p>
    <w:p w14:paraId="19599E2A">
      <w:pPr>
        <w:pStyle w:val="3"/>
        <w:bidi w:val="0"/>
        <w:jc w:val="center"/>
        <w:rPr>
          <w:rFonts w:hint="default"/>
        </w:rPr>
      </w:pPr>
      <w:bookmarkStart w:id="3" w:name="_Toc32602"/>
      <w:r>
        <w:rPr>
          <w:rFonts w:hint="eastAsia"/>
        </w:rPr>
        <w:t>第二部分 202</w:t>
      </w:r>
      <w:r>
        <w:rPr>
          <w:rFonts w:hint="eastAsia"/>
          <w:lang w:val="en-US" w:eastAsia="zh-CN"/>
        </w:rPr>
        <w:t>5</w:t>
      </w:r>
      <w:r>
        <w:rPr>
          <w:rFonts w:hint="eastAsia"/>
        </w:rPr>
        <w:t>年度单位决算情况说明</w:t>
      </w:r>
      <w:bookmarkEnd w:id="3"/>
    </w:p>
    <w:p w14:paraId="6D73116B">
      <w:pPr>
        <w:pStyle w:val="4"/>
        <w:bidi w:val="0"/>
        <w:rPr>
          <w:rFonts w:hint="eastAsia" w:ascii="黑体" w:hAnsi="宋体" w:eastAsia="黑体" w:cs="Times New Roman"/>
          <w:b w:val="0"/>
          <w:bCs/>
          <w:szCs w:val="32"/>
        </w:rPr>
      </w:pPr>
      <w:bookmarkStart w:id="4" w:name="_Toc23016"/>
      <w:r>
        <w:rPr>
          <w:rFonts w:hint="eastAsia"/>
        </w:rPr>
        <w:t>一、收入支出决算总体情况说明</w:t>
      </w:r>
      <w:bookmarkEnd w:id="4"/>
    </w:p>
    <w:p w14:paraId="0B273900">
      <w:pPr>
        <w:keepNext w:val="0"/>
        <w:keepLines w:val="0"/>
        <w:pageBreakBefore w:val="0"/>
        <w:widowControl w:val="0"/>
        <w:suppressLineNumbers w:val="0"/>
        <w:suppressAutoHyphens/>
        <w:kinsoku/>
        <w:wordWrap/>
        <w:overflowPunct/>
        <w:topLinePunct w:val="0"/>
        <w:autoSpaceDE/>
        <w:autoSpaceDN/>
        <w:bidi w:val="0"/>
        <w:snapToGrid/>
        <w:spacing w:before="0" w:beforeAutospacing="0" w:after="0" w:afterAutospacing="0" w:line="576"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2025年度收、支总计均为251.25万元。与上年度相比，收、支总计各减少</w:t>
      </w:r>
      <w:r>
        <w:rPr>
          <w:rFonts w:hint="eastAsia" w:ascii="仿宋" w:hAnsi="仿宋" w:eastAsia="仿宋" w:cs="Times New Roman"/>
          <w:kern w:val="2"/>
          <w:sz w:val="32"/>
          <w:szCs w:val="32"/>
          <w:lang w:val="en-US" w:eastAsia="zh-CN" w:bidi="ar"/>
        </w:rPr>
        <w:t>7.80</w:t>
      </w:r>
      <w:r>
        <w:rPr>
          <w:rFonts w:hint="eastAsia" w:ascii="仿宋" w:hAnsi="仿宋" w:eastAsia="仿宋" w:cs="仿宋"/>
          <w:kern w:val="2"/>
          <w:sz w:val="32"/>
          <w:szCs w:val="32"/>
          <w:lang w:val="en-US" w:eastAsia="zh-CN" w:bidi="ar"/>
        </w:rPr>
        <w:t>万元，减少</w:t>
      </w:r>
      <w:r>
        <w:rPr>
          <w:rFonts w:hint="eastAsia" w:ascii="仿宋" w:hAnsi="仿宋" w:eastAsia="仿宋" w:cs="Times New Roman"/>
          <w:kern w:val="2"/>
          <w:sz w:val="32"/>
          <w:szCs w:val="32"/>
          <w:lang w:val="en-US" w:eastAsia="zh-CN" w:bidi="ar"/>
        </w:rPr>
        <w:t>3.1%</w:t>
      </w:r>
      <w:r>
        <w:rPr>
          <w:rFonts w:hint="eastAsia" w:ascii="仿宋" w:hAnsi="仿宋" w:eastAsia="仿宋" w:cs="仿宋"/>
          <w:kern w:val="2"/>
          <w:sz w:val="32"/>
          <w:szCs w:val="32"/>
          <w:lang w:val="en-US" w:eastAsia="zh-CN" w:bidi="ar"/>
        </w:rPr>
        <w:t>。主要变动原因是：2025年度项目减少。</w:t>
      </w:r>
    </w:p>
    <w:p w14:paraId="209147B5">
      <w:pPr>
        <w:pStyle w:val="1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8" o:title=""/>
            <o:lock v:ext="edit" aspectratio="t"/>
            <w10:wrap type="none"/>
            <w10:anchorlock/>
          </v:shape>
          <o:OLEObject Type="Embed" ProgID="Excel.Chart.8" ShapeID="_x0000_i1025" DrawAspect="Content" ObjectID="_1468075725" r:id="rId7">
            <o:LockedField>false</o:LockedField>
          </o:OLEObject>
        </w:object>
      </w:r>
    </w:p>
    <w:p w14:paraId="1F87FD33">
      <w:pPr>
        <w:rPr>
          <w:rFonts w:hint="eastAsia"/>
          <w:lang w:val="en-US" w:eastAsia="zh-CN"/>
        </w:rPr>
      </w:pPr>
    </w:p>
    <w:p w14:paraId="61AAF78F">
      <w:pPr>
        <w:pStyle w:val="4"/>
        <w:bidi w:val="0"/>
        <w:ind w:firstLine="643" w:firstLineChars="200"/>
        <w:rPr>
          <w:rFonts w:hint="eastAsia"/>
        </w:rPr>
      </w:pPr>
      <w:bookmarkStart w:id="5" w:name="_Toc10127"/>
      <w:r>
        <w:rPr>
          <w:rFonts w:hint="eastAsia"/>
        </w:rPr>
        <w:t>二、收入决算情况说明</w:t>
      </w:r>
      <w:bookmarkEnd w:id="5"/>
    </w:p>
    <w:p w14:paraId="6F9BD91D">
      <w:pPr>
        <w:keepNext w:val="0"/>
        <w:keepLines w:val="0"/>
        <w:pageBreakBefore w:val="0"/>
        <w:widowControl w:val="0"/>
        <w:suppressLineNumbers w:val="0"/>
        <w:suppressAutoHyphens/>
        <w:kinsoku/>
        <w:wordWrap/>
        <w:overflowPunct/>
        <w:topLinePunct w:val="0"/>
        <w:autoSpaceDE/>
        <w:autoSpaceDN/>
        <w:bidi w:val="0"/>
        <w:snapToGrid/>
        <w:spacing w:before="0" w:beforeAutospacing="0" w:after="0" w:afterAutospacing="0" w:line="576"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2025年度本年收入合计251.25万元，其中：一般公共预算财政拨款收入251.25万元，占100%；</w:t>
      </w:r>
    </w:p>
    <w:p w14:paraId="490A083D">
      <w:pPr>
        <w:keepNext w:val="0"/>
        <w:keepLines w:val="0"/>
        <w:pageBreakBefore w:val="0"/>
        <w:widowControl w:val="0"/>
        <w:suppressLineNumbers w:val="0"/>
        <w:suppressAutoHyphens/>
        <w:kinsoku/>
        <w:wordWrap/>
        <w:overflowPunct/>
        <w:topLinePunct w:val="0"/>
        <w:autoSpaceDE/>
        <w:autoSpaceDN/>
        <w:bidi w:val="0"/>
        <w:snapToGrid/>
        <w:spacing w:before="0" w:beforeAutospacing="0" w:after="0" w:afterAutospacing="0" w:line="576"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pict>
          <v:shape id="_x0000_s1026" o:spid="_x0000_s1026" o:spt="75" type="#_x0000_t75" style="position:absolute;left:0pt;margin-left:103pt;margin-top:5.6pt;height:149.55pt;width:210.35pt;mso-wrap-distance-bottom:0pt;mso-wrap-distance-left:9pt;mso-wrap-distance-right:9pt;mso-wrap-distance-top:0pt;z-index:251659264;mso-width-relative:page;mso-height-relative:page;" o:ole="t" filled="f" o:preferrelative="t" stroked="f" coordsize="21600,21600">
            <v:path/>
            <v:fill on="f" focussize="0,0"/>
            <v:stroke on="f"/>
            <v:imagedata r:id="rId10" o:title=""/>
            <o:lock v:ext="edit" aspectratio="t"/>
            <w10:wrap type="square"/>
          </v:shape>
          <o:OLEObject Type="Embed" ProgID="Excel.Chart.8" ShapeID="_x0000_s1026" DrawAspect="Content" ObjectID="_1468075726" r:id="rId9">
            <o:LockedField>false</o:LockedField>
          </o:OLEObject>
        </w:pict>
      </w:r>
    </w:p>
    <w:p w14:paraId="084A1DF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EC895E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12CAEBC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黑体" w:hAnsi="宋体" w:eastAsia="黑体" w:cs="黑体"/>
          <w:kern w:val="2"/>
          <w:sz w:val="32"/>
          <w:szCs w:val="32"/>
        </w:rPr>
      </w:pPr>
    </w:p>
    <w:p w14:paraId="2024EFA4">
      <w:pPr>
        <w:bidi w:val="0"/>
        <w:jc w:val="center"/>
        <w:rPr>
          <w:rFonts w:hint="eastAsia"/>
          <w:lang w:val="en-US" w:eastAsia="zh-CN"/>
        </w:rPr>
      </w:pPr>
      <w:bookmarkStart w:id="6" w:name="_Toc3564"/>
      <w:r>
        <w:rPr>
          <w:rFonts w:hint="eastAsia"/>
          <w:lang w:val="en-US" w:eastAsia="zh-CN"/>
        </w:rPr>
        <w:t xml:space="preserve"> </w:t>
      </w:r>
    </w:p>
    <w:p w14:paraId="74309DD1">
      <w:pPr>
        <w:bidi w:val="0"/>
        <w:jc w:val="center"/>
        <w:rPr>
          <w:rFonts w:hint="eastAsia"/>
          <w:lang w:eastAsia="zh-CN"/>
        </w:rPr>
      </w:pPr>
    </w:p>
    <w:p w14:paraId="4719C7E8">
      <w:pPr>
        <w:bidi w:val="0"/>
        <w:jc w:val="center"/>
        <w:rPr>
          <w:rFonts w:hint="eastAsia"/>
          <w:lang w:eastAsia="zh-CN"/>
        </w:rPr>
      </w:pPr>
    </w:p>
    <w:bookmarkEnd w:id="6"/>
    <w:p w14:paraId="4509476A">
      <w:pPr>
        <w:pStyle w:val="4"/>
        <w:bidi w:val="0"/>
        <w:ind w:firstLine="643" w:firstLineChars="200"/>
        <w:rPr>
          <w:rFonts w:hint="eastAsia"/>
        </w:rPr>
      </w:pPr>
      <w:bookmarkStart w:id="7" w:name="_Toc6232"/>
      <w:r>
        <w:rPr>
          <w:rFonts w:hint="eastAsia"/>
        </w:rPr>
        <w:t>三、支出决算情况说明</w:t>
      </w:r>
      <w:bookmarkEnd w:id="7"/>
    </w:p>
    <w:p w14:paraId="1EACD986">
      <w:pPr>
        <w:keepNext w:val="0"/>
        <w:keepLines w:val="0"/>
        <w:pageBreakBefore w:val="0"/>
        <w:widowControl w:val="0"/>
        <w:suppressLineNumbers w:val="0"/>
        <w:suppressAutoHyphens/>
        <w:kinsoku/>
        <w:wordWrap/>
        <w:overflowPunct/>
        <w:topLinePunct w:val="0"/>
        <w:autoSpaceDE/>
        <w:autoSpaceDN/>
        <w:bidi w:val="0"/>
        <w:snapToGrid/>
        <w:spacing w:before="0" w:beforeAutospacing="0" w:after="0" w:afterAutospacing="0" w:line="576"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2025年度本年支出合计251.25万元，其中：基本支出217.69万元，占86.64%；项目支出33.56万元，占13.36%；</w:t>
      </w:r>
    </w:p>
    <w:p w14:paraId="707866BD">
      <w:pPr>
        <w:pStyle w:val="12"/>
        <w:ind w:left="1058" w:leftChars="504" w:firstLine="0" w:firstLineChars="0"/>
        <w:jc w:val="center"/>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object>
          <v:shape id="_x0000_i1026" o:spt="75" type="#_x0000_t75" style="height:153.85pt;width:185.1pt;" o:ole="t" filled="f" o:preferrelative="t" stroked="f" coordsize="21600,21600">
            <v:path/>
            <v:fill on="f" focussize="0,0"/>
            <v:stroke on="f"/>
            <v:imagedata r:id="rId12" o:title=""/>
            <o:lock v:ext="edit" aspectratio="t"/>
            <w10:wrap type="none"/>
            <w10:anchorlock/>
          </v:shape>
          <o:OLEObject Type="Embed" ProgID="Excel.Chart.8" ShapeID="_x0000_i1026" DrawAspect="Content" ObjectID="_1468075727" r:id="rId11">
            <o:LockedField>false</o:LockedField>
          </o:OLEObject>
        </w:object>
      </w:r>
    </w:p>
    <w:p w14:paraId="461A9A10">
      <w:pPr>
        <w:rPr>
          <w:rFonts w:hint="eastAsia"/>
        </w:rPr>
      </w:pPr>
    </w:p>
    <w:p w14:paraId="2F93C5FD">
      <w:pPr>
        <w:pStyle w:val="4"/>
        <w:bidi w:val="0"/>
        <w:ind w:firstLine="643" w:firstLineChars="200"/>
        <w:rPr>
          <w:rFonts w:hint="eastAsia"/>
        </w:rPr>
      </w:pPr>
      <w:bookmarkStart w:id="8" w:name="_Toc9139"/>
      <w:r>
        <w:rPr>
          <w:rFonts w:hint="eastAsia"/>
          <w:lang w:val="en-US" w:eastAsia="zh-CN"/>
        </w:rPr>
        <w:t>四、财政拨款收入支出决算总体情况说明</w:t>
      </w:r>
      <w:bookmarkEnd w:id="8"/>
    </w:p>
    <w:p w14:paraId="53A92F7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2025年度财政拨款收、支总计均为</w:t>
      </w:r>
      <w:r>
        <w:rPr>
          <w:rFonts w:hint="eastAsia" w:ascii="仿宋" w:hAnsi="仿宋" w:eastAsia="仿宋" w:cs="Times New Roman"/>
          <w:kern w:val="2"/>
          <w:sz w:val="32"/>
          <w:szCs w:val="32"/>
          <w:lang w:val="en-US" w:eastAsia="zh-CN" w:bidi="ar"/>
        </w:rPr>
        <w:t>251.25</w:t>
      </w:r>
      <w:r>
        <w:rPr>
          <w:rFonts w:hint="eastAsia" w:ascii="仿宋" w:hAnsi="仿宋" w:eastAsia="仿宋" w:cs="仿宋"/>
          <w:kern w:val="2"/>
          <w:sz w:val="32"/>
          <w:szCs w:val="32"/>
          <w:lang w:val="en-US" w:eastAsia="zh-CN" w:bidi="ar"/>
        </w:rPr>
        <w:t>万元。与上年度相比，财政拨款收、支总计各减少7.80万元，减少3.1</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。主要变动原因是：2025年度项目减少。</w:t>
      </w:r>
    </w:p>
    <w:p w14:paraId="19A1D682">
      <w:pPr>
        <w:pStyle w:val="1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4" o:title=""/>
            <o:lock v:ext="edit" aspectratio="t"/>
            <w10:wrap type="none"/>
            <w10:anchorlock/>
          </v:shape>
          <o:OLEObject Type="Embed" ProgID="Excel.Chart.8" ShapeID="_x0000_i1027" DrawAspect="Content" ObjectID="_1468075728" r:id="rId13">
            <o:LockedField>false</o:LockedField>
          </o:OLEObject>
        </w:object>
      </w:r>
    </w:p>
    <w:p w14:paraId="42A54C15">
      <w:pPr>
        <w:rPr>
          <w:rFonts w:hint="eastAsia"/>
          <w:lang w:eastAsia="zh-CN"/>
        </w:rPr>
      </w:pPr>
    </w:p>
    <w:p w14:paraId="11DF29CF">
      <w:pPr>
        <w:pStyle w:val="4"/>
        <w:bidi w:val="0"/>
        <w:ind w:firstLine="643" w:firstLineChars="200"/>
        <w:rPr>
          <w:rFonts w:hint="eastAsia"/>
        </w:rPr>
      </w:pPr>
      <w:bookmarkStart w:id="9" w:name="_Toc26544"/>
      <w:r>
        <w:rPr>
          <w:rFonts w:hint="eastAsia"/>
          <w:lang w:val="en-US" w:eastAsia="zh-CN"/>
        </w:rPr>
        <w:t>五、一般公共预算财政拨款支出决算情况说明</w:t>
      </w:r>
      <w:bookmarkEnd w:id="9"/>
    </w:p>
    <w:p w14:paraId="5B66B9B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3D19AC6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2025年度一般公共预算财政拨款支出</w:t>
      </w:r>
      <w:r>
        <w:rPr>
          <w:rFonts w:hint="eastAsia" w:ascii="仿宋" w:hAnsi="仿宋" w:eastAsia="仿宋" w:cs="Times New Roman"/>
          <w:kern w:val="2"/>
          <w:sz w:val="32"/>
          <w:szCs w:val="32"/>
          <w:lang w:val="en-US" w:eastAsia="zh-CN" w:bidi="ar"/>
        </w:rPr>
        <w:t>251.25</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。与上年度相比，一般公共预算财政拨款支出减少7.80万元，减少3.1</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。主要变动原因是：2025年度项目减少。</w:t>
      </w:r>
    </w:p>
    <w:p w14:paraId="2F57B50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3.5pt;margin-top:8.45pt;height:164.7pt;width:259.95pt;mso-wrap-distance-bottom:0pt;mso-wrap-distance-left:9pt;mso-wrap-distance-right:9pt;mso-wrap-distance-top:0pt;z-index:251660288;mso-width-relative:page;mso-height-relative:page;" o:ole="t" filled="f" o:preferrelative="t" stroked="f" coordsize="21600,21600">
            <v:path/>
            <v:fill on="f" focussize="0,0"/>
            <v:stroke on="f"/>
            <v:imagedata r:id="rId16" o:title=""/>
            <o:lock v:ext="edit" aspectratio="t"/>
            <w10:wrap type="square"/>
          </v:shape>
          <o:OLEObject Type="Embed" ProgID="Excel.Chart.8" ShapeID="_x0000_s1027" DrawAspect="Content" ObjectID="_1468075729" r:id="rId15">
            <o:LockedField>false</o:LockedField>
          </o:OLEObject>
        </w:pict>
      </w:r>
    </w:p>
    <w:p w14:paraId="4349AC2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02386F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D908E1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14F3292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A852408">
      <w:pPr>
        <w:bidi w:val="0"/>
        <w:jc w:val="center"/>
        <w:rPr>
          <w:rFonts w:hint="eastAsia"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5AD3194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7B5C5D7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2025年度一般公共预算财政拨款支出</w:t>
      </w:r>
      <w:r>
        <w:rPr>
          <w:rFonts w:hint="eastAsia" w:ascii="仿宋" w:hAnsi="仿宋" w:eastAsia="仿宋" w:cs="Times New Roman"/>
          <w:kern w:val="2"/>
          <w:sz w:val="32"/>
          <w:szCs w:val="32"/>
          <w:lang w:val="en-US" w:eastAsia="zh-CN" w:bidi="ar"/>
        </w:rPr>
        <w:t>251.25</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val="0"/>
          <w:bCs/>
          <w:kern w:val="2"/>
          <w:sz w:val="32"/>
          <w:szCs w:val="32"/>
          <w:lang w:val="en-US" w:eastAsia="zh-CN" w:bidi="ar"/>
        </w:rPr>
        <w:t>一般公共服务支出</w:t>
      </w:r>
      <w:r>
        <w:rPr>
          <w:rFonts w:hint="eastAsia" w:ascii="仿宋" w:hAnsi="仿宋" w:eastAsia="仿宋" w:cs="Times New Roman"/>
          <w:b w:val="0"/>
          <w:bCs/>
          <w:kern w:val="2"/>
          <w:sz w:val="32"/>
          <w:szCs w:val="32"/>
          <w:lang w:val="en-US" w:eastAsia="zh-CN" w:bidi="ar"/>
        </w:rPr>
        <w:t>203.34</w:t>
      </w:r>
      <w:r>
        <w:rPr>
          <w:rFonts w:hint="eastAsia" w:ascii="仿宋" w:hAnsi="仿宋" w:eastAsia="仿宋" w:cs="仿宋"/>
          <w:b w:val="0"/>
          <w:bCs/>
          <w:kern w:val="2"/>
          <w:sz w:val="32"/>
          <w:szCs w:val="32"/>
          <w:lang w:val="en-US" w:eastAsia="zh-CN" w:bidi="ar"/>
        </w:rPr>
        <w:t>万元，占</w:t>
      </w:r>
      <w:r>
        <w:rPr>
          <w:rFonts w:hint="eastAsia" w:ascii="仿宋" w:hAnsi="仿宋" w:eastAsia="仿宋" w:cs="Times New Roman"/>
          <w:b w:val="0"/>
          <w:bCs/>
          <w:kern w:val="2"/>
          <w:sz w:val="32"/>
          <w:szCs w:val="32"/>
          <w:lang w:val="en-US" w:eastAsia="zh-CN" w:bidi="ar"/>
        </w:rPr>
        <w:t>80.93%</w:t>
      </w:r>
      <w:r>
        <w:rPr>
          <w:rFonts w:hint="eastAsia" w:ascii="仿宋" w:hAnsi="仿宋" w:eastAsia="仿宋" w:cs="仿宋"/>
          <w:b w:val="0"/>
          <w:bCs/>
          <w:kern w:val="2"/>
          <w:sz w:val="32"/>
          <w:szCs w:val="32"/>
          <w:lang w:val="en-US" w:eastAsia="zh-CN" w:bidi="ar"/>
        </w:rPr>
        <w:t>；社会保障和就业支出</w:t>
      </w:r>
      <w:r>
        <w:rPr>
          <w:rFonts w:hint="eastAsia" w:ascii="仿宋" w:hAnsi="仿宋" w:eastAsia="仿宋" w:cs="Times New Roman"/>
          <w:b w:val="0"/>
          <w:bCs/>
          <w:kern w:val="2"/>
          <w:sz w:val="32"/>
          <w:szCs w:val="32"/>
          <w:lang w:val="en-US" w:eastAsia="zh-CN" w:bidi="ar"/>
        </w:rPr>
        <w:t>22.54</w:t>
      </w:r>
      <w:r>
        <w:rPr>
          <w:rFonts w:hint="eastAsia" w:ascii="仿宋" w:hAnsi="仿宋" w:eastAsia="仿宋" w:cs="仿宋"/>
          <w:b w:val="0"/>
          <w:bCs/>
          <w:kern w:val="2"/>
          <w:sz w:val="32"/>
          <w:szCs w:val="32"/>
          <w:lang w:val="en-US" w:eastAsia="zh-CN" w:bidi="ar"/>
        </w:rPr>
        <w:t>万元，占</w:t>
      </w:r>
      <w:r>
        <w:rPr>
          <w:rFonts w:hint="eastAsia" w:ascii="仿宋" w:hAnsi="仿宋" w:eastAsia="仿宋" w:cs="Times New Roman"/>
          <w:b w:val="0"/>
          <w:bCs/>
          <w:kern w:val="2"/>
          <w:sz w:val="32"/>
          <w:szCs w:val="32"/>
          <w:lang w:val="en-US" w:eastAsia="zh-CN" w:bidi="ar"/>
        </w:rPr>
        <w:t>8.97%</w:t>
      </w:r>
      <w:r>
        <w:rPr>
          <w:rFonts w:hint="eastAsia" w:ascii="仿宋" w:hAnsi="仿宋" w:eastAsia="仿宋" w:cs="仿宋"/>
          <w:b w:val="0"/>
          <w:bCs/>
          <w:kern w:val="2"/>
          <w:sz w:val="32"/>
          <w:szCs w:val="32"/>
          <w:lang w:val="en-US" w:eastAsia="zh-CN" w:bidi="ar"/>
        </w:rPr>
        <w:t>；卫生健康支出8.95万元，占</w:t>
      </w:r>
      <w:r>
        <w:rPr>
          <w:rFonts w:hint="eastAsia" w:ascii="仿宋" w:hAnsi="仿宋" w:eastAsia="仿宋" w:cs="Times New Roman"/>
          <w:b w:val="0"/>
          <w:bCs/>
          <w:kern w:val="2"/>
          <w:sz w:val="32"/>
          <w:szCs w:val="32"/>
          <w:lang w:val="en-US" w:eastAsia="zh-CN" w:bidi="ar"/>
        </w:rPr>
        <w:t>3.56%</w:t>
      </w:r>
      <w:r>
        <w:rPr>
          <w:rFonts w:hint="eastAsia" w:ascii="仿宋" w:hAnsi="仿宋" w:eastAsia="仿宋" w:cs="仿宋"/>
          <w:b w:val="0"/>
          <w:bCs/>
          <w:kern w:val="2"/>
          <w:sz w:val="32"/>
          <w:szCs w:val="32"/>
          <w:lang w:val="en-US" w:eastAsia="zh-CN" w:bidi="ar"/>
        </w:rPr>
        <w:t>；住房保障支出</w:t>
      </w:r>
      <w:r>
        <w:rPr>
          <w:rFonts w:hint="eastAsia" w:ascii="仿宋" w:hAnsi="仿宋" w:eastAsia="仿宋" w:cs="Times New Roman"/>
          <w:b w:val="0"/>
          <w:bCs/>
          <w:kern w:val="2"/>
          <w:sz w:val="32"/>
          <w:szCs w:val="32"/>
          <w:lang w:val="en-US" w:eastAsia="zh-CN" w:bidi="ar"/>
        </w:rPr>
        <w:t>16.43</w:t>
      </w:r>
      <w:r>
        <w:rPr>
          <w:rFonts w:hint="eastAsia" w:ascii="仿宋" w:hAnsi="仿宋" w:eastAsia="仿宋" w:cs="仿宋"/>
          <w:b w:val="0"/>
          <w:bCs/>
          <w:kern w:val="2"/>
          <w:sz w:val="32"/>
          <w:szCs w:val="32"/>
          <w:lang w:val="en-US" w:eastAsia="zh-CN" w:bidi="ar"/>
        </w:rPr>
        <w:t>万元，占6.30</w:t>
      </w:r>
      <w:r>
        <w:rPr>
          <w:rFonts w:hint="eastAsia" w:ascii="仿宋" w:hAnsi="仿宋" w:eastAsia="仿宋" w:cs="Times New Roman"/>
          <w:b w:val="0"/>
          <w:bCs/>
          <w:kern w:val="2"/>
          <w:sz w:val="32"/>
          <w:szCs w:val="32"/>
          <w:lang w:val="en-US" w:eastAsia="zh-CN" w:bidi="ar"/>
        </w:rPr>
        <w:t>%</w:t>
      </w:r>
      <w:r>
        <w:rPr>
          <w:rFonts w:hint="eastAsia" w:ascii="仿宋" w:hAnsi="仿宋" w:eastAsia="仿宋" w:cs="仿宋"/>
          <w:b w:val="0"/>
          <w:bCs/>
          <w:kern w:val="2"/>
          <w:sz w:val="32"/>
          <w:szCs w:val="32"/>
          <w:lang w:val="en-US" w:eastAsia="zh-CN" w:bidi="ar"/>
        </w:rPr>
        <w:t>。</w:t>
      </w:r>
    </w:p>
    <w:p w14:paraId="157E685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18" o:title=""/>
            <o:lock v:ext="edit" aspectratio="t"/>
            <w10:wrap type="square"/>
          </v:shape>
          <o:OLEObject Type="Embed" ProgID="Excel.Chart.8" ShapeID="Object 6" DrawAspect="Content" ObjectID="_1468075730" r:id="rId17">
            <o:LockedField>false</o:LockedField>
          </o:OLEObject>
        </w:pict>
      </w:r>
    </w:p>
    <w:p w14:paraId="4151C27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57D65F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116F7C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82CFAA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61B34A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13D66917">
      <w:pPr>
        <w:pStyle w:val="5"/>
        <w:bidi w:val="0"/>
        <w:jc w:val="center"/>
        <w:rPr>
          <w:rFonts w:hint="eastAsia"/>
          <w:lang w:val="en-US" w:eastAsia="zh-CN"/>
        </w:rPr>
      </w:pPr>
    </w:p>
    <w:p w14:paraId="605C22B5">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2B8FE41E">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outlineLvl w:val="2"/>
        <w:rPr>
          <w:rStyle w:val="19"/>
          <w:rFonts w:hint="eastAsia" w:ascii="仿宋" w:hAnsi="仿宋" w:eastAsia="仿宋" w:cs="仿宋"/>
          <w:b w:val="0"/>
          <w:bCs/>
          <w:kern w:val="2"/>
          <w:sz w:val="32"/>
          <w:szCs w:val="32"/>
          <w:lang w:val="en-US" w:eastAsia="zh-CN" w:bidi="ar"/>
        </w:rPr>
      </w:pPr>
      <w:r>
        <w:rPr>
          <w:rFonts w:hint="eastAsia" w:ascii="仿宋" w:hAnsi="仿宋" w:eastAsia="仿宋" w:cs="仿宋"/>
          <w:b w:val="0"/>
          <w:bCs/>
          <w:kern w:val="2"/>
          <w:sz w:val="32"/>
          <w:szCs w:val="32"/>
          <w:lang w:val="en-US" w:eastAsia="zh-CN" w:bidi="ar"/>
        </w:rPr>
        <w:t>2025年度一般公共预算支出决算数为</w:t>
      </w:r>
      <w:r>
        <w:rPr>
          <w:rFonts w:hint="eastAsia" w:ascii="仿宋" w:hAnsi="仿宋" w:eastAsia="仿宋" w:cs="Times New Roman"/>
          <w:b w:val="0"/>
          <w:bCs/>
          <w:kern w:val="2"/>
          <w:sz w:val="32"/>
          <w:szCs w:val="32"/>
          <w:lang w:val="en-US" w:eastAsia="zh-CN" w:bidi="ar"/>
        </w:rPr>
        <w:t>251.25万元</w:t>
      </w:r>
      <w:r>
        <w:rPr>
          <w:rFonts w:hint="eastAsia" w:ascii="仿宋" w:hAnsi="仿宋" w:eastAsia="仿宋" w:cs="仿宋"/>
          <w:b w:val="0"/>
          <w:bCs/>
          <w:kern w:val="2"/>
          <w:sz w:val="32"/>
          <w:szCs w:val="32"/>
          <w:lang w:val="en-US" w:eastAsia="zh-CN" w:bidi="ar"/>
        </w:rPr>
        <w:t>，</w:t>
      </w:r>
      <w:r>
        <w:rPr>
          <w:rStyle w:val="19"/>
          <w:rFonts w:hint="eastAsia" w:ascii="仿宋" w:hAnsi="仿宋" w:eastAsia="仿宋" w:cs="仿宋"/>
          <w:b w:val="0"/>
          <w:bCs/>
          <w:kern w:val="2"/>
          <w:sz w:val="32"/>
          <w:szCs w:val="32"/>
          <w:lang w:val="en-US" w:eastAsia="zh-CN" w:bidi="ar"/>
        </w:rPr>
        <w:t>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。其中：</w:t>
      </w:r>
    </w:p>
    <w:p w14:paraId="090F9AF3">
      <w:pPr>
        <w:pStyle w:val="2"/>
        <w:pageBreakBefore w:val="0"/>
        <w:widowControl w:val="0"/>
        <w:kinsoku/>
        <w:wordWrap/>
        <w:overflowPunct/>
        <w:topLinePunct w:val="0"/>
        <w:bidi w:val="0"/>
        <w:snapToGrid/>
        <w:spacing w:line="576" w:lineRule="exact"/>
        <w:textAlignment w:val="auto"/>
        <w:rPr>
          <w:rFonts w:hint="eastAsia"/>
          <w:b w:val="0"/>
          <w:bCs/>
        </w:rPr>
      </w:pPr>
      <w:r>
        <w:rPr>
          <w:rStyle w:val="19"/>
          <w:rFonts w:hint="eastAsia" w:ascii="仿宋" w:hAnsi="仿宋" w:eastAsia="仿宋" w:cs="仿宋"/>
          <w:b w:val="0"/>
          <w:bCs/>
          <w:kern w:val="2"/>
          <w:sz w:val="32"/>
          <w:szCs w:val="32"/>
          <w:lang w:val="en-US" w:eastAsia="zh-CN" w:bidi="ar"/>
        </w:rPr>
        <w:t>1.一般公共服务（类）</w:t>
      </w:r>
      <w:r>
        <w:rPr>
          <w:rStyle w:val="19"/>
          <w:rFonts w:hint="eastAsia" w:ascii="仿宋" w:hAnsi="仿宋" w:eastAsia="仿宋" w:cs="Times New Roman"/>
          <w:b w:val="0"/>
          <w:bCs/>
          <w:kern w:val="2"/>
          <w:sz w:val="32"/>
          <w:szCs w:val="32"/>
          <w:lang w:val="en-US" w:eastAsia="zh-CN" w:bidi="ar"/>
        </w:rPr>
        <w:t>人大事务</w:t>
      </w:r>
      <w:r>
        <w:rPr>
          <w:rStyle w:val="19"/>
          <w:rFonts w:hint="eastAsia" w:ascii="仿宋" w:hAnsi="仿宋" w:eastAsia="仿宋" w:cs="仿宋"/>
          <w:b w:val="0"/>
          <w:bCs/>
          <w:kern w:val="2"/>
          <w:sz w:val="32"/>
          <w:szCs w:val="32"/>
          <w:lang w:val="en-US" w:eastAsia="zh-CN" w:bidi="ar"/>
        </w:rPr>
        <w:t>（款）</w:t>
      </w:r>
      <w:r>
        <w:rPr>
          <w:rStyle w:val="19"/>
          <w:rFonts w:hint="eastAsia" w:ascii="仿宋" w:hAnsi="仿宋" w:eastAsia="仿宋" w:cs="Times New Roman"/>
          <w:b w:val="0"/>
          <w:bCs/>
          <w:kern w:val="2"/>
          <w:sz w:val="32"/>
          <w:szCs w:val="32"/>
          <w:lang w:val="en-US" w:eastAsia="zh-CN" w:bidi="ar"/>
        </w:rPr>
        <w:t>行政运行</w:t>
      </w:r>
      <w:r>
        <w:rPr>
          <w:rStyle w:val="19"/>
          <w:rFonts w:hint="eastAsia" w:ascii="仿宋" w:hAnsi="仿宋" w:eastAsia="仿宋" w:cs="仿宋"/>
          <w:b w:val="0"/>
          <w:bCs/>
          <w:kern w:val="2"/>
          <w:sz w:val="32"/>
          <w:szCs w:val="32"/>
          <w:lang w:val="en-US" w:eastAsia="zh-CN" w:bidi="ar"/>
        </w:rPr>
        <w:t>（项）</w:t>
      </w:r>
      <w:r>
        <w:rPr>
          <w:rStyle w:val="19"/>
          <w:rFonts w:hint="eastAsia" w:ascii="仿宋" w:hAnsi="仿宋" w:eastAsia="仿宋" w:cs="Times New Roman"/>
          <w:b w:val="0"/>
          <w:bCs/>
          <w:kern w:val="2"/>
          <w:sz w:val="32"/>
          <w:szCs w:val="32"/>
          <w:lang w:val="en-US" w:eastAsia="zh-CN" w:bidi="ar"/>
        </w:rPr>
        <w:t xml:space="preserve">: </w:t>
      </w:r>
      <w:r>
        <w:rPr>
          <w:rStyle w:val="19"/>
          <w:rFonts w:hint="eastAsia" w:ascii="仿宋" w:hAnsi="仿宋" w:eastAsia="仿宋" w:cs="仿宋"/>
          <w:b w:val="0"/>
          <w:bCs/>
          <w:kern w:val="2"/>
          <w:sz w:val="32"/>
          <w:szCs w:val="32"/>
          <w:lang w:val="en-US" w:eastAsia="zh-CN" w:bidi="ar"/>
        </w:rPr>
        <w:t>支出决算为</w:t>
      </w:r>
      <w:r>
        <w:rPr>
          <w:rStyle w:val="19"/>
          <w:rFonts w:hint="eastAsia" w:ascii="仿宋" w:hAnsi="仿宋" w:eastAsia="仿宋" w:cs="Times New Roman"/>
          <w:b w:val="0"/>
          <w:bCs/>
          <w:kern w:val="2"/>
          <w:sz w:val="32"/>
          <w:szCs w:val="32"/>
          <w:lang w:val="en-US" w:eastAsia="zh-CN" w:bidi="ar"/>
        </w:rPr>
        <w:t>0.16</w:t>
      </w:r>
      <w:r>
        <w:rPr>
          <w:rStyle w:val="19"/>
          <w:rFonts w:hint="eastAsia" w:ascii="仿宋" w:hAnsi="仿宋" w:eastAsia="仿宋" w:cs="仿宋"/>
          <w:b w:val="0"/>
          <w:bCs/>
          <w:kern w:val="2"/>
          <w:sz w:val="32"/>
          <w:szCs w:val="32"/>
          <w:lang w:val="en-US" w:eastAsia="zh-CN" w:bidi="ar"/>
        </w:rPr>
        <w:t>万元，完成预算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决算数与预算数持平。</w:t>
      </w:r>
    </w:p>
    <w:p w14:paraId="648D8979">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576" w:lineRule="exact"/>
        <w:ind w:right="0" w:rightChars="0" w:firstLine="640" w:firstLineChars="200"/>
        <w:jc w:val="both"/>
        <w:textAlignment w:val="auto"/>
        <w:rPr>
          <w:rStyle w:val="19"/>
          <w:rFonts w:hint="eastAsia" w:ascii="仿宋" w:hAnsi="仿宋" w:eastAsia="仿宋" w:cs="仿宋"/>
          <w:b w:val="0"/>
          <w:bCs/>
          <w:kern w:val="2"/>
          <w:sz w:val="32"/>
          <w:szCs w:val="32"/>
          <w:lang w:val="en-US" w:eastAsia="zh-CN" w:bidi="ar"/>
        </w:rPr>
      </w:pPr>
      <w:r>
        <w:rPr>
          <w:rStyle w:val="19"/>
          <w:rFonts w:hint="eastAsia" w:ascii="仿宋" w:hAnsi="仿宋" w:eastAsia="仿宋" w:cs="仿宋"/>
          <w:b w:val="0"/>
          <w:bCs/>
          <w:kern w:val="2"/>
          <w:sz w:val="32"/>
          <w:szCs w:val="32"/>
          <w:lang w:val="en-US" w:eastAsia="zh-CN" w:bidi="ar"/>
        </w:rPr>
        <w:t>2.一般公共服务（类）</w:t>
      </w:r>
      <w:r>
        <w:rPr>
          <w:rStyle w:val="19"/>
          <w:rFonts w:hint="eastAsia" w:ascii="仿宋" w:hAnsi="仿宋" w:eastAsia="仿宋" w:cs="Times New Roman"/>
          <w:b w:val="0"/>
          <w:bCs/>
          <w:kern w:val="2"/>
          <w:sz w:val="32"/>
          <w:szCs w:val="32"/>
          <w:lang w:val="en-US" w:eastAsia="zh-CN" w:bidi="ar"/>
        </w:rPr>
        <w:t>政府办公厅（室）及相关机构事务</w:t>
      </w:r>
      <w:r>
        <w:rPr>
          <w:rStyle w:val="19"/>
          <w:rFonts w:hint="eastAsia" w:ascii="仿宋" w:hAnsi="仿宋" w:eastAsia="仿宋" w:cs="仿宋"/>
          <w:b w:val="0"/>
          <w:bCs/>
          <w:kern w:val="2"/>
          <w:sz w:val="32"/>
          <w:szCs w:val="32"/>
          <w:lang w:val="en-US" w:eastAsia="zh-CN" w:bidi="ar"/>
        </w:rPr>
        <w:t>（款）</w:t>
      </w:r>
      <w:r>
        <w:rPr>
          <w:rStyle w:val="19"/>
          <w:rFonts w:hint="eastAsia" w:ascii="仿宋" w:hAnsi="仿宋" w:eastAsia="仿宋" w:cs="Times New Roman"/>
          <w:b w:val="0"/>
          <w:bCs/>
          <w:kern w:val="2"/>
          <w:sz w:val="32"/>
          <w:szCs w:val="32"/>
          <w:lang w:val="en-US" w:eastAsia="zh-CN" w:bidi="ar"/>
        </w:rPr>
        <w:t>行政运行</w:t>
      </w:r>
      <w:r>
        <w:rPr>
          <w:rStyle w:val="19"/>
          <w:rFonts w:hint="eastAsia" w:ascii="仿宋" w:hAnsi="仿宋" w:eastAsia="仿宋" w:cs="仿宋"/>
          <w:b w:val="0"/>
          <w:bCs/>
          <w:kern w:val="2"/>
          <w:sz w:val="32"/>
          <w:szCs w:val="32"/>
          <w:lang w:val="en-US" w:eastAsia="zh-CN" w:bidi="ar"/>
        </w:rPr>
        <w:t>（项）</w:t>
      </w:r>
      <w:r>
        <w:rPr>
          <w:rStyle w:val="19"/>
          <w:rFonts w:hint="eastAsia" w:ascii="仿宋" w:hAnsi="仿宋" w:eastAsia="仿宋" w:cs="Times New Roman"/>
          <w:b w:val="0"/>
          <w:bCs/>
          <w:kern w:val="2"/>
          <w:sz w:val="32"/>
          <w:szCs w:val="32"/>
          <w:lang w:val="en-US" w:eastAsia="zh-CN" w:bidi="ar"/>
        </w:rPr>
        <w:t xml:space="preserve">: </w:t>
      </w:r>
      <w:r>
        <w:rPr>
          <w:rStyle w:val="19"/>
          <w:rFonts w:hint="eastAsia" w:ascii="仿宋" w:hAnsi="仿宋" w:eastAsia="仿宋" w:cs="仿宋"/>
          <w:b w:val="0"/>
          <w:bCs/>
          <w:kern w:val="2"/>
          <w:sz w:val="32"/>
          <w:szCs w:val="32"/>
          <w:lang w:val="en-US" w:eastAsia="zh-CN" w:bidi="ar"/>
        </w:rPr>
        <w:t>支出决算为</w:t>
      </w:r>
      <w:r>
        <w:rPr>
          <w:rStyle w:val="19"/>
          <w:rFonts w:hint="eastAsia" w:ascii="仿宋" w:hAnsi="仿宋" w:eastAsia="仿宋" w:cs="Times New Roman"/>
          <w:b w:val="0"/>
          <w:bCs/>
          <w:kern w:val="2"/>
          <w:sz w:val="32"/>
          <w:szCs w:val="32"/>
          <w:lang w:val="en-US" w:eastAsia="zh-CN" w:bidi="ar"/>
        </w:rPr>
        <w:t>169.61</w:t>
      </w:r>
      <w:r>
        <w:rPr>
          <w:rStyle w:val="19"/>
          <w:rFonts w:hint="eastAsia" w:ascii="仿宋" w:hAnsi="仿宋" w:eastAsia="仿宋" w:cs="仿宋"/>
          <w:b w:val="0"/>
          <w:bCs/>
          <w:kern w:val="2"/>
          <w:sz w:val="32"/>
          <w:szCs w:val="32"/>
          <w:lang w:val="en-US" w:eastAsia="zh-CN" w:bidi="ar"/>
        </w:rPr>
        <w:t>万元，完成预算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决算数与预算数持平。</w:t>
      </w:r>
    </w:p>
    <w:p w14:paraId="1A48D5BB">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576" w:lineRule="exact"/>
        <w:ind w:right="0" w:rightChars="0" w:firstLine="640" w:firstLineChars="200"/>
        <w:jc w:val="both"/>
        <w:textAlignment w:val="auto"/>
        <w:rPr>
          <w:rStyle w:val="19"/>
          <w:rFonts w:hint="eastAsia" w:ascii="仿宋" w:hAnsi="仿宋" w:eastAsia="仿宋" w:cs="仿宋"/>
          <w:b w:val="0"/>
          <w:bCs/>
          <w:kern w:val="2"/>
          <w:sz w:val="32"/>
          <w:szCs w:val="32"/>
          <w:lang w:val="en-US" w:eastAsia="zh-CN" w:bidi="ar"/>
        </w:rPr>
      </w:pPr>
      <w:r>
        <w:rPr>
          <w:rStyle w:val="19"/>
          <w:rFonts w:hint="eastAsia" w:ascii="仿宋" w:hAnsi="仿宋" w:eastAsia="仿宋" w:cs="仿宋"/>
          <w:b w:val="0"/>
          <w:bCs/>
          <w:kern w:val="2"/>
          <w:sz w:val="32"/>
          <w:szCs w:val="32"/>
          <w:lang w:val="en-US" w:eastAsia="zh-CN" w:bidi="ar"/>
        </w:rPr>
        <w:t>3.一般公共服务（类）</w:t>
      </w:r>
      <w:r>
        <w:rPr>
          <w:rStyle w:val="19"/>
          <w:rFonts w:hint="eastAsia" w:ascii="仿宋" w:hAnsi="仿宋" w:eastAsia="仿宋" w:cs="Times New Roman"/>
          <w:b w:val="0"/>
          <w:bCs/>
          <w:kern w:val="2"/>
          <w:sz w:val="32"/>
          <w:szCs w:val="32"/>
          <w:lang w:val="en-US" w:eastAsia="zh-CN" w:bidi="ar"/>
        </w:rPr>
        <w:t>政府办公厅（室）及相关机构事务</w:t>
      </w:r>
      <w:r>
        <w:rPr>
          <w:rStyle w:val="19"/>
          <w:rFonts w:hint="eastAsia" w:ascii="仿宋" w:hAnsi="仿宋" w:eastAsia="仿宋" w:cs="仿宋"/>
          <w:b w:val="0"/>
          <w:bCs/>
          <w:kern w:val="2"/>
          <w:sz w:val="32"/>
          <w:szCs w:val="32"/>
          <w:lang w:val="en-US" w:eastAsia="zh-CN" w:bidi="ar"/>
        </w:rPr>
        <w:t>（款）</w:t>
      </w:r>
      <w:r>
        <w:rPr>
          <w:rStyle w:val="19"/>
          <w:rFonts w:hint="eastAsia" w:ascii="仿宋" w:hAnsi="仿宋" w:eastAsia="仿宋" w:cs="Times New Roman"/>
          <w:b w:val="0"/>
          <w:bCs/>
          <w:kern w:val="2"/>
          <w:sz w:val="32"/>
          <w:szCs w:val="32"/>
          <w:lang w:val="en-US" w:eastAsia="zh-CN" w:bidi="ar"/>
        </w:rPr>
        <w:t>其他政府办公厅（室）及相关机构事务支出</w:t>
      </w:r>
      <w:r>
        <w:rPr>
          <w:rStyle w:val="19"/>
          <w:rFonts w:hint="eastAsia" w:ascii="仿宋" w:hAnsi="仿宋" w:eastAsia="仿宋" w:cs="仿宋"/>
          <w:b w:val="0"/>
          <w:bCs/>
          <w:kern w:val="2"/>
          <w:sz w:val="32"/>
          <w:szCs w:val="32"/>
          <w:lang w:val="en-US" w:eastAsia="zh-CN" w:bidi="ar"/>
        </w:rPr>
        <w:t>（项）</w:t>
      </w:r>
      <w:r>
        <w:rPr>
          <w:rStyle w:val="19"/>
          <w:rFonts w:hint="eastAsia" w:ascii="仿宋" w:hAnsi="仿宋" w:eastAsia="仿宋" w:cs="Times New Roman"/>
          <w:b w:val="0"/>
          <w:bCs/>
          <w:kern w:val="2"/>
          <w:sz w:val="32"/>
          <w:szCs w:val="32"/>
          <w:lang w:val="en-US" w:eastAsia="zh-CN" w:bidi="ar"/>
        </w:rPr>
        <w:t xml:space="preserve">: </w:t>
      </w:r>
      <w:r>
        <w:rPr>
          <w:rStyle w:val="19"/>
          <w:rFonts w:hint="eastAsia" w:ascii="仿宋" w:hAnsi="仿宋" w:eastAsia="仿宋" w:cs="仿宋"/>
          <w:b w:val="0"/>
          <w:bCs/>
          <w:kern w:val="2"/>
          <w:sz w:val="32"/>
          <w:szCs w:val="32"/>
          <w:lang w:val="en-US" w:eastAsia="zh-CN" w:bidi="ar"/>
        </w:rPr>
        <w:t>支出决算为33</w:t>
      </w:r>
      <w:r>
        <w:rPr>
          <w:rStyle w:val="19"/>
          <w:rFonts w:hint="eastAsia" w:ascii="仿宋" w:hAnsi="仿宋" w:eastAsia="仿宋" w:cs="Times New Roman"/>
          <w:b w:val="0"/>
          <w:bCs/>
          <w:kern w:val="2"/>
          <w:sz w:val="32"/>
          <w:szCs w:val="32"/>
          <w:lang w:val="en-US" w:eastAsia="zh-CN" w:bidi="ar"/>
        </w:rPr>
        <w:t>.56</w:t>
      </w:r>
      <w:r>
        <w:rPr>
          <w:rStyle w:val="19"/>
          <w:rFonts w:hint="eastAsia" w:ascii="仿宋" w:hAnsi="仿宋" w:eastAsia="仿宋" w:cs="仿宋"/>
          <w:b w:val="0"/>
          <w:bCs/>
          <w:kern w:val="2"/>
          <w:sz w:val="32"/>
          <w:szCs w:val="32"/>
          <w:lang w:val="en-US" w:eastAsia="zh-CN" w:bidi="ar"/>
        </w:rPr>
        <w:t>万元，完成预算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决算数与预算数持平。</w:t>
      </w:r>
    </w:p>
    <w:p w14:paraId="3CA8D690">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Style w:val="19"/>
          <w:rFonts w:hint="eastAsia" w:ascii="仿宋" w:hAnsi="仿宋" w:eastAsia="仿宋" w:cs="仿宋"/>
          <w:b w:val="0"/>
          <w:bCs/>
          <w:kern w:val="2"/>
          <w:sz w:val="32"/>
          <w:szCs w:val="32"/>
          <w:lang w:val="en-US" w:eastAsia="zh-CN" w:bidi="ar"/>
        </w:rPr>
      </w:pPr>
      <w:r>
        <w:rPr>
          <w:rStyle w:val="19"/>
          <w:rFonts w:hint="eastAsia" w:ascii="仿宋" w:hAnsi="仿宋" w:eastAsia="仿宋" w:cs="Times New Roman"/>
          <w:b w:val="0"/>
          <w:bCs/>
          <w:kern w:val="2"/>
          <w:sz w:val="32"/>
          <w:szCs w:val="32"/>
          <w:lang w:val="en-US" w:eastAsia="zh-CN" w:bidi="ar"/>
        </w:rPr>
        <w:t>4.</w:t>
      </w:r>
      <w:r>
        <w:rPr>
          <w:rStyle w:val="19"/>
          <w:rFonts w:hint="eastAsia" w:ascii="仿宋" w:hAnsi="仿宋" w:eastAsia="仿宋" w:cs="仿宋"/>
          <w:b w:val="0"/>
          <w:bCs/>
          <w:kern w:val="2"/>
          <w:sz w:val="32"/>
          <w:szCs w:val="32"/>
          <w:lang w:val="en-US" w:eastAsia="zh-CN" w:bidi="ar"/>
        </w:rPr>
        <w:t>社会保障和就业（类）</w:t>
      </w:r>
      <w:r>
        <w:rPr>
          <w:rStyle w:val="19"/>
          <w:rFonts w:hint="eastAsia" w:ascii="仿宋" w:hAnsi="仿宋" w:eastAsia="仿宋" w:cs="Times New Roman"/>
          <w:b w:val="0"/>
          <w:bCs/>
          <w:kern w:val="2"/>
          <w:sz w:val="32"/>
          <w:szCs w:val="32"/>
          <w:lang w:val="en-US" w:eastAsia="zh-CN" w:bidi="ar"/>
        </w:rPr>
        <w:t>行政事业单位养老支出</w:t>
      </w:r>
      <w:r>
        <w:rPr>
          <w:rStyle w:val="19"/>
          <w:rFonts w:hint="eastAsia" w:ascii="仿宋" w:hAnsi="仿宋" w:eastAsia="仿宋" w:cs="仿宋"/>
          <w:b w:val="0"/>
          <w:bCs/>
          <w:kern w:val="2"/>
          <w:sz w:val="32"/>
          <w:szCs w:val="32"/>
          <w:lang w:val="en-US" w:eastAsia="zh-CN" w:bidi="ar"/>
        </w:rPr>
        <w:t>（款）</w:t>
      </w:r>
      <w:r>
        <w:rPr>
          <w:rStyle w:val="19"/>
          <w:rFonts w:hint="eastAsia" w:ascii="仿宋" w:hAnsi="仿宋" w:eastAsia="仿宋" w:cs="Times New Roman"/>
          <w:b w:val="0"/>
          <w:bCs/>
          <w:kern w:val="2"/>
          <w:sz w:val="32"/>
          <w:szCs w:val="32"/>
          <w:lang w:val="en-US" w:eastAsia="zh-CN" w:bidi="ar"/>
        </w:rPr>
        <w:t>机关事业单位基本养老保险缴费支出</w:t>
      </w:r>
      <w:r>
        <w:rPr>
          <w:rStyle w:val="19"/>
          <w:rFonts w:hint="eastAsia" w:ascii="仿宋" w:hAnsi="仿宋" w:eastAsia="仿宋" w:cs="仿宋"/>
          <w:b w:val="0"/>
          <w:bCs/>
          <w:kern w:val="2"/>
          <w:sz w:val="32"/>
          <w:szCs w:val="32"/>
          <w:lang w:val="en-US" w:eastAsia="zh-CN" w:bidi="ar"/>
        </w:rPr>
        <w:t>（项）</w:t>
      </w:r>
      <w:r>
        <w:rPr>
          <w:rStyle w:val="19"/>
          <w:rFonts w:hint="eastAsia" w:ascii="仿宋" w:hAnsi="仿宋" w:eastAsia="仿宋" w:cs="Times New Roman"/>
          <w:b w:val="0"/>
          <w:bCs/>
          <w:kern w:val="2"/>
          <w:sz w:val="32"/>
          <w:szCs w:val="32"/>
          <w:lang w:val="en-US" w:eastAsia="zh-CN" w:bidi="ar"/>
        </w:rPr>
        <w:t xml:space="preserve">: </w:t>
      </w:r>
      <w:r>
        <w:rPr>
          <w:rStyle w:val="19"/>
          <w:rFonts w:hint="eastAsia" w:ascii="仿宋" w:hAnsi="仿宋" w:eastAsia="仿宋" w:cs="仿宋"/>
          <w:b w:val="0"/>
          <w:bCs/>
          <w:kern w:val="2"/>
          <w:sz w:val="32"/>
          <w:szCs w:val="32"/>
          <w:lang w:val="en-US" w:eastAsia="zh-CN" w:bidi="ar"/>
        </w:rPr>
        <w:t>支出决算为</w:t>
      </w:r>
      <w:r>
        <w:rPr>
          <w:rStyle w:val="19"/>
          <w:rFonts w:hint="eastAsia" w:ascii="仿宋" w:hAnsi="仿宋" w:eastAsia="仿宋" w:cs="Times New Roman"/>
          <w:b w:val="0"/>
          <w:bCs/>
          <w:kern w:val="2"/>
          <w:sz w:val="32"/>
          <w:szCs w:val="32"/>
          <w:lang w:val="en-US" w:eastAsia="zh-CN" w:bidi="ar"/>
        </w:rPr>
        <w:t>15.03</w:t>
      </w:r>
      <w:r>
        <w:rPr>
          <w:rStyle w:val="19"/>
          <w:rFonts w:hint="eastAsia" w:ascii="仿宋" w:hAnsi="仿宋" w:eastAsia="仿宋" w:cs="仿宋"/>
          <w:b w:val="0"/>
          <w:bCs/>
          <w:kern w:val="2"/>
          <w:sz w:val="32"/>
          <w:szCs w:val="32"/>
          <w:lang w:val="en-US" w:eastAsia="zh-CN" w:bidi="ar"/>
        </w:rPr>
        <w:t>万元，完成预算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决算数与预算数持平。</w:t>
      </w:r>
    </w:p>
    <w:p w14:paraId="62498F1A">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b w:val="0"/>
          <w:bCs/>
        </w:rPr>
      </w:pPr>
      <w:r>
        <w:rPr>
          <w:rStyle w:val="19"/>
          <w:rFonts w:hint="eastAsia" w:ascii="仿宋" w:hAnsi="仿宋" w:eastAsia="仿宋" w:cs="仿宋"/>
          <w:b w:val="0"/>
          <w:bCs/>
          <w:kern w:val="2"/>
          <w:sz w:val="32"/>
          <w:szCs w:val="32"/>
          <w:lang w:val="en-US" w:eastAsia="zh-CN" w:bidi="ar"/>
        </w:rPr>
        <w:t>5.社会保障和就业（类）</w:t>
      </w:r>
      <w:r>
        <w:rPr>
          <w:rStyle w:val="19"/>
          <w:rFonts w:hint="eastAsia" w:ascii="仿宋" w:hAnsi="仿宋" w:eastAsia="仿宋" w:cs="Times New Roman"/>
          <w:b w:val="0"/>
          <w:bCs/>
          <w:kern w:val="2"/>
          <w:sz w:val="32"/>
          <w:szCs w:val="32"/>
          <w:lang w:val="en-US" w:eastAsia="zh-CN" w:bidi="ar"/>
        </w:rPr>
        <w:t>行政事业单位养老支出</w:t>
      </w:r>
      <w:r>
        <w:rPr>
          <w:rStyle w:val="19"/>
          <w:rFonts w:hint="eastAsia" w:ascii="仿宋" w:hAnsi="仿宋" w:eastAsia="仿宋" w:cs="仿宋"/>
          <w:b w:val="0"/>
          <w:bCs/>
          <w:kern w:val="2"/>
          <w:sz w:val="32"/>
          <w:szCs w:val="32"/>
          <w:lang w:val="en-US" w:eastAsia="zh-CN" w:bidi="ar"/>
        </w:rPr>
        <w:t>（款）</w:t>
      </w:r>
      <w:r>
        <w:rPr>
          <w:rStyle w:val="19"/>
          <w:rFonts w:hint="eastAsia" w:ascii="仿宋" w:hAnsi="仿宋" w:eastAsia="仿宋" w:cs="Times New Roman"/>
          <w:b w:val="0"/>
          <w:bCs/>
          <w:kern w:val="2"/>
          <w:sz w:val="32"/>
          <w:szCs w:val="32"/>
          <w:lang w:val="en-US" w:eastAsia="zh-CN" w:bidi="ar"/>
        </w:rPr>
        <w:t>机关事业单位职业年金缴费支出</w:t>
      </w:r>
      <w:r>
        <w:rPr>
          <w:rStyle w:val="19"/>
          <w:rFonts w:hint="eastAsia" w:ascii="仿宋" w:hAnsi="仿宋" w:eastAsia="仿宋" w:cs="仿宋"/>
          <w:b w:val="0"/>
          <w:bCs/>
          <w:kern w:val="2"/>
          <w:sz w:val="32"/>
          <w:szCs w:val="32"/>
          <w:lang w:val="en-US" w:eastAsia="zh-CN" w:bidi="ar"/>
        </w:rPr>
        <w:t>（项）</w:t>
      </w:r>
      <w:r>
        <w:rPr>
          <w:rStyle w:val="19"/>
          <w:rFonts w:hint="eastAsia" w:ascii="仿宋" w:hAnsi="仿宋" w:eastAsia="仿宋" w:cs="Times New Roman"/>
          <w:b w:val="0"/>
          <w:bCs/>
          <w:kern w:val="2"/>
          <w:sz w:val="32"/>
          <w:szCs w:val="32"/>
          <w:lang w:val="en-US" w:eastAsia="zh-CN" w:bidi="ar"/>
        </w:rPr>
        <w:t xml:space="preserve">: </w:t>
      </w:r>
      <w:r>
        <w:rPr>
          <w:rStyle w:val="19"/>
          <w:rFonts w:hint="eastAsia" w:ascii="仿宋" w:hAnsi="仿宋" w:eastAsia="仿宋" w:cs="仿宋"/>
          <w:b w:val="0"/>
          <w:bCs/>
          <w:kern w:val="2"/>
          <w:sz w:val="32"/>
          <w:szCs w:val="32"/>
          <w:lang w:val="en-US" w:eastAsia="zh-CN" w:bidi="ar"/>
        </w:rPr>
        <w:t>支出决算为7.51万元，完成预算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决算数与预算数持平。</w:t>
      </w:r>
    </w:p>
    <w:p w14:paraId="2F6D3855">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 w:hAnsi="仿宋" w:eastAsia="仿宋" w:cs="Times New Roman"/>
          <w:b w:val="0"/>
          <w:bCs/>
          <w:kern w:val="2"/>
          <w:sz w:val="32"/>
          <w:szCs w:val="32"/>
        </w:rPr>
      </w:pPr>
      <w:r>
        <w:rPr>
          <w:rStyle w:val="19"/>
          <w:rFonts w:hint="eastAsia" w:ascii="仿宋" w:hAnsi="仿宋" w:eastAsia="仿宋" w:cs="Times New Roman"/>
          <w:b w:val="0"/>
          <w:bCs/>
          <w:kern w:val="2"/>
          <w:sz w:val="32"/>
          <w:szCs w:val="32"/>
          <w:lang w:val="en-US" w:eastAsia="zh-CN" w:bidi="ar"/>
        </w:rPr>
        <w:t>6.</w:t>
      </w:r>
      <w:r>
        <w:rPr>
          <w:rFonts w:hint="eastAsia" w:ascii="仿宋" w:hAnsi="仿宋" w:eastAsia="仿宋" w:cs="仿宋"/>
          <w:b w:val="0"/>
          <w:bCs/>
          <w:kern w:val="2"/>
          <w:sz w:val="32"/>
          <w:szCs w:val="32"/>
          <w:lang w:val="en-US" w:eastAsia="zh-CN" w:bidi="ar"/>
        </w:rPr>
        <w:t>卫生健康</w:t>
      </w:r>
      <w:r>
        <w:rPr>
          <w:rStyle w:val="19"/>
          <w:rFonts w:hint="eastAsia" w:ascii="仿宋" w:hAnsi="仿宋" w:eastAsia="仿宋" w:cs="仿宋"/>
          <w:b w:val="0"/>
          <w:bCs/>
          <w:kern w:val="2"/>
          <w:sz w:val="32"/>
          <w:szCs w:val="32"/>
          <w:lang w:val="en-US" w:eastAsia="zh-CN" w:bidi="ar"/>
        </w:rPr>
        <w:t>（类）</w:t>
      </w:r>
      <w:r>
        <w:rPr>
          <w:rStyle w:val="19"/>
          <w:rFonts w:hint="eastAsia" w:ascii="仿宋" w:hAnsi="仿宋" w:eastAsia="仿宋" w:cs="Times New Roman"/>
          <w:b w:val="0"/>
          <w:bCs/>
          <w:kern w:val="2"/>
          <w:sz w:val="32"/>
          <w:szCs w:val="32"/>
          <w:lang w:val="en-US" w:eastAsia="zh-CN" w:bidi="ar"/>
        </w:rPr>
        <w:t>行政事业单位医疗</w:t>
      </w:r>
      <w:r>
        <w:rPr>
          <w:rStyle w:val="19"/>
          <w:rFonts w:hint="eastAsia" w:ascii="仿宋" w:hAnsi="仿宋" w:eastAsia="仿宋" w:cs="仿宋"/>
          <w:b w:val="0"/>
          <w:bCs/>
          <w:kern w:val="2"/>
          <w:sz w:val="32"/>
          <w:szCs w:val="32"/>
          <w:lang w:val="en-US" w:eastAsia="zh-CN" w:bidi="ar"/>
        </w:rPr>
        <w:t>（款）</w:t>
      </w:r>
      <w:r>
        <w:rPr>
          <w:rStyle w:val="19"/>
          <w:rFonts w:hint="eastAsia" w:ascii="仿宋" w:hAnsi="仿宋" w:eastAsia="仿宋" w:cs="Times New Roman"/>
          <w:b w:val="0"/>
          <w:bCs/>
          <w:kern w:val="2"/>
          <w:sz w:val="32"/>
          <w:szCs w:val="32"/>
          <w:lang w:val="en-US" w:eastAsia="zh-CN" w:bidi="ar"/>
        </w:rPr>
        <w:t>行政单位医疗</w:t>
      </w:r>
      <w:r>
        <w:rPr>
          <w:rStyle w:val="19"/>
          <w:rFonts w:hint="eastAsia" w:ascii="仿宋" w:hAnsi="仿宋" w:eastAsia="仿宋" w:cs="仿宋"/>
          <w:b w:val="0"/>
          <w:bCs/>
          <w:kern w:val="2"/>
          <w:sz w:val="32"/>
          <w:szCs w:val="32"/>
          <w:lang w:val="en-US" w:eastAsia="zh-CN" w:bidi="ar"/>
        </w:rPr>
        <w:t>（项）</w:t>
      </w:r>
      <w:r>
        <w:rPr>
          <w:rStyle w:val="19"/>
          <w:rFonts w:hint="eastAsia" w:ascii="仿宋" w:hAnsi="仿宋" w:eastAsia="仿宋" w:cs="Times New Roman"/>
          <w:b w:val="0"/>
          <w:bCs/>
          <w:kern w:val="2"/>
          <w:sz w:val="32"/>
          <w:szCs w:val="32"/>
          <w:lang w:val="en-US" w:eastAsia="zh-CN" w:bidi="ar"/>
        </w:rPr>
        <w:t>:</w:t>
      </w:r>
      <w:r>
        <w:rPr>
          <w:rStyle w:val="19"/>
          <w:rFonts w:hint="eastAsia" w:ascii="仿宋" w:hAnsi="仿宋" w:eastAsia="仿宋" w:cs="仿宋"/>
          <w:b w:val="0"/>
          <w:bCs/>
          <w:kern w:val="2"/>
          <w:sz w:val="32"/>
          <w:szCs w:val="32"/>
          <w:lang w:val="en-US" w:eastAsia="zh-CN" w:bidi="ar"/>
        </w:rPr>
        <w:t>支出决算为8.95万元，完成预算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决算数与预算数持平。</w:t>
      </w:r>
    </w:p>
    <w:p w14:paraId="422E0866">
      <w:pPr>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b w:val="0"/>
          <w:bCs/>
          <w:color w:val="000000"/>
          <w:sz w:val="32"/>
          <w:szCs w:val="32"/>
        </w:rPr>
      </w:pPr>
      <w:r>
        <w:rPr>
          <w:rFonts w:hint="eastAsia" w:ascii="仿宋" w:hAnsi="仿宋" w:eastAsia="仿宋" w:cs="仿宋"/>
          <w:b w:val="0"/>
          <w:bCs/>
          <w:kern w:val="2"/>
          <w:sz w:val="32"/>
          <w:szCs w:val="32"/>
          <w:lang w:val="en-US" w:eastAsia="zh-CN" w:bidi="ar"/>
        </w:rPr>
        <w:t>7.住房保障支出（</w:t>
      </w:r>
      <w:r>
        <w:rPr>
          <w:rStyle w:val="19"/>
          <w:rFonts w:hint="eastAsia" w:ascii="仿宋" w:hAnsi="仿宋" w:eastAsia="仿宋" w:cs="仿宋"/>
          <w:b w:val="0"/>
          <w:bCs/>
          <w:kern w:val="2"/>
          <w:sz w:val="32"/>
          <w:szCs w:val="32"/>
          <w:lang w:val="en-US" w:eastAsia="zh-CN" w:bidi="ar"/>
        </w:rPr>
        <w:t>类</w:t>
      </w:r>
      <w:r>
        <w:rPr>
          <w:rFonts w:hint="eastAsia" w:ascii="仿宋" w:hAnsi="仿宋" w:eastAsia="仿宋" w:cs="仿宋"/>
          <w:b w:val="0"/>
          <w:bCs/>
          <w:kern w:val="2"/>
          <w:sz w:val="32"/>
          <w:szCs w:val="32"/>
          <w:lang w:val="en-US" w:eastAsia="zh-CN" w:bidi="ar"/>
        </w:rPr>
        <w:t>）住房改革支出（</w:t>
      </w:r>
      <w:r>
        <w:rPr>
          <w:rStyle w:val="19"/>
          <w:rFonts w:hint="eastAsia" w:ascii="仿宋" w:hAnsi="仿宋" w:eastAsia="仿宋" w:cs="仿宋"/>
          <w:b w:val="0"/>
          <w:bCs/>
          <w:kern w:val="2"/>
          <w:sz w:val="32"/>
          <w:szCs w:val="32"/>
          <w:lang w:val="en-US" w:eastAsia="zh-CN" w:bidi="ar"/>
        </w:rPr>
        <w:t>款</w:t>
      </w:r>
      <w:r>
        <w:rPr>
          <w:rFonts w:hint="eastAsia" w:ascii="仿宋" w:hAnsi="仿宋" w:eastAsia="仿宋" w:cs="仿宋"/>
          <w:b w:val="0"/>
          <w:bCs/>
          <w:kern w:val="2"/>
          <w:sz w:val="32"/>
          <w:szCs w:val="32"/>
          <w:lang w:val="en-US" w:eastAsia="zh-CN" w:bidi="ar"/>
        </w:rPr>
        <w:t>）住房公积金（</w:t>
      </w:r>
      <w:r>
        <w:rPr>
          <w:rStyle w:val="19"/>
          <w:rFonts w:hint="eastAsia" w:ascii="仿宋" w:hAnsi="仿宋" w:eastAsia="仿宋" w:cs="仿宋"/>
          <w:b w:val="0"/>
          <w:bCs/>
          <w:kern w:val="2"/>
          <w:sz w:val="32"/>
          <w:szCs w:val="32"/>
          <w:lang w:val="en-US" w:eastAsia="zh-CN" w:bidi="ar"/>
        </w:rPr>
        <w:t>项</w:t>
      </w:r>
      <w:r>
        <w:rPr>
          <w:rFonts w:hint="eastAsia" w:ascii="仿宋" w:hAnsi="仿宋" w:eastAsia="仿宋" w:cs="仿宋"/>
          <w:b w:val="0"/>
          <w:bCs/>
          <w:kern w:val="2"/>
          <w:sz w:val="32"/>
          <w:szCs w:val="32"/>
          <w:lang w:val="en-US" w:eastAsia="zh-CN" w:bidi="ar"/>
        </w:rPr>
        <w:t>）：</w:t>
      </w:r>
      <w:r>
        <w:rPr>
          <w:rStyle w:val="19"/>
          <w:rFonts w:hint="eastAsia" w:ascii="仿宋" w:hAnsi="仿宋" w:eastAsia="仿宋" w:cs="仿宋"/>
          <w:b w:val="0"/>
          <w:bCs/>
          <w:kern w:val="2"/>
          <w:sz w:val="32"/>
          <w:szCs w:val="32"/>
          <w:lang w:val="en-US" w:eastAsia="zh-CN" w:bidi="ar"/>
        </w:rPr>
        <w:t>支出决算为16.43</w:t>
      </w:r>
      <w:r>
        <w:rPr>
          <w:rFonts w:hint="eastAsia" w:ascii="仿宋_GB2312" w:eastAsia="仿宋_GB2312"/>
          <w:b w:val="0"/>
          <w:bCs/>
          <w:color w:val="000000"/>
          <w:sz w:val="32"/>
          <w:szCs w:val="32"/>
        </w:rPr>
        <w:t>万元，完成预算的100%</w:t>
      </w:r>
      <w:r>
        <w:rPr>
          <w:rStyle w:val="19"/>
          <w:rFonts w:hint="eastAsia" w:ascii="仿宋" w:hAnsi="仿宋" w:eastAsia="仿宋" w:cs="Times New Roman"/>
          <w:b w:val="0"/>
          <w:bCs/>
          <w:kern w:val="2"/>
          <w:sz w:val="32"/>
          <w:szCs w:val="32"/>
          <w:lang w:val="en-US" w:eastAsia="zh-CN" w:bidi="ar"/>
        </w:rPr>
        <w:t>，</w:t>
      </w:r>
      <w:r>
        <w:rPr>
          <w:rStyle w:val="19"/>
          <w:rFonts w:hint="eastAsia" w:ascii="仿宋" w:hAnsi="仿宋" w:eastAsia="仿宋" w:cs="仿宋"/>
          <w:b w:val="0"/>
          <w:bCs/>
          <w:kern w:val="2"/>
          <w:sz w:val="32"/>
          <w:szCs w:val="32"/>
          <w:lang w:val="en-US" w:eastAsia="zh-CN" w:bidi="ar"/>
        </w:rPr>
        <w:t>决算数与预算数持平。</w:t>
      </w:r>
    </w:p>
    <w:p w14:paraId="4BD2B528">
      <w:pPr>
        <w:pStyle w:val="4"/>
        <w:pageBreakBefore w:val="0"/>
        <w:widowControl w:val="0"/>
        <w:kinsoku/>
        <w:wordWrap/>
        <w:overflowPunct/>
        <w:topLinePunct w:val="0"/>
        <w:bidi w:val="0"/>
        <w:snapToGrid/>
        <w:spacing w:line="576" w:lineRule="exact"/>
        <w:ind w:firstLine="643" w:firstLineChars="200"/>
        <w:textAlignment w:val="auto"/>
        <w:rPr>
          <w:rFonts w:hint="default"/>
        </w:rPr>
      </w:pPr>
      <w:bookmarkStart w:id="10" w:name="_Toc11264"/>
      <w:r>
        <w:rPr>
          <w:rFonts w:hint="eastAsia"/>
          <w:lang w:val="en-US" w:eastAsia="zh-CN"/>
        </w:rPr>
        <w:t>六、一般公共预算财政拨款基本支出决算情况说明</w:t>
      </w:r>
      <w:bookmarkEnd w:id="10"/>
      <w:r>
        <w:rPr>
          <w:rFonts w:hint="eastAsia"/>
          <w:lang w:val="en-US" w:eastAsia="zh-CN"/>
        </w:rPr>
        <w:tab/>
      </w:r>
    </w:p>
    <w:p w14:paraId="05732299">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2025年度一般公共预算财政拨款基本支出251.25万元，其中：</w:t>
      </w:r>
    </w:p>
    <w:p w14:paraId="6A253EEC">
      <w:pPr>
        <w:pageBreakBefore w:val="0"/>
        <w:widowControl w:val="0"/>
        <w:kinsoku/>
        <w:wordWrap/>
        <w:overflowPunct/>
        <w:topLinePunct w:val="0"/>
        <w:bidi w:val="0"/>
        <w:snapToGrid/>
        <w:spacing w:line="576" w:lineRule="exact"/>
        <w:ind w:firstLine="645"/>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190.12</w:t>
      </w:r>
      <w:r>
        <w:rPr>
          <w:rFonts w:hint="eastAsia" w:ascii="仿宋" w:hAnsi="仿宋" w:eastAsia="仿宋" w:cs="仿宋"/>
          <w:kern w:val="2"/>
          <w:sz w:val="32"/>
          <w:szCs w:val="32"/>
          <w:lang w:val="en-US" w:eastAsia="zh-CN" w:bidi="ar"/>
        </w:rPr>
        <w:t>万元，</w:t>
      </w:r>
      <w:r>
        <w:rPr>
          <w:rFonts w:hint="eastAsia" w:ascii="仿宋" w:hAnsi="仿宋" w:eastAsia="仿宋"/>
          <w:color w:val="auto"/>
          <w:sz w:val="32"/>
          <w:szCs w:val="32"/>
          <w:highlight w:val="none"/>
        </w:rPr>
        <w:t>主要包括：基本工资、津贴补贴、奖金、机关事业单位基本养老保险缴费、职业年金缴费、职工基本医疗保险缴费、其他工资福利支出、住房公积金、</w:t>
      </w:r>
      <w:r>
        <w:rPr>
          <w:rFonts w:hint="eastAsia" w:ascii="仿宋" w:hAnsi="仿宋" w:eastAsia="仿宋"/>
          <w:color w:val="auto"/>
          <w:sz w:val="32"/>
          <w:szCs w:val="32"/>
          <w:highlight w:val="none"/>
          <w:lang w:eastAsia="zh-CN"/>
        </w:rPr>
        <w:t>医疗费、</w:t>
      </w:r>
      <w:r>
        <w:rPr>
          <w:rFonts w:hint="eastAsia" w:ascii="仿宋" w:hAnsi="仿宋" w:eastAsia="仿宋"/>
          <w:color w:val="auto"/>
          <w:sz w:val="32"/>
          <w:szCs w:val="32"/>
          <w:highlight w:val="none"/>
        </w:rPr>
        <w:t>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27.57</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1C06664B">
      <w:pPr>
        <w:pStyle w:val="4"/>
        <w:pageBreakBefore w:val="0"/>
        <w:widowControl w:val="0"/>
        <w:kinsoku/>
        <w:wordWrap/>
        <w:overflowPunct/>
        <w:topLinePunct w:val="0"/>
        <w:bidi w:val="0"/>
        <w:snapToGrid/>
        <w:spacing w:line="576" w:lineRule="exact"/>
        <w:ind w:firstLine="643" w:firstLineChars="200"/>
        <w:textAlignment w:val="auto"/>
        <w:rPr>
          <w:rFonts w:hint="eastAsia"/>
        </w:rPr>
      </w:pPr>
      <w:bookmarkStart w:id="11" w:name="_Toc9963"/>
      <w:r>
        <w:rPr>
          <w:rFonts w:hint="eastAsia"/>
          <w:lang w:val="en-US" w:eastAsia="zh-CN"/>
        </w:rPr>
        <w:t>七、财政拨款“三公”经费支出决算情况说明</w:t>
      </w:r>
      <w:bookmarkEnd w:id="11"/>
    </w:p>
    <w:p w14:paraId="57FE1618">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rPr>
      </w:pPr>
      <w:r>
        <w:rPr>
          <w:rFonts w:hint="eastAsia" w:ascii="仿宋" w:hAnsi="仿宋" w:eastAsia="仿宋" w:cs="仿宋"/>
          <w:kern w:val="2"/>
          <w:sz w:val="32"/>
          <w:szCs w:val="32"/>
          <w:lang w:val="en-US" w:eastAsia="zh-CN" w:bidi="ar"/>
        </w:rPr>
        <w:t>2025年度“三公”经费财政拨款支出0万元</w:t>
      </w:r>
      <w:r>
        <w:rPr>
          <w:rFonts w:hint="eastAsia" w:ascii="仿宋" w:hAnsi="仿宋" w:eastAsia="仿宋" w:cs="Times New Roman"/>
          <w:kern w:val="2"/>
          <w:sz w:val="32"/>
          <w:szCs w:val="32"/>
          <w:lang w:val="en-US" w:eastAsia="zh-CN" w:bidi="ar"/>
        </w:rPr>
        <w:t>。</w:t>
      </w:r>
    </w:p>
    <w:p w14:paraId="654C93BF">
      <w:pPr>
        <w:pStyle w:val="4"/>
        <w:pageBreakBefore w:val="0"/>
        <w:widowControl w:val="0"/>
        <w:kinsoku/>
        <w:wordWrap/>
        <w:overflowPunct/>
        <w:topLinePunct w:val="0"/>
        <w:bidi w:val="0"/>
        <w:snapToGrid/>
        <w:spacing w:line="576" w:lineRule="exact"/>
        <w:ind w:firstLine="643" w:firstLineChars="200"/>
        <w:textAlignment w:val="auto"/>
        <w:rPr>
          <w:rFonts w:hint="eastAsia"/>
        </w:rPr>
      </w:pPr>
      <w:bookmarkStart w:id="12" w:name="_Toc13443"/>
      <w:r>
        <w:rPr>
          <w:rFonts w:hint="eastAsia"/>
          <w:lang w:val="en-US" w:eastAsia="zh-CN"/>
        </w:rPr>
        <w:t>八、政府性基金预算支出决算情况说明</w:t>
      </w:r>
      <w:bookmarkEnd w:id="12"/>
    </w:p>
    <w:p w14:paraId="259FB570">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2025年度政府性基金预算财政拨款支出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14:paraId="0B3126FE">
      <w:pPr>
        <w:pStyle w:val="4"/>
        <w:pageBreakBefore w:val="0"/>
        <w:widowControl w:val="0"/>
        <w:kinsoku/>
        <w:wordWrap/>
        <w:overflowPunct/>
        <w:topLinePunct w:val="0"/>
        <w:bidi w:val="0"/>
        <w:snapToGrid/>
        <w:spacing w:line="576" w:lineRule="exact"/>
        <w:ind w:firstLine="643" w:firstLineChars="200"/>
        <w:textAlignment w:val="auto"/>
        <w:rPr>
          <w:rFonts w:hint="eastAsia"/>
        </w:rPr>
      </w:pPr>
      <w:bookmarkStart w:id="13" w:name="_Toc20190"/>
      <w:r>
        <w:rPr>
          <w:rFonts w:hint="eastAsia"/>
          <w:lang w:val="en-US" w:eastAsia="zh-CN"/>
        </w:rPr>
        <w:t>九、国有资本经营预算支出决算情况说明</w:t>
      </w:r>
      <w:bookmarkEnd w:id="13"/>
    </w:p>
    <w:p w14:paraId="60678F0E">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2025年度国有资本经营预算财政拨款支出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14:paraId="1E45B83F">
      <w:pPr>
        <w:pStyle w:val="4"/>
        <w:pageBreakBefore w:val="0"/>
        <w:widowControl w:val="0"/>
        <w:kinsoku/>
        <w:wordWrap/>
        <w:overflowPunct/>
        <w:topLinePunct w:val="0"/>
        <w:bidi w:val="0"/>
        <w:snapToGrid/>
        <w:spacing w:line="576" w:lineRule="exact"/>
        <w:ind w:firstLine="643" w:firstLineChars="200"/>
        <w:textAlignment w:val="auto"/>
        <w:rPr>
          <w:rFonts w:hint="eastAsia"/>
        </w:rPr>
      </w:pPr>
      <w:bookmarkStart w:id="14" w:name="_Toc15317"/>
      <w:r>
        <w:rPr>
          <w:rFonts w:hint="eastAsia"/>
          <w:lang w:val="en-US" w:eastAsia="zh-CN"/>
        </w:rPr>
        <w:t>十、其他重要事项的情况说明</w:t>
      </w:r>
      <w:bookmarkEnd w:id="14"/>
    </w:p>
    <w:p w14:paraId="225EF95F">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3BF95953">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2025年度，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27.57</w:t>
      </w:r>
      <w:r>
        <w:rPr>
          <w:rFonts w:hint="eastAsia" w:ascii="仿宋_GB2312" w:hAnsi="Calibri" w:eastAsia="仿宋_GB2312" w:cs="仿宋_GB2312"/>
          <w:kern w:val="2"/>
          <w:sz w:val="32"/>
          <w:szCs w:val="32"/>
          <w:lang w:val="en-US" w:eastAsia="zh-CN" w:bidi="ar"/>
        </w:rPr>
        <w:t>万元，与上年度相比增加2.70万元，增长</w:t>
      </w:r>
      <w:r>
        <w:rPr>
          <w:rFonts w:hint="eastAsia" w:ascii="仿宋_GB2312" w:hAnsi="Calibri" w:eastAsia="仿宋_GB2312" w:cs="Times New Roman"/>
          <w:kern w:val="2"/>
          <w:sz w:val="32"/>
          <w:szCs w:val="32"/>
          <w:lang w:val="en-US" w:eastAsia="zh-CN" w:bidi="ar"/>
        </w:rPr>
        <w:t>10.85%</w:t>
      </w:r>
      <w:r>
        <w:rPr>
          <w:rFonts w:hint="eastAsia" w:ascii="仿宋_GB2312" w:hAnsi="Calibri" w:eastAsia="仿宋_GB2312" w:cs="仿宋_GB2312"/>
          <w:kern w:val="2"/>
          <w:sz w:val="32"/>
          <w:szCs w:val="32"/>
          <w:lang w:val="en-US" w:eastAsia="zh-CN" w:bidi="ar"/>
        </w:rPr>
        <w:t>。主要变动原因是：政务大厅</w:t>
      </w:r>
      <w:r>
        <w:rPr>
          <w:rFonts w:hint="eastAsia" w:ascii="仿宋" w:hAnsi="仿宋" w:eastAsia="仿宋" w:cs="仿宋"/>
          <w:kern w:val="2"/>
          <w:sz w:val="32"/>
          <w:szCs w:val="32"/>
          <w:lang w:val="en-US" w:eastAsia="zh-CN" w:bidi="ar"/>
        </w:rPr>
        <w:t>人员增加</w:t>
      </w:r>
      <w:r>
        <w:rPr>
          <w:rFonts w:hint="eastAsia" w:ascii="仿宋_GB2312" w:hAnsi="Calibri" w:eastAsia="仿宋_GB2312" w:cs="仿宋_GB2312"/>
          <w:kern w:val="2"/>
          <w:sz w:val="32"/>
          <w:szCs w:val="32"/>
          <w:lang w:val="en-US" w:eastAsia="zh-CN" w:bidi="ar"/>
        </w:rPr>
        <w:t>。</w:t>
      </w:r>
    </w:p>
    <w:p w14:paraId="026FA0D8">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0B9223D4">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2025年度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行政审批局无</w:t>
      </w:r>
      <w:r>
        <w:rPr>
          <w:rFonts w:hint="eastAsia" w:ascii="仿宋_GB2312" w:hAnsi="Calibri" w:eastAsia="仿宋_GB2312" w:cs="仿宋_GB2312"/>
          <w:kern w:val="2"/>
          <w:sz w:val="32"/>
          <w:szCs w:val="32"/>
          <w:lang w:val="en-US" w:eastAsia="zh-CN" w:bidi="ar"/>
        </w:rPr>
        <w:t>政府采购支出。</w:t>
      </w:r>
    </w:p>
    <w:p w14:paraId="5F0C9DA0">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32526AB4">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截至2025年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行政审批和政务服务管理局未占有、未使用国有资产</w:t>
      </w:r>
      <w:r>
        <w:rPr>
          <w:rFonts w:hint="eastAsia" w:ascii="仿宋_GB2312" w:hAnsi="Calibri" w:eastAsia="仿宋_GB2312" w:cs="仿宋_GB2312"/>
          <w:kern w:val="2"/>
          <w:sz w:val="32"/>
          <w:szCs w:val="32"/>
          <w:lang w:val="en-US" w:eastAsia="zh-CN" w:bidi="ar"/>
        </w:rPr>
        <w:t>。</w:t>
      </w:r>
    </w:p>
    <w:p w14:paraId="7B35BF51">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06B34855">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_GB2312" w:hAnsi="Times New Roman" w:eastAsia="仿宋_GB2312" w:cs="Times New Roman"/>
          <w:kern w:val="2"/>
          <w:sz w:val="32"/>
          <w:szCs w:val="32"/>
          <w:lang w:val="en-US" w:eastAsia="zh-CN" w:bidi="ar"/>
        </w:rPr>
      </w:pPr>
      <w:r>
        <w:rPr>
          <w:rFonts w:hint="eastAsia" w:ascii="仿宋_GB2312" w:hAnsi="Times New Roman" w:eastAsia="仿宋_GB2312" w:cs="Times New Roman"/>
          <w:kern w:val="2"/>
          <w:sz w:val="32"/>
          <w:szCs w:val="32"/>
          <w:lang w:val="en-US" w:eastAsia="zh-CN" w:bidi="ar"/>
        </w:rPr>
        <w:t>2025年度无项目目标。</w:t>
      </w:r>
    </w:p>
    <w:p w14:paraId="3A607BB9">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883" w:firstLineChars="200"/>
        <w:jc w:val="center"/>
        <w:textAlignment w:val="auto"/>
        <w:rPr>
          <w:rStyle w:val="23"/>
          <w:rFonts w:hint="eastAsia"/>
          <w:lang w:val="en-US" w:eastAsia="zh-CN"/>
        </w:rPr>
      </w:pPr>
      <w:bookmarkStart w:id="15" w:name="_Toc28808"/>
    </w:p>
    <w:p w14:paraId="428C151C">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883" w:firstLineChars="200"/>
        <w:jc w:val="center"/>
        <w:textAlignment w:val="auto"/>
        <w:rPr>
          <w:rStyle w:val="23"/>
          <w:rFonts w:hint="eastAsia"/>
          <w:lang w:val="en-US" w:eastAsia="zh-CN"/>
        </w:rPr>
      </w:pPr>
    </w:p>
    <w:p w14:paraId="02A04B52">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883" w:firstLineChars="200"/>
        <w:jc w:val="center"/>
        <w:textAlignment w:val="auto"/>
        <w:rPr>
          <w:rStyle w:val="23"/>
          <w:rFonts w:hint="eastAsia"/>
          <w:lang w:val="en-US" w:eastAsia="zh-CN"/>
        </w:rPr>
      </w:pPr>
    </w:p>
    <w:p w14:paraId="0ED276A6">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883" w:firstLineChars="200"/>
        <w:jc w:val="center"/>
        <w:textAlignment w:val="auto"/>
        <w:rPr>
          <w:rFonts w:hint="eastAsia" w:ascii="宋体" w:hAnsi="Calibri" w:eastAsia="宋体" w:cs="Times New Roman"/>
          <w:b/>
          <w:bCs w:val="0"/>
          <w:kern w:val="2"/>
          <w:sz w:val="44"/>
          <w:szCs w:val="44"/>
        </w:rPr>
      </w:pPr>
      <w:r>
        <w:rPr>
          <w:rStyle w:val="23"/>
          <w:rFonts w:hint="eastAsia"/>
          <w:lang w:val="en-US" w:eastAsia="zh-CN"/>
        </w:rPr>
        <w:t>第三部分  名词解释</w:t>
      </w:r>
      <w:bookmarkEnd w:id="15"/>
    </w:p>
    <w:p w14:paraId="7F80AC56">
      <w:pPr>
        <w:pStyle w:val="22"/>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488F834B">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78BF7241">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50D5BDE0">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4.其他收入：指除上述“财政拨款收入”“事业收入”“经营收入”等以外的收入。</w:t>
      </w:r>
    </w:p>
    <w:p w14:paraId="3D8D14B5">
      <w:pPr>
        <w:pStyle w:val="22"/>
        <w:spacing w:line="56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5.使用非财政拨款结余（含专用结余）：指事业单位使用以前年度积累的非财政拨款结余弥补当年收支差额的金额。</w:t>
      </w:r>
    </w:p>
    <w:p w14:paraId="2CE34E8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68C3A53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3E40DE7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003E7677">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9</w:t>
      </w:r>
      <w:r>
        <w:rPr>
          <w:rFonts w:hint="eastAsia" w:ascii="仿宋_GB2312" w:hAnsi="Calibri" w:eastAsia="仿宋_GB2312" w:cs="仿宋"/>
          <w:color w:val="000000"/>
          <w:kern w:val="0"/>
          <w:sz w:val="32"/>
          <w:szCs w:val="32"/>
        </w:rPr>
        <w:t>.一般公共服务（类）人大事务（款）行政运行（项）：指人大机关用于保障机构正常运行、开展日常工作的基本支出。</w:t>
      </w:r>
    </w:p>
    <w:p w14:paraId="4A9F015D">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10</w:t>
      </w:r>
      <w:r>
        <w:rPr>
          <w:rFonts w:hint="eastAsia" w:ascii="仿宋_GB2312" w:hAnsi="Calibri" w:eastAsia="仿宋_GB2312" w:cs="仿宋"/>
          <w:color w:val="000000"/>
          <w:kern w:val="0"/>
          <w:sz w:val="32"/>
          <w:szCs w:val="32"/>
        </w:rPr>
        <w:t>.一般公共服务（类）人大事务（款）一般行政管理事务（项）：指人大机关开展综合业务等工作的支出。</w:t>
      </w:r>
    </w:p>
    <w:p w14:paraId="02DC7EF1">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11</w:t>
      </w:r>
      <w:r>
        <w:rPr>
          <w:rFonts w:hint="eastAsia" w:ascii="仿宋_GB2312" w:hAnsi="Calibri" w:eastAsia="仿宋_GB2312" w:cs="仿宋"/>
          <w:color w:val="000000"/>
          <w:kern w:val="0"/>
          <w:sz w:val="32"/>
          <w:szCs w:val="32"/>
        </w:rPr>
        <w:t>.一般公共服务（类）人大事务（款）人大会议（项）：指人大机关所有会议经费的支出。</w:t>
      </w:r>
    </w:p>
    <w:p w14:paraId="54AB6FDB">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rPr>
        <w:t>.一般公共服务（类）人大事务（款）代表工作（项）：指人大机关用于保障代表活动开展的各项支出。</w:t>
      </w:r>
    </w:p>
    <w:p w14:paraId="640103EB">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3198CB4A">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.社会保障和就业（类）行政事业单位离退休（款）机关事业单位职业年金缴费支出（项）：指部门实施养老保险制度由单位缴纳的职业年金的支出。</w:t>
      </w:r>
    </w:p>
    <w:p w14:paraId="1F47B730">
      <w:pPr>
        <w:spacing w:line="58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.卫生健康（类）行政事业单位医疗（款）行政单位医疗（项）：指人大机关用于缴纳单位基本医疗保险支出。</w:t>
      </w:r>
    </w:p>
    <w:p w14:paraId="715667EB">
      <w:pPr>
        <w:spacing w:line="58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.卫生健康（类）行政事业单位医疗（款）事业单位医疗（项）：指事业单位用于缴纳单位基本医疗保险支出。</w:t>
      </w:r>
    </w:p>
    <w:p w14:paraId="2E697ADA">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7</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7E7B5B9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18.基本支出：指为保障机构正常运转、完成日常工作任务而发生的人员支出和公用支出。</w:t>
      </w:r>
    </w:p>
    <w:p w14:paraId="49468BD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19.项目支出：指在基本支出之外为完成特定行政任务和事业发展目标所发生的支出。 </w:t>
      </w:r>
    </w:p>
    <w:p w14:paraId="5F394A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20.经营支出：指事业单位在专业业务活动及其辅助活动之外开展非独立核算经营活动发生的支出。</w:t>
      </w:r>
    </w:p>
    <w:p w14:paraId="1FA03B3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6BFB34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AF07B7">
      <w:pPr>
        <w:pStyle w:val="2"/>
        <w:rPr>
          <w:rFonts w:hint="eastAsia" w:ascii="黑体" w:hAnsi="宋体" w:eastAsia="黑体" w:cs="黑体"/>
          <w:kern w:val="2"/>
          <w:sz w:val="44"/>
          <w:szCs w:val="44"/>
          <w:lang w:val="en-US" w:eastAsia="zh-CN" w:bidi="ar"/>
        </w:rPr>
      </w:pPr>
    </w:p>
    <w:p w14:paraId="4403037B">
      <w:pPr>
        <w:pStyle w:val="2"/>
        <w:ind w:left="0" w:leftChars="0" w:firstLine="0" w:firstLineChars="0"/>
        <w:rPr>
          <w:rFonts w:hint="eastAsia" w:ascii="黑体" w:hAnsi="宋体" w:eastAsia="黑体" w:cs="黑体"/>
          <w:kern w:val="2"/>
          <w:sz w:val="44"/>
          <w:szCs w:val="44"/>
          <w:lang w:val="en-US" w:eastAsia="zh-CN" w:bidi="ar"/>
        </w:rPr>
      </w:pPr>
    </w:p>
    <w:p w14:paraId="4803C11D">
      <w:pPr>
        <w:pStyle w:val="3"/>
        <w:bidi w:val="0"/>
        <w:jc w:val="center"/>
        <w:rPr>
          <w:rFonts w:hint="eastAsia"/>
        </w:rPr>
      </w:pPr>
      <w:bookmarkStart w:id="16" w:name="_Toc4247"/>
      <w:r>
        <w:rPr>
          <w:rFonts w:hint="eastAsia"/>
          <w:lang w:val="en-US" w:eastAsia="zh-CN"/>
        </w:rPr>
        <w:t>第四部分 附表</w:t>
      </w:r>
      <w:bookmarkEnd w:id="16"/>
    </w:p>
    <w:p w14:paraId="54E50049">
      <w:pPr>
        <w:pStyle w:val="4"/>
        <w:bidi w:val="0"/>
        <w:rPr>
          <w:rFonts w:hint="eastAsia"/>
          <w:b w:val="0"/>
          <w:bCs w:val="0"/>
        </w:rPr>
      </w:pPr>
      <w:bookmarkStart w:id="17" w:name="_Toc8990"/>
      <w:r>
        <w:rPr>
          <w:rFonts w:hint="eastAsia"/>
          <w:b w:val="0"/>
          <w:bCs w:val="0"/>
        </w:rPr>
        <w:t>一、收入支出决算总表</w:t>
      </w:r>
      <w:bookmarkEnd w:id="17"/>
    </w:p>
    <w:p w14:paraId="2B629E6D">
      <w:pPr>
        <w:pStyle w:val="4"/>
        <w:bidi w:val="0"/>
        <w:rPr>
          <w:rFonts w:hint="eastAsia"/>
          <w:b w:val="0"/>
          <w:bCs w:val="0"/>
        </w:rPr>
      </w:pPr>
      <w:bookmarkStart w:id="18" w:name="_Toc19425"/>
      <w:r>
        <w:rPr>
          <w:rFonts w:hint="eastAsia"/>
          <w:b w:val="0"/>
          <w:bCs w:val="0"/>
        </w:rPr>
        <w:t>二、收入决算表</w:t>
      </w:r>
      <w:bookmarkEnd w:id="18"/>
    </w:p>
    <w:p w14:paraId="3EC774A9">
      <w:pPr>
        <w:pStyle w:val="4"/>
        <w:bidi w:val="0"/>
        <w:rPr>
          <w:rFonts w:hint="eastAsia"/>
          <w:b w:val="0"/>
          <w:bCs w:val="0"/>
        </w:rPr>
      </w:pPr>
      <w:bookmarkStart w:id="19" w:name="_Toc18247"/>
      <w:r>
        <w:rPr>
          <w:rFonts w:hint="eastAsia"/>
          <w:b w:val="0"/>
          <w:bCs w:val="0"/>
        </w:rPr>
        <w:t>三、支出决算表</w:t>
      </w:r>
      <w:bookmarkEnd w:id="19"/>
    </w:p>
    <w:p w14:paraId="32FFF358">
      <w:pPr>
        <w:pStyle w:val="4"/>
        <w:bidi w:val="0"/>
        <w:rPr>
          <w:rFonts w:hint="eastAsia"/>
          <w:b w:val="0"/>
          <w:bCs w:val="0"/>
        </w:rPr>
      </w:pPr>
      <w:bookmarkStart w:id="20" w:name="_Toc28666"/>
      <w:r>
        <w:rPr>
          <w:rFonts w:hint="eastAsia"/>
          <w:b w:val="0"/>
          <w:bCs w:val="0"/>
        </w:rPr>
        <w:t>四、财政拨款收入支出决算总表</w:t>
      </w:r>
      <w:bookmarkEnd w:id="20"/>
    </w:p>
    <w:p w14:paraId="21E0F1D6">
      <w:pPr>
        <w:pStyle w:val="4"/>
        <w:bidi w:val="0"/>
        <w:rPr>
          <w:rFonts w:hint="eastAsia"/>
          <w:b w:val="0"/>
          <w:bCs w:val="0"/>
        </w:rPr>
      </w:pPr>
      <w:bookmarkStart w:id="21" w:name="_Toc29024"/>
      <w:r>
        <w:rPr>
          <w:rFonts w:hint="eastAsia"/>
          <w:b w:val="0"/>
          <w:bCs w:val="0"/>
        </w:rPr>
        <w:t>五、财政拨款支出决算明细表</w:t>
      </w:r>
      <w:bookmarkEnd w:id="21"/>
    </w:p>
    <w:p w14:paraId="5CF05C0F">
      <w:pPr>
        <w:pStyle w:val="4"/>
        <w:bidi w:val="0"/>
        <w:rPr>
          <w:rFonts w:hint="eastAsia"/>
          <w:b w:val="0"/>
          <w:bCs w:val="0"/>
        </w:rPr>
      </w:pPr>
      <w:bookmarkStart w:id="22" w:name="_Toc22045"/>
      <w:r>
        <w:rPr>
          <w:rFonts w:hint="eastAsia"/>
          <w:b w:val="0"/>
          <w:bCs w:val="0"/>
        </w:rPr>
        <w:t>六、一般公共预算财政拨款支出决算表</w:t>
      </w:r>
      <w:bookmarkEnd w:id="22"/>
    </w:p>
    <w:p w14:paraId="5FEA2F4E">
      <w:pPr>
        <w:pStyle w:val="4"/>
        <w:bidi w:val="0"/>
        <w:rPr>
          <w:rFonts w:hint="eastAsia"/>
          <w:b w:val="0"/>
          <w:bCs w:val="0"/>
        </w:rPr>
      </w:pPr>
      <w:bookmarkStart w:id="23" w:name="_Toc6855"/>
      <w:r>
        <w:rPr>
          <w:rFonts w:hint="eastAsia"/>
          <w:b w:val="0"/>
          <w:bCs w:val="0"/>
        </w:rPr>
        <w:t>七、一般公共预算财政拨款支出决算明细表</w:t>
      </w:r>
      <w:bookmarkEnd w:id="23"/>
    </w:p>
    <w:p w14:paraId="2B91CD97">
      <w:pPr>
        <w:pStyle w:val="4"/>
        <w:bidi w:val="0"/>
        <w:rPr>
          <w:rFonts w:hint="eastAsia"/>
          <w:b w:val="0"/>
          <w:bCs w:val="0"/>
        </w:rPr>
      </w:pPr>
      <w:bookmarkStart w:id="24" w:name="_Toc11030"/>
      <w:r>
        <w:rPr>
          <w:rFonts w:hint="eastAsia"/>
          <w:b w:val="0"/>
          <w:bCs w:val="0"/>
        </w:rPr>
        <w:t>八、一般公共预算财政拨款基本支出决算表</w:t>
      </w:r>
      <w:bookmarkEnd w:id="24"/>
    </w:p>
    <w:p w14:paraId="2E3781BB">
      <w:pPr>
        <w:pStyle w:val="4"/>
        <w:bidi w:val="0"/>
        <w:rPr>
          <w:rFonts w:hint="eastAsia"/>
          <w:b w:val="0"/>
          <w:bCs w:val="0"/>
        </w:rPr>
      </w:pPr>
      <w:bookmarkStart w:id="25" w:name="_Toc31347"/>
      <w:r>
        <w:rPr>
          <w:rFonts w:hint="eastAsia"/>
          <w:b w:val="0"/>
          <w:bCs w:val="0"/>
        </w:rPr>
        <w:t>九、一般公共预算财政拨款项目支出决算表</w:t>
      </w:r>
      <w:bookmarkEnd w:id="25"/>
    </w:p>
    <w:p w14:paraId="269AF427">
      <w:pPr>
        <w:pStyle w:val="4"/>
        <w:bidi w:val="0"/>
        <w:rPr>
          <w:rFonts w:hint="eastAsia"/>
          <w:b w:val="0"/>
          <w:bCs w:val="0"/>
        </w:rPr>
      </w:pPr>
      <w:bookmarkStart w:id="26" w:name="_Toc31216"/>
      <w:r>
        <w:rPr>
          <w:rFonts w:hint="eastAsia"/>
          <w:b w:val="0"/>
          <w:bCs w:val="0"/>
        </w:rPr>
        <w:t>十、政府性基金预算财政拨款收入支出决算表</w:t>
      </w:r>
      <w:bookmarkEnd w:id="26"/>
    </w:p>
    <w:p w14:paraId="1D0E1B6E">
      <w:pPr>
        <w:pStyle w:val="4"/>
        <w:bidi w:val="0"/>
        <w:rPr>
          <w:rFonts w:hint="eastAsia"/>
          <w:b w:val="0"/>
          <w:bCs w:val="0"/>
        </w:rPr>
      </w:pPr>
      <w:bookmarkStart w:id="27" w:name="_Toc10090"/>
      <w:r>
        <w:rPr>
          <w:rFonts w:hint="eastAsia"/>
          <w:b w:val="0"/>
          <w:bCs w:val="0"/>
        </w:rPr>
        <w:t>十一、国有资本经营预算财政拨款收入支出决算表</w:t>
      </w:r>
      <w:bookmarkEnd w:id="27"/>
    </w:p>
    <w:p w14:paraId="3EFC5180">
      <w:pPr>
        <w:pStyle w:val="4"/>
        <w:bidi w:val="0"/>
        <w:rPr>
          <w:rFonts w:hint="eastAsia"/>
          <w:b w:val="0"/>
          <w:bCs w:val="0"/>
        </w:rPr>
      </w:pPr>
      <w:bookmarkStart w:id="28" w:name="_Toc32027"/>
      <w:r>
        <w:rPr>
          <w:rFonts w:hint="eastAsia"/>
          <w:b w:val="0"/>
          <w:bCs w:val="0"/>
        </w:rPr>
        <w:t>十二、国有资本经营预算财政拨款支出决算表</w:t>
      </w:r>
      <w:bookmarkEnd w:id="28"/>
    </w:p>
    <w:p w14:paraId="3914A5A9">
      <w:pPr>
        <w:pStyle w:val="4"/>
        <w:bidi w:val="0"/>
        <w:rPr>
          <w:rFonts w:hint="eastAsia"/>
          <w:b w:val="0"/>
          <w:bCs w:val="0"/>
        </w:rPr>
      </w:pPr>
      <w:bookmarkStart w:id="29" w:name="_Toc31702"/>
      <w:r>
        <w:rPr>
          <w:rFonts w:hint="eastAsia"/>
          <w:b w:val="0"/>
          <w:bCs w:val="0"/>
        </w:rPr>
        <w:t>十三、财政拨款“三公”经费支出决算表</w:t>
      </w:r>
      <w:bookmarkEnd w:id="29"/>
    </w:p>
    <w:p w14:paraId="5C32B5A4"/>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110C">
    <w:pPr>
      <w:pStyle w:val="7"/>
    </w:pPr>
  </w:p>
  <w:p w14:paraId="03AAD29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75320">
    <w:pPr>
      <w:pStyle w:val="7"/>
    </w:pPr>
  </w:p>
  <w:p w14:paraId="192242E1">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945D7">
                          <w:pPr>
                            <w:pStyle w:val="7"/>
                          </w:pPr>
                          <w:r>
                            <w:t xml:space="preserve">— </w:t>
                          </w:r>
                          <w:r>
                            <w:fldChar w:fldCharType="begin"/>
                          </w:r>
                          <w:r>
                            <w:instrText xml:space="preserve"> PAGE  \* MERGEFORMAT </w:instrText>
                          </w:r>
                          <w:r>
                            <w:fldChar w:fldCharType="separate"/>
                          </w:r>
                          <w:r>
                            <w:t>32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B945D7">
                    <w:pPr>
                      <w:pStyle w:val="7"/>
                    </w:pPr>
                    <w:r>
                      <w:t xml:space="preserve">— </w:t>
                    </w:r>
                    <w:r>
                      <w:fldChar w:fldCharType="begin"/>
                    </w:r>
                    <w:r>
                      <w:instrText xml:space="preserve"> PAGE  \* MERGEFORMAT </w:instrText>
                    </w:r>
                    <w:r>
                      <w:fldChar w:fldCharType="separate"/>
                    </w:r>
                    <w:r>
                      <w:t>32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059C6">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3B35AE9"/>
    <w:rsid w:val="04665056"/>
    <w:rsid w:val="07533AF6"/>
    <w:rsid w:val="084C512A"/>
    <w:rsid w:val="09AE1F88"/>
    <w:rsid w:val="0A977596"/>
    <w:rsid w:val="0A9B3AB1"/>
    <w:rsid w:val="0DDD0AFB"/>
    <w:rsid w:val="0DE1094B"/>
    <w:rsid w:val="0E18579E"/>
    <w:rsid w:val="10FB1AA8"/>
    <w:rsid w:val="11F2120D"/>
    <w:rsid w:val="147847D5"/>
    <w:rsid w:val="15BB7C6B"/>
    <w:rsid w:val="15E24C92"/>
    <w:rsid w:val="165766B9"/>
    <w:rsid w:val="180C1485"/>
    <w:rsid w:val="18465320"/>
    <w:rsid w:val="1A876E66"/>
    <w:rsid w:val="1DCC1C3D"/>
    <w:rsid w:val="1E094CAC"/>
    <w:rsid w:val="1E4F0BD2"/>
    <w:rsid w:val="1EAB61B8"/>
    <w:rsid w:val="1F736BA3"/>
    <w:rsid w:val="23193E1E"/>
    <w:rsid w:val="255517FA"/>
    <w:rsid w:val="25B56DD4"/>
    <w:rsid w:val="26757452"/>
    <w:rsid w:val="29EB2AFB"/>
    <w:rsid w:val="2A116807"/>
    <w:rsid w:val="2C475206"/>
    <w:rsid w:val="2C8052CD"/>
    <w:rsid w:val="2C9B7130"/>
    <w:rsid w:val="2DD37B2E"/>
    <w:rsid w:val="2F923539"/>
    <w:rsid w:val="2F956CDC"/>
    <w:rsid w:val="30F304E8"/>
    <w:rsid w:val="31424138"/>
    <w:rsid w:val="34470E64"/>
    <w:rsid w:val="373E5EFE"/>
    <w:rsid w:val="3A282B8F"/>
    <w:rsid w:val="3D6C1E8E"/>
    <w:rsid w:val="3E47640C"/>
    <w:rsid w:val="3E477ACF"/>
    <w:rsid w:val="3F3861FA"/>
    <w:rsid w:val="3FD57FC1"/>
    <w:rsid w:val="3FD722A9"/>
    <w:rsid w:val="414A4154"/>
    <w:rsid w:val="44502853"/>
    <w:rsid w:val="470562C9"/>
    <w:rsid w:val="483427C0"/>
    <w:rsid w:val="487503AE"/>
    <w:rsid w:val="4A777DDD"/>
    <w:rsid w:val="4C0146CD"/>
    <w:rsid w:val="4ED14148"/>
    <w:rsid w:val="50F530E7"/>
    <w:rsid w:val="582E2D75"/>
    <w:rsid w:val="5B9C3B0C"/>
    <w:rsid w:val="5C5F5DB2"/>
    <w:rsid w:val="5D131446"/>
    <w:rsid w:val="5EA33DE2"/>
    <w:rsid w:val="5EAF556D"/>
    <w:rsid w:val="60233110"/>
    <w:rsid w:val="673C3788"/>
    <w:rsid w:val="6A910EA1"/>
    <w:rsid w:val="6DF6283B"/>
    <w:rsid w:val="6E6F337E"/>
    <w:rsid w:val="719A1C34"/>
    <w:rsid w:val="720F7F50"/>
    <w:rsid w:val="74241EE3"/>
    <w:rsid w:val="745B1FEA"/>
    <w:rsid w:val="74BD6F2E"/>
    <w:rsid w:val="7521645C"/>
    <w:rsid w:val="770E4313"/>
    <w:rsid w:val="7B9D456B"/>
    <w:rsid w:val="7D4547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3"/>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Body Text Indent"/>
    <w:basedOn w:val="1"/>
    <w:qFormat/>
    <w:uiPriority w:val="0"/>
    <w:pPr>
      <w:spacing w:after="120"/>
      <w:ind w:left="200"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0">
    <w:name w:val="footnote text"/>
    <w:basedOn w:val="1"/>
    <w:next w:val="11"/>
    <w:semiHidden/>
    <w:qFormat/>
    <w:uiPriority w:val="0"/>
    <w:pPr>
      <w:snapToGrid w:val="0"/>
      <w:jc w:val="left"/>
    </w:pPr>
    <w:rPr>
      <w:sz w:val="18"/>
      <w:szCs w:val="18"/>
    </w:rPr>
  </w:style>
  <w:style w:type="paragraph" w:styleId="11">
    <w:name w:val="Body Text First Indent 2"/>
    <w:basedOn w:val="6"/>
    <w:next w:val="1"/>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paragraph" w:styleId="12">
    <w:name w:val="table of figures"/>
    <w:basedOn w:val="1"/>
    <w:next w:val="1"/>
    <w:unhideWhenUsed/>
    <w:qFormat/>
    <w:uiPriority w:val="0"/>
    <w:pPr>
      <w:ind w:left="200" w:leftChars="200" w:hanging="200" w:hangingChars="200"/>
    </w:pPr>
    <w:rPr>
      <w:rFonts w:hint="eastAsia"/>
      <w:sz w:val="32"/>
      <w:szCs w:val="21"/>
    </w:rPr>
  </w:style>
  <w:style w:type="paragraph" w:styleId="13">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character" w:styleId="16">
    <w:name w:val="Strong"/>
    <w:basedOn w:val="15"/>
    <w:qFormat/>
    <w:uiPriority w:val="0"/>
    <w:rPr>
      <w:b/>
    </w:rPr>
  </w:style>
  <w:style w:type="character" w:customStyle="1" w:styleId="17">
    <w:name w:val="10"/>
    <w:basedOn w:val="15"/>
    <w:qFormat/>
    <w:uiPriority w:val="0"/>
    <w:rPr>
      <w:rFonts w:hint="default" w:ascii="Times New Roman" w:hAnsi="Times New Roman" w:cs="Times New Roman"/>
    </w:rPr>
  </w:style>
  <w:style w:type="character" w:customStyle="1" w:styleId="18">
    <w:name w:val="16"/>
    <w:basedOn w:val="15"/>
    <w:qFormat/>
    <w:uiPriority w:val="0"/>
    <w:rPr>
      <w:rFonts w:hint="default" w:ascii="Times New Roman" w:hAnsi="Times New Roman" w:cs="Times New Roman"/>
      <w:b/>
      <w:bCs/>
      <w:kern w:val="44"/>
      <w:sz w:val="44"/>
      <w:szCs w:val="44"/>
    </w:rPr>
  </w:style>
  <w:style w:type="character" w:customStyle="1" w:styleId="19">
    <w:name w:val="15"/>
    <w:basedOn w:val="15"/>
    <w:qFormat/>
    <w:uiPriority w:val="0"/>
    <w:rPr>
      <w:rFonts w:hint="default" w:ascii="Times New Roman" w:hAnsi="Times New Roman" w:cs="Times New Roman"/>
      <w:b/>
    </w:rPr>
  </w:style>
  <w:style w:type="character" w:customStyle="1" w:styleId="20">
    <w:name w:val="17"/>
    <w:basedOn w:val="15"/>
    <w:qFormat/>
    <w:uiPriority w:val="0"/>
    <w:rPr>
      <w:rFonts w:hint="default" w:ascii="Cambria" w:hAnsi="Cambria" w:eastAsia="宋体" w:cs="Times New Roman"/>
      <w:b/>
      <w:bCs/>
      <w:sz w:val="32"/>
      <w:szCs w:val="32"/>
    </w:rPr>
  </w:style>
  <w:style w:type="paragraph" w:customStyle="1" w:styleId="21">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2">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character" w:customStyle="1" w:styleId="23">
    <w:name w:val="标题 1 Char"/>
    <w:basedOn w:val="15"/>
    <w:link w:val="3"/>
    <w:qFormat/>
    <w:uiPriority w:val="0"/>
    <w:rPr>
      <w:rFonts w:hint="default" w:ascii="Calibri" w:hAnsi="Calibri" w:eastAsia="宋体" w:cs="Times New Roman"/>
      <w:b/>
      <w:bCs/>
      <w:kern w:val="44"/>
      <w:sz w:val="44"/>
      <w:szCs w:val="4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1029</Words>
  <Characters>1059</Characters>
  <Lines>0</Lines>
  <Paragraphs>0</Paragraphs>
  <TotalTime>4</TotalTime>
  <ScaleCrop>false</ScaleCrop>
  <LinksUpToDate>false</LinksUpToDate>
  <CharactersWithSpaces>1163</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2026-08-25T08:37:08Z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D4A39BB81AD24DD694D5EAEE214133A3_12</vt:lpwstr>
  </property>
  <property fmtid="{D5CDD505-2E9C-101B-9397-08002B2CF9AE}" pid="4" name="KSOTemplateDocerSaveRecord">
    <vt:lpwstr>eyJoZGlkIjoiMjM2OGQ3ZDc3NGQ3MmExZjk1YTg4MDIzOGFhN2Q4ZjYiLCJ1c2VySWQiOiIyNjQ5OTE0NjYifQ==</vt:lpwstr>
  </property>
</Properties>
</file>