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6A925">
      <w:pPr>
        <w:pStyle w:val="8"/>
        <w:widowControl/>
        <w:ind w:left="0" w:right="0"/>
        <w:jc w:val="center"/>
        <w:rPr>
          <w:rFonts w:hint="eastAsia" w:ascii="方正小标宋简体" w:hAnsi="宋体" w:eastAsia="方正小标宋简体" w:cs="Times New Roman"/>
          <w:kern w:val="2"/>
          <w:sz w:val="44"/>
          <w:szCs w:val="44"/>
        </w:rPr>
      </w:pPr>
    </w:p>
    <w:p w14:paraId="45BB5DB5">
      <w:pPr>
        <w:pStyle w:val="8"/>
        <w:widowControl/>
        <w:ind w:left="0" w:right="0"/>
        <w:jc w:val="center"/>
        <w:rPr>
          <w:rFonts w:hint="eastAsia" w:ascii="方正小标宋简体" w:hAnsi="方正小标宋简体" w:eastAsia="方正小标宋简体" w:cs="方正小标宋简体"/>
          <w:kern w:val="2"/>
          <w:sz w:val="48"/>
          <w:szCs w:val="48"/>
        </w:rPr>
      </w:pPr>
    </w:p>
    <w:p w14:paraId="408C9CE6">
      <w:pPr>
        <w:pStyle w:val="8"/>
        <w:widowControl/>
        <w:ind w:left="0" w:right="0"/>
        <w:jc w:val="center"/>
        <w:rPr>
          <w:rFonts w:hint="eastAsia" w:ascii="方正小标宋简体" w:hAnsi="方正小标宋简体" w:eastAsia="方正小标宋简体" w:cs="方正小标宋简体"/>
          <w:kern w:val="2"/>
          <w:sz w:val="48"/>
          <w:szCs w:val="48"/>
        </w:rPr>
      </w:pPr>
    </w:p>
    <w:p w14:paraId="2319707C">
      <w:pPr>
        <w:pStyle w:val="8"/>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w:t>
      </w:r>
      <w:r>
        <w:rPr>
          <w:rFonts w:hint="eastAsia" w:ascii="方正小标宋简体" w:hAnsi="方正小标宋简体" w:eastAsia="方正小标宋简体" w:cs="方正小标宋简体"/>
          <w:kern w:val="2"/>
          <w:sz w:val="48"/>
          <w:szCs w:val="48"/>
          <w:lang w:val="en-US" w:eastAsia="zh-CN"/>
        </w:rPr>
        <w:t>5</w:t>
      </w:r>
      <w:r>
        <w:rPr>
          <w:rFonts w:hint="eastAsia" w:ascii="方正小标宋简体" w:hAnsi="方正小标宋简体" w:eastAsia="方正小标宋简体" w:cs="方正小标宋简体"/>
          <w:kern w:val="2"/>
          <w:sz w:val="48"/>
          <w:szCs w:val="48"/>
        </w:rPr>
        <w:t>年度四川省阿坝州</w:t>
      </w:r>
    </w:p>
    <w:p w14:paraId="2E52117C">
      <w:pPr>
        <w:pStyle w:val="8"/>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rPr>
        <w:t>茂县</w:t>
      </w:r>
      <w:r>
        <w:rPr>
          <w:rFonts w:hint="eastAsia" w:ascii="方正小标宋简体" w:hAnsi="方正小标宋简体" w:eastAsia="方正小标宋简体" w:cs="方正小标宋简体"/>
          <w:kern w:val="2"/>
          <w:sz w:val="48"/>
          <w:szCs w:val="48"/>
          <w:lang w:eastAsia="zh-CN"/>
        </w:rPr>
        <w:t>行政审批和政务服务管理局</w:t>
      </w:r>
    </w:p>
    <w:p w14:paraId="10BFB1C0">
      <w:pPr>
        <w:pStyle w:val="8"/>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汇总部门</w:t>
      </w:r>
      <w:r>
        <w:rPr>
          <w:rFonts w:hint="eastAsia" w:ascii="方正小标宋简体" w:hAnsi="方正小标宋简体" w:eastAsia="方正小标宋简体" w:cs="方正小标宋简体"/>
          <w:kern w:val="2"/>
          <w:sz w:val="48"/>
          <w:szCs w:val="48"/>
        </w:rPr>
        <w:t>决算</w:t>
      </w:r>
    </w:p>
    <w:p w14:paraId="1EA4622E">
      <w:pPr>
        <w:pStyle w:val="8"/>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3A32C6A">
      <w:pPr>
        <w:pStyle w:val="8"/>
        <w:widowControl/>
        <w:ind w:left="0" w:right="0"/>
        <w:jc w:val="center"/>
        <w:rPr>
          <w:rFonts w:hint="eastAsia" w:ascii="黑体" w:hAnsi="宋体" w:eastAsia="黑体" w:cs="Times New Roman"/>
          <w:kern w:val="2"/>
          <w:sz w:val="28"/>
          <w:szCs w:val="28"/>
        </w:rPr>
      </w:pPr>
      <w:r>
        <w:rPr>
          <w:rFonts w:hint="eastAsia" w:ascii="黑体" w:hAnsi="宋体" w:eastAsia="黑体" w:cs="黑体"/>
          <w:kern w:val="2"/>
          <w:sz w:val="48"/>
          <w:szCs w:val="48"/>
          <w:lang w:val="en-US" w:eastAsia="zh-CN" w:bidi="ar"/>
        </w:rPr>
        <w:t>目录</w:t>
      </w:r>
    </w:p>
    <w:p w14:paraId="1D391C7E">
      <w:pPr>
        <w:pStyle w:val="11"/>
        <w:tabs>
          <w:tab w:val="right" w:leader="dot" w:pos="8296"/>
        </w:tabs>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日</w:t>
      </w:r>
    </w:p>
    <w:sdt>
      <w:sdtPr>
        <w:rPr>
          <w:rFonts w:ascii="宋体" w:hAnsi="宋体" w:eastAsia="宋体" w:cstheme="minorBidi"/>
          <w:kern w:val="2"/>
          <w:sz w:val="21"/>
          <w:szCs w:val="24"/>
          <w:lang w:val="en-US" w:eastAsia="zh-CN" w:bidi="ar-SA"/>
        </w:rPr>
        <w:id w:val="147451448"/>
        <w15:color w:val="DBDBDB"/>
        <w:docPartObj>
          <w:docPartGallery w:val="Table of Contents"/>
          <w:docPartUnique/>
        </w:docPartObj>
      </w:sdtPr>
      <w:sdtEndPr>
        <w:rPr>
          <w:rFonts w:hint="eastAsia" w:asciiTheme="minorHAnsi" w:hAnsiTheme="minorHAnsi" w:eastAsiaTheme="minorEastAsia" w:cstheme="minorBidi"/>
          <w:kern w:val="2"/>
          <w:sz w:val="21"/>
          <w:szCs w:val="24"/>
          <w:lang w:val="en-US" w:eastAsia="zh-CN" w:bidi="ar-SA"/>
        </w:rPr>
      </w:sdtEndPr>
      <w:sdtContent>
        <w:p w14:paraId="38AF3D13">
          <w:pPr>
            <w:spacing w:before="0" w:beforeLines="0" w:after="0" w:afterLines="0" w:line="240" w:lineRule="auto"/>
            <w:ind w:left="0" w:leftChars="0" w:right="0" w:rightChars="0" w:firstLine="0" w:firstLineChars="0"/>
            <w:jc w:val="center"/>
          </w:pPr>
        </w:p>
        <w:p w14:paraId="3CABF9B6">
          <w:pPr>
            <w:pStyle w:val="11"/>
            <w:tabs>
              <w:tab w:val="right" w:leader="dot" w:pos="8306"/>
            </w:tabs>
          </w:pPr>
          <w:r>
            <w:rPr>
              <w:rFonts w:hint="eastAsia"/>
              <w:lang w:val="en-US" w:eastAsia="zh-CN"/>
            </w:rPr>
            <w:fldChar w:fldCharType="begin"/>
          </w:r>
          <w:r>
            <w:rPr>
              <w:rFonts w:hint="eastAsia"/>
              <w:lang w:val="en-US" w:eastAsia="zh-CN"/>
            </w:rPr>
            <w:instrText xml:space="preserve">TOC \o "1-2"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_Toc9663 </w:instrText>
          </w:r>
          <w:r>
            <w:rPr>
              <w:rFonts w:hint="eastAsia"/>
              <w:lang w:val="en-US" w:eastAsia="zh-CN"/>
            </w:rPr>
            <w:fldChar w:fldCharType="separate"/>
          </w:r>
          <w:r>
            <w:rPr>
              <w:rFonts w:hint="eastAsia"/>
            </w:rPr>
            <w:t>第一部分 单位概况</w:t>
          </w:r>
          <w:r>
            <w:tab/>
          </w:r>
          <w:r>
            <w:fldChar w:fldCharType="begin"/>
          </w:r>
          <w:r>
            <w:instrText xml:space="preserve"> PAGEREF _Toc9663 \h </w:instrText>
          </w:r>
          <w:r>
            <w:fldChar w:fldCharType="separate"/>
          </w:r>
          <w:r>
            <w:t>1</w:t>
          </w:r>
          <w:r>
            <w:fldChar w:fldCharType="end"/>
          </w:r>
          <w:r>
            <w:rPr>
              <w:rFonts w:hint="eastAsia"/>
              <w:lang w:val="en-US" w:eastAsia="zh-CN"/>
            </w:rPr>
            <w:fldChar w:fldCharType="end"/>
          </w:r>
        </w:p>
        <w:p w14:paraId="0AA1AD9A">
          <w:pPr>
            <w:pStyle w:val="13"/>
            <w:tabs>
              <w:tab w:val="right" w:leader="dot" w:pos="8306"/>
            </w:tabs>
          </w:pPr>
          <w:r>
            <w:rPr>
              <w:rFonts w:hint="eastAsia"/>
              <w:lang w:val="en-US" w:eastAsia="zh-CN"/>
            </w:rPr>
            <w:fldChar w:fldCharType="begin"/>
          </w:r>
          <w:r>
            <w:rPr>
              <w:rFonts w:hint="eastAsia"/>
              <w:lang w:val="en-US" w:eastAsia="zh-CN"/>
            </w:rPr>
            <w:instrText xml:space="preserve"> HYPERLINK \l _Toc10971 </w:instrText>
          </w:r>
          <w:r>
            <w:rPr>
              <w:rFonts w:hint="eastAsia"/>
              <w:lang w:val="en-US" w:eastAsia="zh-CN"/>
            </w:rPr>
            <w:fldChar w:fldCharType="separate"/>
          </w:r>
          <w:r>
            <w:rPr>
              <w:rFonts w:hint="eastAsia" w:ascii="宋体" w:hAnsi="宋体" w:eastAsia="宋体" w:cs="宋体"/>
            </w:rPr>
            <w:t xml:space="preserve">一、 </w:t>
          </w:r>
          <w:r>
            <w:rPr>
              <w:rFonts w:hint="eastAsia"/>
              <w:lang w:eastAsia="zh-CN"/>
            </w:rPr>
            <w:t>部门</w:t>
          </w:r>
          <w:r>
            <w:rPr>
              <w:rFonts w:hint="eastAsia"/>
            </w:rPr>
            <w:t>职责</w:t>
          </w:r>
          <w:r>
            <w:tab/>
          </w:r>
          <w:r>
            <w:fldChar w:fldCharType="begin"/>
          </w:r>
          <w:r>
            <w:instrText xml:space="preserve"> PAGEREF _Toc10971 \h </w:instrText>
          </w:r>
          <w:r>
            <w:fldChar w:fldCharType="separate"/>
          </w:r>
          <w:r>
            <w:t>1</w:t>
          </w:r>
          <w:r>
            <w:fldChar w:fldCharType="end"/>
          </w:r>
          <w:r>
            <w:rPr>
              <w:rFonts w:hint="eastAsia"/>
              <w:lang w:val="en-US" w:eastAsia="zh-CN"/>
            </w:rPr>
            <w:fldChar w:fldCharType="end"/>
          </w:r>
        </w:p>
        <w:p w14:paraId="50B3AE66">
          <w:pPr>
            <w:pStyle w:val="13"/>
            <w:tabs>
              <w:tab w:val="right" w:leader="dot" w:pos="8306"/>
            </w:tabs>
          </w:pPr>
          <w:r>
            <w:rPr>
              <w:rFonts w:hint="eastAsia"/>
              <w:lang w:val="en-US" w:eastAsia="zh-CN"/>
            </w:rPr>
            <w:fldChar w:fldCharType="begin"/>
          </w:r>
          <w:r>
            <w:rPr>
              <w:rFonts w:hint="eastAsia"/>
              <w:lang w:val="en-US" w:eastAsia="zh-CN"/>
            </w:rPr>
            <w:instrText xml:space="preserve"> HYPERLINK \l _Toc31450 </w:instrText>
          </w:r>
          <w:r>
            <w:rPr>
              <w:rFonts w:hint="eastAsia"/>
              <w:lang w:val="en-US" w:eastAsia="zh-CN"/>
            </w:rPr>
            <w:fldChar w:fldCharType="separate"/>
          </w:r>
          <w:r>
            <w:rPr>
              <w:rFonts w:hint="eastAsia" w:ascii="宋体" w:hAnsi="宋体" w:eastAsia="宋体" w:cs="宋体"/>
              <w:lang w:val="en-US" w:eastAsia="zh-CN"/>
            </w:rPr>
            <w:t xml:space="preserve">二、 </w:t>
          </w:r>
          <w:r>
            <w:rPr>
              <w:rFonts w:hint="eastAsia"/>
            </w:rPr>
            <w:t>机构设置</w:t>
          </w:r>
          <w:r>
            <w:tab/>
          </w:r>
          <w:r>
            <w:fldChar w:fldCharType="begin"/>
          </w:r>
          <w:r>
            <w:instrText xml:space="preserve"> PAGEREF _Toc31450 \h </w:instrText>
          </w:r>
          <w:r>
            <w:fldChar w:fldCharType="separate"/>
          </w:r>
          <w:r>
            <w:t>2</w:t>
          </w:r>
          <w:r>
            <w:fldChar w:fldCharType="end"/>
          </w:r>
          <w:r>
            <w:rPr>
              <w:rFonts w:hint="eastAsia"/>
              <w:lang w:val="en-US" w:eastAsia="zh-CN"/>
            </w:rPr>
            <w:fldChar w:fldCharType="end"/>
          </w:r>
        </w:p>
        <w:p w14:paraId="18390A60">
          <w:pPr>
            <w:pStyle w:val="11"/>
            <w:tabs>
              <w:tab w:val="right" w:leader="dot" w:pos="8306"/>
            </w:tabs>
          </w:pPr>
          <w:r>
            <w:rPr>
              <w:rFonts w:hint="eastAsia"/>
              <w:lang w:val="en-US" w:eastAsia="zh-CN"/>
            </w:rPr>
            <w:fldChar w:fldCharType="begin"/>
          </w:r>
          <w:r>
            <w:rPr>
              <w:rFonts w:hint="eastAsia"/>
              <w:lang w:val="en-US" w:eastAsia="zh-CN"/>
            </w:rPr>
            <w:instrText xml:space="preserve"> HYPERLINK \l _Toc21589 </w:instrText>
          </w:r>
          <w:r>
            <w:rPr>
              <w:rFonts w:hint="eastAsia"/>
              <w:lang w:val="en-US" w:eastAsia="zh-CN"/>
            </w:rPr>
            <w:fldChar w:fldCharType="separate"/>
          </w:r>
          <w:r>
            <w:rPr>
              <w:rFonts w:hint="eastAsia"/>
            </w:rPr>
            <w:t>第二部分 202</w:t>
          </w:r>
          <w:r>
            <w:rPr>
              <w:rFonts w:hint="eastAsia"/>
              <w:lang w:val="en-US" w:eastAsia="zh-CN"/>
            </w:rPr>
            <w:t>5</w:t>
          </w:r>
          <w:r>
            <w:rPr>
              <w:rFonts w:hint="eastAsia"/>
            </w:rPr>
            <w:t>年度</w:t>
          </w:r>
          <w:r>
            <w:rPr>
              <w:rFonts w:hint="eastAsia"/>
              <w:lang w:eastAsia="zh-CN"/>
            </w:rPr>
            <w:t>部门</w:t>
          </w:r>
          <w:r>
            <w:rPr>
              <w:rFonts w:hint="eastAsia"/>
            </w:rPr>
            <w:t>决算情况说明</w:t>
          </w:r>
          <w:r>
            <w:tab/>
          </w:r>
          <w:r>
            <w:fldChar w:fldCharType="begin"/>
          </w:r>
          <w:r>
            <w:instrText xml:space="preserve"> PAGEREF _Toc21589 \h </w:instrText>
          </w:r>
          <w:r>
            <w:fldChar w:fldCharType="separate"/>
          </w:r>
          <w:r>
            <w:t>2</w:t>
          </w:r>
          <w:r>
            <w:fldChar w:fldCharType="end"/>
          </w:r>
          <w:r>
            <w:rPr>
              <w:rFonts w:hint="eastAsia"/>
              <w:lang w:val="en-US" w:eastAsia="zh-CN"/>
            </w:rPr>
            <w:fldChar w:fldCharType="end"/>
          </w:r>
        </w:p>
        <w:p w14:paraId="2DCB794B">
          <w:pPr>
            <w:pStyle w:val="13"/>
            <w:tabs>
              <w:tab w:val="right" w:leader="dot" w:pos="8306"/>
            </w:tabs>
          </w:pPr>
          <w:r>
            <w:rPr>
              <w:rFonts w:hint="eastAsia"/>
              <w:lang w:val="en-US" w:eastAsia="zh-CN"/>
            </w:rPr>
            <w:fldChar w:fldCharType="begin"/>
          </w:r>
          <w:r>
            <w:rPr>
              <w:rFonts w:hint="eastAsia"/>
              <w:lang w:val="en-US" w:eastAsia="zh-CN"/>
            </w:rPr>
            <w:instrText xml:space="preserve"> HYPERLINK \l _Toc30001 </w:instrText>
          </w:r>
          <w:r>
            <w:rPr>
              <w:rFonts w:hint="eastAsia"/>
              <w:lang w:val="en-US" w:eastAsia="zh-CN"/>
            </w:rPr>
            <w:fldChar w:fldCharType="separate"/>
          </w:r>
          <w:r>
            <w:rPr>
              <w:rFonts w:hint="eastAsia"/>
            </w:rPr>
            <w:t>一、收入支出决算总体情况说明</w:t>
          </w:r>
          <w:r>
            <w:tab/>
          </w:r>
          <w:r>
            <w:fldChar w:fldCharType="begin"/>
          </w:r>
          <w:r>
            <w:instrText xml:space="preserve"> PAGEREF _Toc30001 \h </w:instrText>
          </w:r>
          <w:r>
            <w:fldChar w:fldCharType="separate"/>
          </w:r>
          <w:r>
            <w:t>2</w:t>
          </w:r>
          <w:r>
            <w:fldChar w:fldCharType="end"/>
          </w:r>
          <w:r>
            <w:rPr>
              <w:rFonts w:hint="eastAsia"/>
              <w:lang w:val="en-US" w:eastAsia="zh-CN"/>
            </w:rPr>
            <w:fldChar w:fldCharType="end"/>
          </w:r>
        </w:p>
        <w:p w14:paraId="4F121982">
          <w:pPr>
            <w:pStyle w:val="13"/>
            <w:tabs>
              <w:tab w:val="right" w:leader="dot" w:pos="8306"/>
            </w:tabs>
          </w:pPr>
          <w:r>
            <w:rPr>
              <w:rFonts w:hint="eastAsia"/>
              <w:lang w:val="en-US" w:eastAsia="zh-CN"/>
            </w:rPr>
            <w:fldChar w:fldCharType="begin"/>
          </w:r>
          <w:r>
            <w:rPr>
              <w:rFonts w:hint="eastAsia"/>
              <w:lang w:val="en-US" w:eastAsia="zh-CN"/>
            </w:rPr>
            <w:instrText xml:space="preserve"> HYPERLINK \l _Toc11688 </w:instrText>
          </w:r>
          <w:r>
            <w:rPr>
              <w:rFonts w:hint="eastAsia"/>
              <w:lang w:val="en-US" w:eastAsia="zh-CN"/>
            </w:rPr>
            <w:fldChar w:fldCharType="separate"/>
          </w:r>
          <w:r>
            <w:rPr>
              <w:rFonts w:hint="eastAsia"/>
            </w:rPr>
            <w:t>二、收入决算情况说明</w:t>
          </w:r>
          <w:r>
            <w:tab/>
          </w:r>
          <w:r>
            <w:fldChar w:fldCharType="begin"/>
          </w:r>
          <w:r>
            <w:instrText xml:space="preserve"> PAGEREF _Toc11688 \h </w:instrText>
          </w:r>
          <w:r>
            <w:fldChar w:fldCharType="separate"/>
          </w:r>
          <w:r>
            <w:t>3</w:t>
          </w:r>
          <w:r>
            <w:fldChar w:fldCharType="end"/>
          </w:r>
          <w:r>
            <w:rPr>
              <w:rFonts w:hint="eastAsia"/>
              <w:lang w:val="en-US" w:eastAsia="zh-CN"/>
            </w:rPr>
            <w:fldChar w:fldCharType="end"/>
          </w:r>
        </w:p>
        <w:p w14:paraId="43CF6B2E">
          <w:pPr>
            <w:pStyle w:val="13"/>
            <w:tabs>
              <w:tab w:val="right" w:leader="dot" w:pos="8306"/>
            </w:tabs>
          </w:pPr>
          <w:r>
            <w:rPr>
              <w:rFonts w:hint="eastAsia"/>
              <w:lang w:val="en-US" w:eastAsia="zh-CN"/>
            </w:rPr>
            <w:fldChar w:fldCharType="begin"/>
          </w:r>
          <w:r>
            <w:rPr>
              <w:rFonts w:hint="eastAsia"/>
              <w:lang w:val="en-US" w:eastAsia="zh-CN"/>
            </w:rPr>
            <w:instrText xml:space="preserve"> HYPERLINK \l _Toc7334 </w:instrText>
          </w:r>
          <w:r>
            <w:rPr>
              <w:rFonts w:hint="eastAsia"/>
              <w:lang w:val="en-US" w:eastAsia="zh-CN"/>
            </w:rPr>
            <w:fldChar w:fldCharType="separate"/>
          </w:r>
          <w:r>
            <w:rPr>
              <w:rFonts w:hint="eastAsia"/>
            </w:rPr>
            <w:t>三、支出决算情况说明</w:t>
          </w:r>
          <w:r>
            <w:tab/>
          </w:r>
          <w:r>
            <w:fldChar w:fldCharType="begin"/>
          </w:r>
          <w:r>
            <w:instrText xml:space="preserve"> PAGEREF _Toc7334 \h </w:instrText>
          </w:r>
          <w:r>
            <w:fldChar w:fldCharType="separate"/>
          </w:r>
          <w:r>
            <w:t>3</w:t>
          </w:r>
          <w:r>
            <w:fldChar w:fldCharType="end"/>
          </w:r>
          <w:r>
            <w:rPr>
              <w:rFonts w:hint="eastAsia"/>
              <w:lang w:val="en-US" w:eastAsia="zh-CN"/>
            </w:rPr>
            <w:fldChar w:fldCharType="end"/>
          </w:r>
        </w:p>
        <w:p w14:paraId="43EE9FCC">
          <w:pPr>
            <w:pStyle w:val="13"/>
            <w:tabs>
              <w:tab w:val="right" w:leader="dot" w:pos="8306"/>
            </w:tabs>
          </w:pPr>
          <w:r>
            <w:rPr>
              <w:rFonts w:hint="eastAsia"/>
              <w:lang w:val="en-US" w:eastAsia="zh-CN"/>
            </w:rPr>
            <w:fldChar w:fldCharType="begin"/>
          </w:r>
          <w:r>
            <w:rPr>
              <w:rFonts w:hint="eastAsia"/>
              <w:lang w:val="en-US" w:eastAsia="zh-CN"/>
            </w:rPr>
            <w:instrText xml:space="preserve"> HYPERLINK \l _Toc32106 </w:instrText>
          </w:r>
          <w:r>
            <w:rPr>
              <w:rFonts w:hint="eastAsia"/>
              <w:lang w:val="en-US" w:eastAsia="zh-CN"/>
            </w:rPr>
            <w:fldChar w:fldCharType="separate"/>
          </w:r>
          <w:r>
            <w:rPr>
              <w:rFonts w:hint="eastAsia"/>
              <w:lang w:val="en-US" w:eastAsia="zh-CN"/>
            </w:rPr>
            <w:t>四、财政拨款收入支出决算总体情况说明</w:t>
          </w:r>
          <w:r>
            <w:tab/>
          </w:r>
          <w:r>
            <w:fldChar w:fldCharType="begin"/>
          </w:r>
          <w:r>
            <w:instrText xml:space="preserve"> PAGEREF _Toc32106 \h </w:instrText>
          </w:r>
          <w:r>
            <w:fldChar w:fldCharType="separate"/>
          </w:r>
          <w:r>
            <w:t>4</w:t>
          </w:r>
          <w:r>
            <w:fldChar w:fldCharType="end"/>
          </w:r>
          <w:r>
            <w:rPr>
              <w:rFonts w:hint="eastAsia"/>
              <w:lang w:val="en-US" w:eastAsia="zh-CN"/>
            </w:rPr>
            <w:fldChar w:fldCharType="end"/>
          </w:r>
        </w:p>
        <w:p w14:paraId="2B699C8C">
          <w:pPr>
            <w:pStyle w:val="13"/>
            <w:tabs>
              <w:tab w:val="right" w:leader="dot" w:pos="8306"/>
            </w:tabs>
          </w:pPr>
          <w:r>
            <w:rPr>
              <w:rFonts w:hint="eastAsia"/>
              <w:lang w:val="en-US" w:eastAsia="zh-CN"/>
            </w:rPr>
            <w:fldChar w:fldCharType="begin"/>
          </w:r>
          <w:r>
            <w:rPr>
              <w:rFonts w:hint="eastAsia"/>
              <w:lang w:val="en-US" w:eastAsia="zh-CN"/>
            </w:rPr>
            <w:instrText xml:space="preserve"> HYPERLINK \l _Toc8622 </w:instrText>
          </w:r>
          <w:r>
            <w:rPr>
              <w:rFonts w:hint="eastAsia"/>
              <w:lang w:val="en-US" w:eastAsia="zh-CN"/>
            </w:rPr>
            <w:fldChar w:fldCharType="separate"/>
          </w:r>
          <w:r>
            <w:rPr>
              <w:rFonts w:hint="eastAsia"/>
              <w:lang w:val="en-US" w:eastAsia="zh-CN"/>
            </w:rPr>
            <w:t>五、一般公共预算财政拨款支出决算情况说明</w:t>
          </w:r>
          <w:r>
            <w:tab/>
          </w:r>
          <w:r>
            <w:fldChar w:fldCharType="begin"/>
          </w:r>
          <w:r>
            <w:instrText xml:space="preserve"> PAGEREF _Toc8622 \h </w:instrText>
          </w:r>
          <w:r>
            <w:fldChar w:fldCharType="separate"/>
          </w:r>
          <w:r>
            <w:t>4</w:t>
          </w:r>
          <w:r>
            <w:fldChar w:fldCharType="end"/>
          </w:r>
          <w:r>
            <w:rPr>
              <w:rFonts w:hint="eastAsia"/>
              <w:lang w:val="en-US" w:eastAsia="zh-CN"/>
            </w:rPr>
            <w:fldChar w:fldCharType="end"/>
          </w:r>
        </w:p>
        <w:p w14:paraId="296F82A9">
          <w:pPr>
            <w:pStyle w:val="13"/>
            <w:tabs>
              <w:tab w:val="right" w:leader="dot" w:pos="8306"/>
            </w:tabs>
          </w:pPr>
          <w:r>
            <w:rPr>
              <w:rFonts w:hint="eastAsia"/>
              <w:lang w:val="en-US" w:eastAsia="zh-CN"/>
            </w:rPr>
            <w:fldChar w:fldCharType="begin"/>
          </w:r>
          <w:r>
            <w:rPr>
              <w:rFonts w:hint="eastAsia"/>
              <w:lang w:val="en-US" w:eastAsia="zh-CN"/>
            </w:rPr>
            <w:instrText xml:space="preserve"> HYPERLINK \l _Toc30563 </w:instrText>
          </w:r>
          <w:r>
            <w:rPr>
              <w:rFonts w:hint="eastAsia"/>
              <w:lang w:val="en-US" w:eastAsia="zh-CN"/>
            </w:rPr>
            <w:fldChar w:fldCharType="separate"/>
          </w:r>
          <w:r>
            <w:rPr>
              <w:rFonts w:hint="eastAsia"/>
              <w:lang w:val="en-US" w:eastAsia="zh-CN"/>
            </w:rPr>
            <w:t>六、一般公共预算财政拨款基本支出决算情况说明</w:t>
          </w:r>
          <w:r>
            <w:tab/>
          </w:r>
          <w:r>
            <w:fldChar w:fldCharType="begin"/>
          </w:r>
          <w:r>
            <w:instrText xml:space="preserve"> PAGEREF _Toc30563 \h </w:instrText>
          </w:r>
          <w:r>
            <w:fldChar w:fldCharType="separate"/>
          </w:r>
          <w:r>
            <w:t>7</w:t>
          </w:r>
          <w:r>
            <w:fldChar w:fldCharType="end"/>
          </w:r>
          <w:r>
            <w:rPr>
              <w:rFonts w:hint="eastAsia"/>
              <w:lang w:val="en-US" w:eastAsia="zh-CN"/>
            </w:rPr>
            <w:fldChar w:fldCharType="end"/>
          </w:r>
        </w:p>
        <w:p w14:paraId="309C0BD6">
          <w:pPr>
            <w:pStyle w:val="13"/>
            <w:tabs>
              <w:tab w:val="right" w:leader="dot" w:pos="8306"/>
            </w:tabs>
          </w:pPr>
          <w:r>
            <w:rPr>
              <w:rFonts w:hint="eastAsia"/>
              <w:lang w:val="en-US" w:eastAsia="zh-CN"/>
            </w:rPr>
            <w:fldChar w:fldCharType="begin"/>
          </w:r>
          <w:r>
            <w:rPr>
              <w:rFonts w:hint="eastAsia"/>
              <w:lang w:val="en-US" w:eastAsia="zh-CN"/>
            </w:rPr>
            <w:instrText xml:space="preserve"> HYPERLINK \l _Toc11316 </w:instrText>
          </w:r>
          <w:r>
            <w:rPr>
              <w:rFonts w:hint="eastAsia"/>
              <w:lang w:val="en-US" w:eastAsia="zh-CN"/>
            </w:rPr>
            <w:fldChar w:fldCharType="separate"/>
          </w:r>
          <w:r>
            <w:rPr>
              <w:rFonts w:hint="eastAsia"/>
              <w:lang w:val="en-US" w:eastAsia="zh-CN"/>
            </w:rPr>
            <w:t>七、财政拨款“三公”经费支出决算情况说明</w:t>
          </w:r>
          <w:r>
            <w:tab/>
          </w:r>
          <w:r>
            <w:fldChar w:fldCharType="begin"/>
          </w:r>
          <w:r>
            <w:instrText xml:space="preserve"> PAGEREF _Toc11316 \h </w:instrText>
          </w:r>
          <w:r>
            <w:fldChar w:fldCharType="separate"/>
          </w:r>
          <w:r>
            <w:t>7</w:t>
          </w:r>
          <w:r>
            <w:fldChar w:fldCharType="end"/>
          </w:r>
          <w:r>
            <w:rPr>
              <w:rFonts w:hint="eastAsia"/>
              <w:lang w:val="en-US" w:eastAsia="zh-CN"/>
            </w:rPr>
            <w:fldChar w:fldCharType="end"/>
          </w:r>
        </w:p>
        <w:p w14:paraId="0E07BDFE">
          <w:pPr>
            <w:pStyle w:val="13"/>
            <w:tabs>
              <w:tab w:val="right" w:leader="dot" w:pos="8306"/>
            </w:tabs>
          </w:pPr>
          <w:r>
            <w:rPr>
              <w:rFonts w:hint="eastAsia"/>
              <w:lang w:val="en-US" w:eastAsia="zh-CN"/>
            </w:rPr>
            <w:fldChar w:fldCharType="begin"/>
          </w:r>
          <w:r>
            <w:rPr>
              <w:rFonts w:hint="eastAsia"/>
              <w:lang w:val="en-US" w:eastAsia="zh-CN"/>
            </w:rPr>
            <w:instrText xml:space="preserve"> HYPERLINK \l _Toc13223 </w:instrText>
          </w:r>
          <w:r>
            <w:rPr>
              <w:rFonts w:hint="eastAsia"/>
              <w:lang w:val="en-US" w:eastAsia="zh-CN"/>
            </w:rPr>
            <w:fldChar w:fldCharType="separate"/>
          </w:r>
          <w:r>
            <w:rPr>
              <w:rFonts w:hint="eastAsia"/>
              <w:lang w:val="en-US" w:eastAsia="zh-CN"/>
            </w:rPr>
            <w:t>八、政府性基金预算支出决算情况说明</w:t>
          </w:r>
          <w:r>
            <w:tab/>
          </w:r>
          <w:r>
            <w:fldChar w:fldCharType="begin"/>
          </w:r>
          <w:r>
            <w:instrText xml:space="preserve"> PAGEREF _Toc13223 \h </w:instrText>
          </w:r>
          <w:r>
            <w:fldChar w:fldCharType="separate"/>
          </w:r>
          <w:r>
            <w:t>7</w:t>
          </w:r>
          <w:r>
            <w:fldChar w:fldCharType="end"/>
          </w:r>
          <w:r>
            <w:rPr>
              <w:rFonts w:hint="eastAsia"/>
              <w:lang w:val="en-US" w:eastAsia="zh-CN"/>
            </w:rPr>
            <w:fldChar w:fldCharType="end"/>
          </w:r>
        </w:p>
        <w:p w14:paraId="2BD47661">
          <w:pPr>
            <w:pStyle w:val="13"/>
            <w:tabs>
              <w:tab w:val="right" w:leader="dot" w:pos="8306"/>
            </w:tabs>
          </w:pPr>
          <w:r>
            <w:rPr>
              <w:rFonts w:hint="eastAsia"/>
              <w:lang w:val="en-US" w:eastAsia="zh-CN"/>
            </w:rPr>
            <w:fldChar w:fldCharType="begin"/>
          </w:r>
          <w:r>
            <w:rPr>
              <w:rFonts w:hint="eastAsia"/>
              <w:lang w:val="en-US" w:eastAsia="zh-CN"/>
            </w:rPr>
            <w:instrText xml:space="preserve"> HYPERLINK \l _Toc5262 </w:instrText>
          </w:r>
          <w:r>
            <w:rPr>
              <w:rFonts w:hint="eastAsia"/>
              <w:lang w:val="en-US" w:eastAsia="zh-CN"/>
            </w:rPr>
            <w:fldChar w:fldCharType="separate"/>
          </w:r>
          <w:r>
            <w:rPr>
              <w:rFonts w:hint="eastAsia"/>
              <w:lang w:val="en-US" w:eastAsia="zh-CN"/>
            </w:rPr>
            <w:t>九、国有资本经营预算支出决算情况说明</w:t>
          </w:r>
          <w:r>
            <w:tab/>
          </w:r>
          <w:r>
            <w:fldChar w:fldCharType="begin"/>
          </w:r>
          <w:r>
            <w:instrText xml:space="preserve"> PAGEREF _Toc5262 \h </w:instrText>
          </w:r>
          <w:r>
            <w:fldChar w:fldCharType="separate"/>
          </w:r>
          <w:r>
            <w:t>7</w:t>
          </w:r>
          <w:r>
            <w:fldChar w:fldCharType="end"/>
          </w:r>
          <w:r>
            <w:rPr>
              <w:rFonts w:hint="eastAsia"/>
              <w:lang w:val="en-US" w:eastAsia="zh-CN"/>
            </w:rPr>
            <w:fldChar w:fldCharType="end"/>
          </w:r>
        </w:p>
        <w:p w14:paraId="7527931B">
          <w:pPr>
            <w:pStyle w:val="13"/>
            <w:tabs>
              <w:tab w:val="right" w:leader="dot" w:pos="8306"/>
            </w:tabs>
          </w:pPr>
          <w:r>
            <w:rPr>
              <w:rFonts w:hint="eastAsia"/>
              <w:lang w:val="en-US" w:eastAsia="zh-CN"/>
            </w:rPr>
            <w:fldChar w:fldCharType="begin"/>
          </w:r>
          <w:r>
            <w:rPr>
              <w:rFonts w:hint="eastAsia"/>
              <w:lang w:val="en-US" w:eastAsia="zh-CN"/>
            </w:rPr>
            <w:instrText xml:space="preserve"> HYPERLINK \l _Toc4426 </w:instrText>
          </w:r>
          <w:r>
            <w:rPr>
              <w:rFonts w:hint="eastAsia"/>
              <w:lang w:val="en-US" w:eastAsia="zh-CN"/>
            </w:rPr>
            <w:fldChar w:fldCharType="separate"/>
          </w:r>
          <w:r>
            <w:rPr>
              <w:rFonts w:hint="eastAsia"/>
              <w:lang w:val="en-US" w:eastAsia="zh-CN"/>
            </w:rPr>
            <w:t>十、其他重要事项的情况说明</w:t>
          </w:r>
          <w:r>
            <w:tab/>
          </w:r>
          <w:r>
            <w:fldChar w:fldCharType="begin"/>
          </w:r>
          <w:r>
            <w:instrText xml:space="preserve"> PAGEREF _Toc4426 \h </w:instrText>
          </w:r>
          <w:r>
            <w:fldChar w:fldCharType="separate"/>
          </w:r>
          <w:r>
            <w:t>7</w:t>
          </w:r>
          <w:r>
            <w:fldChar w:fldCharType="end"/>
          </w:r>
          <w:r>
            <w:rPr>
              <w:rFonts w:hint="eastAsia"/>
              <w:lang w:val="en-US" w:eastAsia="zh-CN"/>
            </w:rPr>
            <w:fldChar w:fldCharType="end"/>
          </w:r>
        </w:p>
        <w:p w14:paraId="6082B872">
          <w:pPr>
            <w:pStyle w:val="11"/>
            <w:tabs>
              <w:tab w:val="right" w:leader="dot" w:pos="8306"/>
            </w:tabs>
          </w:pPr>
          <w:r>
            <w:rPr>
              <w:rFonts w:hint="eastAsia"/>
              <w:lang w:val="en-US" w:eastAsia="zh-CN"/>
            </w:rPr>
            <w:fldChar w:fldCharType="begin"/>
          </w:r>
          <w:r>
            <w:rPr>
              <w:rFonts w:hint="eastAsia"/>
              <w:lang w:val="en-US" w:eastAsia="zh-CN"/>
            </w:rPr>
            <w:instrText xml:space="preserve"> HYPERLINK \l _Toc27953 </w:instrText>
          </w:r>
          <w:r>
            <w:rPr>
              <w:rFonts w:hint="eastAsia"/>
              <w:lang w:val="en-US" w:eastAsia="zh-CN"/>
            </w:rPr>
            <w:fldChar w:fldCharType="separate"/>
          </w:r>
          <w:r>
            <w:rPr>
              <w:rFonts w:hint="eastAsia"/>
              <w:lang w:val="en-US" w:eastAsia="zh-CN"/>
            </w:rPr>
            <w:t>第三部分  名词解释</w:t>
          </w:r>
          <w:r>
            <w:tab/>
          </w:r>
          <w:r>
            <w:fldChar w:fldCharType="begin"/>
          </w:r>
          <w:r>
            <w:instrText xml:space="preserve"> PAGEREF _Toc27953 \h </w:instrText>
          </w:r>
          <w:r>
            <w:fldChar w:fldCharType="separate"/>
          </w:r>
          <w:r>
            <w:t>9</w:t>
          </w:r>
          <w:r>
            <w:fldChar w:fldCharType="end"/>
          </w:r>
          <w:r>
            <w:rPr>
              <w:rFonts w:hint="eastAsia"/>
              <w:lang w:val="en-US" w:eastAsia="zh-CN"/>
            </w:rPr>
            <w:fldChar w:fldCharType="end"/>
          </w:r>
        </w:p>
        <w:p w14:paraId="3D8A01A6">
          <w:pPr>
            <w:pStyle w:val="11"/>
            <w:tabs>
              <w:tab w:val="right" w:leader="dot" w:pos="8306"/>
            </w:tabs>
          </w:pPr>
          <w:r>
            <w:rPr>
              <w:rFonts w:hint="eastAsia"/>
              <w:lang w:val="en-US" w:eastAsia="zh-CN"/>
            </w:rPr>
            <w:fldChar w:fldCharType="begin"/>
          </w:r>
          <w:r>
            <w:rPr>
              <w:rFonts w:hint="eastAsia"/>
              <w:lang w:val="en-US" w:eastAsia="zh-CN"/>
            </w:rPr>
            <w:instrText xml:space="preserve"> HYPERLINK \l _Toc4567 </w:instrText>
          </w:r>
          <w:r>
            <w:rPr>
              <w:rFonts w:hint="eastAsia"/>
              <w:lang w:val="en-US" w:eastAsia="zh-CN"/>
            </w:rPr>
            <w:fldChar w:fldCharType="separate"/>
          </w:r>
          <w:r>
            <w:rPr>
              <w:rFonts w:hint="eastAsia"/>
              <w:lang w:val="en-US" w:eastAsia="zh-CN"/>
            </w:rPr>
            <w:t>第四部分 附件</w:t>
          </w:r>
          <w:r>
            <w:tab/>
          </w:r>
          <w:r>
            <w:fldChar w:fldCharType="begin"/>
          </w:r>
          <w:r>
            <w:instrText xml:space="preserve"> PAGEREF _Toc4567 \h </w:instrText>
          </w:r>
          <w:r>
            <w:fldChar w:fldCharType="separate"/>
          </w:r>
          <w:r>
            <w:t>12</w:t>
          </w:r>
          <w:r>
            <w:fldChar w:fldCharType="end"/>
          </w:r>
          <w:r>
            <w:rPr>
              <w:rFonts w:hint="eastAsia"/>
              <w:lang w:val="en-US" w:eastAsia="zh-CN"/>
            </w:rPr>
            <w:fldChar w:fldCharType="end"/>
          </w:r>
        </w:p>
        <w:p w14:paraId="654A20B6">
          <w:pPr>
            <w:pStyle w:val="11"/>
            <w:tabs>
              <w:tab w:val="right" w:leader="dot" w:pos="8306"/>
            </w:tabs>
          </w:pPr>
          <w:r>
            <w:rPr>
              <w:rFonts w:hint="eastAsia"/>
              <w:lang w:val="en-US" w:eastAsia="zh-CN"/>
            </w:rPr>
            <w:fldChar w:fldCharType="begin"/>
          </w:r>
          <w:r>
            <w:rPr>
              <w:rFonts w:hint="eastAsia"/>
              <w:lang w:val="en-US" w:eastAsia="zh-CN"/>
            </w:rPr>
            <w:instrText xml:space="preserve"> HYPERLINK \l _Toc11970 </w:instrText>
          </w:r>
          <w:r>
            <w:rPr>
              <w:rFonts w:hint="eastAsia"/>
              <w:lang w:val="en-US" w:eastAsia="zh-CN"/>
            </w:rPr>
            <w:fldChar w:fldCharType="separate"/>
          </w:r>
          <w:r>
            <w:rPr>
              <w:rFonts w:hint="eastAsia"/>
              <w:lang w:val="en-US" w:eastAsia="zh-CN"/>
            </w:rPr>
            <w:t>第五部分 附表</w:t>
          </w:r>
          <w:r>
            <w:tab/>
          </w:r>
          <w:r>
            <w:fldChar w:fldCharType="begin"/>
          </w:r>
          <w:r>
            <w:instrText xml:space="preserve"> PAGEREF _Toc11970 \h </w:instrText>
          </w:r>
          <w:r>
            <w:fldChar w:fldCharType="separate"/>
          </w:r>
          <w:r>
            <w:t>25</w:t>
          </w:r>
          <w:r>
            <w:fldChar w:fldCharType="end"/>
          </w:r>
          <w:r>
            <w:rPr>
              <w:rFonts w:hint="eastAsia"/>
              <w:lang w:val="en-US" w:eastAsia="zh-CN"/>
            </w:rPr>
            <w:fldChar w:fldCharType="end"/>
          </w:r>
        </w:p>
        <w:p w14:paraId="5BAD9280">
          <w:pPr>
            <w:pStyle w:val="13"/>
            <w:tabs>
              <w:tab w:val="right" w:leader="dot" w:pos="8306"/>
            </w:tabs>
          </w:pPr>
          <w:r>
            <w:rPr>
              <w:rFonts w:hint="eastAsia"/>
              <w:lang w:val="en-US" w:eastAsia="zh-CN"/>
            </w:rPr>
            <w:fldChar w:fldCharType="begin"/>
          </w:r>
          <w:r>
            <w:rPr>
              <w:rFonts w:hint="eastAsia"/>
              <w:lang w:val="en-US" w:eastAsia="zh-CN"/>
            </w:rPr>
            <w:instrText xml:space="preserve"> HYPERLINK \l _Toc23456 </w:instrText>
          </w:r>
          <w:r>
            <w:rPr>
              <w:rFonts w:hint="eastAsia"/>
              <w:lang w:val="en-US" w:eastAsia="zh-CN"/>
            </w:rPr>
            <w:fldChar w:fldCharType="separate"/>
          </w:r>
          <w:r>
            <w:rPr>
              <w:rFonts w:hint="eastAsia" w:ascii="仿宋" w:hAnsi="仿宋" w:eastAsia="仿宋" w:cs="仿宋"/>
              <w:bCs/>
              <w:kern w:val="2"/>
              <w:szCs w:val="32"/>
            </w:rPr>
            <w:t>一、收</w:t>
          </w:r>
          <w:r>
            <w:rPr>
              <w:rFonts w:hint="eastAsia" w:ascii="仿宋" w:hAnsi="仿宋" w:eastAsia="仿宋" w:cs="仿宋"/>
              <w:bCs w:val="0"/>
              <w:szCs w:val="32"/>
            </w:rPr>
            <w:t>入支出决算总表</w:t>
          </w:r>
          <w:r>
            <w:tab/>
          </w:r>
          <w:r>
            <w:fldChar w:fldCharType="begin"/>
          </w:r>
          <w:r>
            <w:instrText xml:space="preserve"> PAGEREF _Toc23456 \h </w:instrText>
          </w:r>
          <w:r>
            <w:fldChar w:fldCharType="separate"/>
          </w:r>
          <w:r>
            <w:t>25</w:t>
          </w:r>
          <w:r>
            <w:fldChar w:fldCharType="end"/>
          </w:r>
          <w:r>
            <w:rPr>
              <w:rFonts w:hint="eastAsia"/>
              <w:lang w:val="en-US" w:eastAsia="zh-CN"/>
            </w:rPr>
            <w:fldChar w:fldCharType="end"/>
          </w:r>
        </w:p>
        <w:p w14:paraId="474606C8">
          <w:pPr>
            <w:pStyle w:val="13"/>
            <w:tabs>
              <w:tab w:val="right" w:leader="dot" w:pos="8306"/>
            </w:tabs>
          </w:pPr>
          <w:r>
            <w:rPr>
              <w:rFonts w:hint="eastAsia"/>
              <w:lang w:val="en-US" w:eastAsia="zh-CN"/>
            </w:rPr>
            <w:fldChar w:fldCharType="begin"/>
          </w:r>
          <w:r>
            <w:rPr>
              <w:rFonts w:hint="eastAsia"/>
              <w:lang w:val="en-US" w:eastAsia="zh-CN"/>
            </w:rPr>
            <w:instrText xml:space="preserve"> HYPERLINK \l _Toc7579 </w:instrText>
          </w:r>
          <w:r>
            <w:rPr>
              <w:rFonts w:hint="eastAsia"/>
              <w:lang w:val="en-US" w:eastAsia="zh-CN"/>
            </w:rPr>
            <w:fldChar w:fldCharType="separate"/>
          </w:r>
          <w:r>
            <w:rPr>
              <w:rFonts w:hint="eastAsia" w:ascii="仿宋" w:hAnsi="仿宋" w:eastAsia="仿宋" w:cs="仿宋"/>
              <w:bCs/>
              <w:kern w:val="2"/>
              <w:szCs w:val="32"/>
            </w:rPr>
            <w:t>二、收</w:t>
          </w:r>
          <w:r>
            <w:rPr>
              <w:rFonts w:hint="eastAsia" w:ascii="仿宋" w:hAnsi="仿宋" w:eastAsia="仿宋" w:cs="仿宋"/>
              <w:bCs w:val="0"/>
              <w:szCs w:val="32"/>
            </w:rPr>
            <w:t>入决算表</w:t>
          </w:r>
          <w:r>
            <w:tab/>
          </w:r>
          <w:r>
            <w:fldChar w:fldCharType="begin"/>
          </w:r>
          <w:r>
            <w:instrText xml:space="preserve"> PAGEREF _Toc7579 \h </w:instrText>
          </w:r>
          <w:r>
            <w:fldChar w:fldCharType="separate"/>
          </w:r>
          <w:r>
            <w:t>25</w:t>
          </w:r>
          <w:r>
            <w:fldChar w:fldCharType="end"/>
          </w:r>
          <w:r>
            <w:rPr>
              <w:rFonts w:hint="eastAsia"/>
              <w:lang w:val="en-US" w:eastAsia="zh-CN"/>
            </w:rPr>
            <w:fldChar w:fldCharType="end"/>
          </w:r>
        </w:p>
        <w:p w14:paraId="64D2CBD5">
          <w:pPr>
            <w:pStyle w:val="13"/>
            <w:tabs>
              <w:tab w:val="right" w:leader="dot" w:pos="8306"/>
            </w:tabs>
          </w:pPr>
          <w:r>
            <w:rPr>
              <w:rFonts w:hint="eastAsia"/>
              <w:lang w:val="en-US" w:eastAsia="zh-CN"/>
            </w:rPr>
            <w:fldChar w:fldCharType="begin"/>
          </w:r>
          <w:r>
            <w:rPr>
              <w:rFonts w:hint="eastAsia"/>
              <w:lang w:val="en-US" w:eastAsia="zh-CN"/>
            </w:rPr>
            <w:instrText xml:space="preserve"> HYPERLINK \l _Toc17303 </w:instrText>
          </w:r>
          <w:r>
            <w:rPr>
              <w:rFonts w:hint="eastAsia"/>
              <w:lang w:val="en-US" w:eastAsia="zh-CN"/>
            </w:rPr>
            <w:fldChar w:fldCharType="separate"/>
          </w:r>
          <w:r>
            <w:rPr>
              <w:rFonts w:hint="eastAsia" w:ascii="仿宋" w:hAnsi="仿宋" w:eastAsia="仿宋" w:cs="仿宋"/>
              <w:bCs w:val="0"/>
              <w:szCs w:val="32"/>
            </w:rPr>
            <w:t>三、</w:t>
          </w:r>
          <w:r>
            <w:rPr>
              <w:rFonts w:hint="eastAsia" w:ascii="仿宋" w:hAnsi="仿宋" w:eastAsia="仿宋" w:cs="仿宋"/>
              <w:bCs/>
              <w:kern w:val="2"/>
              <w:szCs w:val="32"/>
            </w:rPr>
            <w:t>支</w:t>
          </w:r>
          <w:r>
            <w:rPr>
              <w:rFonts w:hint="eastAsia" w:ascii="仿宋" w:hAnsi="仿宋" w:eastAsia="仿宋" w:cs="仿宋"/>
              <w:bCs w:val="0"/>
              <w:szCs w:val="32"/>
            </w:rPr>
            <w:t>出决算表</w:t>
          </w:r>
          <w:r>
            <w:tab/>
          </w:r>
          <w:r>
            <w:fldChar w:fldCharType="begin"/>
          </w:r>
          <w:r>
            <w:instrText xml:space="preserve"> PAGEREF _Toc17303 \h </w:instrText>
          </w:r>
          <w:r>
            <w:fldChar w:fldCharType="separate"/>
          </w:r>
          <w:r>
            <w:t>25</w:t>
          </w:r>
          <w:r>
            <w:fldChar w:fldCharType="end"/>
          </w:r>
          <w:r>
            <w:rPr>
              <w:rFonts w:hint="eastAsia"/>
              <w:lang w:val="en-US" w:eastAsia="zh-CN"/>
            </w:rPr>
            <w:fldChar w:fldCharType="end"/>
          </w:r>
        </w:p>
        <w:p w14:paraId="62E0F5B0">
          <w:pPr>
            <w:pStyle w:val="13"/>
            <w:tabs>
              <w:tab w:val="right" w:leader="dot" w:pos="8306"/>
            </w:tabs>
          </w:pPr>
          <w:r>
            <w:rPr>
              <w:rFonts w:hint="eastAsia"/>
              <w:lang w:val="en-US" w:eastAsia="zh-CN"/>
            </w:rPr>
            <w:fldChar w:fldCharType="begin"/>
          </w:r>
          <w:r>
            <w:rPr>
              <w:rFonts w:hint="eastAsia"/>
              <w:lang w:val="en-US" w:eastAsia="zh-CN"/>
            </w:rPr>
            <w:instrText xml:space="preserve"> HYPERLINK \l _Toc31944 </w:instrText>
          </w:r>
          <w:r>
            <w:rPr>
              <w:rFonts w:hint="eastAsia"/>
              <w:lang w:val="en-US" w:eastAsia="zh-CN"/>
            </w:rPr>
            <w:fldChar w:fldCharType="separate"/>
          </w:r>
          <w:r>
            <w:rPr>
              <w:rFonts w:hint="eastAsia" w:ascii="仿宋" w:hAnsi="仿宋" w:eastAsia="仿宋" w:cs="仿宋"/>
              <w:bCs w:val="0"/>
              <w:szCs w:val="32"/>
            </w:rPr>
            <w:t>四、</w:t>
          </w:r>
          <w:r>
            <w:rPr>
              <w:rFonts w:hint="eastAsia" w:ascii="仿宋" w:hAnsi="仿宋" w:eastAsia="仿宋" w:cs="仿宋"/>
              <w:bCs/>
              <w:kern w:val="2"/>
              <w:szCs w:val="32"/>
            </w:rPr>
            <w:t>财</w:t>
          </w:r>
          <w:r>
            <w:rPr>
              <w:rFonts w:hint="eastAsia" w:ascii="仿宋" w:hAnsi="仿宋" w:eastAsia="仿宋" w:cs="仿宋"/>
              <w:bCs w:val="0"/>
              <w:szCs w:val="32"/>
            </w:rPr>
            <w:t>政拨款收入支出决算总表</w:t>
          </w:r>
          <w:r>
            <w:tab/>
          </w:r>
          <w:r>
            <w:fldChar w:fldCharType="begin"/>
          </w:r>
          <w:r>
            <w:instrText xml:space="preserve"> PAGEREF _Toc31944 \h </w:instrText>
          </w:r>
          <w:r>
            <w:fldChar w:fldCharType="separate"/>
          </w:r>
          <w:r>
            <w:t>25</w:t>
          </w:r>
          <w:r>
            <w:fldChar w:fldCharType="end"/>
          </w:r>
          <w:r>
            <w:rPr>
              <w:rFonts w:hint="eastAsia"/>
              <w:lang w:val="en-US" w:eastAsia="zh-CN"/>
            </w:rPr>
            <w:fldChar w:fldCharType="end"/>
          </w:r>
        </w:p>
        <w:p w14:paraId="4E9B1528">
          <w:pPr>
            <w:pStyle w:val="13"/>
            <w:tabs>
              <w:tab w:val="right" w:leader="dot" w:pos="8306"/>
            </w:tabs>
          </w:pPr>
          <w:r>
            <w:rPr>
              <w:rFonts w:hint="eastAsia"/>
              <w:lang w:val="en-US" w:eastAsia="zh-CN"/>
            </w:rPr>
            <w:fldChar w:fldCharType="begin"/>
          </w:r>
          <w:r>
            <w:rPr>
              <w:rFonts w:hint="eastAsia"/>
              <w:lang w:val="en-US" w:eastAsia="zh-CN"/>
            </w:rPr>
            <w:instrText xml:space="preserve"> HYPERLINK \l _Toc17148 </w:instrText>
          </w:r>
          <w:r>
            <w:rPr>
              <w:rFonts w:hint="eastAsia"/>
              <w:lang w:val="en-US" w:eastAsia="zh-CN"/>
            </w:rPr>
            <w:fldChar w:fldCharType="separate"/>
          </w:r>
          <w:r>
            <w:rPr>
              <w:rFonts w:hint="eastAsia" w:ascii="仿宋" w:hAnsi="仿宋" w:eastAsia="仿宋" w:cs="仿宋"/>
              <w:bCs w:val="0"/>
              <w:szCs w:val="32"/>
            </w:rPr>
            <w:t>五、</w:t>
          </w:r>
          <w:r>
            <w:rPr>
              <w:rFonts w:hint="eastAsia" w:ascii="仿宋" w:hAnsi="仿宋" w:eastAsia="仿宋" w:cs="仿宋"/>
              <w:bCs/>
              <w:kern w:val="2"/>
              <w:szCs w:val="32"/>
            </w:rPr>
            <w:t>财</w:t>
          </w:r>
          <w:r>
            <w:rPr>
              <w:rFonts w:hint="eastAsia" w:ascii="仿宋" w:hAnsi="仿宋" w:eastAsia="仿宋" w:cs="仿宋"/>
              <w:bCs w:val="0"/>
              <w:szCs w:val="32"/>
            </w:rPr>
            <w:t>政拨款支出决算明细表</w:t>
          </w:r>
          <w:r>
            <w:tab/>
          </w:r>
          <w:r>
            <w:fldChar w:fldCharType="begin"/>
          </w:r>
          <w:r>
            <w:instrText xml:space="preserve"> PAGEREF _Toc17148 \h </w:instrText>
          </w:r>
          <w:r>
            <w:fldChar w:fldCharType="separate"/>
          </w:r>
          <w:r>
            <w:t>25</w:t>
          </w:r>
          <w:r>
            <w:fldChar w:fldCharType="end"/>
          </w:r>
          <w:r>
            <w:rPr>
              <w:rFonts w:hint="eastAsia"/>
              <w:lang w:val="en-US" w:eastAsia="zh-CN"/>
            </w:rPr>
            <w:fldChar w:fldCharType="end"/>
          </w:r>
        </w:p>
        <w:p w14:paraId="7570CB72">
          <w:pPr>
            <w:pStyle w:val="13"/>
            <w:tabs>
              <w:tab w:val="right" w:leader="dot" w:pos="8306"/>
            </w:tabs>
          </w:pPr>
          <w:r>
            <w:rPr>
              <w:rFonts w:hint="eastAsia"/>
              <w:lang w:val="en-US" w:eastAsia="zh-CN"/>
            </w:rPr>
            <w:fldChar w:fldCharType="begin"/>
          </w:r>
          <w:r>
            <w:rPr>
              <w:rFonts w:hint="eastAsia"/>
              <w:lang w:val="en-US" w:eastAsia="zh-CN"/>
            </w:rPr>
            <w:instrText xml:space="preserve"> HYPERLINK \l _Toc377 </w:instrText>
          </w:r>
          <w:r>
            <w:rPr>
              <w:rFonts w:hint="eastAsia"/>
              <w:lang w:val="en-US" w:eastAsia="zh-CN"/>
            </w:rPr>
            <w:fldChar w:fldCharType="separate"/>
          </w:r>
          <w:r>
            <w:rPr>
              <w:rFonts w:hint="eastAsia" w:ascii="仿宋" w:hAnsi="仿宋" w:eastAsia="仿宋" w:cs="仿宋"/>
              <w:bCs w:val="0"/>
              <w:szCs w:val="32"/>
            </w:rPr>
            <w:t>六、</w:t>
          </w:r>
          <w:r>
            <w:rPr>
              <w:rFonts w:hint="eastAsia" w:ascii="仿宋" w:hAnsi="仿宋" w:eastAsia="仿宋" w:cs="仿宋"/>
              <w:bCs/>
              <w:kern w:val="2"/>
              <w:szCs w:val="32"/>
            </w:rPr>
            <w:t>一</w:t>
          </w:r>
          <w:r>
            <w:rPr>
              <w:rFonts w:hint="eastAsia" w:ascii="仿宋" w:hAnsi="仿宋" w:eastAsia="仿宋" w:cs="仿宋"/>
              <w:bCs w:val="0"/>
              <w:szCs w:val="32"/>
            </w:rPr>
            <w:t>般公共预算财政拨款支出决算表</w:t>
          </w:r>
          <w:r>
            <w:tab/>
          </w:r>
          <w:r>
            <w:fldChar w:fldCharType="begin"/>
          </w:r>
          <w:r>
            <w:instrText xml:space="preserve"> PAGEREF _Toc377 \h </w:instrText>
          </w:r>
          <w:r>
            <w:fldChar w:fldCharType="separate"/>
          </w:r>
          <w:r>
            <w:t>25</w:t>
          </w:r>
          <w:r>
            <w:fldChar w:fldCharType="end"/>
          </w:r>
          <w:r>
            <w:rPr>
              <w:rFonts w:hint="eastAsia"/>
              <w:lang w:val="en-US" w:eastAsia="zh-CN"/>
            </w:rPr>
            <w:fldChar w:fldCharType="end"/>
          </w:r>
        </w:p>
        <w:p w14:paraId="4B045080">
          <w:pPr>
            <w:pStyle w:val="13"/>
            <w:tabs>
              <w:tab w:val="right" w:leader="dot" w:pos="8306"/>
            </w:tabs>
          </w:pPr>
          <w:r>
            <w:rPr>
              <w:rFonts w:hint="eastAsia"/>
              <w:lang w:val="en-US" w:eastAsia="zh-CN"/>
            </w:rPr>
            <w:fldChar w:fldCharType="begin"/>
          </w:r>
          <w:r>
            <w:rPr>
              <w:rFonts w:hint="eastAsia"/>
              <w:lang w:val="en-US" w:eastAsia="zh-CN"/>
            </w:rPr>
            <w:instrText xml:space="preserve"> HYPERLINK \l _Toc8032 </w:instrText>
          </w:r>
          <w:r>
            <w:rPr>
              <w:rFonts w:hint="eastAsia"/>
              <w:lang w:val="en-US" w:eastAsia="zh-CN"/>
            </w:rPr>
            <w:fldChar w:fldCharType="separate"/>
          </w:r>
          <w:r>
            <w:rPr>
              <w:rFonts w:hint="eastAsia" w:ascii="仿宋" w:hAnsi="仿宋" w:eastAsia="仿宋" w:cs="仿宋"/>
              <w:bCs w:val="0"/>
              <w:szCs w:val="32"/>
            </w:rPr>
            <w:t>七、</w:t>
          </w:r>
          <w:r>
            <w:rPr>
              <w:rFonts w:hint="eastAsia" w:ascii="仿宋" w:hAnsi="仿宋" w:eastAsia="仿宋" w:cs="仿宋"/>
              <w:bCs/>
              <w:kern w:val="2"/>
              <w:szCs w:val="32"/>
            </w:rPr>
            <w:t>一</w:t>
          </w:r>
          <w:r>
            <w:rPr>
              <w:rFonts w:hint="eastAsia" w:ascii="仿宋" w:hAnsi="仿宋" w:eastAsia="仿宋" w:cs="仿宋"/>
              <w:bCs w:val="0"/>
              <w:szCs w:val="32"/>
            </w:rPr>
            <w:t>般公共预算财政拨款支出决算明细表</w:t>
          </w:r>
          <w:r>
            <w:tab/>
          </w:r>
          <w:r>
            <w:fldChar w:fldCharType="begin"/>
          </w:r>
          <w:r>
            <w:instrText xml:space="preserve"> PAGEREF _Toc8032 \h </w:instrText>
          </w:r>
          <w:r>
            <w:fldChar w:fldCharType="separate"/>
          </w:r>
          <w:r>
            <w:t>25</w:t>
          </w:r>
          <w:r>
            <w:fldChar w:fldCharType="end"/>
          </w:r>
          <w:r>
            <w:rPr>
              <w:rFonts w:hint="eastAsia"/>
              <w:lang w:val="en-US" w:eastAsia="zh-CN"/>
            </w:rPr>
            <w:fldChar w:fldCharType="end"/>
          </w:r>
        </w:p>
        <w:p w14:paraId="4F14649B">
          <w:pPr>
            <w:pStyle w:val="13"/>
            <w:tabs>
              <w:tab w:val="right" w:leader="dot" w:pos="8306"/>
            </w:tabs>
          </w:pPr>
          <w:r>
            <w:rPr>
              <w:rFonts w:hint="eastAsia"/>
              <w:lang w:val="en-US" w:eastAsia="zh-CN"/>
            </w:rPr>
            <w:fldChar w:fldCharType="begin"/>
          </w:r>
          <w:r>
            <w:rPr>
              <w:rFonts w:hint="eastAsia"/>
              <w:lang w:val="en-US" w:eastAsia="zh-CN"/>
            </w:rPr>
            <w:instrText xml:space="preserve"> HYPERLINK \l _Toc21378 </w:instrText>
          </w:r>
          <w:r>
            <w:rPr>
              <w:rFonts w:hint="eastAsia"/>
              <w:lang w:val="en-US" w:eastAsia="zh-CN"/>
            </w:rPr>
            <w:fldChar w:fldCharType="separate"/>
          </w:r>
          <w:r>
            <w:rPr>
              <w:rFonts w:hint="eastAsia" w:ascii="仿宋" w:hAnsi="仿宋" w:eastAsia="仿宋" w:cs="仿宋"/>
              <w:bCs w:val="0"/>
              <w:szCs w:val="32"/>
            </w:rPr>
            <w:t>八、</w:t>
          </w:r>
          <w:r>
            <w:rPr>
              <w:rFonts w:hint="eastAsia" w:ascii="仿宋" w:hAnsi="仿宋" w:eastAsia="仿宋" w:cs="仿宋"/>
              <w:bCs/>
              <w:kern w:val="2"/>
              <w:szCs w:val="32"/>
            </w:rPr>
            <w:t>一</w:t>
          </w:r>
          <w:r>
            <w:rPr>
              <w:rFonts w:hint="eastAsia" w:ascii="仿宋" w:hAnsi="仿宋" w:eastAsia="仿宋" w:cs="仿宋"/>
              <w:bCs w:val="0"/>
              <w:szCs w:val="32"/>
            </w:rPr>
            <w:t>般公共预算财政拨款基本支出决算表</w:t>
          </w:r>
          <w:r>
            <w:tab/>
          </w:r>
          <w:r>
            <w:fldChar w:fldCharType="begin"/>
          </w:r>
          <w:r>
            <w:instrText xml:space="preserve"> PAGEREF _Toc21378 \h </w:instrText>
          </w:r>
          <w:r>
            <w:fldChar w:fldCharType="separate"/>
          </w:r>
          <w:r>
            <w:t>25</w:t>
          </w:r>
          <w:r>
            <w:fldChar w:fldCharType="end"/>
          </w:r>
          <w:r>
            <w:rPr>
              <w:rFonts w:hint="eastAsia"/>
              <w:lang w:val="en-US" w:eastAsia="zh-CN"/>
            </w:rPr>
            <w:fldChar w:fldCharType="end"/>
          </w:r>
        </w:p>
        <w:p w14:paraId="732E05DF">
          <w:pPr>
            <w:pStyle w:val="13"/>
            <w:tabs>
              <w:tab w:val="right" w:leader="dot" w:pos="8306"/>
            </w:tabs>
          </w:pPr>
          <w:r>
            <w:rPr>
              <w:rFonts w:hint="eastAsia"/>
              <w:lang w:val="en-US" w:eastAsia="zh-CN"/>
            </w:rPr>
            <w:fldChar w:fldCharType="begin"/>
          </w:r>
          <w:r>
            <w:rPr>
              <w:rFonts w:hint="eastAsia"/>
              <w:lang w:val="en-US" w:eastAsia="zh-CN"/>
            </w:rPr>
            <w:instrText xml:space="preserve"> HYPERLINK \l _Toc32713 </w:instrText>
          </w:r>
          <w:r>
            <w:rPr>
              <w:rFonts w:hint="eastAsia"/>
              <w:lang w:val="en-US" w:eastAsia="zh-CN"/>
            </w:rPr>
            <w:fldChar w:fldCharType="separate"/>
          </w:r>
          <w:r>
            <w:rPr>
              <w:rFonts w:hint="eastAsia" w:ascii="仿宋" w:hAnsi="仿宋" w:eastAsia="仿宋" w:cs="仿宋"/>
              <w:bCs w:val="0"/>
              <w:szCs w:val="32"/>
            </w:rPr>
            <w:t>九、</w:t>
          </w:r>
          <w:r>
            <w:rPr>
              <w:rFonts w:hint="eastAsia" w:ascii="仿宋" w:hAnsi="仿宋" w:eastAsia="仿宋" w:cs="仿宋"/>
              <w:bCs/>
              <w:kern w:val="2"/>
              <w:szCs w:val="32"/>
            </w:rPr>
            <w:t>一</w:t>
          </w:r>
          <w:r>
            <w:rPr>
              <w:rFonts w:hint="eastAsia" w:ascii="仿宋" w:hAnsi="仿宋" w:eastAsia="仿宋" w:cs="仿宋"/>
              <w:bCs w:val="0"/>
              <w:szCs w:val="32"/>
            </w:rPr>
            <w:t>般公共预算财政拨款项目支出决算表</w:t>
          </w:r>
          <w:r>
            <w:tab/>
          </w:r>
          <w:r>
            <w:fldChar w:fldCharType="begin"/>
          </w:r>
          <w:r>
            <w:instrText xml:space="preserve"> PAGEREF _Toc32713 \h </w:instrText>
          </w:r>
          <w:r>
            <w:fldChar w:fldCharType="separate"/>
          </w:r>
          <w:r>
            <w:t>25</w:t>
          </w:r>
          <w:r>
            <w:fldChar w:fldCharType="end"/>
          </w:r>
          <w:r>
            <w:rPr>
              <w:rFonts w:hint="eastAsia"/>
              <w:lang w:val="en-US" w:eastAsia="zh-CN"/>
            </w:rPr>
            <w:fldChar w:fldCharType="end"/>
          </w:r>
        </w:p>
        <w:p w14:paraId="19F98B7F">
          <w:pPr>
            <w:pStyle w:val="13"/>
            <w:tabs>
              <w:tab w:val="right" w:leader="dot" w:pos="8306"/>
            </w:tabs>
          </w:pPr>
          <w:r>
            <w:rPr>
              <w:rFonts w:hint="eastAsia"/>
              <w:lang w:val="en-US" w:eastAsia="zh-CN"/>
            </w:rPr>
            <w:fldChar w:fldCharType="begin"/>
          </w:r>
          <w:r>
            <w:rPr>
              <w:rFonts w:hint="eastAsia"/>
              <w:lang w:val="en-US" w:eastAsia="zh-CN"/>
            </w:rPr>
            <w:instrText xml:space="preserve"> HYPERLINK \l _Toc2658 </w:instrText>
          </w:r>
          <w:r>
            <w:rPr>
              <w:rFonts w:hint="eastAsia"/>
              <w:lang w:val="en-US" w:eastAsia="zh-CN"/>
            </w:rPr>
            <w:fldChar w:fldCharType="separate"/>
          </w:r>
          <w:r>
            <w:rPr>
              <w:rFonts w:hint="eastAsia" w:ascii="仿宋" w:hAnsi="仿宋" w:eastAsia="仿宋" w:cs="仿宋"/>
              <w:bCs w:val="0"/>
              <w:szCs w:val="32"/>
            </w:rPr>
            <w:t>十、</w:t>
          </w:r>
          <w:r>
            <w:rPr>
              <w:rFonts w:hint="eastAsia" w:ascii="仿宋" w:hAnsi="仿宋" w:eastAsia="仿宋" w:cs="仿宋"/>
              <w:bCs/>
              <w:kern w:val="2"/>
              <w:szCs w:val="32"/>
            </w:rPr>
            <w:t>政</w:t>
          </w:r>
          <w:r>
            <w:rPr>
              <w:rFonts w:hint="eastAsia" w:ascii="仿宋" w:hAnsi="仿宋" w:eastAsia="仿宋" w:cs="仿宋"/>
              <w:bCs w:val="0"/>
              <w:szCs w:val="32"/>
            </w:rPr>
            <w:t>府性基金预算财政拨款收入支出决算表</w:t>
          </w:r>
          <w:r>
            <w:tab/>
          </w:r>
          <w:r>
            <w:fldChar w:fldCharType="begin"/>
          </w:r>
          <w:r>
            <w:instrText xml:space="preserve"> PAGEREF _Toc2658 \h </w:instrText>
          </w:r>
          <w:r>
            <w:fldChar w:fldCharType="separate"/>
          </w:r>
          <w:r>
            <w:t>25</w:t>
          </w:r>
          <w:r>
            <w:fldChar w:fldCharType="end"/>
          </w:r>
          <w:r>
            <w:rPr>
              <w:rFonts w:hint="eastAsia"/>
              <w:lang w:val="en-US" w:eastAsia="zh-CN"/>
            </w:rPr>
            <w:fldChar w:fldCharType="end"/>
          </w:r>
        </w:p>
        <w:p w14:paraId="59CED194">
          <w:pPr>
            <w:pStyle w:val="13"/>
            <w:tabs>
              <w:tab w:val="right" w:leader="dot" w:pos="8306"/>
            </w:tabs>
          </w:pPr>
          <w:r>
            <w:rPr>
              <w:rFonts w:hint="eastAsia"/>
              <w:lang w:val="en-US" w:eastAsia="zh-CN"/>
            </w:rPr>
            <w:fldChar w:fldCharType="begin"/>
          </w:r>
          <w:r>
            <w:rPr>
              <w:rFonts w:hint="eastAsia"/>
              <w:lang w:val="en-US" w:eastAsia="zh-CN"/>
            </w:rPr>
            <w:instrText xml:space="preserve"> HYPERLINK \l _Toc16383 </w:instrText>
          </w:r>
          <w:r>
            <w:rPr>
              <w:rFonts w:hint="eastAsia"/>
              <w:lang w:val="en-US" w:eastAsia="zh-CN"/>
            </w:rPr>
            <w:fldChar w:fldCharType="separate"/>
          </w:r>
          <w:r>
            <w:rPr>
              <w:rFonts w:hint="eastAsia" w:ascii="仿宋" w:hAnsi="仿宋" w:eastAsia="仿宋" w:cs="仿宋"/>
              <w:bCs w:val="0"/>
              <w:szCs w:val="32"/>
            </w:rPr>
            <w:t>十一、</w:t>
          </w:r>
          <w:r>
            <w:rPr>
              <w:rFonts w:hint="eastAsia" w:ascii="仿宋" w:hAnsi="仿宋" w:eastAsia="仿宋" w:cs="仿宋"/>
              <w:bCs/>
              <w:kern w:val="2"/>
              <w:szCs w:val="32"/>
            </w:rPr>
            <w:t>国</w:t>
          </w:r>
          <w:r>
            <w:rPr>
              <w:rFonts w:hint="eastAsia" w:ascii="仿宋" w:hAnsi="仿宋" w:eastAsia="仿宋" w:cs="仿宋"/>
              <w:bCs w:val="0"/>
              <w:szCs w:val="32"/>
            </w:rPr>
            <w:t>有资本经营预算财政拨款收入支出决算表</w:t>
          </w:r>
          <w:r>
            <w:tab/>
          </w:r>
          <w:r>
            <w:fldChar w:fldCharType="begin"/>
          </w:r>
          <w:r>
            <w:instrText xml:space="preserve"> PAGEREF _Toc16383 \h </w:instrText>
          </w:r>
          <w:r>
            <w:fldChar w:fldCharType="separate"/>
          </w:r>
          <w:r>
            <w:t>25</w:t>
          </w:r>
          <w:r>
            <w:fldChar w:fldCharType="end"/>
          </w:r>
          <w:r>
            <w:rPr>
              <w:rFonts w:hint="eastAsia"/>
              <w:lang w:val="en-US" w:eastAsia="zh-CN"/>
            </w:rPr>
            <w:fldChar w:fldCharType="end"/>
          </w:r>
        </w:p>
        <w:p w14:paraId="29617E53">
          <w:pPr>
            <w:pStyle w:val="13"/>
            <w:tabs>
              <w:tab w:val="right" w:leader="dot" w:pos="8306"/>
            </w:tabs>
          </w:pPr>
          <w:r>
            <w:rPr>
              <w:rFonts w:hint="eastAsia"/>
              <w:lang w:val="en-US" w:eastAsia="zh-CN"/>
            </w:rPr>
            <w:fldChar w:fldCharType="begin"/>
          </w:r>
          <w:r>
            <w:rPr>
              <w:rFonts w:hint="eastAsia"/>
              <w:lang w:val="en-US" w:eastAsia="zh-CN"/>
            </w:rPr>
            <w:instrText xml:space="preserve"> HYPERLINK \l _Toc21469 </w:instrText>
          </w:r>
          <w:r>
            <w:rPr>
              <w:rFonts w:hint="eastAsia"/>
              <w:lang w:val="en-US" w:eastAsia="zh-CN"/>
            </w:rPr>
            <w:fldChar w:fldCharType="separate"/>
          </w:r>
          <w:r>
            <w:rPr>
              <w:rFonts w:hint="eastAsia" w:ascii="仿宋" w:hAnsi="仿宋" w:eastAsia="仿宋" w:cs="仿宋"/>
              <w:bCs w:val="0"/>
              <w:szCs w:val="32"/>
            </w:rPr>
            <w:t>十二、国有资本经营预算财政拨款支出决算表</w:t>
          </w:r>
          <w:r>
            <w:tab/>
          </w:r>
          <w:r>
            <w:fldChar w:fldCharType="begin"/>
          </w:r>
          <w:r>
            <w:instrText xml:space="preserve"> PAGEREF _Toc21469 \h </w:instrText>
          </w:r>
          <w:r>
            <w:fldChar w:fldCharType="separate"/>
          </w:r>
          <w:r>
            <w:t>25</w:t>
          </w:r>
          <w:r>
            <w:fldChar w:fldCharType="end"/>
          </w:r>
          <w:r>
            <w:rPr>
              <w:rFonts w:hint="eastAsia"/>
              <w:lang w:val="en-US" w:eastAsia="zh-CN"/>
            </w:rPr>
            <w:fldChar w:fldCharType="end"/>
          </w:r>
        </w:p>
        <w:p w14:paraId="00B7E744">
          <w:pPr>
            <w:pStyle w:val="13"/>
            <w:tabs>
              <w:tab w:val="right" w:leader="dot" w:pos="8306"/>
            </w:tabs>
          </w:pPr>
          <w:r>
            <w:rPr>
              <w:rFonts w:hint="eastAsia"/>
              <w:lang w:val="en-US" w:eastAsia="zh-CN"/>
            </w:rPr>
            <w:fldChar w:fldCharType="begin"/>
          </w:r>
          <w:r>
            <w:rPr>
              <w:rFonts w:hint="eastAsia"/>
              <w:lang w:val="en-US" w:eastAsia="zh-CN"/>
            </w:rPr>
            <w:instrText xml:space="preserve"> HYPERLINK \l _Toc6993 </w:instrText>
          </w:r>
          <w:r>
            <w:rPr>
              <w:rFonts w:hint="eastAsia"/>
              <w:lang w:val="en-US" w:eastAsia="zh-CN"/>
            </w:rPr>
            <w:fldChar w:fldCharType="separate"/>
          </w:r>
          <w:r>
            <w:rPr>
              <w:rFonts w:hint="eastAsia" w:ascii="仿宋" w:hAnsi="仿宋" w:eastAsia="仿宋" w:cs="仿宋"/>
              <w:bCs w:val="0"/>
              <w:szCs w:val="32"/>
            </w:rPr>
            <w:t>十三、财政拨款“三公”经费支出决算表</w:t>
          </w:r>
          <w:r>
            <w:tab/>
          </w:r>
          <w:r>
            <w:fldChar w:fldCharType="begin"/>
          </w:r>
          <w:r>
            <w:instrText xml:space="preserve"> PAGEREF _Toc6993 \h </w:instrText>
          </w:r>
          <w:r>
            <w:fldChar w:fldCharType="separate"/>
          </w:r>
          <w:r>
            <w:t>25</w:t>
          </w:r>
          <w:r>
            <w:fldChar w:fldCharType="end"/>
          </w:r>
          <w:r>
            <w:rPr>
              <w:rFonts w:hint="eastAsia"/>
              <w:lang w:val="en-US" w:eastAsia="zh-CN"/>
            </w:rPr>
            <w:fldChar w:fldCharType="end"/>
          </w:r>
        </w:p>
        <w:p w14:paraId="7070F04F">
          <w:pPr>
            <w:rPr>
              <w:rFonts w:hint="eastAsia" w:asciiTheme="minorHAnsi" w:hAnsiTheme="minorHAnsi" w:eastAsiaTheme="minorEastAsia" w:cstheme="minorBidi"/>
              <w:kern w:val="2"/>
              <w:sz w:val="21"/>
              <w:szCs w:val="24"/>
              <w:lang w:val="en-US" w:eastAsia="zh-CN" w:bidi="ar-SA"/>
            </w:rPr>
          </w:pPr>
          <w:r>
            <w:rPr>
              <w:rFonts w:hint="eastAsia"/>
              <w:lang w:val="en-US" w:eastAsia="zh-CN"/>
            </w:rPr>
            <w:fldChar w:fldCharType="end"/>
          </w:r>
        </w:p>
      </w:sdtContent>
    </w:sdt>
    <w:p w14:paraId="20064EC8">
      <w:pPr>
        <w:pStyle w:val="2"/>
        <w:rPr>
          <w:rFonts w:hint="eastAsia"/>
          <w:lang w:val="en-US" w:eastAsia="zh-CN"/>
        </w:rPr>
      </w:pPr>
    </w:p>
    <w:p w14:paraId="0CF129ED">
      <w:pPr>
        <w:pStyle w:val="5"/>
        <w:bidi w:val="0"/>
        <w:jc w:val="center"/>
        <w:rPr>
          <w:rFonts w:hint="eastAsia"/>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bookmarkStart w:id="0" w:name="_Toc22422"/>
    </w:p>
    <w:p w14:paraId="7C94D5A6">
      <w:pPr>
        <w:pStyle w:val="5"/>
        <w:pageBreakBefore w:val="0"/>
        <w:widowControl w:val="0"/>
        <w:kinsoku/>
        <w:wordWrap/>
        <w:overflowPunct/>
        <w:topLinePunct w:val="0"/>
        <w:autoSpaceDE/>
        <w:autoSpaceDN/>
        <w:bidi w:val="0"/>
        <w:spacing w:line="576" w:lineRule="exact"/>
        <w:jc w:val="center"/>
        <w:textAlignment w:val="auto"/>
        <w:rPr>
          <w:rFonts w:hint="eastAsia"/>
        </w:rPr>
      </w:pPr>
      <w:bookmarkStart w:id="1" w:name="_Toc9663"/>
      <w:r>
        <w:rPr>
          <w:rFonts w:hint="eastAsia"/>
        </w:rPr>
        <w:t>第一部分 单位概况</w:t>
      </w:r>
      <w:bookmarkEnd w:id="0"/>
      <w:bookmarkEnd w:id="1"/>
    </w:p>
    <w:p w14:paraId="10E9609F">
      <w:pPr>
        <w:pStyle w:val="6"/>
        <w:pageBreakBefore w:val="0"/>
        <w:widowControl w:val="0"/>
        <w:numPr>
          <w:ilvl w:val="0"/>
          <w:numId w:val="1"/>
        </w:numPr>
        <w:kinsoku/>
        <w:wordWrap/>
        <w:overflowPunct/>
        <w:topLinePunct w:val="0"/>
        <w:autoSpaceDE/>
        <w:autoSpaceDN/>
        <w:bidi w:val="0"/>
        <w:spacing w:line="576" w:lineRule="exact"/>
        <w:textAlignment w:val="auto"/>
        <w:rPr>
          <w:rFonts w:hint="eastAsia"/>
        </w:rPr>
      </w:pPr>
      <w:bookmarkStart w:id="2" w:name="_Toc21078"/>
      <w:bookmarkStart w:id="3" w:name="_Toc10971"/>
      <w:r>
        <w:rPr>
          <w:rFonts w:hint="eastAsia"/>
          <w:lang w:eastAsia="zh-CN"/>
        </w:rPr>
        <w:t>部门</w:t>
      </w:r>
      <w:r>
        <w:rPr>
          <w:rFonts w:hint="eastAsia"/>
        </w:rPr>
        <w:t>职责</w:t>
      </w:r>
      <w:bookmarkEnd w:id="2"/>
      <w:bookmarkEnd w:id="3"/>
    </w:p>
    <w:p w14:paraId="7621C82E">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14:paraId="02433B70">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14:paraId="266F33FE">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14:paraId="3FA42E1C">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14:paraId="7514E71B">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14:paraId="2EE8168A">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14:paraId="1BE4EE9B">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b w:val="0"/>
          <w:bCs w:val="0"/>
        </w:rPr>
      </w:pPr>
      <w:r>
        <w:rPr>
          <w:rFonts w:hint="eastAsia" w:ascii="仿宋_GB2312" w:eastAsia="仿宋_GB2312" w:cs="仿宋_GB2312"/>
          <w:color w:val="000000"/>
          <w:sz w:val="32"/>
          <w:szCs w:val="32"/>
        </w:rPr>
        <w:t>7.承办县委、县政府交办的其他工作。</w:t>
      </w:r>
    </w:p>
    <w:p w14:paraId="00867C30">
      <w:pPr>
        <w:pStyle w:val="6"/>
        <w:pageBreakBefore w:val="0"/>
        <w:widowControl w:val="0"/>
        <w:numPr>
          <w:ilvl w:val="0"/>
          <w:numId w:val="1"/>
        </w:numPr>
        <w:kinsoku/>
        <w:wordWrap/>
        <w:overflowPunct/>
        <w:topLinePunct w:val="0"/>
        <w:autoSpaceDE/>
        <w:autoSpaceDN/>
        <w:bidi w:val="0"/>
        <w:spacing w:line="576" w:lineRule="exact"/>
        <w:textAlignment w:val="auto"/>
        <w:rPr>
          <w:rFonts w:hint="eastAsia"/>
          <w:lang w:val="en-US" w:eastAsia="zh-CN"/>
        </w:rPr>
      </w:pPr>
      <w:bookmarkStart w:id="4" w:name="_Toc2561"/>
      <w:bookmarkStart w:id="5" w:name="_Toc31450"/>
      <w:r>
        <w:rPr>
          <w:rFonts w:hint="eastAsia"/>
        </w:rPr>
        <w:t>机构设置</w:t>
      </w:r>
      <w:bookmarkEnd w:id="4"/>
      <w:bookmarkEnd w:id="5"/>
    </w:p>
    <w:p w14:paraId="22299B74">
      <w:pPr>
        <w:pageBreakBefore w:val="0"/>
        <w:widowControl w:val="0"/>
        <w:kinsoku/>
        <w:wordWrap/>
        <w:overflowPunct/>
        <w:topLinePunct w:val="0"/>
        <w:autoSpaceDE/>
        <w:autoSpaceDN/>
        <w:bidi w:val="0"/>
        <w:spacing w:line="576" w:lineRule="exact"/>
        <w:ind w:firstLine="800" w:firstLineChars="25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茂县行政审批和政务服务管理局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个，其中行政单位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ascii="Times New Roman" w:hAnsi="Times New Roman"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个，其他事业单位</w:t>
      </w:r>
      <w:r>
        <w:rPr>
          <w:rFonts w:hint="eastAsia"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0630DF99">
      <w:pPr>
        <w:pStyle w:val="8"/>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rPr>
          <w:rFonts w:hint="eastAsia"/>
        </w:rPr>
      </w:pPr>
      <w:r>
        <w:rPr>
          <w:rFonts w:hint="eastAsia" w:ascii="Times New Roman" w:hAnsi="Times New Roman" w:eastAsia="仿宋_GB2312" w:cs="仿宋_GB2312"/>
          <w:color w:val="auto"/>
          <w:sz w:val="32"/>
          <w:szCs w:val="32"/>
          <w:highlight w:val="none"/>
        </w:rPr>
        <w:t>纳入</w:t>
      </w:r>
      <w:r>
        <w:rPr>
          <w:rFonts w:hint="eastAsia" w:ascii="Times New Roman" w:hAnsi="Times New Roman" w:eastAsia="仿宋_GB2312" w:cs="仿宋_GB2312"/>
          <w:color w:val="auto"/>
          <w:sz w:val="32"/>
          <w:szCs w:val="32"/>
          <w:highlight w:val="none"/>
          <w:lang w:eastAsia="zh-CN"/>
        </w:rPr>
        <w:t>茂县行政审批和政务服务管理局</w:t>
      </w:r>
      <w:r>
        <w:rPr>
          <w:rFonts w:hint="eastAsia" w:ascii="Times New Roman" w:cs="仿宋_GB2312"/>
          <w:color w:val="auto"/>
          <w:sz w:val="32"/>
          <w:szCs w:val="32"/>
          <w:highlight w:val="none"/>
          <w:lang w:eastAsia="zh-CN"/>
        </w:rPr>
        <w:t>2025年度</w:t>
      </w:r>
      <w:r>
        <w:rPr>
          <w:rFonts w:hint="eastAsia" w:ascii="Times New Roman" w:hAnsi="Times New Roman" w:eastAsia="仿宋_GB2312" w:cs="仿宋_GB2312"/>
          <w:color w:val="auto"/>
          <w:sz w:val="32"/>
          <w:szCs w:val="32"/>
          <w:highlight w:val="none"/>
        </w:rPr>
        <w:t>部门决算编制范围的二级预算单位包括：</w:t>
      </w:r>
      <w:r>
        <w:rPr>
          <w:rFonts w:hint="eastAsia" w:ascii="Times New Roman" w:hAnsi="Times New Roman" w:eastAsia="仿宋_GB2312" w:cs="仿宋_GB2312"/>
          <w:color w:val="auto"/>
          <w:sz w:val="32"/>
          <w:szCs w:val="32"/>
          <w:highlight w:val="none"/>
          <w:lang w:val="en-US" w:eastAsia="zh-CN"/>
        </w:rPr>
        <w:t>茂县政务服务和公共资源交易服务中心</w:t>
      </w:r>
    </w:p>
    <w:p w14:paraId="12A13B71">
      <w:pPr>
        <w:pStyle w:val="5"/>
        <w:pageBreakBefore w:val="0"/>
        <w:widowControl w:val="0"/>
        <w:kinsoku/>
        <w:wordWrap/>
        <w:overflowPunct/>
        <w:topLinePunct w:val="0"/>
        <w:autoSpaceDE/>
        <w:autoSpaceDN/>
        <w:bidi w:val="0"/>
        <w:spacing w:line="576" w:lineRule="exact"/>
        <w:jc w:val="center"/>
        <w:textAlignment w:val="auto"/>
        <w:rPr>
          <w:rFonts w:hint="default"/>
        </w:rPr>
      </w:pPr>
      <w:bookmarkStart w:id="6" w:name="_Toc21589"/>
      <w:bookmarkStart w:id="7" w:name="_Toc19400"/>
      <w:r>
        <w:rPr>
          <w:rFonts w:hint="eastAsia"/>
        </w:rPr>
        <w:t>第二部分 202</w:t>
      </w:r>
      <w:r>
        <w:rPr>
          <w:rFonts w:hint="eastAsia"/>
          <w:lang w:val="en-US" w:eastAsia="zh-CN"/>
        </w:rPr>
        <w:t>5</w:t>
      </w:r>
      <w:r>
        <w:rPr>
          <w:rFonts w:hint="eastAsia"/>
        </w:rPr>
        <w:t>年度</w:t>
      </w:r>
      <w:r>
        <w:rPr>
          <w:rFonts w:hint="eastAsia"/>
          <w:lang w:eastAsia="zh-CN"/>
        </w:rPr>
        <w:t>部门</w:t>
      </w:r>
      <w:r>
        <w:rPr>
          <w:rFonts w:hint="eastAsia"/>
        </w:rPr>
        <w:t>决算情况说明</w:t>
      </w:r>
      <w:bookmarkEnd w:id="6"/>
      <w:bookmarkEnd w:id="7"/>
    </w:p>
    <w:p w14:paraId="5A42D858">
      <w:pPr>
        <w:pStyle w:val="6"/>
        <w:pageBreakBefore w:val="0"/>
        <w:widowControl w:val="0"/>
        <w:kinsoku/>
        <w:wordWrap/>
        <w:overflowPunct/>
        <w:topLinePunct w:val="0"/>
        <w:autoSpaceDE/>
        <w:autoSpaceDN/>
        <w:bidi w:val="0"/>
        <w:spacing w:line="576" w:lineRule="exact"/>
        <w:ind w:firstLine="643" w:firstLineChars="200"/>
        <w:textAlignment w:val="auto"/>
        <w:rPr>
          <w:rFonts w:hint="eastAsia"/>
        </w:rPr>
      </w:pPr>
      <w:bookmarkStart w:id="8" w:name="_Toc23747"/>
      <w:bookmarkStart w:id="9" w:name="_Toc30001"/>
      <w:r>
        <w:rPr>
          <w:rFonts w:hint="eastAsia"/>
        </w:rPr>
        <w:t>一、收入支出决算总体情况说明</w:t>
      </w:r>
      <w:bookmarkEnd w:id="8"/>
      <w:bookmarkEnd w:id="9"/>
    </w:p>
    <w:p w14:paraId="29A9C2EF">
      <w:pPr>
        <w:keepNext w:val="0"/>
        <w:keepLines w:val="0"/>
        <w:pageBreakBefore w:val="0"/>
        <w:widowControl w:val="0"/>
        <w:suppressLineNumbers w:val="0"/>
        <w:suppressAutoHyphens/>
        <w:kinsoku/>
        <w:wordWrap/>
        <w:overflowPunct/>
        <w:topLinePunct w:val="0"/>
        <w:autoSpaceDE/>
        <w:autoSpaceDN/>
        <w:bidi w:val="0"/>
        <w:snapToGrid/>
        <w:spacing w:before="0" w:beforeAutospacing="0" w:after="0" w:afterAutospacing="0" w:line="576"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2025年度收、支总计均为</w:t>
      </w:r>
      <w:r>
        <w:rPr>
          <w:rFonts w:hint="eastAsia" w:ascii="仿宋" w:hAnsi="仿宋" w:eastAsia="仿宋" w:cs="Times New Roman"/>
          <w:kern w:val="2"/>
          <w:sz w:val="32"/>
          <w:szCs w:val="32"/>
          <w:lang w:val="en-US" w:eastAsia="zh-CN" w:bidi="ar"/>
        </w:rPr>
        <w:t>444.07</w:t>
      </w:r>
      <w:r>
        <w:rPr>
          <w:rFonts w:hint="eastAsia" w:ascii="仿宋" w:hAnsi="仿宋" w:eastAsia="仿宋" w:cs="仿宋"/>
          <w:kern w:val="2"/>
          <w:sz w:val="32"/>
          <w:szCs w:val="32"/>
          <w:lang w:val="en-US" w:eastAsia="zh-CN" w:bidi="ar"/>
        </w:rPr>
        <w:t>万元。与上年度相比，收、支总计各增加</w:t>
      </w:r>
      <w:r>
        <w:rPr>
          <w:rFonts w:hint="eastAsia" w:ascii="仿宋" w:hAnsi="仿宋" w:eastAsia="仿宋" w:cs="Times New Roman"/>
          <w:kern w:val="2"/>
          <w:sz w:val="32"/>
          <w:szCs w:val="32"/>
          <w:lang w:val="en-US" w:eastAsia="zh-CN" w:bidi="ar"/>
        </w:rPr>
        <w:t>17.41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4.08%</w:t>
      </w:r>
      <w:r>
        <w:rPr>
          <w:rFonts w:hint="eastAsia" w:ascii="仿宋" w:hAnsi="仿宋" w:eastAsia="仿宋" w:cs="仿宋"/>
          <w:kern w:val="2"/>
          <w:sz w:val="32"/>
          <w:szCs w:val="32"/>
          <w:lang w:val="en-US" w:eastAsia="zh-CN" w:bidi="ar"/>
        </w:rPr>
        <w:t>。主要变动原因是：2025年度人员增加和工资福利的增加。</w:t>
      </w:r>
    </w:p>
    <w:p w14:paraId="040DCAF0">
      <w:pPr>
        <w:pStyle w:val="12"/>
        <w:jc w:val="center"/>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5" o:spt="75" type="#_x0000_t75" style="height:165.55pt;width:330.45pt;" o:ole="t" filled="f" o:preferrelative="t" stroked="f" coordsize="21600,21600">
            <v:path/>
            <v:fill on="f" focussize="0,0"/>
            <v:stroke on="f"/>
            <v:imagedata r:id="rId8" o:title=""/>
            <o:lock v:ext="edit" aspectratio="t"/>
            <w10:wrap type="none"/>
            <w10:anchorlock/>
          </v:shape>
          <o:OLEObject Type="Embed" ProgID="Excel.Chart.8" ShapeID="_x0000_i1025" DrawAspect="Content" ObjectID="_1468075725" r:id="rId7">
            <o:LockedField>false</o:LockedField>
          </o:OLEObject>
        </w:object>
      </w:r>
    </w:p>
    <w:p w14:paraId="3F46061B">
      <w:pPr>
        <w:pStyle w:val="6"/>
        <w:bidi w:val="0"/>
        <w:ind w:firstLine="643" w:firstLineChars="200"/>
        <w:rPr>
          <w:rFonts w:hint="eastAsia"/>
        </w:rPr>
      </w:pPr>
      <w:bookmarkStart w:id="10" w:name="_Toc11688"/>
      <w:r>
        <w:rPr>
          <w:rFonts w:hint="eastAsia"/>
        </w:rPr>
        <w:t>二、收入决算情况说明</w:t>
      </w:r>
      <w:bookmarkEnd w:id="10"/>
    </w:p>
    <w:p w14:paraId="521567D6">
      <w:pPr>
        <w:pStyle w:val="2"/>
        <w:ind w:firstLine="640" w:firstLineChars="200"/>
        <w:rPr>
          <w:rFonts w:hint="eastAsia"/>
          <w:lang w:val="en-US" w:eastAsia="zh-CN"/>
        </w:rPr>
      </w:pPr>
      <w:r>
        <w:rPr>
          <w:rFonts w:hint="eastAsia" w:ascii="仿宋" w:hAnsi="仿宋" w:eastAsia="仿宋" w:cs="仿宋"/>
          <w:kern w:val="2"/>
          <w:sz w:val="32"/>
          <w:szCs w:val="32"/>
          <w:lang w:val="en-US" w:eastAsia="zh-CN" w:bidi="ar"/>
        </w:rPr>
        <w:t>2025年度本年收入合计</w:t>
      </w:r>
      <w:r>
        <w:rPr>
          <w:rFonts w:hint="eastAsia" w:ascii="仿宋" w:hAnsi="仿宋" w:eastAsia="仿宋" w:cs="Times New Roman"/>
          <w:kern w:val="2"/>
          <w:sz w:val="32"/>
          <w:szCs w:val="32"/>
          <w:lang w:val="en-US" w:eastAsia="zh-CN" w:bidi="ar"/>
        </w:rPr>
        <w:t>444.07</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444.07</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p>
    <w:p w14:paraId="23DF65E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1"/>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72.25pt;margin-top:10.5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0" o:title=""/>
            <o:lock v:ext="edit" aspectratio="t"/>
            <w10:wrap type="square"/>
          </v:shape>
          <o:OLEObject Type="Embed" ProgID="Excel.Chart.8" ShapeID="_x0000_s1026" DrawAspect="Content" ObjectID="_1468075726" r:id="rId9">
            <o:LockedField>false</o:LockedField>
          </o:OLEObject>
        </w:pict>
      </w:r>
    </w:p>
    <w:p w14:paraId="2166BC4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11BCCE3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508BA64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4CD58C8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63C3735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48AD1FB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Times New Roman" w:hAnsi="Times New Roman" w:eastAsia="仿宋_GB2312" w:cs="仿宋_GB2312"/>
          <w:color w:val="auto"/>
          <w:sz w:val="32"/>
          <w:szCs w:val="32"/>
          <w:highlight w:val="none"/>
          <w:lang w:eastAsia="zh-CN"/>
        </w:rPr>
      </w:pPr>
    </w:p>
    <w:p w14:paraId="5FB3A515">
      <w:pPr>
        <w:pStyle w:val="6"/>
        <w:bidi w:val="0"/>
        <w:ind w:firstLine="643" w:firstLineChars="200"/>
        <w:rPr>
          <w:rFonts w:hint="eastAsia"/>
        </w:rPr>
      </w:pPr>
      <w:bookmarkStart w:id="11" w:name="_Toc7334"/>
      <w:bookmarkStart w:id="12" w:name="_Toc11081"/>
      <w:r>
        <w:rPr>
          <w:rFonts w:hint="eastAsia"/>
        </w:rPr>
        <w:t>三、支出决算情况说明</w:t>
      </w:r>
      <w:bookmarkEnd w:id="11"/>
      <w:bookmarkEnd w:id="12"/>
    </w:p>
    <w:p w14:paraId="1ABE856C">
      <w:pPr>
        <w:bidi w:val="0"/>
        <w:ind w:firstLine="640" w:firstLineChars="200"/>
        <w:rPr>
          <w:rFonts w:hint="default" w:ascii="仿宋" w:hAnsi="仿宋" w:eastAsia="仿宋" w:cs="仿宋"/>
          <w:kern w:val="2"/>
          <w:szCs w:val="32"/>
          <w:lang w:val="en-US" w:eastAsia="zh-CN" w:bidi="ar"/>
        </w:rPr>
      </w:pPr>
      <w:bookmarkStart w:id="13" w:name="_Toc13234"/>
      <w:r>
        <w:rPr>
          <w:rFonts w:hint="eastAsia" w:ascii="仿宋" w:hAnsi="仿宋" w:eastAsia="仿宋" w:cs="仿宋"/>
          <w:kern w:val="2"/>
          <w:sz w:val="32"/>
          <w:szCs w:val="32"/>
          <w:lang w:val="en-US" w:eastAsia="zh-CN" w:bidi="ar"/>
        </w:rPr>
        <w:t>2025年度本年支出合计444.07万元，其中：基本支出410.50万元，占92.44%；项目支出33.56万元，占7.56%。</w:t>
      </w:r>
      <w:bookmarkEnd w:id="13"/>
    </w:p>
    <w:p w14:paraId="397BD344">
      <w:pPr>
        <w:pStyle w:val="12"/>
        <w:ind w:left="1058" w:leftChars="504" w:firstLine="0" w:firstLineChars="0"/>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2" o:title=""/>
            <o:lock v:ext="edit" aspectratio="t"/>
            <w10:wrap type="none"/>
            <w10:anchorlock/>
          </v:shape>
          <o:OLEObject Type="Embed" ProgID="Excel.Chart.8" ShapeID="_x0000_i1026" DrawAspect="Content" ObjectID="_1468075727" r:id="rId11">
            <o:LockedField>false</o:LockedField>
          </o:OLEObject>
        </w:object>
      </w:r>
    </w:p>
    <w:p w14:paraId="1BED216C">
      <w:pPr>
        <w:bidi w:val="0"/>
        <w:jc w:val="both"/>
        <w:rPr>
          <w:rFonts w:hint="eastAsia"/>
        </w:rPr>
      </w:pPr>
    </w:p>
    <w:p w14:paraId="230F77EA">
      <w:pPr>
        <w:pStyle w:val="6"/>
        <w:bidi w:val="0"/>
        <w:ind w:firstLine="643" w:firstLineChars="200"/>
        <w:rPr>
          <w:rFonts w:hint="eastAsia"/>
        </w:rPr>
      </w:pPr>
      <w:bookmarkStart w:id="14" w:name="_Toc32106"/>
      <w:r>
        <w:rPr>
          <w:rFonts w:hint="eastAsia"/>
          <w:lang w:val="en-US" w:eastAsia="zh-CN"/>
        </w:rPr>
        <w:t>四、财政拨款收入支出决算总体情况说明</w:t>
      </w:r>
      <w:bookmarkEnd w:id="14"/>
    </w:p>
    <w:p w14:paraId="2E681BF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2025年度财政拨款收、支总计均为</w:t>
      </w:r>
      <w:r>
        <w:rPr>
          <w:rFonts w:hint="eastAsia" w:ascii="仿宋" w:hAnsi="仿宋" w:eastAsia="仿宋" w:cs="Times New Roman"/>
          <w:kern w:val="2"/>
          <w:sz w:val="32"/>
          <w:szCs w:val="32"/>
          <w:lang w:val="en-US" w:eastAsia="zh-CN" w:bidi="ar"/>
        </w:rPr>
        <w:t>444.07</w:t>
      </w:r>
      <w:r>
        <w:rPr>
          <w:rFonts w:hint="eastAsia" w:ascii="仿宋" w:hAnsi="仿宋" w:eastAsia="仿宋" w:cs="仿宋"/>
          <w:kern w:val="2"/>
          <w:sz w:val="32"/>
          <w:szCs w:val="32"/>
          <w:lang w:val="en-US" w:eastAsia="zh-CN" w:bidi="ar"/>
        </w:rPr>
        <w:t>万元。与上年度相比，财政拨款收、支总计各增加</w:t>
      </w:r>
      <w:r>
        <w:rPr>
          <w:rFonts w:hint="eastAsia" w:ascii="仿宋" w:hAnsi="仿宋" w:eastAsia="仿宋" w:cs="Times New Roman"/>
          <w:kern w:val="2"/>
          <w:sz w:val="32"/>
          <w:szCs w:val="32"/>
          <w:lang w:val="en-US" w:eastAsia="zh-CN" w:bidi="ar"/>
        </w:rPr>
        <w:t>17.41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4.08%</w:t>
      </w:r>
      <w:r>
        <w:rPr>
          <w:rFonts w:hint="eastAsia" w:ascii="仿宋" w:hAnsi="仿宋" w:eastAsia="仿宋" w:cs="仿宋"/>
          <w:kern w:val="2"/>
          <w:sz w:val="32"/>
          <w:szCs w:val="32"/>
          <w:lang w:val="en-US" w:eastAsia="zh-CN" w:bidi="ar"/>
        </w:rPr>
        <w:t>。主要变动原因是：人员和工资福利的增加。</w:t>
      </w:r>
    </w:p>
    <w:p w14:paraId="2AFDA252">
      <w:pPr>
        <w:pStyle w:val="12"/>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4" o:title=""/>
            <o:lock v:ext="edit" aspectratio="t"/>
            <w10:wrap type="none"/>
            <w10:anchorlock/>
          </v:shape>
          <o:OLEObject Type="Embed" ProgID="Excel.Chart.8" ShapeID="_x0000_i1027" DrawAspect="Content" ObjectID="_1468075728" r:id="rId13">
            <o:LockedField>false</o:LockedField>
          </o:OLEObject>
        </w:object>
      </w:r>
    </w:p>
    <w:p w14:paraId="5EA8A430">
      <w:pPr>
        <w:pStyle w:val="6"/>
        <w:bidi w:val="0"/>
        <w:ind w:firstLine="643" w:firstLineChars="200"/>
        <w:rPr>
          <w:rFonts w:hint="eastAsia"/>
        </w:rPr>
      </w:pPr>
      <w:bookmarkStart w:id="15" w:name="_Toc8622"/>
      <w:r>
        <w:rPr>
          <w:rFonts w:hint="eastAsia"/>
          <w:lang w:val="en-US" w:eastAsia="zh-CN"/>
        </w:rPr>
        <w:t>五、一般公共预算财政拨款支出决算情况说明</w:t>
      </w:r>
      <w:bookmarkEnd w:id="15"/>
    </w:p>
    <w:p w14:paraId="7CC91C9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11FF2BC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2025年度一般公共预算财政拨款支出</w:t>
      </w:r>
      <w:r>
        <w:rPr>
          <w:rFonts w:hint="eastAsia" w:ascii="仿宋" w:hAnsi="仿宋" w:eastAsia="仿宋" w:cs="Times New Roman"/>
          <w:kern w:val="2"/>
          <w:sz w:val="32"/>
          <w:szCs w:val="32"/>
          <w:lang w:val="en-US" w:eastAsia="zh-CN" w:bidi="ar"/>
        </w:rPr>
        <w:t>444.07</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。与上年度相比，一般公共预算财政拨款支出增加</w:t>
      </w:r>
      <w:r>
        <w:rPr>
          <w:rFonts w:hint="eastAsia" w:ascii="仿宋" w:hAnsi="仿宋" w:eastAsia="仿宋" w:cs="Times New Roman"/>
          <w:kern w:val="2"/>
          <w:sz w:val="32"/>
          <w:szCs w:val="32"/>
          <w:lang w:val="en-US" w:eastAsia="zh-CN" w:bidi="ar"/>
        </w:rPr>
        <w:t>17.41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4.08%</w:t>
      </w:r>
      <w:r>
        <w:rPr>
          <w:rFonts w:hint="eastAsia" w:ascii="仿宋" w:hAnsi="仿宋" w:eastAsia="仿宋" w:cs="仿宋"/>
          <w:kern w:val="2"/>
          <w:sz w:val="32"/>
          <w:szCs w:val="32"/>
          <w:lang w:val="en-US" w:eastAsia="zh-CN" w:bidi="ar"/>
        </w:rPr>
        <w:t>。主要变动原因是：2025年度人员和工资福利的增加。</w:t>
      </w:r>
    </w:p>
    <w:p w14:paraId="39035B6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6" o:title=""/>
            <o:lock v:ext="edit" aspectratio="t"/>
            <w10:wrap type="square"/>
          </v:shape>
          <o:OLEObject Type="Embed" ProgID="Excel.Chart.8" ShapeID="_x0000_s1027" DrawAspect="Content" ObjectID="_1468075729" r:id="rId15">
            <o:LockedField>false</o:LockedField>
          </o:OLEObject>
        </w:pict>
      </w:r>
    </w:p>
    <w:p w14:paraId="688AA77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3665CF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0320DA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b/>
          <w:bCs w:val="0"/>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190DD58F">
      <w:pPr>
        <w:bidi w:val="0"/>
        <w:jc w:val="center"/>
        <w:rPr>
          <w:rFonts w:hint="eastAsia"/>
          <w:lang w:val="en-US" w:eastAsia="zh-CN"/>
        </w:rPr>
      </w:pPr>
    </w:p>
    <w:p w14:paraId="128A2B6F">
      <w:pPr>
        <w:bidi w:val="0"/>
        <w:jc w:val="center"/>
        <w:rPr>
          <w:rFonts w:hint="eastAsia"/>
          <w:lang w:val="en-US" w:eastAsia="zh-CN"/>
        </w:rPr>
      </w:pPr>
    </w:p>
    <w:p w14:paraId="502ACBE4">
      <w:pPr>
        <w:bidi w:val="0"/>
        <w:jc w:val="center"/>
        <w:rPr>
          <w:rFonts w:hint="eastAsia"/>
          <w:lang w:val="en-US" w:eastAsia="zh-CN"/>
        </w:rPr>
      </w:pPr>
    </w:p>
    <w:p w14:paraId="24E13C9C">
      <w:pPr>
        <w:bidi w:val="0"/>
        <w:jc w:val="center"/>
        <w:rPr>
          <w:rFonts w:hint="eastAsia"/>
          <w:lang w:val="en-US" w:eastAsia="zh-CN"/>
        </w:rPr>
      </w:pPr>
    </w:p>
    <w:p w14:paraId="2C68FD93">
      <w:pPr>
        <w:bidi w:val="0"/>
        <w:jc w:val="center"/>
        <w:rPr>
          <w:rFonts w:hint="eastAsia"/>
          <w:lang w:val="en-US" w:eastAsia="zh-CN"/>
        </w:rPr>
      </w:pPr>
    </w:p>
    <w:p w14:paraId="3E19E8D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仿宋"/>
          <w:b/>
          <w:bCs w:val="0"/>
          <w:kern w:val="2"/>
          <w:sz w:val="32"/>
          <w:szCs w:val="32"/>
          <w:lang w:val="en-US" w:eastAsia="zh-CN" w:bidi="ar"/>
        </w:rPr>
      </w:pPr>
    </w:p>
    <w:p w14:paraId="2829DD1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4860539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2025年度一般公共预算财政拨款支出444.07万元，主要用于以下方面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val="0"/>
          <w:bCs/>
          <w:kern w:val="2"/>
          <w:sz w:val="32"/>
          <w:szCs w:val="32"/>
          <w:lang w:val="en-US" w:eastAsia="zh-CN" w:bidi="ar"/>
        </w:rPr>
        <w:t>一般公共服务支出343.6万元，占</w:t>
      </w:r>
      <w:r>
        <w:rPr>
          <w:rFonts w:hint="eastAsia" w:ascii="仿宋" w:hAnsi="仿宋" w:eastAsia="仿宋" w:cs="Times New Roman"/>
          <w:b w:val="0"/>
          <w:bCs/>
          <w:kern w:val="2"/>
          <w:sz w:val="32"/>
          <w:szCs w:val="32"/>
          <w:lang w:val="en-US" w:eastAsia="zh-CN" w:bidi="ar"/>
        </w:rPr>
        <w:t>77.38%</w:t>
      </w:r>
      <w:r>
        <w:rPr>
          <w:rFonts w:hint="eastAsia" w:ascii="仿宋" w:hAnsi="仿宋" w:eastAsia="仿宋" w:cs="仿宋"/>
          <w:b w:val="0"/>
          <w:bCs/>
          <w:kern w:val="2"/>
          <w:sz w:val="32"/>
          <w:szCs w:val="32"/>
          <w:lang w:val="en-US" w:eastAsia="zh-CN" w:bidi="ar"/>
        </w:rPr>
        <w:t>；社会保障和就业支出</w:t>
      </w:r>
      <w:r>
        <w:rPr>
          <w:rFonts w:hint="eastAsia" w:ascii="仿宋" w:hAnsi="仿宋" w:eastAsia="仿宋" w:cs="Times New Roman"/>
          <w:b w:val="0"/>
          <w:bCs/>
          <w:kern w:val="2"/>
          <w:sz w:val="32"/>
          <w:szCs w:val="32"/>
          <w:lang w:val="en-US" w:eastAsia="zh-CN" w:bidi="ar"/>
        </w:rPr>
        <w:t>51.1</w:t>
      </w:r>
      <w:r>
        <w:rPr>
          <w:rFonts w:hint="eastAsia" w:ascii="仿宋" w:hAnsi="仿宋" w:eastAsia="仿宋" w:cs="仿宋"/>
          <w:b w:val="0"/>
          <w:bCs/>
          <w:kern w:val="2"/>
          <w:sz w:val="32"/>
          <w:szCs w:val="32"/>
          <w:lang w:val="en-US" w:eastAsia="zh-CN" w:bidi="ar"/>
        </w:rPr>
        <w:t>万元，占</w:t>
      </w:r>
      <w:r>
        <w:rPr>
          <w:rFonts w:hint="eastAsia" w:ascii="仿宋" w:hAnsi="仿宋" w:eastAsia="仿宋" w:cs="Times New Roman"/>
          <w:b w:val="0"/>
          <w:bCs/>
          <w:kern w:val="2"/>
          <w:sz w:val="32"/>
          <w:szCs w:val="32"/>
          <w:lang w:val="en-US" w:eastAsia="zh-CN" w:bidi="ar"/>
        </w:rPr>
        <w:t>11.51%</w:t>
      </w:r>
      <w:r>
        <w:rPr>
          <w:rFonts w:hint="eastAsia" w:ascii="仿宋" w:hAnsi="仿宋" w:eastAsia="仿宋" w:cs="仿宋"/>
          <w:b w:val="0"/>
          <w:bCs/>
          <w:kern w:val="2"/>
          <w:sz w:val="32"/>
          <w:szCs w:val="32"/>
          <w:lang w:val="en-US" w:eastAsia="zh-CN" w:bidi="ar"/>
        </w:rPr>
        <w:t>；卫生健康支出</w:t>
      </w:r>
      <w:r>
        <w:rPr>
          <w:rFonts w:hint="eastAsia" w:ascii="仿宋" w:hAnsi="仿宋" w:eastAsia="仿宋" w:cs="Times New Roman"/>
          <w:b w:val="0"/>
          <w:bCs/>
          <w:kern w:val="2"/>
          <w:sz w:val="32"/>
          <w:szCs w:val="32"/>
          <w:lang w:val="en-US" w:eastAsia="zh-CN" w:bidi="ar"/>
        </w:rPr>
        <w:t>20.06</w:t>
      </w:r>
      <w:r>
        <w:rPr>
          <w:rFonts w:hint="eastAsia" w:ascii="仿宋" w:hAnsi="仿宋" w:eastAsia="仿宋" w:cs="仿宋"/>
          <w:b w:val="0"/>
          <w:bCs/>
          <w:kern w:val="2"/>
          <w:sz w:val="32"/>
          <w:szCs w:val="32"/>
          <w:lang w:val="en-US" w:eastAsia="zh-CN" w:bidi="ar"/>
        </w:rPr>
        <w:t>万元，占</w:t>
      </w:r>
      <w:r>
        <w:rPr>
          <w:rFonts w:hint="eastAsia" w:ascii="仿宋" w:hAnsi="仿宋" w:eastAsia="仿宋" w:cs="Times New Roman"/>
          <w:b w:val="0"/>
          <w:bCs/>
          <w:kern w:val="2"/>
          <w:sz w:val="32"/>
          <w:szCs w:val="32"/>
          <w:lang w:val="en-US" w:eastAsia="zh-CN" w:bidi="ar"/>
        </w:rPr>
        <w:t>4.52%</w:t>
      </w:r>
      <w:r>
        <w:rPr>
          <w:rFonts w:hint="eastAsia" w:ascii="仿宋" w:hAnsi="仿宋" w:eastAsia="仿宋" w:cs="仿宋"/>
          <w:b w:val="0"/>
          <w:bCs/>
          <w:kern w:val="2"/>
          <w:sz w:val="32"/>
          <w:szCs w:val="32"/>
          <w:lang w:val="en-US" w:eastAsia="zh-CN" w:bidi="ar"/>
        </w:rPr>
        <w:t>；住房保障支出</w:t>
      </w:r>
      <w:r>
        <w:rPr>
          <w:rFonts w:hint="eastAsia" w:ascii="仿宋" w:hAnsi="仿宋" w:eastAsia="仿宋" w:cs="Times New Roman"/>
          <w:b w:val="0"/>
          <w:bCs/>
          <w:kern w:val="2"/>
          <w:sz w:val="32"/>
          <w:szCs w:val="32"/>
          <w:lang w:val="en-US" w:eastAsia="zh-CN" w:bidi="ar"/>
        </w:rPr>
        <w:t>29.31</w:t>
      </w:r>
      <w:r>
        <w:rPr>
          <w:rFonts w:hint="eastAsia" w:ascii="仿宋" w:hAnsi="仿宋" w:eastAsia="仿宋" w:cs="仿宋"/>
          <w:b w:val="0"/>
          <w:bCs/>
          <w:kern w:val="2"/>
          <w:sz w:val="32"/>
          <w:szCs w:val="32"/>
          <w:lang w:val="en-US" w:eastAsia="zh-CN" w:bidi="ar"/>
        </w:rPr>
        <w:t>万元，占6.30</w:t>
      </w:r>
      <w:r>
        <w:rPr>
          <w:rFonts w:hint="eastAsia" w:ascii="仿宋" w:hAnsi="仿宋" w:eastAsia="仿宋" w:cs="Times New Roman"/>
          <w:b w:val="0"/>
          <w:bCs/>
          <w:kern w:val="2"/>
          <w:sz w:val="32"/>
          <w:szCs w:val="32"/>
          <w:lang w:val="en-US" w:eastAsia="zh-CN" w:bidi="ar"/>
        </w:rPr>
        <w:t>%</w:t>
      </w:r>
      <w:r>
        <w:rPr>
          <w:rFonts w:hint="eastAsia" w:ascii="仿宋" w:hAnsi="仿宋" w:eastAsia="仿宋" w:cs="仿宋"/>
          <w:b w:val="0"/>
          <w:bCs/>
          <w:kern w:val="2"/>
          <w:sz w:val="32"/>
          <w:szCs w:val="32"/>
          <w:lang w:val="en-US" w:eastAsia="zh-CN" w:bidi="ar"/>
        </w:rPr>
        <w:t>。</w:t>
      </w:r>
    </w:p>
    <w:p w14:paraId="160ECC1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18" o:title=""/>
            <o:lock v:ext="edit" aspectratio="t"/>
            <w10:wrap type="square"/>
          </v:shape>
          <o:OLEObject Type="Embed" ProgID="Excel.Chart.8" ShapeID="Object 6" DrawAspect="Content" ObjectID="_1468075730" r:id="rId17">
            <o:LockedField>false</o:LockedField>
          </o:OLEObject>
        </w:pict>
      </w:r>
    </w:p>
    <w:p w14:paraId="62AE56C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5A6198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920E41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9B3575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1D43D7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C5F8CA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7B5717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2F4E572B">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outlineLvl w:val="2"/>
        <w:rPr>
          <w:rStyle w:val="19"/>
          <w:rFonts w:hint="eastAsia" w:ascii="仿宋" w:hAnsi="仿宋" w:eastAsia="仿宋" w:cs="仿宋"/>
          <w:b w:val="0"/>
          <w:bCs/>
          <w:kern w:val="2"/>
          <w:sz w:val="32"/>
          <w:szCs w:val="32"/>
          <w:lang w:val="en-US" w:eastAsia="zh-CN" w:bidi="ar"/>
        </w:rPr>
      </w:pPr>
      <w:r>
        <w:rPr>
          <w:rFonts w:hint="eastAsia" w:ascii="仿宋" w:hAnsi="仿宋" w:eastAsia="仿宋" w:cs="仿宋"/>
          <w:b w:val="0"/>
          <w:bCs/>
          <w:kern w:val="2"/>
          <w:sz w:val="32"/>
          <w:szCs w:val="32"/>
          <w:lang w:val="en-US" w:eastAsia="zh-CN" w:bidi="ar"/>
        </w:rPr>
        <w:t>2025年度一般公共预算支出决算数为</w:t>
      </w:r>
      <w:r>
        <w:rPr>
          <w:rFonts w:hint="eastAsia" w:ascii="仿宋" w:hAnsi="仿宋" w:eastAsia="仿宋" w:cs="Times New Roman"/>
          <w:b w:val="0"/>
          <w:bCs/>
          <w:kern w:val="2"/>
          <w:sz w:val="32"/>
          <w:szCs w:val="32"/>
          <w:lang w:val="en-US" w:eastAsia="zh-CN" w:bidi="ar"/>
        </w:rPr>
        <w:t>444.07万元</w:t>
      </w:r>
      <w:r>
        <w:rPr>
          <w:rFonts w:hint="eastAsia" w:ascii="仿宋" w:hAnsi="仿宋" w:eastAsia="仿宋" w:cs="仿宋"/>
          <w:b w:val="0"/>
          <w:bCs/>
          <w:kern w:val="2"/>
          <w:sz w:val="32"/>
          <w:szCs w:val="32"/>
          <w:lang w:val="en-US" w:eastAsia="zh-CN" w:bidi="ar"/>
        </w:rPr>
        <w:t>，</w:t>
      </w:r>
      <w:r>
        <w:rPr>
          <w:rStyle w:val="19"/>
          <w:rFonts w:hint="eastAsia" w:ascii="仿宋" w:hAnsi="仿宋" w:eastAsia="仿宋" w:cs="仿宋"/>
          <w:b w:val="0"/>
          <w:bCs/>
          <w:kern w:val="2"/>
          <w:sz w:val="32"/>
          <w:szCs w:val="32"/>
          <w:lang w:val="en-US" w:eastAsia="zh-CN" w:bidi="ar"/>
        </w:rPr>
        <w:t>完成预算</w:t>
      </w:r>
      <w:r>
        <w:rPr>
          <w:rStyle w:val="19"/>
          <w:rFonts w:hint="eastAsia" w:ascii="仿宋" w:hAnsi="仿宋" w:eastAsia="仿宋" w:cs="Times New Roman"/>
          <w:b w:val="0"/>
          <w:bCs/>
          <w:kern w:val="2"/>
          <w:sz w:val="32"/>
          <w:szCs w:val="32"/>
          <w:lang w:val="en-US" w:eastAsia="zh-CN" w:bidi="ar"/>
        </w:rPr>
        <w:t>100%</w:t>
      </w:r>
      <w:r>
        <w:rPr>
          <w:rStyle w:val="19"/>
          <w:rFonts w:hint="eastAsia" w:ascii="仿宋" w:hAnsi="仿宋" w:eastAsia="仿宋" w:cs="仿宋"/>
          <w:b w:val="0"/>
          <w:bCs/>
          <w:kern w:val="2"/>
          <w:sz w:val="32"/>
          <w:szCs w:val="32"/>
          <w:lang w:val="en-US" w:eastAsia="zh-CN" w:bidi="ar"/>
        </w:rPr>
        <w:t>。其中：</w:t>
      </w:r>
    </w:p>
    <w:p w14:paraId="64CFB1EE">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576" w:lineRule="exact"/>
        <w:ind w:right="0" w:rightChars="0" w:firstLine="640" w:firstLineChars="200"/>
        <w:jc w:val="both"/>
        <w:textAlignment w:val="auto"/>
        <w:rPr>
          <w:rFonts w:hint="eastAsia"/>
          <w:b w:val="0"/>
          <w:bCs w:val="0"/>
        </w:rPr>
      </w:pPr>
      <w:r>
        <w:rPr>
          <w:rStyle w:val="19"/>
          <w:rFonts w:hint="eastAsia" w:ascii="仿宋" w:hAnsi="仿宋" w:eastAsia="仿宋" w:cs="仿宋"/>
          <w:b w:val="0"/>
          <w:bCs w:val="0"/>
          <w:kern w:val="2"/>
          <w:sz w:val="32"/>
          <w:szCs w:val="32"/>
          <w:lang w:val="en-US" w:eastAsia="zh-CN" w:bidi="ar"/>
        </w:rPr>
        <w:t>1.一般公共服务（类）</w:t>
      </w:r>
      <w:r>
        <w:rPr>
          <w:rStyle w:val="19"/>
          <w:rFonts w:hint="eastAsia" w:ascii="仿宋" w:hAnsi="仿宋" w:eastAsia="仿宋" w:cs="Times New Roman"/>
          <w:b w:val="0"/>
          <w:bCs w:val="0"/>
          <w:kern w:val="2"/>
          <w:sz w:val="32"/>
          <w:szCs w:val="32"/>
          <w:lang w:val="en-US" w:eastAsia="zh-CN" w:bidi="ar"/>
        </w:rPr>
        <w:t>人大事务</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行政运行</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 xml:space="preserve">: </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0.16</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43565716">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576" w:lineRule="exact"/>
        <w:ind w:right="0" w:rightChars="0" w:firstLine="640" w:firstLineChars="200"/>
        <w:jc w:val="both"/>
        <w:textAlignment w:val="auto"/>
        <w:rPr>
          <w:rStyle w:val="19"/>
          <w:rFonts w:hint="eastAsia" w:ascii="仿宋" w:hAnsi="仿宋" w:eastAsia="仿宋" w:cs="仿宋"/>
          <w:b w:val="0"/>
          <w:bCs w:val="0"/>
          <w:kern w:val="2"/>
          <w:sz w:val="32"/>
          <w:szCs w:val="32"/>
          <w:lang w:val="en-US" w:eastAsia="zh-CN" w:bidi="ar"/>
        </w:rPr>
      </w:pPr>
      <w:r>
        <w:rPr>
          <w:rStyle w:val="19"/>
          <w:rFonts w:hint="eastAsia" w:ascii="仿宋" w:hAnsi="仿宋" w:eastAsia="仿宋" w:cs="仿宋"/>
          <w:b w:val="0"/>
          <w:bCs w:val="0"/>
          <w:kern w:val="2"/>
          <w:sz w:val="32"/>
          <w:szCs w:val="32"/>
          <w:lang w:val="en-US" w:eastAsia="zh-CN" w:bidi="ar"/>
        </w:rPr>
        <w:t>2.一般公共服务（类）</w:t>
      </w:r>
      <w:r>
        <w:rPr>
          <w:rStyle w:val="19"/>
          <w:rFonts w:hint="eastAsia" w:ascii="仿宋" w:hAnsi="仿宋" w:eastAsia="仿宋" w:cs="Times New Roman"/>
          <w:b w:val="0"/>
          <w:bCs w:val="0"/>
          <w:kern w:val="2"/>
          <w:sz w:val="32"/>
          <w:szCs w:val="32"/>
          <w:lang w:val="en-US" w:eastAsia="zh-CN" w:bidi="ar"/>
        </w:rPr>
        <w:t>政府办公厅（室）及相关机构事务</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行政运行</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 xml:space="preserve">: </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169.61</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18D4E241">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576" w:lineRule="exact"/>
        <w:ind w:right="0" w:rightChars="0" w:firstLine="640" w:firstLineChars="200"/>
        <w:jc w:val="both"/>
        <w:textAlignment w:val="auto"/>
        <w:rPr>
          <w:rStyle w:val="19"/>
          <w:rFonts w:hint="eastAsia" w:ascii="仿宋" w:hAnsi="仿宋" w:eastAsia="仿宋" w:cs="仿宋"/>
          <w:b w:val="0"/>
          <w:bCs w:val="0"/>
          <w:kern w:val="2"/>
          <w:sz w:val="32"/>
          <w:szCs w:val="32"/>
          <w:lang w:val="en-US" w:eastAsia="zh-CN" w:bidi="ar"/>
        </w:rPr>
      </w:pPr>
      <w:r>
        <w:rPr>
          <w:rStyle w:val="19"/>
          <w:rFonts w:hint="eastAsia" w:ascii="仿宋" w:hAnsi="仿宋" w:eastAsia="仿宋" w:cs="仿宋"/>
          <w:b w:val="0"/>
          <w:bCs w:val="0"/>
          <w:kern w:val="2"/>
          <w:sz w:val="32"/>
          <w:szCs w:val="32"/>
          <w:lang w:val="en-US" w:eastAsia="zh-CN" w:bidi="ar"/>
        </w:rPr>
        <w:t>3.一般公共服务（类）</w:t>
      </w:r>
      <w:r>
        <w:rPr>
          <w:rStyle w:val="19"/>
          <w:rFonts w:hint="eastAsia" w:ascii="仿宋" w:hAnsi="仿宋" w:eastAsia="仿宋" w:cs="Times New Roman"/>
          <w:b w:val="0"/>
          <w:bCs w:val="0"/>
          <w:kern w:val="2"/>
          <w:sz w:val="32"/>
          <w:szCs w:val="32"/>
          <w:lang w:val="en-US" w:eastAsia="zh-CN" w:bidi="ar"/>
        </w:rPr>
        <w:t>政府办公厅（室）及相关机构事务</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事业运行</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 xml:space="preserve">: </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140.27</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282304BA">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576" w:lineRule="exact"/>
        <w:ind w:right="0" w:rightChars="0" w:firstLine="640" w:firstLineChars="200"/>
        <w:jc w:val="both"/>
        <w:textAlignment w:val="auto"/>
        <w:rPr>
          <w:rFonts w:hint="eastAsia"/>
          <w:b w:val="0"/>
          <w:bCs w:val="0"/>
          <w:lang w:val="en-US" w:eastAsia="zh-CN"/>
        </w:rPr>
      </w:pPr>
      <w:r>
        <w:rPr>
          <w:rStyle w:val="19"/>
          <w:rFonts w:hint="eastAsia" w:ascii="仿宋" w:hAnsi="仿宋" w:eastAsia="仿宋" w:cs="仿宋"/>
          <w:b w:val="0"/>
          <w:bCs w:val="0"/>
          <w:kern w:val="2"/>
          <w:sz w:val="32"/>
          <w:szCs w:val="32"/>
          <w:lang w:val="en-US" w:eastAsia="zh-CN" w:bidi="ar"/>
        </w:rPr>
        <w:t>4.一般公共服务（类）</w:t>
      </w:r>
      <w:r>
        <w:rPr>
          <w:rStyle w:val="19"/>
          <w:rFonts w:hint="eastAsia" w:ascii="仿宋" w:hAnsi="仿宋" w:eastAsia="仿宋" w:cs="Times New Roman"/>
          <w:b w:val="0"/>
          <w:bCs w:val="0"/>
          <w:kern w:val="2"/>
          <w:sz w:val="32"/>
          <w:szCs w:val="32"/>
          <w:lang w:val="en-US" w:eastAsia="zh-CN" w:bidi="ar"/>
        </w:rPr>
        <w:t>政府办公厅（室）及相关机构事务</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其他政府办公厅（室）及相关机构事务支出</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 xml:space="preserve">: </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33.56</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43484B60">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Style w:val="19"/>
          <w:rFonts w:hint="eastAsia" w:ascii="仿宋" w:hAnsi="仿宋" w:eastAsia="仿宋" w:cs="仿宋"/>
          <w:b w:val="0"/>
          <w:bCs w:val="0"/>
          <w:kern w:val="2"/>
          <w:sz w:val="32"/>
          <w:szCs w:val="32"/>
          <w:lang w:val="en-US" w:eastAsia="zh-CN" w:bidi="ar"/>
        </w:rPr>
      </w:pPr>
      <w:r>
        <w:rPr>
          <w:rStyle w:val="19"/>
          <w:rFonts w:hint="eastAsia" w:ascii="仿宋" w:hAnsi="仿宋" w:eastAsia="仿宋" w:cs="Times New Roman"/>
          <w:b w:val="0"/>
          <w:bCs w:val="0"/>
          <w:kern w:val="2"/>
          <w:sz w:val="32"/>
          <w:szCs w:val="32"/>
          <w:lang w:val="en-US" w:eastAsia="zh-CN" w:bidi="ar"/>
        </w:rPr>
        <w:t>5.</w:t>
      </w:r>
      <w:r>
        <w:rPr>
          <w:rStyle w:val="19"/>
          <w:rFonts w:hint="eastAsia" w:ascii="仿宋" w:hAnsi="仿宋" w:eastAsia="仿宋" w:cs="仿宋"/>
          <w:b w:val="0"/>
          <w:bCs w:val="0"/>
          <w:kern w:val="2"/>
          <w:sz w:val="32"/>
          <w:szCs w:val="32"/>
          <w:lang w:val="en-US" w:eastAsia="zh-CN" w:bidi="ar"/>
        </w:rPr>
        <w:t>社会保障和就业（类）</w:t>
      </w:r>
      <w:r>
        <w:rPr>
          <w:rStyle w:val="19"/>
          <w:rFonts w:hint="eastAsia" w:ascii="仿宋" w:hAnsi="仿宋" w:eastAsia="仿宋" w:cs="Times New Roman"/>
          <w:b w:val="0"/>
          <w:bCs w:val="0"/>
          <w:kern w:val="2"/>
          <w:sz w:val="32"/>
          <w:szCs w:val="32"/>
          <w:lang w:val="en-US" w:eastAsia="zh-CN" w:bidi="ar"/>
        </w:rPr>
        <w:t>行政事业单位养老支出</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机关事业单位基本养老保险缴费支出</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 xml:space="preserve">: </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34.06</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10196D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b w:val="0"/>
          <w:bCs w:val="0"/>
        </w:rPr>
      </w:pPr>
      <w:r>
        <w:rPr>
          <w:rStyle w:val="19"/>
          <w:rFonts w:hint="eastAsia" w:ascii="仿宋" w:hAnsi="仿宋" w:eastAsia="仿宋" w:cs="仿宋"/>
          <w:b w:val="0"/>
          <w:bCs w:val="0"/>
          <w:kern w:val="2"/>
          <w:sz w:val="32"/>
          <w:szCs w:val="32"/>
          <w:lang w:val="en-US" w:eastAsia="zh-CN" w:bidi="ar"/>
        </w:rPr>
        <w:t>6.社会保障和就业（类）</w:t>
      </w:r>
      <w:r>
        <w:rPr>
          <w:rStyle w:val="19"/>
          <w:rFonts w:hint="eastAsia" w:ascii="仿宋" w:hAnsi="仿宋" w:eastAsia="仿宋" w:cs="Times New Roman"/>
          <w:b w:val="0"/>
          <w:bCs w:val="0"/>
          <w:kern w:val="2"/>
          <w:sz w:val="32"/>
          <w:szCs w:val="32"/>
          <w:lang w:val="en-US" w:eastAsia="zh-CN" w:bidi="ar"/>
        </w:rPr>
        <w:t>行政事业单位养老支出</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机关事业单位职业年金缴费支出</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 xml:space="preserve">: </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17.03</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6AB622BC">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Style w:val="19"/>
          <w:rFonts w:hint="eastAsia" w:ascii="仿宋" w:hAnsi="仿宋" w:eastAsia="仿宋" w:cs="仿宋"/>
          <w:b w:val="0"/>
          <w:bCs w:val="0"/>
          <w:kern w:val="2"/>
          <w:sz w:val="32"/>
          <w:szCs w:val="32"/>
          <w:lang w:val="en-US" w:eastAsia="zh-CN" w:bidi="ar"/>
        </w:rPr>
      </w:pPr>
      <w:r>
        <w:rPr>
          <w:rStyle w:val="19"/>
          <w:rFonts w:hint="eastAsia" w:ascii="仿宋" w:hAnsi="仿宋" w:eastAsia="仿宋" w:cs="Times New Roman"/>
          <w:b w:val="0"/>
          <w:bCs w:val="0"/>
          <w:kern w:val="2"/>
          <w:sz w:val="32"/>
          <w:szCs w:val="32"/>
          <w:lang w:val="en-US" w:eastAsia="zh-CN" w:bidi="ar"/>
        </w:rPr>
        <w:t>7.</w:t>
      </w:r>
      <w:r>
        <w:rPr>
          <w:rFonts w:hint="eastAsia" w:ascii="仿宋" w:hAnsi="仿宋" w:eastAsia="仿宋" w:cs="仿宋"/>
          <w:b w:val="0"/>
          <w:bCs w:val="0"/>
          <w:kern w:val="2"/>
          <w:sz w:val="32"/>
          <w:szCs w:val="32"/>
          <w:lang w:val="en-US" w:eastAsia="zh-CN" w:bidi="ar"/>
        </w:rPr>
        <w:t>卫生健康</w:t>
      </w:r>
      <w:r>
        <w:rPr>
          <w:rStyle w:val="19"/>
          <w:rFonts w:hint="eastAsia" w:ascii="仿宋" w:hAnsi="仿宋" w:eastAsia="仿宋" w:cs="仿宋"/>
          <w:b w:val="0"/>
          <w:bCs w:val="0"/>
          <w:kern w:val="2"/>
          <w:sz w:val="32"/>
          <w:szCs w:val="32"/>
          <w:lang w:val="en-US" w:eastAsia="zh-CN" w:bidi="ar"/>
        </w:rPr>
        <w:t>（类）</w:t>
      </w:r>
      <w:r>
        <w:rPr>
          <w:rStyle w:val="19"/>
          <w:rFonts w:hint="eastAsia" w:ascii="仿宋" w:hAnsi="仿宋" w:eastAsia="仿宋" w:cs="Times New Roman"/>
          <w:b w:val="0"/>
          <w:bCs w:val="0"/>
          <w:kern w:val="2"/>
          <w:sz w:val="32"/>
          <w:szCs w:val="32"/>
          <w:lang w:val="en-US" w:eastAsia="zh-CN" w:bidi="ar"/>
        </w:rPr>
        <w:t>行政事业单位医疗</w:t>
      </w:r>
      <w:r>
        <w:rPr>
          <w:rStyle w:val="19"/>
          <w:rFonts w:hint="eastAsia" w:ascii="仿宋" w:hAnsi="仿宋" w:eastAsia="仿宋" w:cs="仿宋"/>
          <w:b w:val="0"/>
          <w:bCs w:val="0"/>
          <w:kern w:val="2"/>
          <w:sz w:val="32"/>
          <w:szCs w:val="32"/>
          <w:lang w:val="en-US" w:eastAsia="zh-CN" w:bidi="ar"/>
        </w:rPr>
        <w:t>（款）</w:t>
      </w:r>
      <w:r>
        <w:rPr>
          <w:rStyle w:val="19"/>
          <w:rFonts w:hint="eastAsia" w:ascii="仿宋" w:hAnsi="仿宋" w:eastAsia="仿宋" w:cs="Times New Roman"/>
          <w:b w:val="0"/>
          <w:bCs w:val="0"/>
          <w:kern w:val="2"/>
          <w:sz w:val="32"/>
          <w:szCs w:val="32"/>
          <w:lang w:val="en-US" w:eastAsia="zh-CN" w:bidi="ar"/>
        </w:rPr>
        <w:t>行政单位医疗</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w:t>
      </w:r>
      <w:r>
        <w:rPr>
          <w:rStyle w:val="19"/>
          <w:rFonts w:hint="eastAsia" w:ascii="仿宋" w:hAnsi="仿宋" w:eastAsia="仿宋" w:cs="仿宋"/>
          <w:b w:val="0"/>
          <w:bCs w:val="0"/>
          <w:kern w:val="2"/>
          <w:sz w:val="32"/>
          <w:szCs w:val="32"/>
          <w:lang w:val="en-US" w:eastAsia="zh-CN" w:bidi="ar"/>
        </w:rPr>
        <w:t>支出决算为8.95万元，完成预算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36A09548">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b w:val="0"/>
          <w:bCs w:val="0"/>
        </w:rPr>
      </w:pPr>
      <w:r>
        <w:rPr>
          <w:rFonts w:hint="eastAsia" w:ascii="仿宋" w:hAnsi="仿宋" w:eastAsia="仿宋" w:cs="仿宋"/>
          <w:b w:val="0"/>
          <w:bCs w:val="0"/>
          <w:kern w:val="2"/>
          <w:sz w:val="32"/>
          <w:szCs w:val="32"/>
          <w:lang w:val="en-US" w:eastAsia="zh-CN" w:bidi="ar"/>
        </w:rPr>
        <w:t>8.卫生健康</w:t>
      </w:r>
      <w:r>
        <w:rPr>
          <w:rStyle w:val="19"/>
          <w:rFonts w:hint="eastAsia" w:ascii="仿宋" w:hAnsi="仿宋" w:eastAsia="仿宋" w:cs="仿宋"/>
          <w:b w:val="0"/>
          <w:bCs w:val="0"/>
          <w:kern w:val="2"/>
          <w:sz w:val="32"/>
          <w:szCs w:val="32"/>
          <w:lang w:val="en-US" w:eastAsia="zh-CN" w:bidi="ar"/>
        </w:rPr>
        <w:t>（类）</w:t>
      </w:r>
      <w:r>
        <w:rPr>
          <w:rStyle w:val="19"/>
          <w:rFonts w:hint="eastAsia" w:ascii="仿宋" w:hAnsi="仿宋" w:eastAsia="仿宋" w:cs="Times New Roman"/>
          <w:b w:val="0"/>
          <w:bCs w:val="0"/>
          <w:kern w:val="2"/>
          <w:sz w:val="32"/>
          <w:szCs w:val="32"/>
          <w:lang w:val="en-US" w:eastAsia="zh-CN" w:bidi="ar"/>
        </w:rPr>
        <w:t>行政事业单位医疗</w:t>
      </w:r>
      <w:r>
        <w:rPr>
          <w:rStyle w:val="19"/>
          <w:rFonts w:hint="eastAsia" w:ascii="仿宋" w:hAnsi="仿宋" w:eastAsia="仿宋" w:cs="仿宋"/>
          <w:b w:val="0"/>
          <w:bCs w:val="0"/>
          <w:kern w:val="2"/>
          <w:sz w:val="32"/>
          <w:szCs w:val="32"/>
          <w:lang w:val="en-US" w:eastAsia="zh-CN" w:bidi="ar"/>
        </w:rPr>
        <w:t>（款）事业</w:t>
      </w:r>
      <w:r>
        <w:rPr>
          <w:rStyle w:val="19"/>
          <w:rFonts w:hint="eastAsia" w:ascii="仿宋" w:hAnsi="仿宋" w:eastAsia="仿宋" w:cs="Times New Roman"/>
          <w:b w:val="0"/>
          <w:bCs w:val="0"/>
          <w:kern w:val="2"/>
          <w:sz w:val="32"/>
          <w:szCs w:val="32"/>
          <w:lang w:val="en-US" w:eastAsia="zh-CN" w:bidi="ar"/>
        </w:rPr>
        <w:t>单位医疗</w:t>
      </w:r>
      <w:r>
        <w:rPr>
          <w:rStyle w:val="19"/>
          <w:rFonts w:hint="eastAsia" w:ascii="仿宋" w:hAnsi="仿宋" w:eastAsia="仿宋" w:cs="仿宋"/>
          <w:b w:val="0"/>
          <w:bCs w:val="0"/>
          <w:kern w:val="2"/>
          <w:sz w:val="32"/>
          <w:szCs w:val="32"/>
          <w:lang w:val="en-US" w:eastAsia="zh-CN" w:bidi="ar"/>
        </w:rPr>
        <w:t>（项）</w:t>
      </w:r>
      <w:r>
        <w:rPr>
          <w:rStyle w:val="19"/>
          <w:rFonts w:hint="eastAsia" w:ascii="仿宋" w:hAnsi="仿宋" w:eastAsia="仿宋" w:cs="Times New Roman"/>
          <w:b w:val="0"/>
          <w:bCs w:val="0"/>
          <w:kern w:val="2"/>
          <w:sz w:val="32"/>
          <w:szCs w:val="32"/>
          <w:lang w:val="en-US" w:eastAsia="zh-CN" w:bidi="ar"/>
        </w:rPr>
        <w:t>:</w:t>
      </w:r>
      <w:r>
        <w:rPr>
          <w:rStyle w:val="19"/>
          <w:rFonts w:hint="eastAsia" w:ascii="仿宋" w:hAnsi="仿宋" w:eastAsia="仿宋" w:cs="仿宋"/>
          <w:b w:val="0"/>
          <w:bCs w:val="0"/>
          <w:kern w:val="2"/>
          <w:sz w:val="32"/>
          <w:szCs w:val="32"/>
          <w:lang w:val="en-US" w:eastAsia="zh-CN" w:bidi="ar"/>
        </w:rPr>
        <w:t>支出决算为</w:t>
      </w:r>
      <w:r>
        <w:rPr>
          <w:rStyle w:val="19"/>
          <w:rFonts w:hint="eastAsia" w:ascii="仿宋" w:hAnsi="仿宋" w:eastAsia="仿宋" w:cs="Times New Roman"/>
          <w:b w:val="0"/>
          <w:bCs w:val="0"/>
          <w:kern w:val="2"/>
          <w:sz w:val="32"/>
          <w:szCs w:val="32"/>
          <w:lang w:val="en-US" w:eastAsia="zh-CN" w:bidi="ar"/>
        </w:rPr>
        <w:t>11.11</w:t>
      </w:r>
      <w:r>
        <w:rPr>
          <w:rStyle w:val="19"/>
          <w:rFonts w:hint="eastAsia" w:ascii="仿宋" w:hAnsi="仿宋" w:eastAsia="仿宋" w:cs="仿宋"/>
          <w:b w:val="0"/>
          <w:bCs w:val="0"/>
          <w:kern w:val="2"/>
          <w:sz w:val="32"/>
          <w:szCs w:val="32"/>
          <w:lang w:val="en-US" w:eastAsia="zh-CN" w:bidi="ar"/>
        </w:rPr>
        <w:t>万元，完成预算</w:t>
      </w:r>
      <w:r>
        <w:rPr>
          <w:rStyle w:val="19"/>
          <w:rFonts w:hint="eastAsia" w:ascii="仿宋" w:hAnsi="仿宋" w:eastAsia="仿宋" w:cs="Times New Roman"/>
          <w:b w:val="0"/>
          <w:bCs w:val="0"/>
          <w:kern w:val="2"/>
          <w:sz w:val="32"/>
          <w:szCs w:val="32"/>
          <w:lang w:val="en-US" w:eastAsia="zh-CN" w:bidi="ar"/>
        </w:rPr>
        <w:t>100%，</w:t>
      </w:r>
      <w:r>
        <w:rPr>
          <w:rStyle w:val="19"/>
          <w:rFonts w:hint="eastAsia" w:ascii="仿宋" w:hAnsi="仿宋" w:eastAsia="仿宋" w:cs="仿宋"/>
          <w:b w:val="0"/>
          <w:bCs w:val="0"/>
          <w:kern w:val="2"/>
          <w:sz w:val="32"/>
          <w:szCs w:val="32"/>
          <w:lang w:val="en-US" w:eastAsia="zh-CN" w:bidi="ar"/>
        </w:rPr>
        <w:t>决算数与预算数持平。</w:t>
      </w:r>
    </w:p>
    <w:p w14:paraId="0EB8B16C">
      <w:pPr>
        <w:pageBreakBefore w:val="0"/>
        <w:widowControl w:val="0"/>
        <w:kinsoku/>
        <w:wordWrap/>
        <w:overflowPunct/>
        <w:topLinePunct w:val="0"/>
        <w:bidi w:val="0"/>
        <w:spacing w:line="576" w:lineRule="exact"/>
        <w:ind w:firstLine="640" w:firstLineChars="200"/>
        <w:textAlignment w:val="auto"/>
        <w:rPr>
          <w:rStyle w:val="19"/>
          <w:rFonts w:hint="eastAsia" w:ascii="仿宋" w:hAnsi="仿宋" w:eastAsia="仿宋" w:cs="仿宋"/>
          <w:b w:val="0"/>
          <w:bCs w:val="0"/>
          <w:kern w:val="2"/>
          <w:sz w:val="32"/>
          <w:szCs w:val="32"/>
          <w:lang w:val="en-US" w:eastAsia="zh-CN" w:bidi="ar"/>
        </w:rPr>
      </w:pPr>
      <w:r>
        <w:rPr>
          <w:rFonts w:hint="eastAsia" w:ascii="仿宋" w:hAnsi="仿宋" w:eastAsia="仿宋" w:cs="仿宋"/>
          <w:b w:val="0"/>
          <w:bCs w:val="0"/>
          <w:kern w:val="2"/>
          <w:sz w:val="32"/>
          <w:szCs w:val="32"/>
          <w:lang w:val="en-US" w:eastAsia="zh-CN" w:bidi="ar"/>
        </w:rPr>
        <w:t>9.住房保障支出（</w:t>
      </w:r>
      <w:r>
        <w:rPr>
          <w:rStyle w:val="19"/>
          <w:rFonts w:hint="eastAsia" w:ascii="仿宋" w:hAnsi="仿宋" w:eastAsia="仿宋" w:cs="仿宋"/>
          <w:b w:val="0"/>
          <w:bCs w:val="0"/>
          <w:kern w:val="2"/>
          <w:sz w:val="32"/>
          <w:szCs w:val="32"/>
          <w:lang w:val="en-US" w:eastAsia="zh-CN" w:bidi="ar"/>
        </w:rPr>
        <w:t>类</w:t>
      </w:r>
      <w:r>
        <w:rPr>
          <w:rFonts w:hint="eastAsia" w:ascii="仿宋" w:hAnsi="仿宋" w:eastAsia="仿宋" w:cs="仿宋"/>
          <w:b w:val="0"/>
          <w:bCs w:val="0"/>
          <w:kern w:val="2"/>
          <w:sz w:val="32"/>
          <w:szCs w:val="32"/>
          <w:lang w:val="en-US" w:eastAsia="zh-CN" w:bidi="ar"/>
        </w:rPr>
        <w:t>）住房改革支出（</w:t>
      </w:r>
      <w:r>
        <w:rPr>
          <w:rStyle w:val="19"/>
          <w:rFonts w:hint="eastAsia" w:ascii="仿宋" w:hAnsi="仿宋" w:eastAsia="仿宋" w:cs="仿宋"/>
          <w:b w:val="0"/>
          <w:bCs w:val="0"/>
          <w:kern w:val="2"/>
          <w:sz w:val="32"/>
          <w:szCs w:val="32"/>
          <w:lang w:val="en-US" w:eastAsia="zh-CN" w:bidi="ar"/>
        </w:rPr>
        <w:t>款</w:t>
      </w:r>
      <w:r>
        <w:rPr>
          <w:rFonts w:hint="eastAsia" w:ascii="仿宋" w:hAnsi="仿宋" w:eastAsia="仿宋" w:cs="仿宋"/>
          <w:b w:val="0"/>
          <w:bCs w:val="0"/>
          <w:kern w:val="2"/>
          <w:sz w:val="32"/>
          <w:szCs w:val="32"/>
          <w:lang w:val="en-US" w:eastAsia="zh-CN" w:bidi="ar"/>
        </w:rPr>
        <w:t>）住房公积金（</w:t>
      </w:r>
      <w:r>
        <w:rPr>
          <w:rStyle w:val="19"/>
          <w:rFonts w:hint="eastAsia" w:ascii="仿宋" w:hAnsi="仿宋" w:eastAsia="仿宋" w:cs="仿宋"/>
          <w:b w:val="0"/>
          <w:bCs w:val="0"/>
          <w:kern w:val="2"/>
          <w:sz w:val="32"/>
          <w:szCs w:val="32"/>
          <w:lang w:val="en-US" w:eastAsia="zh-CN" w:bidi="ar"/>
        </w:rPr>
        <w:t>项</w:t>
      </w:r>
      <w:r>
        <w:rPr>
          <w:rFonts w:hint="eastAsia" w:ascii="仿宋" w:hAnsi="仿宋" w:eastAsia="仿宋" w:cs="仿宋"/>
          <w:b w:val="0"/>
          <w:bCs w:val="0"/>
          <w:kern w:val="2"/>
          <w:sz w:val="32"/>
          <w:szCs w:val="32"/>
          <w:lang w:val="en-US" w:eastAsia="zh-CN" w:bidi="ar"/>
        </w:rPr>
        <w:t>）：</w:t>
      </w:r>
      <w:r>
        <w:rPr>
          <w:rStyle w:val="19"/>
          <w:rFonts w:hint="eastAsia" w:ascii="仿宋" w:hAnsi="仿宋" w:eastAsia="仿宋" w:cs="仿宋"/>
          <w:b w:val="0"/>
          <w:bCs w:val="0"/>
          <w:kern w:val="2"/>
          <w:sz w:val="32"/>
          <w:szCs w:val="32"/>
          <w:lang w:val="en-US" w:eastAsia="zh-CN" w:bidi="ar"/>
        </w:rPr>
        <w:t>支出决算为</w:t>
      </w:r>
      <w:r>
        <w:rPr>
          <w:rFonts w:hint="eastAsia" w:ascii="仿宋_GB2312" w:eastAsia="仿宋_GB2312"/>
          <w:b w:val="0"/>
          <w:bCs w:val="0"/>
          <w:color w:val="000000"/>
          <w:sz w:val="32"/>
          <w:szCs w:val="32"/>
          <w:lang w:val="en-US" w:eastAsia="zh-CN"/>
        </w:rPr>
        <w:t>28.11</w:t>
      </w:r>
      <w:r>
        <w:rPr>
          <w:rFonts w:hint="eastAsia" w:ascii="仿宋_GB2312" w:eastAsia="仿宋_GB2312"/>
          <w:b w:val="0"/>
          <w:bCs w:val="0"/>
          <w:color w:val="000000"/>
          <w:sz w:val="32"/>
          <w:szCs w:val="32"/>
        </w:rPr>
        <w:t>万元，完成预算的100%</w:t>
      </w:r>
      <w:r>
        <w:rPr>
          <w:rStyle w:val="19"/>
          <w:rFonts w:hint="eastAsia" w:ascii="仿宋" w:hAnsi="仿宋" w:eastAsia="仿宋" w:cs="Times New Roman"/>
          <w:b w:val="0"/>
          <w:bCs w:val="0"/>
          <w:kern w:val="2"/>
          <w:sz w:val="32"/>
          <w:szCs w:val="32"/>
          <w:lang w:val="en-US" w:eastAsia="zh-CN" w:bidi="ar"/>
        </w:rPr>
        <w:t>，</w:t>
      </w:r>
      <w:r>
        <w:rPr>
          <w:rStyle w:val="19"/>
          <w:rFonts w:hint="eastAsia" w:ascii="仿宋" w:hAnsi="仿宋" w:eastAsia="仿宋" w:cs="仿宋"/>
          <w:b w:val="0"/>
          <w:bCs w:val="0"/>
          <w:kern w:val="2"/>
          <w:sz w:val="32"/>
          <w:szCs w:val="32"/>
          <w:lang w:val="en-US" w:eastAsia="zh-CN" w:bidi="ar"/>
        </w:rPr>
        <w:t>决算数与预算数持平。</w:t>
      </w:r>
    </w:p>
    <w:p w14:paraId="436CC935">
      <w:pPr>
        <w:pageBreakBefore w:val="0"/>
        <w:widowControl w:val="0"/>
        <w:kinsoku/>
        <w:wordWrap/>
        <w:overflowPunct/>
        <w:topLinePunct w:val="0"/>
        <w:bidi w:val="0"/>
        <w:spacing w:line="576" w:lineRule="exact"/>
        <w:ind w:firstLine="640" w:firstLineChars="200"/>
        <w:textAlignment w:val="auto"/>
        <w:rPr>
          <w:rFonts w:hint="eastAsia" w:ascii="仿宋_GB2312" w:eastAsia="仿宋_GB2312"/>
          <w:b w:val="0"/>
          <w:bCs w:val="0"/>
          <w:color w:val="000000"/>
          <w:sz w:val="32"/>
          <w:szCs w:val="32"/>
        </w:rPr>
      </w:pPr>
      <w:r>
        <w:rPr>
          <w:rFonts w:hint="eastAsia" w:ascii="仿宋" w:hAnsi="仿宋" w:eastAsia="仿宋" w:cs="仿宋"/>
          <w:b w:val="0"/>
          <w:bCs w:val="0"/>
          <w:kern w:val="2"/>
          <w:sz w:val="32"/>
          <w:szCs w:val="32"/>
          <w:lang w:val="en-US" w:eastAsia="zh-CN" w:bidi="ar"/>
        </w:rPr>
        <w:t>10.住房保障支出（</w:t>
      </w:r>
      <w:r>
        <w:rPr>
          <w:rStyle w:val="19"/>
          <w:rFonts w:hint="eastAsia" w:ascii="仿宋" w:hAnsi="仿宋" w:eastAsia="仿宋" w:cs="仿宋"/>
          <w:b w:val="0"/>
          <w:bCs w:val="0"/>
          <w:kern w:val="2"/>
          <w:sz w:val="32"/>
          <w:szCs w:val="32"/>
          <w:lang w:val="en-US" w:eastAsia="zh-CN" w:bidi="ar"/>
        </w:rPr>
        <w:t>类</w:t>
      </w:r>
      <w:r>
        <w:rPr>
          <w:rFonts w:hint="eastAsia" w:ascii="仿宋" w:hAnsi="仿宋" w:eastAsia="仿宋" w:cs="仿宋"/>
          <w:b w:val="0"/>
          <w:bCs w:val="0"/>
          <w:kern w:val="2"/>
          <w:sz w:val="32"/>
          <w:szCs w:val="32"/>
          <w:lang w:val="en-US" w:eastAsia="zh-CN" w:bidi="ar"/>
        </w:rPr>
        <w:t>）住房改革支出（</w:t>
      </w:r>
      <w:r>
        <w:rPr>
          <w:rStyle w:val="19"/>
          <w:rFonts w:hint="eastAsia" w:ascii="仿宋" w:hAnsi="仿宋" w:eastAsia="仿宋" w:cs="仿宋"/>
          <w:b w:val="0"/>
          <w:bCs w:val="0"/>
          <w:kern w:val="2"/>
          <w:sz w:val="32"/>
          <w:szCs w:val="32"/>
          <w:lang w:val="en-US" w:eastAsia="zh-CN" w:bidi="ar"/>
        </w:rPr>
        <w:t>款</w:t>
      </w:r>
      <w:r>
        <w:rPr>
          <w:rFonts w:hint="eastAsia" w:ascii="仿宋" w:hAnsi="仿宋" w:eastAsia="仿宋" w:cs="仿宋"/>
          <w:b w:val="0"/>
          <w:bCs w:val="0"/>
          <w:kern w:val="2"/>
          <w:sz w:val="32"/>
          <w:szCs w:val="32"/>
          <w:lang w:val="en-US" w:eastAsia="zh-CN" w:bidi="ar"/>
        </w:rPr>
        <w:t>）购房补贴（</w:t>
      </w:r>
      <w:r>
        <w:rPr>
          <w:rStyle w:val="19"/>
          <w:rFonts w:hint="eastAsia" w:ascii="仿宋" w:hAnsi="仿宋" w:eastAsia="仿宋" w:cs="仿宋"/>
          <w:b w:val="0"/>
          <w:bCs w:val="0"/>
          <w:kern w:val="2"/>
          <w:sz w:val="32"/>
          <w:szCs w:val="32"/>
          <w:lang w:val="en-US" w:eastAsia="zh-CN" w:bidi="ar"/>
        </w:rPr>
        <w:t>项</w:t>
      </w:r>
      <w:r>
        <w:rPr>
          <w:rFonts w:hint="eastAsia" w:ascii="仿宋" w:hAnsi="仿宋" w:eastAsia="仿宋" w:cs="仿宋"/>
          <w:b w:val="0"/>
          <w:bCs w:val="0"/>
          <w:kern w:val="2"/>
          <w:sz w:val="32"/>
          <w:szCs w:val="32"/>
          <w:lang w:val="en-US" w:eastAsia="zh-CN" w:bidi="ar"/>
        </w:rPr>
        <w:t>）：</w:t>
      </w:r>
      <w:r>
        <w:rPr>
          <w:rStyle w:val="19"/>
          <w:rFonts w:hint="eastAsia" w:ascii="仿宋" w:hAnsi="仿宋" w:eastAsia="仿宋" w:cs="仿宋"/>
          <w:b w:val="0"/>
          <w:bCs w:val="0"/>
          <w:kern w:val="2"/>
          <w:sz w:val="32"/>
          <w:szCs w:val="32"/>
          <w:lang w:val="en-US" w:eastAsia="zh-CN" w:bidi="ar"/>
        </w:rPr>
        <w:t>支出决算为</w:t>
      </w:r>
      <w:r>
        <w:rPr>
          <w:rFonts w:hint="eastAsia" w:ascii="仿宋_GB2312" w:eastAsia="仿宋_GB2312"/>
          <w:b w:val="0"/>
          <w:bCs w:val="0"/>
          <w:color w:val="000000"/>
          <w:sz w:val="32"/>
          <w:szCs w:val="32"/>
          <w:lang w:val="en-US" w:eastAsia="zh-CN"/>
        </w:rPr>
        <w:t>1.20</w:t>
      </w:r>
      <w:r>
        <w:rPr>
          <w:rFonts w:hint="eastAsia" w:ascii="仿宋_GB2312" w:eastAsia="仿宋_GB2312"/>
          <w:b w:val="0"/>
          <w:bCs w:val="0"/>
          <w:color w:val="000000"/>
          <w:sz w:val="32"/>
          <w:szCs w:val="32"/>
        </w:rPr>
        <w:t>万元，完成预算的100%</w:t>
      </w:r>
      <w:r>
        <w:rPr>
          <w:rStyle w:val="19"/>
          <w:rFonts w:hint="eastAsia" w:ascii="仿宋" w:hAnsi="仿宋" w:eastAsia="仿宋" w:cs="Times New Roman"/>
          <w:b w:val="0"/>
          <w:bCs w:val="0"/>
          <w:kern w:val="2"/>
          <w:sz w:val="32"/>
          <w:szCs w:val="32"/>
          <w:lang w:val="en-US" w:eastAsia="zh-CN" w:bidi="ar"/>
        </w:rPr>
        <w:t>，</w:t>
      </w:r>
      <w:r>
        <w:rPr>
          <w:rStyle w:val="19"/>
          <w:rFonts w:hint="eastAsia" w:ascii="仿宋" w:hAnsi="仿宋" w:eastAsia="仿宋" w:cs="仿宋"/>
          <w:b w:val="0"/>
          <w:bCs w:val="0"/>
          <w:kern w:val="2"/>
          <w:sz w:val="32"/>
          <w:szCs w:val="32"/>
          <w:lang w:val="en-US" w:eastAsia="zh-CN" w:bidi="ar"/>
        </w:rPr>
        <w:t>决算数与预算数持平。</w:t>
      </w:r>
    </w:p>
    <w:p w14:paraId="74F1EFC4">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right="0" w:firstLine="643" w:firstLineChars="200"/>
        <w:jc w:val="both"/>
        <w:textAlignment w:val="auto"/>
        <w:outlineLvl w:val="1"/>
        <w:rPr>
          <w:rFonts w:hint="default" w:ascii="Cambria" w:hAnsi="Cambria" w:eastAsia="宋体" w:cs="Times New Roman"/>
          <w:b/>
          <w:bCs/>
          <w:sz w:val="32"/>
          <w:szCs w:val="32"/>
        </w:rPr>
      </w:pPr>
      <w:bookmarkStart w:id="16" w:name="_Toc19565"/>
      <w:bookmarkStart w:id="17" w:name="_Toc30563"/>
      <w:r>
        <w:rPr>
          <w:rStyle w:val="24"/>
          <w:rFonts w:hint="eastAsia"/>
          <w:lang w:val="en-US" w:eastAsia="zh-CN"/>
        </w:rPr>
        <w:t>六、一般公共预算财政拨款基本支出决算情况说明</w:t>
      </w:r>
      <w:bookmarkEnd w:id="16"/>
      <w:bookmarkEnd w:id="17"/>
      <w:r>
        <w:rPr>
          <w:rStyle w:val="20"/>
          <w:rFonts w:hint="eastAsia" w:ascii="黑体" w:hAnsi="宋体" w:eastAsia="黑体" w:cs="Times New Roman"/>
          <w:b w:val="0"/>
          <w:bCs/>
          <w:kern w:val="2"/>
          <w:sz w:val="32"/>
          <w:szCs w:val="32"/>
          <w:lang w:val="en-US" w:eastAsia="zh-CN" w:bidi="ar"/>
        </w:rPr>
        <w:tab/>
      </w:r>
    </w:p>
    <w:p w14:paraId="3EEFC364">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2025年度一般公共预算财政拨款基本支出</w:t>
      </w:r>
      <w:r>
        <w:rPr>
          <w:rFonts w:hint="eastAsia" w:ascii="仿宋" w:hAnsi="仿宋" w:eastAsia="仿宋" w:cs="Times New Roman"/>
          <w:kern w:val="2"/>
          <w:sz w:val="32"/>
          <w:szCs w:val="32"/>
          <w:lang w:val="en-US" w:eastAsia="zh-CN" w:bidi="ar"/>
        </w:rPr>
        <w:t>410.50</w:t>
      </w:r>
      <w:r>
        <w:rPr>
          <w:rFonts w:hint="eastAsia" w:ascii="仿宋" w:hAnsi="仿宋" w:eastAsia="仿宋" w:cs="仿宋"/>
          <w:kern w:val="2"/>
          <w:sz w:val="32"/>
          <w:szCs w:val="32"/>
          <w:lang w:val="en-US" w:eastAsia="zh-CN" w:bidi="ar"/>
        </w:rPr>
        <w:t>万元，其中：</w:t>
      </w:r>
    </w:p>
    <w:p w14:paraId="3F716E2C">
      <w:pPr>
        <w:pageBreakBefore w:val="0"/>
        <w:widowControl w:val="0"/>
        <w:kinsoku/>
        <w:wordWrap/>
        <w:overflowPunct/>
        <w:topLinePunct w:val="0"/>
        <w:bidi w:val="0"/>
        <w:spacing w:line="576" w:lineRule="exact"/>
        <w:ind w:firstLine="645"/>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360.03</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50.47</w:t>
      </w:r>
      <w:r>
        <w:rPr>
          <w:rFonts w:hint="eastAsia" w:ascii="仿宋" w:hAnsi="仿宋" w:eastAsia="仿宋"/>
          <w:color w:val="000000"/>
          <w:sz w:val="32"/>
          <w:szCs w:val="32"/>
        </w:rPr>
        <w:t>万元，主要包括：办公费、邮电费、差旅费、培训费、</w:t>
      </w:r>
      <w:r>
        <w:rPr>
          <w:rFonts w:hint="eastAsia" w:ascii="仿宋" w:hAnsi="仿宋" w:eastAsia="仿宋"/>
          <w:color w:val="000000"/>
          <w:sz w:val="32"/>
          <w:szCs w:val="32"/>
          <w:lang w:eastAsia="zh-CN"/>
        </w:rPr>
        <w:t>其他交通费</w:t>
      </w:r>
      <w:r>
        <w:rPr>
          <w:rFonts w:hint="eastAsia" w:ascii="仿宋" w:hAnsi="仿宋" w:eastAsia="仿宋"/>
          <w:color w:val="000000"/>
          <w:sz w:val="32"/>
          <w:szCs w:val="32"/>
        </w:rPr>
        <w:t>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1FD2D59B">
      <w:pPr>
        <w:pStyle w:val="6"/>
        <w:pageBreakBefore w:val="0"/>
        <w:widowControl w:val="0"/>
        <w:kinsoku/>
        <w:wordWrap/>
        <w:overflowPunct/>
        <w:topLinePunct w:val="0"/>
        <w:bidi w:val="0"/>
        <w:spacing w:line="576" w:lineRule="exact"/>
        <w:ind w:firstLine="643" w:firstLineChars="200"/>
        <w:textAlignment w:val="auto"/>
        <w:rPr>
          <w:rFonts w:hint="eastAsia" w:ascii="黑体" w:hAnsi="宋体" w:eastAsia="黑体" w:cs="Times New Roman"/>
          <w:b w:val="0"/>
          <w:bCs/>
          <w:szCs w:val="32"/>
        </w:rPr>
      </w:pPr>
      <w:bookmarkStart w:id="18" w:name="_Toc12810"/>
      <w:bookmarkStart w:id="19" w:name="_Toc11316"/>
      <w:r>
        <w:rPr>
          <w:rFonts w:hint="eastAsia"/>
          <w:lang w:val="en-US" w:eastAsia="zh-CN"/>
        </w:rPr>
        <w:t>七、财政拨款“三公”经费支出决算情况说明</w:t>
      </w:r>
      <w:bookmarkEnd w:id="18"/>
      <w:bookmarkEnd w:id="19"/>
    </w:p>
    <w:p w14:paraId="00D1B1CF">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 w:hAnsi="仿宋" w:eastAsia="仿宋" w:cs="仿宋"/>
          <w:kern w:val="2"/>
          <w:sz w:val="32"/>
          <w:szCs w:val="32"/>
          <w:lang w:val="en-US" w:eastAsia="zh-CN" w:bidi="ar"/>
        </w:rPr>
        <w:t>2025年度“三公”经费财政拨款支出0万元</w:t>
      </w:r>
      <w:r>
        <w:rPr>
          <w:rFonts w:hint="eastAsia" w:ascii="仿宋" w:hAnsi="仿宋" w:eastAsia="仿宋" w:cs="Times New Roman"/>
          <w:kern w:val="2"/>
          <w:sz w:val="32"/>
          <w:szCs w:val="32"/>
          <w:lang w:val="en-US" w:eastAsia="zh-CN" w:bidi="ar"/>
        </w:rPr>
        <w:t>。</w:t>
      </w:r>
    </w:p>
    <w:p w14:paraId="6972D72A">
      <w:pPr>
        <w:pStyle w:val="6"/>
        <w:pageBreakBefore w:val="0"/>
        <w:widowControl w:val="0"/>
        <w:kinsoku/>
        <w:wordWrap/>
        <w:overflowPunct/>
        <w:topLinePunct w:val="0"/>
        <w:bidi w:val="0"/>
        <w:spacing w:line="576" w:lineRule="exact"/>
        <w:ind w:firstLine="643" w:firstLineChars="200"/>
        <w:textAlignment w:val="auto"/>
        <w:rPr>
          <w:rFonts w:hint="eastAsia"/>
        </w:rPr>
      </w:pPr>
      <w:bookmarkStart w:id="20" w:name="_Toc24758"/>
      <w:bookmarkStart w:id="21" w:name="_Toc13223"/>
      <w:r>
        <w:rPr>
          <w:rFonts w:hint="eastAsia"/>
          <w:lang w:val="en-US" w:eastAsia="zh-CN"/>
        </w:rPr>
        <w:t>八、政府性基金预算支出决算情况说明</w:t>
      </w:r>
      <w:bookmarkEnd w:id="20"/>
      <w:bookmarkEnd w:id="21"/>
    </w:p>
    <w:p w14:paraId="64E762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2025年度政府性基金预算财政拨款支出0万元</w:t>
      </w:r>
      <w:r>
        <w:rPr>
          <w:rFonts w:hint="eastAsia" w:ascii="仿宋" w:hAnsi="仿宋" w:eastAsia="仿宋" w:cs="仿宋"/>
          <w:kern w:val="2"/>
          <w:sz w:val="32"/>
          <w:szCs w:val="32"/>
          <w:lang w:val="en-US" w:eastAsia="zh-CN" w:bidi="ar"/>
        </w:rPr>
        <w:t>。</w:t>
      </w:r>
    </w:p>
    <w:p w14:paraId="2CE22AAB">
      <w:pPr>
        <w:pStyle w:val="6"/>
        <w:pageBreakBefore w:val="0"/>
        <w:widowControl w:val="0"/>
        <w:kinsoku/>
        <w:wordWrap/>
        <w:overflowPunct/>
        <w:topLinePunct w:val="0"/>
        <w:bidi w:val="0"/>
        <w:spacing w:line="576" w:lineRule="exact"/>
        <w:ind w:firstLine="643" w:firstLineChars="200"/>
        <w:textAlignment w:val="auto"/>
        <w:rPr>
          <w:rFonts w:hint="eastAsia"/>
        </w:rPr>
      </w:pPr>
      <w:bookmarkStart w:id="22" w:name="_Toc5262"/>
      <w:bookmarkStart w:id="23" w:name="_Toc10585"/>
      <w:r>
        <w:rPr>
          <w:rFonts w:hint="eastAsia"/>
          <w:lang w:val="en-US" w:eastAsia="zh-CN"/>
        </w:rPr>
        <w:t>九、国有资本经营预算支出决算情况说明</w:t>
      </w:r>
      <w:bookmarkEnd w:id="22"/>
      <w:bookmarkEnd w:id="23"/>
    </w:p>
    <w:p w14:paraId="128763E1">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2025年度国有资本经营预算财政拨款支出0</w:t>
      </w:r>
      <w:r>
        <w:rPr>
          <w:rFonts w:hint="eastAsia" w:ascii="仿宋" w:hAnsi="仿宋" w:eastAsia="仿宋" w:cs="仿宋"/>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14:paraId="2BF3A199">
      <w:pPr>
        <w:pStyle w:val="6"/>
        <w:pageBreakBefore w:val="0"/>
        <w:widowControl w:val="0"/>
        <w:kinsoku/>
        <w:wordWrap/>
        <w:overflowPunct/>
        <w:topLinePunct w:val="0"/>
        <w:bidi w:val="0"/>
        <w:spacing w:line="576" w:lineRule="exact"/>
        <w:ind w:firstLine="643" w:firstLineChars="200"/>
        <w:textAlignment w:val="auto"/>
        <w:rPr>
          <w:rFonts w:hint="eastAsia"/>
        </w:rPr>
      </w:pPr>
      <w:bookmarkStart w:id="24" w:name="_Toc14315"/>
      <w:bookmarkStart w:id="25" w:name="_Toc4426"/>
      <w:r>
        <w:rPr>
          <w:rFonts w:hint="eastAsia"/>
          <w:lang w:val="en-US" w:eastAsia="zh-CN"/>
        </w:rPr>
        <w:t>十、其他重要事项的情况说明</w:t>
      </w:r>
      <w:bookmarkEnd w:id="24"/>
      <w:bookmarkEnd w:id="25"/>
    </w:p>
    <w:p w14:paraId="50C7EC35">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3BF95953">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2025年度，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27.57</w:t>
      </w:r>
      <w:r>
        <w:rPr>
          <w:rFonts w:hint="eastAsia" w:ascii="仿宋_GB2312" w:hAnsi="Calibri" w:eastAsia="仿宋_GB2312" w:cs="仿宋_GB2312"/>
          <w:kern w:val="2"/>
          <w:sz w:val="32"/>
          <w:szCs w:val="32"/>
          <w:lang w:val="en-US" w:eastAsia="zh-CN" w:bidi="ar"/>
        </w:rPr>
        <w:t>万元，与上年度相比增加2.70万元，增长</w:t>
      </w:r>
      <w:r>
        <w:rPr>
          <w:rFonts w:hint="eastAsia" w:ascii="仿宋_GB2312" w:hAnsi="Calibri" w:eastAsia="仿宋_GB2312" w:cs="Times New Roman"/>
          <w:kern w:val="2"/>
          <w:sz w:val="32"/>
          <w:szCs w:val="32"/>
          <w:lang w:val="en-US" w:eastAsia="zh-CN" w:bidi="ar"/>
        </w:rPr>
        <w:t>10.85%</w:t>
      </w:r>
      <w:r>
        <w:rPr>
          <w:rFonts w:hint="eastAsia" w:ascii="仿宋_GB2312" w:hAnsi="Calibri" w:eastAsia="仿宋_GB2312" w:cs="仿宋_GB2312"/>
          <w:kern w:val="2"/>
          <w:sz w:val="32"/>
          <w:szCs w:val="32"/>
          <w:lang w:val="en-US" w:eastAsia="zh-CN" w:bidi="ar"/>
        </w:rPr>
        <w:t>。主要变动原因是：2025年度政务大厅</w:t>
      </w:r>
      <w:r>
        <w:rPr>
          <w:rFonts w:hint="eastAsia" w:ascii="仿宋" w:hAnsi="仿宋" w:eastAsia="仿宋" w:cs="仿宋"/>
          <w:kern w:val="2"/>
          <w:sz w:val="32"/>
          <w:szCs w:val="32"/>
          <w:lang w:val="en-US" w:eastAsia="zh-CN" w:bidi="ar"/>
        </w:rPr>
        <w:t>人员增加</w:t>
      </w:r>
      <w:r>
        <w:rPr>
          <w:rFonts w:hint="eastAsia" w:ascii="仿宋_GB2312" w:hAnsi="Calibri" w:eastAsia="仿宋_GB2312" w:cs="仿宋_GB2312"/>
          <w:kern w:val="2"/>
          <w:sz w:val="32"/>
          <w:szCs w:val="32"/>
          <w:lang w:val="en-US" w:eastAsia="zh-CN" w:bidi="ar"/>
        </w:rPr>
        <w:t>。</w:t>
      </w:r>
    </w:p>
    <w:p w14:paraId="2E7347AE">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6E28AB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576"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2025年度政府采购支出0万元。</w:t>
      </w:r>
    </w:p>
    <w:p w14:paraId="51E5AA02">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265BF2FB">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截至2025年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行政审批和政务服务管理局未占有、未使用国有资产</w:t>
      </w:r>
      <w:r>
        <w:rPr>
          <w:rFonts w:hint="eastAsia" w:ascii="仿宋_GB2312" w:hAnsi="Calibri" w:eastAsia="仿宋_GB2312" w:cs="仿宋_GB2312"/>
          <w:kern w:val="2"/>
          <w:sz w:val="32"/>
          <w:szCs w:val="32"/>
          <w:lang w:val="en-US" w:eastAsia="zh-CN" w:bidi="ar"/>
        </w:rPr>
        <w:t>。</w:t>
      </w:r>
    </w:p>
    <w:p w14:paraId="401546D6">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576"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4E823F74">
      <w:pPr>
        <w:pageBreakBefore w:val="0"/>
        <w:widowControl w:val="0"/>
        <w:kinsoku/>
        <w:wordWrap/>
        <w:overflowPunct/>
        <w:topLinePunct w:val="0"/>
        <w:bidi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w:t>
      </w:r>
      <w:r>
        <w:rPr>
          <w:rFonts w:hint="eastAsia" w:ascii="Times New Roman" w:hAnsi="Times New Roman" w:eastAsia="仿宋_GB2312" w:cs="仿宋_GB2312"/>
          <w:color w:val="auto"/>
          <w:kern w:val="2"/>
          <w:sz w:val="32"/>
          <w:szCs w:val="32"/>
          <w:highlight w:val="none"/>
          <w:lang w:val="en-US" w:eastAsia="zh-CN" w:bidi="ar-SA"/>
        </w:rPr>
        <w:t>在2025年度，组织对专项工作经费等4个项目涉及金额33.56万元开展了事前绩效评估，对4个项目编制了绩效目标，预算执行过程中，选取4个项目开展绩效监控。</w:t>
      </w:r>
    </w:p>
    <w:p w14:paraId="66325EA8">
      <w:pPr>
        <w:pageBreakBefore w:val="0"/>
        <w:widowControl w:val="0"/>
        <w:kinsoku/>
        <w:wordWrap/>
        <w:overflowPunct/>
        <w:topLinePunct w:val="0"/>
        <w:bidi w:val="0"/>
        <w:adjustRightInd w:val="0"/>
        <w:snapToGrid w:val="0"/>
        <w:spacing w:beforeLines="30" w:line="576" w:lineRule="exact"/>
        <w:ind w:firstLine="672" w:firstLineChars="210"/>
        <w:textAlignment w:val="auto"/>
        <w:rPr>
          <w:rFonts w:hint="eastAsia" w:ascii="仿宋_GB2312" w:hAnsi="Times New Roman" w:eastAsia="仿宋_GB2312" w:cs="Times New Roman"/>
          <w:kern w:val="2"/>
          <w:sz w:val="32"/>
          <w:szCs w:val="32"/>
        </w:rPr>
      </w:pPr>
      <w:r>
        <w:rPr>
          <w:rFonts w:hint="eastAsia" w:ascii="Times New Roman" w:hAnsi="Times New Roman" w:eastAsia="仿宋_GB2312" w:cs="仿宋_GB2312"/>
          <w:color w:val="auto"/>
          <w:kern w:val="2"/>
          <w:sz w:val="32"/>
          <w:szCs w:val="32"/>
          <w:highlight w:val="none"/>
          <w:lang w:val="en-US" w:eastAsia="zh-CN" w:bidi="ar-SA"/>
        </w:rPr>
        <w:t>组织对2025年度一般公共预算开展绩效自评，形成</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w:t>
      </w:r>
      <w:r>
        <w:rPr>
          <w:rFonts w:hint="eastAsia" w:ascii="Times New Roman" w:hAnsi="Times New Roman" w:eastAsia="仿宋_GB2312" w:cs="仿宋_GB2312"/>
          <w:color w:val="auto"/>
          <w:kern w:val="2"/>
          <w:sz w:val="32"/>
          <w:szCs w:val="32"/>
          <w:highlight w:val="none"/>
          <w:lang w:val="en-US" w:eastAsia="zh-CN" w:bidi="ar-SA"/>
        </w:rPr>
        <w:t>部门预算绩效自评报告，绩效自评得分为94分，绩效自评综述</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年</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行政审批和政务服务管理局整体支出绩效评价自查自评结果良好，全年基本支出保证了部门的正常运行和日常工作的正常开展，项目支出保障了重点工作的开展，达到预期绩效目标。</w:t>
      </w:r>
      <w:r>
        <w:rPr>
          <w:rFonts w:hint="eastAsia" w:ascii="Times New Roman" w:hAnsi="Times New Roman" w:eastAsia="仿宋_GB2312" w:cs="仿宋_GB2312"/>
          <w:color w:val="auto"/>
          <w:kern w:val="2"/>
          <w:sz w:val="32"/>
          <w:szCs w:val="32"/>
          <w:highlight w:val="none"/>
          <w:lang w:val="en-US" w:eastAsia="zh-CN" w:bidi="ar-SA"/>
        </w:rPr>
        <w:t>绩效自评报告详见附件。</w:t>
      </w:r>
      <w:r>
        <w:rPr>
          <w:rFonts w:hint="eastAsia" w:ascii="仿宋_GB2312" w:hAnsi="Times New Roman" w:eastAsia="仿宋_GB2312" w:cs="Times New Roman"/>
          <w:kern w:val="2"/>
          <w:sz w:val="32"/>
          <w:szCs w:val="32"/>
          <w:lang w:val="en-US" w:eastAsia="zh-CN" w:bidi="ar"/>
        </w:rPr>
        <w:br w:type="page"/>
      </w:r>
    </w:p>
    <w:p w14:paraId="0A2A0C9B">
      <w:pPr>
        <w:pStyle w:val="5"/>
        <w:bidi w:val="0"/>
        <w:jc w:val="center"/>
        <w:rPr>
          <w:rFonts w:hint="eastAsia" w:ascii="宋体" w:hAnsi="Calibri" w:eastAsia="宋体" w:cs="Times New Roman"/>
          <w:b/>
          <w:bCs w:val="0"/>
          <w:kern w:val="2"/>
          <w:sz w:val="44"/>
          <w:szCs w:val="44"/>
        </w:rPr>
      </w:pPr>
      <w:bookmarkStart w:id="26" w:name="_Toc24435"/>
      <w:bookmarkStart w:id="27" w:name="_Toc27953"/>
      <w:r>
        <w:rPr>
          <w:rFonts w:hint="eastAsia"/>
          <w:lang w:val="en-US" w:eastAsia="zh-CN"/>
        </w:rPr>
        <w:t>第三部分  名词解释</w:t>
      </w:r>
      <w:bookmarkEnd w:id="26"/>
      <w:bookmarkEnd w:id="27"/>
    </w:p>
    <w:p w14:paraId="7F80AC56">
      <w:pPr>
        <w:pStyle w:val="22"/>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488F834B">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78BF7241">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50D5BDE0">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4.其他收入：指除上述“财政拨款收入”“事业收入”“经营收入”等以外的收入。</w:t>
      </w:r>
    </w:p>
    <w:p w14:paraId="3D8D14B5">
      <w:pPr>
        <w:pStyle w:val="22"/>
        <w:spacing w:line="56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5.使用非财政拨款结余（含专用结余）：指事业单位使用以前年度积累的非财政拨款结余弥补当年收支差额的金额。</w:t>
      </w:r>
    </w:p>
    <w:p w14:paraId="2CE34E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68C3A53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3E40DE7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003E7677">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9</w:t>
      </w:r>
      <w:r>
        <w:rPr>
          <w:rFonts w:hint="eastAsia" w:ascii="仿宋_GB2312" w:hAnsi="Calibri" w:eastAsia="仿宋_GB2312" w:cs="仿宋"/>
          <w:color w:val="000000"/>
          <w:kern w:val="0"/>
          <w:sz w:val="32"/>
          <w:szCs w:val="32"/>
        </w:rPr>
        <w:t>.一般公共服务（类）人大事务（款）行政运行（项）：指人大机关用于保障机构正常运行、开展日常工作的基本支出。</w:t>
      </w:r>
    </w:p>
    <w:p w14:paraId="4A9F015D">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10</w:t>
      </w:r>
      <w:r>
        <w:rPr>
          <w:rFonts w:hint="eastAsia" w:ascii="仿宋_GB2312" w:hAnsi="Calibri" w:eastAsia="仿宋_GB2312" w:cs="仿宋"/>
          <w:color w:val="000000"/>
          <w:kern w:val="0"/>
          <w:sz w:val="32"/>
          <w:szCs w:val="32"/>
        </w:rPr>
        <w:t>.一般公共服务（类）人大事务（款）一般行政管理事务（项）：指人大机关开展综合业务等工作的支出。</w:t>
      </w:r>
    </w:p>
    <w:p w14:paraId="02DC7EF1">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lang w:val="en-US" w:eastAsia="zh-CN"/>
        </w:rPr>
        <w:t>11</w:t>
      </w:r>
      <w:r>
        <w:rPr>
          <w:rFonts w:hint="eastAsia" w:ascii="仿宋_GB2312" w:hAnsi="Calibri" w:eastAsia="仿宋_GB2312" w:cs="仿宋"/>
          <w:color w:val="000000"/>
          <w:kern w:val="0"/>
          <w:sz w:val="32"/>
          <w:szCs w:val="32"/>
        </w:rPr>
        <w:t>.一般公共服务（类）人大事务（款）人大会议（项）：指人大机关所有会议经费的支出。</w:t>
      </w:r>
    </w:p>
    <w:p w14:paraId="54AB6FDB">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w:t>
      </w:r>
      <w:r>
        <w:rPr>
          <w:rFonts w:hint="eastAsia" w:ascii="仿宋_GB2312" w:hAnsi="Calibri" w:eastAsia="仿宋_GB2312" w:cs="仿宋"/>
          <w:color w:val="000000"/>
          <w:kern w:val="0"/>
          <w:sz w:val="32"/>
          <w:szCs w:val="32"/>
          <w:lang w:val="en-US" w:eastAsia="zh-CN"/>
        </w:rPr>
        <w:t>2</w:t>
      </w:r>
      <w:r>
        <w:rPr>
          <w:rFonts w:hint="eastAsia" w:ascii="仿宋_GB2312" w:hAnsi="Calibri" w:eastAsia="仿宋_GB2312" w:cs="仿宋"/>
          <w:color w:val="000000"/>
          <w:kern w:val="0"/>
          <w:sz w:val="32"/>
          <w:szCs w:val="32"/>
        </w:rPr>
        <w:t>.一般公共服务（类）人大事务（款）代表工作（项）：指人大机关用于保障代表活动开展的各项支出。</w:t>
      </w:r>
    </w:p>
    <w:p w14:paraId="640103EB">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3198CB4A">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.社会保障和就业（类）行政事业单位离退休（款）机关事业单位职业年金缴费支出（项）：指部门实施养老保险制度由单位缴纳的职业年金的支出。</w:t>
      </w:r>
    </w:p>
    <w:p w14:paraId="1F47B730">
      <w:pPr>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5</w:t>
      </w:r>
      <w:r>
        <w:rPr>
          <w:rFonts w:hint="eastAsia" w:ascii="仿宋_GB2312" w:eastAsia="仿宋_GB2312"/>
          <w:sz w:val="32"/>
          <w:szCs w:val="32"/>
        </w:rPr>
        <w:t>.卫生健康（类）行政事业单位医疗（款）行政单位医疗（项）：指人大机关用于缴纳单位基本医疗保险支出。</w:t>
      </w:r>
    </w:p>
    <w:p w14:paraId="715667EB">
      <w:pPr>
        <w:spacing w:line="58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6</w:t>
      </w:r>
      <w:r>
        <w:rPr>
          <w:rFonts w:hint="eastAsia" w:ascii="仿宋_GB2312" w:eastAsia="仿宋_GB2312"/>
          <w:sz w:val="32"/>
          <w:szCs w:val="32"/>
        </w:rPr>
        <w:t>.卫生健康（类）行政事业单位医疗（款）事业单位医疗（项）：指事业单位用于缴纳单位基本医疗保险支出。</w:t>
      </w:r>
    </w:p>
    <w:p w14:paraId="2E697ADA">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7</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7E7B5B9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18.基本支出：指为保障机构正常运转、完成日常工作任务而发生的人员支出和公用支出。</w:t>
      </w:r>
    </w:p>
    <w:p w14:paraId="49468BD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19.项目支出：指在基本支出之外为完成特定行政任务和事业发展目标所发生的支出。 </w:t>
      </w:r>
    </w:p>
    <w:p w14:paraId="5F394A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20.经营支出：指事业单位在专业业务活动及其辅助活动之外开展非独立核算经营活动发生的支出。</w:t>
      </w:r>
    </w:p>
    <w:p w14:paraId="1FA03B3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6BFB3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E0E9815">
      <w:pPr>
        <w:pStyle w:val="5"/>
        <w:bidi w:val="0"/>
        <w:jc w:val="center"/>
        <w:rPr>
          <w:rStyle w:val="18"/>
          <w:rFonts w:hint="eastAsia" w:ascii="黑体" w:hAnsi="宋体" w:eastAsia="黑体" w:cs="黑体"/>
          <w:b w:val="0"/>
          <w:bCs/>
          <w:kern w:val="44"/>
          <w:szCs w:val="44"/>
          <w:lang w:val="en-US" w:eastAsia="zh-CN" w:bidi="ar"/>
        </w:rPr>
      </w:pPr>
      <w:r>
        <w:rPr>
          <w:rFonts w:hint="eastAsia" w:ascii="宋体" w:hAnsi="Calibri" w:eastAsia="宋体" w:cs="Times New Roman"/>
          <w:b/>
          <w:bCs w:val="0"/>
          <w:kern w:val="2"/>
          <w:szCs w:val="44"/>
          <w:lang w:val="en-US" w:eastAsia="zh-CN" w:bidi="ar"/>
        </w:rPr>
        <w:br w:type="page"/>
      </w:r>
      <w:bookmarkStart w:id="28" w:name="_Toc2321"/>
      <w:bookmarkStart w:id="29" w:name="_Toc4567"/>
      <w:r>
        <w:rPr>
          <w:rFonts w:hint="eastAsia"/>
          <w:lang w:val="en-US" w:eastAsia="zh-CN"/>
        </w:rPr>
        <w:t>第四部分 附件</w:t>
      </w:r>
      <w:bookmarkEnd w:id="28"/>
      <w:bookmarkEnd w:id="29"/>
    </w:p>
    <w:p w14:paraId="6AA1D6B2">
      <w:pPr>
        <w:bidi w:val="0"/>
        <w:rPr>
          <w:rFonts w:hint="eastAsia" w:ascii="黑体" w:hAnsi="黑体" w:eastAsia="黑体" w:cs="黑体"/>
          <w:sz w:val="32"/>
          <w:szCs w:val="32"/>
          <w:lang w:val="en-US" w:eastAsia="zh-CN"/>
        </w:rPr>
      </w:pPr>
      <w:bookmarkStart w:id="30" w:name="_Toc7618"/>
      <w:r>
        <w:rPr>
          <w:rFonts w:hint="eastAsia" w:ascii="黑体" w:hAnsi="黑体" w:eastAsia="黑体" w:cs="黑体"/>
          <w:sz w:val="32"/>
          <w:szCs w:val="32"/>
        </w:rPr>
        <w:t>附件</w:t>
      </w:r>
      <w:r>
        <w:rPr>
          <w:rFonts w:hint="eastAsia" w:ascii="黑体" w:hAnsi="黑体" w:eastAsia="黑体" w:cs="黑体"/>
          <w:sz w:val="32"/>
          <w:szCs w:val="32"/>
          <w:lang w:val="en-US" w:eastAsia="zh-CN"/>
        </w:rPr>
        <w:t>1</w:t>
      </w:r>
      <w:bookmarkEnd w:id="30"/>
    </w:p>
    <w:p w14:paraId="650059F3">
      <w:pPr>
        <w:pStyle w:val="2"/>
        <w:rPr>
          <w:rFonts w:hint="eastAsia"/>
        </w:rPr>
      </w:pPr>
    </w:p>
    <w:p w14:paraId="66D5AA56">
      <w:pPr>
        <w:widowControl/>
        <w:spacing w:line="578" w:lineRule="exact"/>
        <w:contextualSpacing/>
        <w:jc w:val="center"/>
        <w:rPr>
          <w:rFonts w:hint="eastAsia" w:eastAsia="方正小标宋简体"/>
          <w:bCs/>
          <w:sz w:val="44"/>
          <w:szCs w:val="44"/>
          <w:shd w:val="clear" w:color="auto" w:fill="FFFFFF"/>
          <w:lang w:eastAsia="zh-CN"/>
        </w:rPr>
      </w:pPr>
      <w:r>
        <w:rPr>
          <w:rFonts w:hint="eastAsia" w:ascii="仿宋_GB2312" w:hAnsi="Times New Roman" w:eastAsia="宋体" w:cs="Times New Roman"/>
          <w:kern w:val="2"/>
          <w:sz w:val="32"/>
          <w:szCs w:val="32"/>
        </w:rPr>
        <w:t xml:space="preserve"> </w:t>
      </w:r>
      <w:r>
        <w:rPr>
          <w:rFonts w:hint="eastAsia" w:eastAsia="方正小标宋简体"/>
          <w:bCs/>
          <w:sz w:val="44"/>
          <w:szCs w:val="44"/>
          <w:shd w:val="clear" w:color="auto" w:fill="FFFFFF"/>
          <w:lang w:eastAsia="zh-CN"/>
        </w:rPr>
        <w:t>茂县行政审批和政务服务管理局</w:t>
      </w:r>
    </w:p>
    <w:p w14:paraId="69718061">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56346167">
      <w:pPr>
        <w:pStyle w:val="7"/>
      </w:pPr>
    </w:p>
    <w:p w14:paraId="7625161E">
      <w:pPr>
        <w:widowControl/>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shd w:val="clear" w:color="auto" w:fill="FFFFFF"/>
          <w:lang w:val="zh-CN"/>
        </w:rPr>
        <w:t>一、部门（单位）基本情况</w:t>
      </w:r>
    </w:p>
    <w:p w14:paraId="2879B437">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14:paraId="5D5445C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茂县行政审批局是茂县人民政府工作部门，为正科级行政机构，内</w:t>
      </w:r>
      <w:r>
        <w:rPr>
          <w:rFonts w:hint="eastAsia" w:ascii="仿宋_GB2312" w:hAnsi="仿宋_GB2312" w:eastAsia="仿宋_GB2312" w:cs="仿宋_GB2312"/>
          <w:color w:val="auto"/>
          <w:kern w:val="0"/>
          <w:sz w:val="32"/>
          <w:szCs w:val="32"/>
          <w:lang w:eastAsia="zh-CN"/>
        </w:rPr>
        <w:t>设</w:t>
      </w:r>
      <w:r>
        <w:rPr>
          <w:rFonts w:hint="eastAsia" w:ascii="仿宋_GB2312" w:hAnsi="仿宋_GB2312" w:eastAsia="仿宋_GB2312" w:cs="仿宋_GB2312"/>
          <w:color w:val="auto"/>
          <w:kern w:val="0"/>
          <w:sz w:val="32"/>
          <w:szCs w:val="32"/>
        </w:rPr>
        <w:t>办公室、行政审批一室、行政审批二室、政务服务管理股（政策法规股）、茂县城乡网格化服务管理指挥中心、政务服务和资源交易中心等股室。</w:t>
      </w:r>
    </w:p>
    <w:p w14:paraId="6AC91A4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p>
    <w:p w14:paraId="2DDEC6A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14:paraId="39664874">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2.负责规范指导全县行政审批和政务服务工作，建立和完善相应工作机制，推进标准化建设；负责对划转的行政许可事项进行流程再造、环节优化、时限压缩，并对办理情况进行跟踪督办</w:t>
      </w:r>
      <w:r>
        <w:rPr>
          <w:rFonts w:hint="eastAsia" w:ascii="仿宋_GB2312" w:hAnsi="仿宋_GB2312" w:eastAsia="仿宋_GB2312" w:cs="仿宋_GB2312"/>
          <w:color w:val="auto"/>
          <w:kern w:val="0"/>
          <w:sz w:val="32"/>
          <w:szCs w:val="32"/>
          <w:lang w:eastAsia="zh-CN"/>
        </w:rPr>
        <w:t>。</w:t>
      </w:r>
    </w:p>
    <w:p w14:paraId="4C0C5216">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3.负责承办县直部门划入的涉及企业</w:t>
      </w:r>
      <w:r>
        <w:rPr>
          <w:rFonts w:hint="eastAsia" w:ascii="仿宋_GB2312" w:hAnsi="仿宋_GB2312" w:eastAsia="仿宋_GB2312" w:cs="仿宋_GB2312"/>
          <w:color w:val="auto"/>
          <w:kern w:val="0"/>
          <w:sz w:val="32"/>
          <w:szCs w:val="32"/>
          <w:lang w:eastAsia="zh-CN"/>
        </w:rPr>
        <w:t>投资</w:t>
      </w:r>
      <w:r>
        <w:rPr>
          <w:rFonts w:hint="eastAsia" w:ascii="仿宋_GB2312" w:hAnsi="仿宋_GB2312" w:eastAsia="仿宋_GB2312" w:cs="仿宋_GB2312"/>
          <w:color w:val="auto"/>
          <w:kern w:val="0"/>
          <w:sz w:val="32"/>
          <w:szCs w:val="32"/>
        </w:rPr>
        <w:t>项目、市场准入、建设工程、交通水利、文教卫生、社会事务、涉农事务等方面的行政审批事项，及时将行政审批事项的结果通报给县直相关部门，逐步实行“一枚印章管审批”。</w:t>
      </w:r>
    </w:p>
    <w:p w14:paraId="21CCCF30">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4.负责指导、协调进驻政务服务大厅部门的行政审批和公共服务工作；对窗口工作人员进行日常管理、年度考核等工作。</w:t>
      </w:r>
    </w:p>
    <w:p w14:paraId="0121FCDD">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5.负责对涉及全县行政审批工作、政务服务大厅工作及公共资源交易工作的投诉举报和承办、转办和督办工作。</w:t>
      </w:r>
    </w:p>
    <w:p w14:paraId="0B262FCC">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6.负责对各乡镇便民服务中心相关工作的运行进行业务指导和监督，建立和完善高效的政务服务体系。</w:t>
      </w:r>
    </w:p>
    <w:p w14:paraId="4DADB816">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7.负责全县公共资源交易管理工作。</w:t>
      </w:r>
    </w:p>
    <w:p w14:paraId="2AF3CD9E">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8.完成县委、县政府交办的其他任务。</w:t>
      </w:r>
    </w:p>
    <w:p w14:paraId="6E648722">
      <w:pPr>
        <w:keepNext w:val="0"/>
        <w:keepLines w:val="0"/>
        <w:pageBreakBefore w:val="0"/>
        <w:widowControl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14:paraId="7554AB21">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rPr>
        <w:t>茂县行政审批</w:t>
      </w:r>
      <w:r>
        <w:rPr>
          <w:rFonts w:hint="eastAsia" w:ascii="仿宋_GB2312" w:hAnsi="仿宋_GB2312" w:eastAsia="仿宋_GB2312" w:cs="仿宋_GB2312"/>
          <w:color w:val="auto"/>
          <w:kern w:val="0"/>
          <w:sz w:val="32"/>
          <w:szCs w:val="32"/>
          <w:lang w:eastAsia="zh-CN"/>
        </w:rPr>
        <w:t>和政务服务管理</w:t>
      </w:r>
      <w:r>
        <w:rPr>
          <w:rFonts w:hint="eastAsia" w:ascii="仿宋_GB2312" w:hAnsi="仿宋_GB2312" w:eastAsia="仿宋_GB2312" w:cs="仿宋_GB2312"/>
          <w:color w:val="auto"/>
          <w:kern w:val="0"/>
          <w:sz w:val="32"/>
          <w:szCs w:val="32"/>
        </w:rPr>
        <w:t>局现有行政编制人员9名，事业编制人员</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名。202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年12月我局实有在职职工1</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退休人员</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其中:行政在职</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人,行政工勤</w:t>
      </w:r>
      <w:r>
        <w:rPr>
          <w:rFonts w:hint="eastAsia" w:ascii="仿宋_GB2312" w:hAnsi="仿宋_GB2312" w:eastAsia="仿宋_GB2312" w:cs="仿宋_GB2312"/>
          <w:color w:val="auto"/>
          <w:kern w:val="0"/>
          <w:sz w:val="32"/>
          <w:szCs w:val="32"/>
          <w:lang w:eastAsia="zh-CN"/>
        </w:rPr>
        <w:t>在职</w:t>
      </w:r>
      <w:r>
        <w:rPr>
          <w:rFonts w:hint="eastAsia" w:ascii="仿宋_GB2312" w:hAnsi="仿宋_GB2312" w:eastAsia="仿宋_GB2312" w:cs="仿宋_GB2312"/>
          <w:color w:val="auto"/>
          <w:kern w:val="0"/>
          <w:sz w:val="32"/>
          <w:szCs w:val="32"/>
        </w:rPr>
        <w:t>2人,事业在职</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人。</w:t>
      </w:r>
    </w:p>
    <w:p w14:paraId="37DC0C0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二、部门资金收支情况</w:t>
      </w:r>
    </w:p>
    <w:p w14:paraId="5308E369">
      <w:pPr>
        <w:keepNext w:val="0"/>
        <w:keepLines w:val="0"/>
        <w:pageBreakBefore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p>
    <w:p w14:paraId="3B6496A5">
      <w:pPr>
        <w:keepNext w:val="0"/>
        <w:keepLines w:val="0"/>
        <w:pageBreakBefore w:val="0"/>
        <w:kinsoku/>
        <w:wordWrap/>
        <w:overflowPunct/>
        <w:topLinePunct w:val="0"/>
        <w:autoSpaceDE/>
        <w:autoSpaceDN/>
        <w:bidi w:val="0"/>
        <w:adjustRightInd w:val="0"/>
        <w:snapToGrid w:val="0"/>
        <w:spacing w:line="580" w:lineRule="exact"/>
        <w:ind w:firstLine="672" w:firstLineChars="210"/>
        <w:textAlignment w:val="auto"/>
        <w:rPr>
          <w:rStyle w:val="23"/>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年12月，茂县行政审批</w:t>
      </w:r>
      <w:r>
        <w:rPr>
          <w:rFonts w:hint="eastAsia" w:ascii="仿宋_GB2312" w:hAnsi="仿宋_GB2312" w:eastAsia="仿宋_GB2312" w:cs="仿宋_GB2312"/>
          <w:color w:val="auto"/>
          <w:kern w:val="0"/>
          <w:sz w:val="32"/>
          <w:szCs w:val="32"/>
          <w:lang w:eastAsia="zh-CN"/>
        </w:rPr>
        <w:t>和政务服务管理</w:t>
      </w:r>
      <w:r>
        <w:rPr>
          <w:rFonts w:hint="eastAsia" w:ascii="仿宋_GB2312" w:hAnsi="仿宋_GB2312" w:eastAsia="仿宋_GB2312" w:cs="仿宋_GB2312"/>
          <w:color w:val="auto"/>
          <w:kern w:val="0"/>
          <w:sz w:val="32"/>
          <w:szCs w:val="32"/>
        </w:rPr>
        <w:t>局本年收入合计</w:t>
      </w:r>
      <w:r>
        <w:rPr>
          <w:rFonts w:hint="eastAsia" w:ascii="仿宋_GB2312" w:hAnsi="仿宋_GB2312" w:eastAsia="仿宋_GB2312" w:cs="仿宋_GB2312"/>
          <w:color w:val="auto"/>
          <w:sz w:val="32"/>
          <w:szCs w:val="32"/>
          <w:lang w:val="en-US" w:eastAsia="zh-CN"/>
        </w:rPr>
        <w:t>444.07</w:t>
      </w:r>
      <w:r>
        <w:rPr>
          <w:rFonts w:hint="eastAsia" w:ascii="仿宋_GB2312" w:hAnsi="仿宋_GB2312" w:eastAsia="仿宋_GB2312" w:cs="仿宋_GB2312"/>
          <w:color w:val="auto"/>
          <w:kern w:val="0"/>
          <w:sz w:val="32"/>
          <w:szCs w:val="32"/>
        </w:rPr>
        <w:t>万元，其中：一般公共财政预算拨款收入</w:t>
      </w:r>
      <w:r>
        <w:rPr>
          <w:rFonts w:hint="eastAsia" w:ascii="仿宋_GB2312" w:hAnsi="仿宋_GB2312" w:eastAsia="仿宋_GB2312" w:cs="仿宋_GB2312"/>
          <w:color w:val="auto"/>
          <w:sz w:val="32"/>
          <w:szCs w:val="32"/>
          <w:lang w:val="en-US" w:eastAsia="zh-CN"/>
        </w:rPr>
        <w:t>444.07</w:t>
      </w:r>
      <w:r>
        <w:rPr>
          <w:rFonts w:hint="eastAsia" w:ascii="仿宋_GB2312" w:hAnsi="仿宋_GB2312" w:eastAsia="仿宋_GB2312" w:cs="仿宋_GB2312"/>
          <w:color w:val="auto"/>
          <w:kern w:val="0"/>
          <w:sz w:val="32"/>
          <w:szCs w:val="32"/>
        </w:rPr>
        <w:t>万元，政府性基金预算财政拨款收入0万元。</w:t>
      </w:r>
    </w:p>
    <w:p w14:paraId="5DB80791">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p>
    <w:p w14:paraId="77BAAA0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val="0"/>
          <w:bCs/>
          <w:kern w:val="2"/>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年12月茂县行政审批局本年支出合计</w:t>
      </w:r>
      <w:r>
        <w:rPr>
          <w:rFonts w:hint="eastAsia" w:ascii="仿宋_GB2312" w:hAnsi="仿宋_GB2312" w:eastAsia="仿宋_GB2312" w:cs="仿宋_GB2312"/>
          <w:color w:val="auto"/>
          <w:sz w:val="32"/>
          <w:szCs w:val="32"/>
          <w:lang w:val="en-US" w:eastAsia="zh-CN"/>
        </w:rPr>
        <w:t>444.07</w:t>
      </w:r>
      <w:r>
        <w:rPr>
          <w:rFonts w:hint="eastAsia" w:ascii="仿宋_GB2312" w:hAnsi="仿宋_GB2312" w:eastAsia="仿宋_GB2312" w:cs="仿宋_GB2312"/>
          <w:color w:val="auto"/>
          <w:kern w:val="0"/>
          <w:sz w:val="32"/>
          <w:szCs w:val="32"/>
        </w:rPr>
        <w:t>万元，其中：基本支出</w:t>
      </w:r>
      <w:r>
        <w:rPr>
          <w:rFonts w:hint="eastAsia" w:ascii="仿宋_GB2312" w:hAnsi="仿宋_GB2312" w:eastAsia="仿宋_GB2312" w:cs="仿宋_GB2312"/>
          <w:color w:val="auto"/>
          <w:sz w:val="32"/>
          <w:szCs w:val="32"/>
          <w:lang w:val="en-US" w:eastAsia="zh-CN"/>
        </w:rPr>
        <w:t>410.50</w:t>
      </w:r>
      <w:r>
        <w:rPr>
          <w:rFonts w:hint="eastAsia" w:ascii="仿宋_GB2312" w:hAnsi="仿宋_GB2312" w:eastAsia="仿宋_GB2312" w:cs="仿宋_GB2312"/>
          <w:color w:val="auto"/>
          <w:kern w:val="0"/>
          <w:sz w:val="32"/>
          <w:szCs w:val="32"/>
        </w:rPr>
        <w:t>万元。按功能分类，</w:t>
      </w:r>
      <w:r>
        <w:rPr>
          <w:rFonts w:hint="eastAsia" w:ascii="仿宋" w:hAnsi="仿宋" w:eastAsia="仿宋" w:cs="仿宋"/>
          <w:b w:val="0"/>
          <w:bCs/>
          <w:kern w:val="2"/>
          <w:sz w:val="32"/>
          <w:szCs w:val="32"/>
          <w:lang w:val="en-US" w:eastAsia="zh-CN" w:bidi="ar"/>
        </w:rPr>
        <w:t>一般公共服务支出343.6万元；社会保障和就业支出</w:t>
      </w:r>
      <w:r>
        <w:rPr>
          <w:rFonts w:hint="eastAsia" w:ascii="仿宋" w:hAnsi="仿宋" w:eastAsia="仿宋" w:cs="Times New Roman"/>
          <w:b w:val="0"/>
          <w:bCs/>
          <w:kern w:val="2"/>
          <w:sz w:val="32"/>
          <w:szCs w:val="32"/>
          <w:lang w:val="en-US" w:eastAsia="zh-CN" w:bidi="ar"/>
        </w:rPr>
        <w:t>51.10</w:t>
      </w:r>
      <w:r>
        <w:rPr>
          <w:rFonts w:hint="eastAsia" w:ascii="仿宋" w:hAnsi="仿宋" w:eastAsia="仿宋" w:cs="仿宋"/>
          <w:b w:val="0"/>
          <w:bCs/>
          <w:kern w:val="2"/>
          <w:sz w:val="32"/>
          <w:szCs w:val="32"/>
          <w:lang w:val="en-US" w:eastAsia="zh-CN" w:bidi="ar"/>
        </w:rPr>
        <w:t>万元；卫生健康支出</w:t>
      </w:r>
      <w:r>
        <w:rPr>
          <w:rFonts w:hint="eastAsia" w:ascii="仿宋" w:hAnsi="仿宋" w:eastAsia="仿宋" w:cs="Times New Roman"/>
          <w:b w:val="0"/>
          <w:bCs/>
          <w:kern w:val="2"/>
          <w:sz w:val="32"/>
          <w:szCs w:val="32"/>
          <w:lang w:val="en-US" w:eastAsia="zh-CN" w:bidi="ar"/>
        </w:rPr>
        <w:t>20.06</w:t>
      </w:r>
      <w:r>
        <w:rPr>
          <w:rFonts w:hint="eastAsia" w:ascii="仿宋" w:hAnsi="仿宋" w:eastAsia="仿宋" w:cs="仿宋"/>
          <w:b w:val="0"/>
          <w:bCs/>
          <w:kern w:val="2"/>
          <w:sz w:val="32"/>
          <w:szCs w:val="32"/>
          <w:lang w:val="en-US" w:eastAsia="zh-CN" w:bidi="ar"/>
        </w:rPr>
        <w:t>万元；住房保障支出</w:t>
      </w:r>
      <w:r>
        <w:rPr>
          <w:rFonts w:hint="eastAsia" w:ascii="仿宋" w:hAnsi="仿宋" w:eastAsia="仿宋" w:cs="Times New Roman"/>
          <w:b w:val="0"/>
          <w:bCs/>
          <w:kern w:val="2"/>
          <w:sz w:val="32"/>
          <w:szCs w:val="32"/>
          <w:lang w:val="en-US" w:eastAsia="zh-CN" w:bidi="ar"/>
        </w:rPr>
        <w:t>29.31</w:t>
      </w:r>
      <w:r>
        <w:rPr>
          <w:rFonts w:hint="eastAsia" w:ascii="仿宋" w:hAnsi="仿宋" w:eastAsia="仿宋" w:cs="仿宋"/>
          <w:b w:val="0"/>
          <w:bCs/>
          <w:kern w:val="2"/>
          <w:sz w:val="32"/>
          <w:szCs w:val="32"/>
          <w:lang w:val="en-US" w:eastAsia="zh-CN" w:bidi="ar"/>
        </w:rPr>
        <w:t>万元。</w:t>
      </w:r>
    </w:p>
    <w:p w14:paraId="25A6F818">
      <w:pPr>
        <w:keepNext w:val="0"/>
        <w:keepLines w:val="0"/>
        <w:pageBreakBefore w:val="0"/>
        <w:numPr>
          <w:ilvl w:val="0"/>
          <w:numId w:val="0"/>
        </w:numPr>
        <w:kinsoku/>
        <w:wordWrap/>
        <w:overflowPunct/>
        <w:topLinePunct w:val="0"/>
        <w:autoSpaceDE/>
        <w:autoSpaceDN/>
        <w:bidi w:val="0"/>
        <w:adjustRightInd w:val="0"/>
        <w:snapToGrid w:val="0"/>
        <w:spacing w:line="580" w:lineRule="exact"/>
        <w:textAlignment w:val="auto"/>
        <w:rPr>
          <w:rStyle w:val="23"/>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按经济分类，工资福利支出</w:t>
      </w:r>
      <w:r>
        <w:rPr>
          <w:rFonts w:hint="eastAsia" w:ascii="仿宋_GB2312" w:hAnsi="仿宋_GB2312" w:eastAsia="仿宋_GB2312" w:cs="仿宋_GB2312"/>
          <w:color w:val="auto"/>
          <w:kern w:val="0"/>
          <w:sz w:val="32"/>
          <w:szCs w:val="32"/>
          <w:lang w:val="en-US" w:eastAsia="zh-CN"/>
        </w:rPr>
        <w:t>357.54</w:t>
      </w:r>
      <w:r>
        <w:rPr>
          <w:rFonts w:hint="eastAsia" w:ascii="仿宋_GB2312" w:hAnsi="仿宋_GB2312" w:eastAsia="仿宋_GB2312" w:cs="仿宋_GB2312"/>
          <w:color w:val="auto"/>
          <w:kern w:val="0"/>
          <w:sz w:val="32"/>
          <w:szCs w:val="32"/>
        </w:rPr>
        <w:t>万元，对家庭和个人的补助</w:t>
      </w:r>
      <w:r>
        <w:rPr>
          <w:rFonts w:hint="eastAsia" w:ascii="仿宋_GB2312" w:hAnsi="仿宋_GB2312" w:eastAsia="仿宋_GB2312" w:cs="仿宋_GB2312"/>
          <w:color w:val="auto"/>
          <w:kern w:val="0"/>
          <w:sz w:val="32"/>
          <w:szCs w:val="32"/>
          <w:lang w:val="en-US" w:eastAsia="zh-CN"/>
        </w:rPr>
        <w:t>2.49</w:t>
      </w:r>
      <w:r>
        <w:rPr>
          <w:rFonts w:hint="eastAsia" w:ascii="仿宋_GB2312" w:hAnsi="仿宋_GB2312" w:eastAsia="仿宋_GB2312" w:cs="仿宋_GB2312"/>
          <w:color w:val="auto"/>
          <w:kern w:val="0"/>
          <w:sz w:val="32"/>
          <w:szCs w:val="32"/>
        </w:rPr>
        <w:t>万元，商品服务支出</w:t>
      </w:r>
      <w:r>
        <w:rPr>
          <w:rFonts w:hint="eastAsia" w:ascii="仿宋_GB2312" w:hAnsi="仿宋_GB2312" w:eastAsia="仿宋_GB2312" w:cs="仿宋_GB2312"/>
          <w:color w:val="auto"/>
          <w:kern w:val="0"/>
          <w:sz w:val="32"/>
          <w:szCs w:val="32"/>
          <w:lang w:val="en-US" w:eastAsia="zh-CN"/>
        </w:rPr>
        <w:t>84.03</w:t>
      </w:r>
      <w:r>
        <w:rPr>
          <w:rFonts w:hint="eastAsia" w:ascii="仿宋_GB2312" w:hAnsi="仿宋_GB2312" w:eastAsia="仿宋_GB2312" w:cs="仿宋_GB2312"/>
          <w:color w:val="auto"/>
          <w:kern w:val="0"/>
          <w:sz w:val="32"/>
          <w:szCs w:val="32"/>
        </w:rPr>
        <w:t>万元。</w:t>
      </w:r>
    </w:p>
    <w:p w14:paraId="4462AC17">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结余分配和结转结余情况</w:t>
      </w:r>
    </w:p>
    <w:p w14:paraId="7A894F70">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年年末项目支出</w:t>
      </w:r>
      <w:r>
        <w:rPr>
          <w:rFonts w:hint="eastAsia" w:ascii="仿宋_GB2312" w:hAnsi="仿宋_GB2312" w:eastAsia="仿宋_GB2312" w:cs="仿宋_GB2312"/>
          <w:color w:val="auto"/>
          <w:kern w:val="0"/>
          <w:sz w:val="32"/>
          <w:szCs w:val="32"/>
          <w:lang w:eastAsia="zh-CN"/>
        </w:rPr>
        <w:t>结转结余</w:t>
      </w:r>
      <w:r>
        <w:rPr>
          <w:rFonts w:hint="eastAsia" w:ascii="仿宋_GB2312" w:hAnsi="仿宋_GB2312" w:eastAsia="仿宋_GB2312" w:cs="仿宋_GB2312"/>
          <w:color w:val="auto"/>
          <w:kern w:val="0"/>
          <w:sz w:val="32"/>
          <w:szCs w:val="32"/>
        </w:rPr>
        <w:t>0万元。</w:t>
      </w:r>
    </w:p>
    <w:p w14:paraId="408C1A90">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三、部门预算绩效分析</w:t>
      </w:r>
    </w:p>
    <w:p w14:paraId="751225DC">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14:paraId="7CC3CB52">
      <w:pPr>
        <w:adjustRightInd w:val="0"/>
        <w:snapToGrid w:val="0"/>
        <w:spacing w:line="578" w:lineRule="exact"/>
        <w:ind w:firstLine="640" w:firstLineChars="200"/>
        <w:contextualSpacing/>
        <w:jc w:val="left"/>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r>
        <w:rPr>
          <w:rFonts w:hint="eastAsia" w:ascii="仿宋_GB2312" w:hAnsi="仿宋_GB2312" w:eastAsia="仿宋_GB2312" w:cs="仿宋_GB2312"/>
          <w:color w:val="auto"/>
          <w:kern w:val="0"/>
          <w:sz w:val="32"/>
          <w:szCs w:val="32"/>
        </w:rPr>
        <w:t>规范指导全县行政审批和政务服务工作，建立和完善相应工作机制，推进标准化建设；指导、协调进驻政务服务大厅部门的行政审批和公共服务工作；对窗口工作人员进行日常管理、年度考核等</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对各乡镇便民服务中心相关工作的运行进行业务指导和监督，建立和完善高效的政务服务体系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全县公共资源交易管理工作</w:t>
      </w:r>
      <w:r>
        <w:rPr>
          <w:rFonts w:hint="eastAsia" w:ascii="仿宋_GB2312" w:hAnsi="仿宋_GB2312" w:eastAsia="仿宋_GB2312" w:cs="仿宋_GB2312"/>
          <w:color w:val="000000"/>
          <w:kern w:val="0"/>
          <w:sz w:val="32"/>
          <w:szCs w:val="32"/>
          <w:shd w:val="clear" w:color="auto" w:fill="FFFFFF"/>
          <w:lang w:val="zh-CN"/>
        </w:rPr>
        <w:t>。该项指标分值</w:t>
      </w:r>
      <w:r>
        <w:rPr>
          <w:rFonts w:hint="eastAsia" w:ascii="仿宋_GB2312" w:hAnsi="仿宋_GB2312" w:eastAsia="仿宋_GB2312" w:cs="仿宋_GB2312"/>
          <w:color w:val="000000"/>
          <w:kern w:val="0"/>
          <w:sz w:val="32"/>
          <w:szCs w:val="32"/>
          <w:shd w:val="clear" w:color="auto" w:fill="FFFFFF"/>
          <w:lang w:val="en-US" w:eastAsia="zh-CN"/>
        </w:rPr>
        <w:t>15分，自评得分9分。</w:t>
      </w:r>
    </w:p>
    <w:p w14:paraId="730FE5AD">
      <w:pPr>
        <w:widowControl/>
        <w:spacing w:line="576" w:lineRule="exact"/>
        <w:ind w:firstLine="640" w:firstLineChars="200"/>
        <w:jc w:val="left"/>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r>
        <w:rPr>
          <w:rFonts w:hint="eastAsia" w:ascii="仿宋_GB2312" w:hAnsi="仿宋_GB2312" w:eastAsia="仿宋_GB2312" w:cs="仿宋_GB2312"/>
          <w:kern w:val="0"/>
          <w:sz w:val="32"/>
          <w:szCs w:val="32"/>
        </w:rPr>
        <w:t>根据《预算法》等法律法规的规定</w:t>
      </w:r>
      <w:r>
        <w:rPr>
          <w:rFonts w:hint="eastAsia" w:ascii="仿宋_GB2312" w:hAnsi="仿宋_GB2312" w:eastAsia="仿宋_GB2312" w:cs="仿宋_GB2312"/>
          <w:color w:val="000000"/>
          <w:kern w:val="0"/>
          <w:sz w:val="32"/>
          <w:szCs w:val="32"/>
          <w:shd w:val="clear" w:color="auto" w:fill="FFFFFF"/>
          <w:lang w:val="zh-CN" w:eastAsia="zh-CN"/>
        </w:rPr>
        <w:t>和本单位工作实际情况，严格按要求编制年初部门预算，确保年初预算编制的科学性和准确性。单位严控“三公”经费、会议、培训、差旅、办节办展、办公设备购置、信息网络及软件购置更新、课题经费等一般性支出。</w:t>
      </w:r>
      <w:r>
        <w:rPr>
          <w:rFonts w:hint="eastAsia" w:ascii="仿宋_GB2312" w:hAnsi="仿宋_GB2312" w:eastAsia="仿宋_GB2312" w:cs="仿宋_GB2312"/>
          <w:color w:val="auto"/>
          <w:kern w:val="0"/>
          <w:sz w:val="32"/>
          <w:szCs w:val="32"/>
        </w:rPr>
        <w:t>基本支出202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年12月按月或季度进行申报，其中人员工资按月申报并直接支付，日常公用经费按月进行申报并支付，项目支出按项目实际开展进度申报并支付。</w:t>
      </w:r>
      <w:r>
        <w:rPr>
          <w:rFonts w:hint="eastAsia" w:ascii="仿宋_GB2312" w:hAnsi="仿宋_GB2312" w:eastAsia="仿宋_GB2312" w:cs="仿宋_GB2312"/>
          <w:color w:val="auto"/>
          <w:kern w:val="0"/>
          <w:sz w:val="32"/>
          <w:szCs w:val="32"/>
          <w:lang w:eastAsia="zh-CN"/>
        </w:rPr>
        <w:t>该项指标分值</w:t>
      </w:r>
      <w:r>
        <w:rPr>
          <w:rFonts w:hint="eastAsia" w:ascii="仿宋_GB2312" w:hAnsi="仿宋_GB2312" w:eastAsia="仿宋_GB2312" w:cs="仿宋_GB2312"/>
          <w:color w:val="auto"/>
          <w:kern w:val="0"/>
          <w:sz w:val="32"/>
          <w:szCs w:val="32"/>
          <w:lang w:val="en-US" w:eastAsia="zh-CN"/>
        </w:rPr>
        <w:t>25分，自评得分25分。</w:t>
      </w:r>
    </w:p>
    <w:p w14:paraId="5C3742A4">
      <w:pPr>
        <w:adjustRightInd w:val="0"/>
        <w:snapToGrid w:val="0"/>
        <w:spacing w:line="578" w:lineRule="exact"/>
        <w:ind w:firstLine="640" w:firstLineChars="200"/>
        <w:contextualSpacing/>
        <w:jc w:val="left"/>
        <w:rPr>
          <w:rFonts w:hint="default"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财务管理。</w:t>
      </w:r>
      <w:r>
        <w:rPr>
          <w:rFonts w:hint="eastAsia" w:ascii="仿宋_GB2312" w:hAnsi="仿宋_GB2312" w:eastAsia="仿宋_GB2312" w:cs="仿宋_GB2312"/>
          <w:color w:val="000000"/>
          <w:kern w:val="0"/>
          <w:sz w:val="32"/>
          <w:szCs w:val="32"/>
          <w:shd w:val="clear" w:color="auto" w:fill="FFFFFF"/>
          <w:lang w:val="zh-CN" w:eastAsia="zh-CN"/>
        </w:rPr>
        <w:t>根据《会计法》及财务工作有关规定，结合单位实际，制订了《茂县行政审批局财务管理制度》，合理设置财务工作岗位，明确职责权限，严格实行不相容岗位分离，严格按照相关财务管理制度规定使用各项资金。该项指标分值</w:t>
      </w:r>
      <w:r>
        <w:rPr>
          <w:rFonts w:hint="eastAsia" w:ascii="仿宋_GB2312" w:hAnsi="仿宋_GB2312" w:eastAsia="仿宋_GB2312" w:cs="仿宋_GB2312"/>
          <w:color w:val="000000"/>
          <w:kern w:val="0"/>
          <w:sz w:val="32"/>
          <w:szCs w:val="32"/>
          <w:shd w:val="clear" w:color="auto" w:fill="FFFFFF"/>
          <w:lang w:val="en-US" w:eastAsia="zh-CN"/>
        </w:rPr>
        <w:t>10分，自评得分10分。</w:t>
      </w:r>
    </w:p>
    <w:p w14:paraId="03888CDD">
      <w:pPr>
        <w:adjustRightInd w:val="0"/>
        <w:snapToGrid w:val="0"/>
        <w:spacing w:line="578" w:lineRule="exact"/>
        <w:ind w:firstLine="640" w:firstLineChars="200"/>
        <w:contextualSpacing/>
        <w:jc w:val="left"/>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资产管理。人均资产无变化，科学合理分配使用资产，无闲置资产。该项指标分值</w:t>
      </w:r>
      <w:r>
        <w:rPr>
          <w:rFonts w:hint="eastAsia" w:ascii="仿宋_GB2312" w:hAnsi="仿宋_GB2312" w:eastAsia="仿宋_GB2312" w:cs="仿宋_GB2312"/>
          <w:color w:val="000000"/>
          <w:kern w:val="0"/>
          <w:sz w:val="32"/>
          <w:szCs w:val="32"/>
          <w:shd w:val="clear" w:color="auto" w:fill="FFFFFF"/>
          <w:lang w:val="en-US" w:eastAsia="zh-CN"/>
        </w:rPr>
        <w:t>18分，自评得分18分。</w:t>
      </w:r>
    </w:p>
    <w:p w14:paraId="5AA58480">
      <w:pPr>
        <w:adjustRightInd w:val="0"/>
        <w:snapToGrid w:val="0"/>
        <w:spacing w:line="578" w:lineRule="exact"/>
        <w:ind w:firstLine="640" w:firstLineChars="200"/>
        <w:contextualSpacing/>
        <w:jc w:val="left"/>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5.</w:t>
      </w:r>
      <w:r>
        <w:rPr>
          <w:rFonts w:hint="eastAsia" w:ascii="仿宋_GB2312" w:hAnsi="仿宋_GB2312" w:eastAsia="仿宋_GB2312" w:cs="仿宋_GB2312"/>
          <w:color w:val="000000"/>
          <w:kern w:val="0"/>
          <w:sz w:val="32"/>
          <w:szCs w:val="32"/>
          <w:shd w:val="clear" w:color="auto" w:fill="FFFFFF"/>
          <w:lang w:val="zh-CN"/>
        </w:rPr>
        <w:t>采购管理。</w:t>
      </w:r>
      <w:r>
        <w:rPr>
          <w:rFonts w:hint="eastAsia" w:ascii="仿宋_GB2312" w:hAnsi="仿宋_GB2312" w:eastAsia="仿宋_GB2312" w:cs="仿宋_GB2312"/>
          <w:color w:val="000000"/>
          <w:kern w:val="0"/>
          <w:sz w:val="32"/>
          <w:szCs w:val="32"/>
          <w:shd w:val="clear" w:color="auto" w:fill="FFFFFF"/>
          <w:lang w:val="en-US" w:eastAsia="zh-CN"/>
        </w:rPr>
        <w:t>2025年度茂县行政审批和政务服务管理局无采购，该项指标分值9分，自评得分9分。</w:t>
      </w:r>
    </w:p>
    <w:p w14:paraId="41EA6D43">
      <w:pPr>
        <w:widowControl/>
        <w:adjustRightInd w:val="0"/>
        <w:snapToGrid w:val="0"/>
        <w:spacing w:line="578" w:lineRule="exact"/>
        <w:ind w:firstLine="643" w:firstLineChars="200"/>
        <w:contextualSpacing/>
        <w:jc w:val="left"/>
        <w:rPr>
          <w:rFonts w:hint="default" w:ascii="Times New Roman" w:hAnsi="Times New Roman"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r>
        <w:rPr>
          <w:rFonts w:hint="default" w:ascii="Times New Roman" w:hAnsi="Times New Roman" w:eastAsia="仿宋_GB2312" w:cs="仿宋_GB2312"/>
          <w:color w:val="auto"/>
          <w:kern w:val="2"/>
          <w:sz w:val="32"/>
          <w:szCs w:val="32"/>
          <w:highlight w:val="none"/>
          <w:lang w:val="en-US" w:eastAsia="zh-CN" w:bidi="ar-SA"/>
        </w:rPr>
        <w:t>常年项目绩效分析。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31</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410.51</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r>
        <w:rPr>
          <w:rFonts w:hint="default" w:ascii="Times New Roman" w:hAnsi="Times New Roman" w:eastAsia="仿宋_GB2312" w:cs="仿宋_GB2312"/>
          <w:color w:val="auto"/>
          <w:kern w:val="2"/>
          <w:sz w:val="32"/>
          <w:szCs w:val="32"/>
          <w:highlight w:val="none"/>
          <w:lang w:val="en-US" w:eastAsia="zh-CN" w:bidi="ar-SA"/>
        </w:rPr>
        <w:t>阶段</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一次性</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项目绩效分析。</w:t>
      </w:r>
      <w:r>
        <w:rPr>
          <w:rFonts w:hint="default" w:ascii="Times New Roman" w:hAnsi="Times New Roman" w:eastAsia="仿宋_GB2312" w:cs="仿宋_GB2312"/>
          <w:color w:val="auto"/>
          <w:kern w:val="2"/>
          <w:sz w:val="32"/>
          <w:szCs w:val="32"/>
          <w:highlight w:val="none"/>
          <w:lang w:val="zh-CN" w:eastAsia="zh-CN" w:bidi="ar-SA"/>
        </w:rPr>
        <w:t>该类项目总数</w:t>
      </w:r>
      <w:r>
        <w:rPr>
          <w:rFonts w:hint="eastAsia" w:ascii="Times New Roman" w:hAnsi="Times New Roman" w:eastAsia="仿宋_GB2312" w:cs="仿宋_GB2312"/>
          <w:color w:val="auto"/>
          <w:kern w:val="2"/>
          <w:sz w:val="32"/>
          <w:szCs w:val="32"/>
          <w:highlight w:val="none"/>
          <w:lang w:val="en-US" w:eastAsia="zh-CN" w:bidi="ar-SA"/>
        </w:rPr>
        <w:t>4</w:t>
      </w:r>
      <w:r>
        <w:rPr>
          <w:rFonts w:hint="default" w:ascii="Times New Roman" w:hAnsi="Times New Roman" w:eastAsia="仿宋_GB2312" w:cs="仿宋_GB2312"/>
          <w:color w:val="auto"/>
          <w:kern w:val="2"/>
          <w:sz w:val="32"/>
          <w:szCs w:val="32"/>
          <w:highlight w:val="none"/>
          <w:lang w:val="zh-CN" w:eastAsia="zh-CN" w:bidi="ar-SA"/>
        </w:rPr>
        <w:t>个，涉及预算总金额</w:t>
      </w:r>
      <w:r>
        <w:rPr>
          <w:rFonts w:hint="eastAsia" w:ascii="Times New Roman" w:hAnsi="Times New Roman" w:eastAsia="仿宋_GB2312" w:cs="仿宋_GB2312"/>
          <w:color w:val="auto"/>
          <w:kern w:val="2"/>
          <w:sz w:val="32"/>
          <w:szCs w:val="32"/>
          <w:highlight w:val="none"/>
          <w:lang w:val="en-US" w:eastAsia="zh-CN" w:bidi="ar-SA"/>
        </w:rPr>
        <w:t>33.56</w:t>
      </w:r>
      <w:r>
        <w:rPr>
          <w:rFonts w:hint="default" w:ascii="Times New Roman" w:hAnsi="Times New Roman" w:eastAsia="仿宋_GB2312" w:cs="仿宋_GB2312"/>
          <w:color w:val="auto"/>
          <w:kern w:val="2"/>
          <w:sz w:val="32"/>
          <w:szCs w:val="32"/>
          <w:highlight w:val="none"/>
          <w:lang w:val="zh-CN" w:eastAsia="zh-CN" w:bidi="ar-SA"/>
        </w:rPr>
        <w:t>万元，1</w:t>
      </w:r>
      <w:r>
        <w:rPr>
          <w:rFonts w:hint="eastAsia" w:ascii="Times New Roman" w:hAnsi="Times New Roman" w:eastAsia="仿宋_GB2312" w:cs="仿宋_GB2312"/>
          <w:color w:val="auto"/>
          <w:kern w:val="2"/>
          <w:sz w:val="32"/>
          <w:szCs w:val="32"/>
          <w:highlight w:val="none"/>
          <w:lang w:val="zh-CN" w:eastAsia="zh-CN" w:bidi="ar-SA"/>
        </w:rPr>
        <w:t>—</w:t>
      </w:r>
      <w:r>
        <w:rPr>
          <w:rFonts w:hint="default" w:ascii="Times New Roman" w:hAnsi="Times New Roman" w:eastAsia="仿宋_GB2312" w:cs="仿宋_GB2312"/>
          <w:color w:val="auto"/>
          <w:kern w:val="2"/>
          <w:sz w:val="32"/>
          <w:szCs w:val="32"/>
          <w:highlight w:val="none"/>
          <w:lang w:val="zh-CN" w:eastAsia="zh-CN" w:bidi="ar-SA"/>
        </w:rPr>
        <w:t>1</w:t>
      </w:r>
      <w:r>
        <w:rPr>
          <w:rFonts w:hint="default"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月预算执行总体进度为</w:t>
      </w:r>
      <w:r>
        <w:rPr>
          <w:rFonts w:hint="eastAsia" w:ascii="Times New Roman" w:hAnsi="Times New Roman" w:eastAsia="仿宋_GB2312" w:cs="仿宋_GB2312"/>
          <w:color w:val="auto"/>
          <w:kern w:val="2"/>
          <w:sz w:val="32"/>
          <w:szCs w:val="32"/>
          <w:highlight w:val="none"/>
          <w:lang w:val="en-US" w:eastAsia="zh-CN" w:bidi="ar-SA"/>
        </w:rPr>
        <w:t>100</w:t>
      </w:r>
      <w:r>
        <w:rPr>
          <w:rFonts w:hint="default" w:ascii="Times New Roman" w:hAnsi="Times New Roman" w:eastAsia="仿宋_GB2312" w:cs="仿宋_GB2312"/>
          <w:color w:val="auto"/>
          <w:kern w:val="2"/>
          <w:sz w:val="32"/>
          <w:szCs w:val="32"/>
          <w:highlight w:val="none"/>
          <w:lang w:val="zh-CN" w:eastAsia="zh-CN" w:bidi="ar-SA"/>
        </w:rPr>
        <w:t>%，其中：预算结余率大于</w:t>
      </w:r>
      <w:r>
        <w:rPr>
          <w:rFonts w:hint="default" w:ascii="Times New Roman" w:hAnsi="Times New Roman" w:eastAsia="仿宋_GB2312" w:cs="仿宋_GB2312"/>
          <w:color w:val="auto"/>
          <w:kern w:val="2"/>
          <w:sz w:val="32"/>
          <w:szCs w:val="32"/>
          <w:highlight w:val="none"/>
          <w:lang w:val="en-US" w:eastAsia="zh-CN" w:bidi="ar-SA"/>
        </w:rPr>
        <w:t>10%</w:t>
      </w:r>
      <w:r>
        <w:rPr>
          <w:rFonts w:hint="default" w:ascii="Times New Roman" w:hAnsi="Times New Roman" w:eastAsia="仿宋_GB2312" w:cs="仿宋_GB2312"/>
          <w:color w:val="auto"/>
          <w:kern w:val="2"/>
          <w:sz w:val="32"/>
          <w:szCs w:val="32"/>
          <w:highlight w:val="none"/>
          <w:lang w:val="zh-CN" w:eastAsia="zh-CN" w:bidi="ar-SA"/>
        </w:rPr>
        <w:t>的项目共计</w:t>
      </w:r>
      <w:r>
        <w:rPr>
          <w:rFonts w:hint="eastAsia" w:ascii="Times New Roman" w:hAnsi="Times New Roman" w:eastAsia="仿宋_GB2312" w:cs="仿宋_GB2312"/>
          <w:color w:val="auto"/>
          <w:kern w:val="2"/>
          <w:sz w:val="32"/>
          <w:szCs w:val="32"/>
          <w:highlight w:val="none"/>
          <w:lang w:val="en-US" w:eastAsia="zh-CN" w:bidi="ar-SA"/>
        </w:rPr>
        <w:t>0</w:t>
      </w:r>
      <w:r>
        <w:rPr>
          <w:rFonts w:hint="default" w:ascii="Times New Roman" w:hAnsi="Times New Roman" w:eastAsia="仿宋_GB2312" w:cs="仿宋_GB2312"/>
          <w:color w:val="auto"/>
          <w:kern w:val="2"/>
          <w:sz w:val="32"/>
          <w:szCs w:val="32"/>
          <w:highlight w:val="none"/>
          <w:lang w:val="zh-CN" w:eastAsia="zh-CN" w:bidi="ar-SA"/>
        </w:rPr>
        <w:t>个。</w:t>
      </w:r>
    </w:p>
    <w:p w14:paraId="1028D510">
      <w:pPr>
        <w:spacing w:line="560" w:lineRule="exact"/>
        <w:ind w:firstLine="640" w:firstLineChars="200"/>
        <w:rPr>
          <w:rFonts w:hint="default"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项目决策。围绕省、州、县政务服务工作要点，持续提升政务服务质量及效能。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预算项目设立按规定履行评估论证、申报程序。项目绩效目标与计划期内的任务量、预算安排的资金量相匹配，绩效目标设置科学合理、规范完整，在规定时间完成了项目入库。该项指标分值</w:t>
      </w:r>
      <w:r>
        <w:rPr>
          <w:rFonts w:hint="eastAsia" w:ascii="仿宋_GB2312" w:hAnsi="仿宋_GB2312" w:eastAsia="仿宋_GB2312" w:cs="仿宋_GB2312"/>
          <w:kern w:val="2"/>
          <w:sz w:val="32"/>
          <w:szCs w:val="32"/>
          <w:lang w:val="en-US" w:eastAsia="zh-CN"/>
        </w:rPr>
        <w:t>12分，自评得分12分。</w:t>
      </w:r>
    </w:p>
    <w:p w14:paraId="58B6E82C">
      <w:pPr>
        <w:spacing w:line="560" w:lineRule="exact"/>
        <w:ind w:firstLine="640" w:firstLineChars="200"/>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33.56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lang w:val="en-US" w:eastAsia="zh-CN"/>
        </w:rPr>
        <w:t>政务服务大厅购买服务劳务费21.05万元；专项工作经费10.51万元；政府集中采购专家评审劳务费3.91万元；政务大厅维修改造2.01万元。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围绕项目资金安排，项目实际列支内容与绩效目标设置方向相符，严格按照相关规定执行资金支付，各项目顺利完成。该项指标</w:t>
      </w:r>
      <w:r>
        <w:rPr>
          <w:rFonts w:hint="eastAsia" w:ascii="仿宋_GB2312" w:hAnsi="仿宋_GB2312" w:eastAsia="仿宋_GB2312" w:cs="仿宋_GB2312"/>
          <w:color w:val="000000"/>
          <w:kern w:val="0"/>
          <w:sz w:val="32"/>
          <w:szCs w:val="32"/>
          <w:shd w:val="clear" w:color="auto" w:fill="FFFFFF"/>
          <w:lang w:val="en-US" w:eastAsia="zh-CN"/>
        </w:rPr>
        <w:t>12分，自评得分12分。</w:t>
      </w:r>
    </w:p>
    <w:p w14:paraId="7979A46A">
      <w:pPr>
        <w:spacing w:line="560" w:lineRule="exact"/>
        <w:ind w:firstLine="640" w:firstLineChars="200"/>
        <w:rPr>
          <w:rFonts w:hint="default"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目标实现。以上项目资金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该项指标分值</w:t>
      </w:r>
      <w:r>
        <w:rPr>
          <w:rFonts w:hint="eastAsia" w:ascii="仿宋_GB2312" w:hAnsi="仿宋_GB2312" w:eastAsia="仿宋_GB2312" w:cs="仿宋_GB2312"/>
          <w:color w:val="auto"/>
          <w:sz w:val="32"/>
          <w:szCs w:val="32"/>
          <w:lang w:val="en-US" w:eastAsia="zh-CN"/>
        </w:rPr>
        <w:t>11分，自评得分11分。</w:t>
      </w:r>
    </w:p>
    <w:p w14:paraId="2CECE745">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（三）绩效结果应用情况。</w:t>
      </w:r>
      <w:r>
        <w:rPr>
          <w:rFonts w:hint="eastAsia" w:ascii="仿宋_GB2312" w:hAnsi="仿宋_GB2312" w:eastAsia="仿宋_GB2312" w:cs="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14:paraId="2F88177F">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14:paraId="5F475100">
      <w:pPr>
        <w:adjustRightInd w:val="0"/>
        <w:snapToGrid w:val="0"/>
        <w:spacing w:beforeLines="30" w:line="580" w:lineRule="exact"/>
        <w:ind w:firstLine="675" w:firstLineChars="21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年我单位部门整体支出绩效评价自查自评结果良好，全年基本支出保证了部门的正常运行和日常工作的正常开展，项目支出保障了重点工作的开展，达到预期绩效目标。</w:t>
      </w:r>
      <w:r>
        <w:rPr>
          <w:rFonts w:hint="eastAsia" w:ascii="仿宋_GB2312" w:hAnsi="仿宋_GB2312" w:eastAsia="仿宋_GB2312" w:cs="仿宋_GB2312"/>
          <w:color w:val="auto"/>
          <w:kern w:val="0"/>
          <w:sz w:val="32"/>
          <w:szCs w:val="32"/>
          <w:lang w:eastAsia="zh-CN"/>
        </w:rPr>
        <w:t>综合自评得分</w:t>
      </w:r>
      <w:r>
        <w:rPr>
          <w:rFonts w:hint="eastAsia" w:ascii="仿宋_GB2312" w:hAnsi="仿宋_GB2312" w:eastAsia="仿宋_GB2312" w:cs="仿宋_GB2312"/>
          <w:color w:val="auto"/>
          <w:kern w:val="0"/>
          <w:sz w:val="32"/>
          <w:szCs w:val="32"/>
          <w:lang w:val="en-US" w:eastAsia="zh-CN"/>
        </w:rPr>
        <w:t>94分。</w:t>
      </w:r>
    </w:p>
    <w:p w14:paraId="4E9B79B9">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color w:val="auto"/>
          <w:kern w:val="0"/>
          <w:sz w:val="32"/>
          <w:szCs w:val="32"/>
        </w:rPr>
        <w:t>预算编制需完善，绩效目标的制定有待更科学更合理。</w:t>
      </w:r>
    </w:p>
    <w:p w14:paraId="5756F085">
      <w:pPr>
        <w:widowControl/>
        <w:adjustRightInd w:val="0"/>
        <w:snapToGrid w:val="0"/>
        <w:spacing w:line="578" w:lineRule="exact"/>
        <w:ind w:firstLine="643" w:firstLineChars="200"/>
        <w:contextualSpacing/>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b/>
          <w:bCs/>
          <w:color w:val="000000"/>
          <w:kern w:val="0"/>
          <w:sz w:val="32"/>
          <w:szCs w:val="32"/>
          <w:shd w:val="clear" w:color="auto" w:fill="FFFFFF"/>
          <w:lang w:val="zh-CN"/>
        </w:rPr>
        <w:t>（三）改进建议。</w:t>
      </w:r>
      <w:bookmarkStart w:id="31" w:name="_Hlk110546638"/>
      <w:r>
        <w:rPr>
          <w:rFonts w:hint="eastAsia" w:ascii="仿宋_GB2312" w:hAnsi="仿宋_GB2312" w:eastAsia="仿宋_GB2312" w:cs="仿宋_GB2312"/>
          <w:color w:val="auto"/>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bookmarkEnd w:id="31"/>
    <w:p w14:paraId="2C641734">
      <w:pPr>
        <w:widowControl/>
        <w:adjustRightInd w:val="0"/>
        <w:snapToGrid w:val="0"/>
        <w:spacing w:line="578" w:lineRule="exact"/>
        <w:ind w:firstLine="640" w:firstLineChars="200"/>
        <w:contextualSpacing/>
        <w:jc w:val="left"/>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w:t>
      </w:r>
      <w:bookmarkStart w:id="59" w:name="_GoBack"/>
      <w:bookmarkEnd w:id="59"/>
      <w:r>
        <w:rPr>
          <w:rFonts w:hint="eastAsia" w:ascii="仿宋_GB2312" w:hAnsi="仿宋_GB2312" w:eastAsia="仿宋_GB2312" w:cs="仿宋_GB2312"/>
          <w:color w:val="auto"/>
          <w:kern w:val="0"/>
          <w:sz w:val="32"/>
          <w:szCs w:val="32"/>
          <w:lang w:val="en-US" w:eastAsia="zh-CN"/>
        </w:rPr>
        <w:t xml:space="preserve">                     </w:t>
      </w:r>
    </w:p>
    <w:p w14:paraId="027957A1">
      <w:pPr>
        <w:pStyle w:val="7"/>
        <w:rPr>
          <w:rFonts w:hint="eastAsia" w:ascii="仿宋_GB2312" w:hAnsi="仿宋_GB2312" w:eastAsia="仿宋_GB2312" w:cs="仿宋_GB2312"/>
          <w:color w:val="auto"/>
          <w:kern w:val="0"/>
          <w:sz w:val="32"/>
          <w:szCs w:val="32"/>
        </w:rPr>
      </w:pPr>
    </w:p>
    <w:p w14:paraId="5F7EBE58">
      <w:pPr>
        <w:pStyle w:val="7"/>
        <w:rPr>
          <w:rFonts w:hint="eastAsia" w:ascii="仿宋_GB2312" w:hAnsi="仿宋_GB2312" w:eastAsia="仿宋_GB2312" w:cs="仿宋_GB2312"/>
          <w:color w:val="auto"/>
          <w:kern w:val="0"/>
          <w:sz w:val="32"/>
          <w:szCs w:val="32"/>
        </w:rPr>
      </w:pPr>
    </w:p>
    <w:p w14:paraId="72E3B6B8">
      <w:pPr>
        <w:pStyle w:val="7"/>
        <w:rPr>
          <w:rFonts w:hint="eastAsia" w:ascii="仿宋_GB2312" w:hAnsi="仿宋_GB2312" w:eastAsia="仿宋_GB2312" w:cs="仿宋_GB2312"/>
          <w:color w:val="auto"/>
          <w:kern w:val="0"/>
          <w:sz w:val="32"/>
          <w:szCs w:val="32"/>
        </w:rPr>
      </w:pPr>
    </w:p>
    <w:p w14:paraId="33F029A5">
      <w:pPr>
        <w:pStyle w:val="7"/>
        <w:rPr>
          <w:rFonts w:hint="eastAsia" w:ascii="仿宋_GB2312" w:hAnsi="仿宋_GB2312" w:eastAsia="仿宋_GB2312" w:cs="仿宋_GB2312"/>
          <w:color w:val="auto"/>
          <w:kern w:val="0"/>
          <w:sz w:val="32"/>
          <w:szCs w:val="32"/>
        </w:rPr>
      </w:pPr>
    </w:p>
    <w:p w14:paraId="7BE588B0">
      <w:pPr>
        <w:pStyle w:val="7"/>
        <w:rPr>
          <w:rFonts w:hint="eastAsia" w:ascii="仿宋_GB2312" w:hAnsi="仿宋_GB2312" w:eastAsia="仿宋_GB2312" w:cs="仿宋_GB2312"/>
          <w:color w:val="auto"/>
          <w:kern w:val="0"/>
          <w:sz w:val="32"/>
          <w:szCs w:val="32"/>
        </w:rPr>
      </w:pPr>
    </w:p>
    <w:p w14:paraId="5D6103E8">
      <w:pPr>
        <w:pStyle w:val="7"/>
        <w:ind w:left="0" w:leftChars="0" w:firstLine="0" w:firstLineChars="0"/>
        <w:rPr>
          <w:rFonts w:hint="eastAsia" w:ascii="仿宋_GB2312" w:hAnsi="仿宋_GB2312" w:eastAsia="仿宋_GB2312" w:cs="仿宋_GB2312"/>
          <w:color w:val="auto"/>
          <w:kern w:val="0"/>
          <w:sz w:val="32"/>
          <w:szCs w:val="32"/>
        </w:rPr>
      </w:pPr>
    </w:p>
    <w:p w14:paraId="027A1800">
      <w:pPr>
        <w:spacing w:line="578" w:lineRule="exact"/>
        <w:rPr>
          <w:rFonts w:hint="default" w:eastAsia="黑体"/>
          <w:lang w:val="en-US" w:eastAsia="zh-CN"/>
        </w:rPr>
      </w:pPr>
    </w:p>
    <w:p w14:paraId="117A5846">
      <w:pPr>
        <w:pStyle w:val="2"/>
        <w:rPr>
          <w:rFonts w:hint="default" w:eastAsia="黑体"/>
          <w:lang w:val="en-US" w:eastAsia="zh-CN"/>
        </w:rPr>
      </w:pPr>
    </w:p>
    <w:p w14:paraId="2D4A2EB5">
      <w:pPr>
        <w:pStyle w:val="3"/>
        <w:rPr>
          <w:rFonts w:hint="default" w:eastAsia="黑体"/>
          <w:lang w:val="en-US" w:eastAsia="zh-CN"/>
        </w:rPr>
      </w:pPr>
    </w:p>
    <w:p w14:paraId="2339E19A">
      <w:pPr>
        <w:rPr>
          <w:rFonts w:hint="default" w:eastAsia="黑体"/>
          <w:lang w:val="en-US" w:eastAsia="zh-CN"/>
        </w:rPr>
      </w:pPr>
    </w:p>
    <w:p w14:paraId="132523FE">
      <w:pPr>
        <w:pStyle w:val="2"/>
        <w:rPr>
          <w:rFonts w:hint="default" w:eastAsia="黑体"/>
          <w:lang w:val="en-US" w:eastAsia="zh-CN"/>
        </w:rPr>
      </w:pPr>
    </w:p>
    <w:p w14:paraId="77042D17">
      <w:pPr>
        <w:pStyle w:val="3"/>
        <w:rPr>
          <w:rFonts w:hint="default"/>
          <w:lang w:val="en-US" w:eastAsia="zh-CN"/>
        </w:rPr>
      </w:pP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9"/>
        <w:gridCol w:w="666"/>
        <w:gridCol w:w="639"/>
        <w:gridCol w:w="905"/>
        <w:gridCol w:w="423"/>
        <w:gridCol w:w="936"/>
        <w:gridCol w:w="770"/>
        <w:gridCol w:w="954"/>
        <w:gridCol w:w="491"/>
        <w:gridCol w:w="491"/>
        <w:gridCol w:w="1598"/>
      </w:tblGrid>
      <w:tr w14:paraId="11A9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B6FFCE4">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BED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7D8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9446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51322324T000011747449-政务服务大厅购买服务劳务费</w:t>
            </w:r>
          </w:p>
        </w:tc>
      </w:tr>
      <w:tr w14:paraId="6D9F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5D7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00D2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w:t>
            </w:r>
          </w:p>
        </w:tc>
        <w:tc>
          <w:tcPr>
            <w:tcW w:w="0" w:type="auto"/>
            <w:tcBorders>
              <w:top w:val="nil"/>
              <w:left w:val="nil"/>
              <w:bottom w:val="nil"/>
              <w:right w:val="nil"/>
            </w:tcBorders>
            <w:shd w:val="clear" w:color="auto" w:fill="auto"/>
            <w:vAlign w:val="center"/>
          </w:tcPr>
          <w:p w14:paraId="4FA919C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25E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茂县行政审批和政务服务管理局（行政）</w:t>
            </w:r>
          </w:p>
        </w:tc>
      </w:tr>
      <w:tr w14:paraId="612DA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D6D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1EA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6B7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5EB17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6E8E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1D470">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A5B61">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FD6C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政务服务大厅购买服务劳务费支付</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4BDE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7210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DAD33">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431C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4DC18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向安保公司支付政务大厅购买服务劳务费，项目保质保量按时完成，达到预期目标。</w:t>
            </w:r>
          </w:p>
        </w:tc>
      </w:tr>
      <w:tr w14:paraId="4AF50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92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5E4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EC4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EB2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1B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DCE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94B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21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9E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5CA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62E8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03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A26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83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92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7A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9AB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30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F30F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957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84A1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9DD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04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1B0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21.05</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A8A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C1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91F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89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DE59A">
            <w:pPr>
              <w:rPr>
                <w:rFonts w:hint="eastAsia" w:ascii="黑体" w:hAnsi="黑体" w:eastAsia="黑体" w:cs="黑体"/>
                <w:i/>
                <w:iCs/>
                <w:color w:val="000000"/>
                <w:sz w:val="18"/>
                <w:szCs w:val="18"/>
                <w:u w:val="none"/>
              </w:rPr>
            </w:pPr>
          </w:p>
        </w:tc>
      </w:tr>
      <w:tr w14:paraId="751B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CF12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8D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82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13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F2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E4A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B8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1B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2B832">
            <w:pPr>
              <w:rPr>
                <w:rFonts w:hint="eastAsia" w:ascii="黑体" w:hAnsi="黑体" w:eastAsia="黑体" w:cs="黑体"/>
                <w:i/>
                <w:iCs/>
                <w:color w:val="000000"/>
                <w:sz w:val="18"/>
                <w:szCs w:val="18"/>
                <w:u w:val="none"/>
              </w:rPr>
            </w:pPr>
          </w:p>
        </w:tc>
      </w:tr>
      <w:tr w14:paraId="45497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89D0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14E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B2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DE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904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79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3F8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48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23694">
            <w:pPr>
              <w:rPr>
                <w:rFonts w:hint="eastAsia" w:ascii="黑体" w:hAnsi="黑体" w:eastAsia="黑体" w:cs="黑体"/>
                <w:i/>
                <w:iCs/>
                <w:color w:val="000000"/>
                <w:sz w:val="18"/>
                <w:szCs w:val="18"/>
                <w:u w:val="none"/>
              </w:rPr>
            </w:pPr>
          </w:p>
        </w:tc>
      </w:tr>
      <w:tr w14:paraId="3C08B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5C5C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93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5F927">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5D1EF">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A4534">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143AF">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C2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18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18290">
            <w:pPr>
              <w:rPr>
                <w:rFonts w:hint="eastAsia" w:ascii="黑体" w:hAnsi="黑体" w:eastAsia="黑体" w:cs="黑体"/>
                <w:i/>
                <w:iCs/>
                <w:color w:val="000000"/>
                <w:sz w:val="18"/>
                <w:szCs w:val="18"/>
                <w:u w:val="none"/>
              </w:rPr>
            </w:pPr>
          </w:p>
        </w:tc>
      </w:tr>
      <w:tr w14:paraId="22DB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1A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56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D1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4C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C6A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E8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C6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57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6DB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0D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332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91E1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6D50E">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38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36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5B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完成项目个数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C2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7F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A0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D28D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F54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29A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BA356">
            <w:pPr>
              <w:jc w:val="center"/>
              <w:rPr>
                <w:rFonts w:hint="eastAsia" w:ascii="微软雅黑" w:hAnsi="微软雅黑" w:eastAsia="微软雅黑" w:cs="微软雅黑"/>
                <w:i/>
                <w:iCs/>
                <w:color w:val="000000"/>
                <w:sz w:val="16"/>
                <w:szCs w:val="16"/>
                <w:u w:val="none"/>
              </w:rPr>
            </w:pPr>
          </w:p>
        </w:tc>
      </w:tr>
      <w:tr w14:paraId="351A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1766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14CF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21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AF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服务费支付进度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1BC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AE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6D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455A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C2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F0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7BC859">
            <w:pPr>
              <w:jc w:val="center"/>
              <w:rPr>
                <w:rFonts w:hint="eastAsia" w:ascii="微软雅黑" w:hAnsi="微软雅黑" w:eastAsia="微软雅黑" w:cs="微软雅黑"/>
                <w:i/>
                <w:iCs/>
                <w:color w:val="000000"/>
                <w:sz w:val="16"/>
                <w:szCs w:val="16"/>
                <w:u w:val="none"/>
              </w:rPr>
            </w:pPr>
          </w:p>
        </w:tc>
      </w:tr>
      <w:tr w14:paraId="0D0CF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8755F">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AB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B0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60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保障政务服务大厅良好的安全秩序和服务环境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C3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20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D8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B31FB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88A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29F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36DEDD">
            <w:pPr>
              <w:jc w:val="center"/>
              <w:rPr>
                <w:rFonts w:hint="eastAsia" w:ascii="微软雅黑" w:hAnsi="微软雅黑" w:eastAsia="微软雅黑" w:cs="微软雅黑"/>
                <w:i/>
                <w:iCs/>
                <w:color w:val="000000"/>
                <w:sz w:val="16"/>
                <w:szCs w:val="16"/>
                <w:u w:val="none"/>
              </w:rPr>
            </w:pPr>
          </w:p>
        </w:tc>
      </w:tr>
      <w:tr w14:paraId="392F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FBC2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A297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498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D55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按照提供服务标准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4E6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F1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有保障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37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826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3B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D3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CF4660">
            <w:pPr>
              <w:jc w:val="center"/>
              <w:rPr>
                <w:rFonts w:hint="eastAsia" w:ascii="微软雅黑" w:hAnsi="微软雅黑" w:eastAsia="微软雅黑" w:cs="微软雅黑"/>
                <w:i/>
                <w:iCs/>
                <w:color w:val="000000"/>
                <w:sz w:val="16"/>
                <w:szCs w:val="16"/>
                <w:u w:val="none"/>
              </w:rPr>
            </w:pPr>
          </w:p>
        </w:tc>
      </w:tr>
      <w:tr w14:paraId="25B89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E61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452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3C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E8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各项工作保障满意度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CD2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71B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93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67CF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3B3E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CD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B8769">
            <w:pPr>
              <w:jc w:val="center"/>
              <w:rPr>
                <w:rFonts w:hint="eastAsia" w:ascii="微软雅黑" w:hAnsi="微软雅黑" w:eastAsia="微软雅黑" w:cs="微软雅黑"/>
                <w:i/>
                <w:iCs/>
                <w:color w:val="000000"/>
                <w:sz w:val="16"/>
                <w:szCs w:val="16"/>
                <w:u w:val="none"/>
              </w:rPr>
            </w:pPr>
          </w:p>
        </w:tc>
      </w:tr>
      <w:tr w14:paraId="77744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BD55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8D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F1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21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项目预算金额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A96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9E4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275002.5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C8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B672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275002.5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2A4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563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B9A948">
            <w:pPr>
              <w:jc w:val="center"/>
              <w:rPr>
                <w:rFonts w:hint="eastAsia" w:ascii="微软雅黑" w:hAnsi="微软雅黑" w:eastAsia="微软雅黑" w:cs="微软雅黑"/>
                <w:i/>
                <w:iCs/>
                <w:color w:val="000000"/>
                <w:sz w:val="16"/>
                <w:szCs w:val="16"/>
                <w:u w:val="none"/>
              </w:rPr>
            </w:pPr>
          </w:p>
        </w:tc>
      </w:tr>
      <w:tr w14:paraId="2724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BC6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8B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E220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37483">
            <w:pPr>
              <w:rPr>
                <w:rFonts w:hint="eastAsia" w:ascii="宋体" w:hAnsi="宋体" w:eastAsia="宋体" w:cs="宋体"/>
                <w:i w:val="0"/>
                <w:iCs w:val="0"/>
                <w:color w:val="000000"/>
                <w:sz w:val="18"/>
                <w:szCs w:val="18"/>
                <w:u w:val="none"/>
              </w:rPr>
            </w:pPr>
          </w:p>
        </w:tc>
      </w:tr>
      <w:tr w14:paraId="69514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2EB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A168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项目保质保量按时完成，达到预期目标。</w:t>
            </w:r>
          </w:p>
        </w:tc>
      </w:tr>
      <w:tr w14:paraId="001B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306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6F63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4D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EF9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BE0A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A45E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6A4D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343FF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财务负责人：沈强</w:t>
            </w:r>
          </w:p>
        </w:tc>
      </w:tr>
      <w:tr w14:paraId="68CE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tcBorders>
              <w:top w:val="nil"/>
              <w:left w:val="nil"/>
              <w:bottom w:val="nil"/>
              <w:right w:val="nil"/>
            </w:tcBorders>
            <w:shd w:val="clear" w:color="auto" w:fill="auto"/>
            <w:vAlign w:val="center"/>
          </w:tcPr>
          <w:p w14:paraId="7799F7D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709A9A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4CFAC30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0B501C79">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142E854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0E7659A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7558CF11">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776E81B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6CDEDC4">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1C255AD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5A299B4D">
            <w:pPr>
              <w:rPr>
                <w:rFonts w:hint="eastAsia" w:ascii="宋体" w:hAnsi="宋体" w:eastAsia="宋体" w:cs="宋体"/>
                <w:i w:val="0"/>
                <w:iCs w:val="0"/>
                <w:color w:val="000000"/>
                <w:sz w:val="18"/>
                <w:szCs w:val="18"/>
                <w:u w:val="none"/>
              </w:rPr>
            </w:pPr>
          </w:p>
        </w:tc>
      </w:tr>
      <w:tr w14:paraId="18744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897027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5B7F9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D5D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71AC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51322325T000012158447-专项工作经费</w:t>
            </w:r>
          </w:p>
        </w:tc>
      </w:tr>
      <w:tr w14:paraId="68762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A56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861D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w:t>
            </w:r>
          </w:p>
        </w:tc>
        <w:tc>
          <w:tcPr>
            <w:tcW w:w="0" w:type="auto"/>
            <w:tcBorders>
              <w:top w:val="nil"/>
              <w:left w:val="nil"/>
              <w:bottom w:val="nil"/>
              <w:right w:val="nil"/>
            </w:tcBorders>
            <w:shd w:val="clear" w:color="auto" w:fill="auto"/>
            <w:vAlign w:val="center"/>
          </w:tcPr>
          <w:p w14:paraId="11DF60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A38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茂县行政审批和政务服务管理局（行政）</w:t>
            </w:r>
          </w:p>
        </w:tc>
      </w:tr>
      <w:tr w14:paraId="583F4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EF01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929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5C2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6DAF9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8D1B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6358F">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2ED24">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E595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支付2023年至2024年专项工作经费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39C7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0B5FB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08B9B">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3D4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AF9A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项目保质保量按时完成，达到预期目标。</w:t>
            </w:r>
          </w:p>
        </w:tc>
      </w:tr>
      <w:tr w14:paraId="2C7C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D9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B9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521D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47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7E15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45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581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F0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01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5EB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A9D3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96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F59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F1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6B8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AEB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0E5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5A7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A748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C7F5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42E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34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09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07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2F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59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50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A1A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4AAE0">
            <w:pPr>
              <w:rPr>
                <w:rFonts w:hint="eastAsia" w:ascii="黑体" w:hAnsi="黑体" w:eastAsia="黑体" w:cs="黑体"/>
                <w:i/>
                <w:iCs/>
                <w:color w:val="000000"/>
                <w:sz w:val="18"/>
                <w:szCs w:val="18"/>
                <w:u w:val="none"/>
              </w:rPr>
            </w:pPr>
          </w:p>
        </w:tc>
      </w:tr>
      <w:tr w14:paraId="4C5B0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69E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38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E6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7A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32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D9C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02B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C6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8552A">
            <w:pPr>
              <w:rPr>
                <w:rFonts w:hint="eastAsia" w:ascii="黑体" w:hAnsi="黑体" w:eastAsia="黑体" w:cs="黑体"/>
                <w:i/>
                <w:iCs/>
                <w:color w:val="000000"/>
                <w:sz w:val="18"/>
                <w:szCs w:val="18"/>
                <w:u w:val="none"/>
              </w:rPr>
            </w:pPr>
          </w:p>
        </w:tc>
      </w:tr>
      <w:tr w14:paraId="0251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648D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A4E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1F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B5F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1F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44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BCB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F7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B3F2D">
            <w:pPr>
              <w:rPr>
                <w:rFonts w:hint="eastAsia" w:ascii="黑体" w:hAnsi="黑体" w:eastAsia="黑体" w:cs="黑体"/>
                <w:i/>
                <w:iCs/>
                <w:color w:val="000000"/>
                <w:sz w:val="18"/>
                <w:szCs w:val="18"/>
                <w:u w:val="none"/>
              </w:rPr>
            </w:pPr>
          </w:p>
        </w:tc>
      </w:tr>
      <w:tr w14:paraId="2C43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2543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B60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07F6E">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5C3FD">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3A423E">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476F6">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2C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7C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7D3C2">
            <w:pPr>
              <w:rPr>
                <w:rFonts w:hint="eastAsia" w:ascii="黑体" w:hAnsi="黑体" w:eastAsia="黑体" w:cs="黑体"/>
                <w:i/>
                <w:iCs/>
                <w:color w:val="000000"/>
                <w:sz w:val="18"/>
                <w:szCs w:val="18"/>
                <w:u w:val="none"/>
              </w:rPr>
            </w:pPr>
          </w:p>
        </w:tc>
      </w:tr>
      <w:tr w14:paraId="3AC1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93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BE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A62E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F5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C27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C13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C85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8F0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AD9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F4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B3F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33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6A595">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78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86E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31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70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8A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244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1122A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EC1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67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467E1">
            <w:pPr>
              <w:jc w:val="center"/>
              <w:rPr>
                <w:rFonts w:hint="eastAsia" w:ascii="微软雅黑" w:hAnsi="微软雅黑" w:eastAsia="微软雅黑" w:cs="微软雅黑"/>
                <w:i/>
                <w:iCs/>
                <w:color w:val="000000"/>
                <w:sz w:val="16"/>
                <w:szCs w:val="16"/>
                <w:u w:val="none"/>
              </w:rPr>
            </w:pPr>
          </w:p>
        </w:tc>
      </w:tr>
      <w:tr w14:paraId="0F7D3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5862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23B7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05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D68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按时完成项目各项工作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896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A27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53E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CFE4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34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FE8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E444E">
            <w:pPr>
              <w:jc w:val="center"/>
              <w:rPr>
                <w:rFonts w:hint="eastAsia" w:ascii="微软雅黑" w:hAnsi="微软雅黑" w:eastAsia="微软雅黑" w:cs="微软雅黑"/>
                <w:i/>
                <w:iCs/>
                <w:color w:val="000000"/>
                <w:sz w:val="16"/>
                <w:szCs w:val="16"/>
                <w:u w:val="none"/>
              </w:rPr>
            </w:pPr>
          </w:p>
        </w:tc>
      </w:tr>
      <w:tr w14:paraId="381F7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E223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6802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579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42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各项任务完成及时率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48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F1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5E8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4548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65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F2F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174A28">
            <w:pPr>
              <w:jc w:val="center"/>
              <w:rPr>
                <w:rFonts w:hint="eastAsia" w:ascii="微软雅黑" w:hAnsi="微软雅黑" w:eastAsia="微软雅黑" w:cs="微软雅黑"/>
                <w:i/>
                <w:iCs/>
                <w:color w:val="000000"/>
                <w:sz w:val="16"/>
                <w:szCs w:val="16"/>
                <w:u w:val="none"/>
              </w:rPr>
            </w:pPr>
          </w:p>
        </w:tc>
      </w:tr>
      <w:tr w14:paraId="6543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787F6">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56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26A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BD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进一步深化行政审批制度改革，提高行政审批效率和政务服务水平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030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42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88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308A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5C4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EB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0E0A5">
            <w:pPr>
              <w:jc w:val="center"/>
              <w:rPr>
                <w:rFonts w:hint="eastAsia" w:ascii="微软雅黑" w:hAnsi="微软雅黑" w:eastAsia="微软雅黑" w:cs="微软雅黑"/>
                <w:i/>
                <w:iCs/>
                <w:color w:val="000000"/>
                <w:sz w:val="16"/>
                <w:szCs w:val="16"/>
                <w:u w:val="none"/>
              </w:rPr>
            </w:pPr>
          </w:p>
        </w:tc>
      </w:tr>
      <w:tr w14:paraId="5C36C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A984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835D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B97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32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方便群众办事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66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DC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4C22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5A3F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610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32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854E8">
            <w:pPr>
              <w:jc w:val="center"/>
              <w:rPr>
                <w:rFonts w:hint="eastAsia" w:ascii="微软雅黑" w:hAnsi="微软雅黑" w:eastAsia="微软雅黑" w:cs="微软雅黑"/>
                <w:i/>
                <w:iCs/>
                <w:color w:val="000000"/>
                <w:sz w:val="16"/>
                <w:szCs w:val="16"/>
                <w:u w:val="none"/>
              </w:rPr>
            </w:pPr>
          </w:p>
        </w:tc>
      </w:tr>
      <w:tr w14:paraId="4642E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03E9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B620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023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A36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提供便捷、优质、规范、高效的政务服务工作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35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91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FD96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E681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7F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62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C10B7">
            <w:pPr>
              <w:jc w:val="center"/>
              <w:rPr>
                <w:rFonts w:hint="eastAsia" w:ascii="微软雅黑" w:hAnsi="微软雅黑" w:eastAsia="微软雅黑" w:cs="微软雅黑"/>
                <w:i/>
                <w:iCs/>
                <w:color w:val="000000"/>
                <w:sz w:val="16"/>
                <w:szCs w:val="16"/>
                <w:u w:val="none"/>
              </w:rPr>
            </w:pPr>
          </w:p>
        </w:tc>
      </w:tr>
      <w:tr w14:paraId="0A885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FBE4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C2C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2D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CCC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15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EC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82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289B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B4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982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B03C9">
            <w:pPr>
              <w:jc w:val="center"/>
              <w:rPr>
                <w:rFonts w:hint="eastAsia" w:ascii="微软雅黑" w:hAnsi="微软雅黑" w:eastAsia="微软雅黑" w:cs="微软雅黑"/>
                <w:i/>
                <w:iCs/>
                <w:color w:val="000000"/>
                <w:sz w:val="16"/>
                <w:szCs w:val="16"/>
                <w:u w:val="none"/>
              </w:rPr>
            </w:pPr>
          </w:p>
        </w:tc>
      </w:tr>
      <w:tr w14:paraId="2F92E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DC3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D9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50ED4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75FBA">
            <w:pPr>
              <w:rPr>
                <w:rFonts w:hint="eastAsia" w:ascii="宋体" w:hAnsi="宋体" w:eastAsia="宋体" w:cs="宋体"/>
                <w:i w:val="0"/>
                <w:iCs w:val="0"/>
                <w:color w:val="000000"/>
                <w:sz w:val="18"/>
                <w:szCs w:val="18"/>
                <w:u w:val="none"/>
              </w:rPr>
            </w:pPr>
          </w:p>
        </w:tc>
      </w:tr>
      <w:tr w14:paraId="7D2C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24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96F51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项目保质保量按时完成，达到预期目标。</w:t>
            </w:r>
          </w:p>
        </w:tc>
      </w:tr>
      <w:tr w14:paraId="15E50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46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6E5B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46E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D8C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D270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616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FBD6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3B03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财务负责人：沈强</w:t>
            </w:r>
          </w:p>
        </w:tc>
      </w:tr>
      <w:tr w14:paraId="2491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tcBorders>
              <w:top w:val="nil"/>
              <w:left w:val="nil"/>
              <w:bottom w:val="nil"/>
              <w:right w:val="nil"/>
            </w:tcBorders>
            <w:shd w:val="clear" w:color="auto" w:fill="auto"/>
            <w:vAlign w:val="center"/>
          </w:tcPr>
          <w:p w14:paraId="4223EBF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0441808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5B23BC59">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6C962CC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40D80488">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2278C32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7957C19A">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2C8B2B8E">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61CF591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1E33644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6A6A4F4E">
            <w:pPr>
              <w:rPr>
                <w:rFonts w:hint="eastAsia" w:ascii="宋体" w:hAnsi="宋体" w:eastAsia="宋体" w:cs="宋体"/>
                <w:i w:val="0"/>
                <w:iCs w:val="0"/>
                <w:color w:val="000000"/>
                <w:sz w:val="18"/>
                <w:szCs w:val="18"/>
                <w:u w:val="none"/>
              </w:rPr>
            </w:pPr>
          </w:p>
        </w:tc>
      </w:tr>
      <w:tr w14:paraId="2E610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C93CFD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705E5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6F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C623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51322325T000013720826-政府集中采购专家评审劳务费</w:t>
            </w:r>
          </w:p>
        </w:tc>
      </w:tr>
      <w:tr w14:paraId="652FC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2F1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DE79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w:t>
            </w:r>
          </w:p>
        </w:tc>
        <w:tc>
          <w:tcPr>
            <w:tcW w:w="0" w:type="auto"/>
            <w:tcBorders>
              <w:top w:val="nil"/>
              <w:left w:val="nil"/>
              <w:bottom w:val="nil"/>
              <w:right w:val="nil"/>
            </w:tcBorders>
            <w:shd w:val="clear" w:color="auto" w:fill="auto"/>
            <w:vAlign w:val="center"/>
          </w:tcPr>
          <w:p w14:paraId="02A226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C75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茂县行政审批和政务服务管理局（行政）</w:t>
            </w:r>
          </w:p>
        </w:tc>
      </w:tr>
      <w:tr w14:paraId="467EF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67F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C767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6BA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D615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EA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67A0">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B399">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8E95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完成2025年政府集中采购专家评审劳务费</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47A3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78958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5D8BA">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6FB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8847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支付专家评审劳务费，项目保质保量按时完成，达到预期目标。</w:t>
            </w:r>
          </w:p>
        </w:tc>
      </w:tr>
      <w:tr w14:paraId="75AA3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C9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EB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554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40F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B5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AD4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12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C7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5A0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C767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C6C8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D9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8D7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9C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0FA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3F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6D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EB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60EE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BB8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4675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25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04A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7D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BE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03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6D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4D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7013A">
            <w:pPr>
              <w:rPr>
                <w:rFonts w:hint="eastAsia" w:ascii="黑体" w:hAnsi="黑体" w:eastAsia="黑体" w:cs="黑体"/>
                <w:i/>
                <w:iCs/>
                <w:color w:val="000000"/>
                <w:sz w:val="18"/>
                <w:szCs w:val="18"/>
                <w:u w:val="none"/>
              </w:rPr>
            </w:pPr>
          </w:p>
        </w:tc>
      </w:tr>
      <w:tr w14:paraId="1FD13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C10F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B17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C5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E1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2A4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8A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CF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22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E4025">
            <w:pPr>
              <w:rPr>
                <w:rFonts w:hint="eastAsia" w:ascii="黑体" w:hAnsi="黑体" w:eastAsia="黑体" w:cs="黑体"/>
                <w:i/>
                <w:iCs/>
                <w:color w:val="000000"/>
                <w:sz w:val="18"/>
                <w:szCs w:val="18"/>
                <w:u w:val="none"/>
              </w:rPr>
            </w:pPr>
          </w:p>
        </w:tc>
      </w:tr>
      <w:tr w14:paraId="2D43E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AE06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4C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07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8A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20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6E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38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F7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B81EC">
            <w:pPr>
              <w:rPr>
                <w:rFonts w:hint="eastAsia" w:ascii="黑体" w:hAnsi="黑体" w:eastAsia="黑体" w:cs="黑体"/>
                <w:i/>
                <w:iCs/>
                <w:color w:val="000000"/>
                <w:sz w:val="18"/>
                <w:szCs w:val="18"/>
                <w:u w:val="none"/>
              </w:rPr>
            </w:pPr>
          </w:p>
        </w:tc>
      </w:tr>
      <w:tr w14:paraId="11EE7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328A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5E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2F83E">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2DE4E6">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0F55F">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F6B3A">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3D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BB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4F8D8">
            <w:pPr>
              <w:rPr>
                <w:rFonts w:hint="eastAsia" w:ascii="黑体" w:hAnsi="黑体" w:eastAsia="黑体" w:cs="黑体"/>
                <w:i/>
                <w:iCs/>
                <w:color w:val="000000"/>
                <w:sz w:val="18"/>
                <w:szCs w:val="18"/>
                <w:u w:val="none"/>
              </w:rPr>
            </w:pPr>
          </w:p>
        </w:tc>
      </w:tr>
      <w:tr w14:paraId="2DD5C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B2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196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0C2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99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9AA0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A2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14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15E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41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3B9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0F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BEE8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FE0DE">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3C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FE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04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完成项目个数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886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96E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18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62CF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B9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84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8A9040">
            <w:pPr>
              <w:jc w:val="center"/>
              <w:rPr>
                <w:rFonts w:hint="eastAsia" w:ascii="微软雅黑" w:hAnsi="微软雅黑" w:eastAsia="微软雅黑" w:cs="微软雅黑"/>
                <w:i/>
                <w:iCs/>
                <w:color w:val="000000"/>
                <w:sz w:val="16"/>
                <w:szCs w:val="16"/>
                <w:u w:val="none"/>
              </w:rPr>
            </w:pPr>
          </w:p>
        </w:tc>
      </w:tr>
      <w:tr w14:paraId="591DE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5EBD1">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15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999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358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B5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C0F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1D90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个工作日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1D3C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729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BF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5B183">
            <w:pPr>
              <w:jc w:val="center"/>
              <w:rPr>
                <w:rFonts w:hint="eastAsia" w:ascii="微软雅黑" w:hAnsi="微软雅黑" w:eastAsia="微软雅黑" w:cs="微软雅黑"/>
                <w:i/>
                <w:iCs/>
                <w:color w:val="000000"/>
                <w:sz w:val="16"/>
                <w:szCs w:val="16"/>
                <w:u w:val="none"/>
              </w:rPr>
            </w:pPr>
          </w:p>
        </w:tc>
      </w:tr>
      <w:tr w14:paraId="6F060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186C2">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39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849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07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合法公正评审项目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5F8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E0D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F6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51A9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45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AB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65E70">
            <w:pPr>
              <w:jc w:val="center"/>
              <w:rPr>
                <w:rFonts w:hint="eastAsia" w:ascii="微软雅黑" w:hAnsi="微软雅黑" w:eastAsia="微软雅黑" w:cs="微软雅黑"/>
                <w:i/>
                <w:iCs/>
                <w:color w:val="000000"/>
                <w:sz w:val="16"/>
                <w:szCs w:val="16"/>
                <w:u w:val="none"/>
              </w:rPr>
            </w:pPr>
          </w:p>
        </w:tc>
      </w:tr>
      <w:tr w14:paraId="3CE4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06C4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1F05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0A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A4E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71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BBC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12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668A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53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FE5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2651A">
            <w:pPr>
              <w:jc w:val="center"/>
              <w:rPr>
                <w:rFonts w:hint="eastAsia" w:ascii="微软雅黑" w:hAnsi="微软雅黑" w:eastAsia="微软雅黑" w:cs="微软雅黑"/>
                <w:i/>
                <w:iCs/>
                <w:color w:val="000000"/>
                <w:sz w:val="16"/>
                <w:szCs w:val="16"/>
                <w:u w:val="none"/>
              </w:rPr>
            </w:pPr>
          </w:p>
        </w:tc>
      </w:tr>
      <w:tr w14:paraId="11A7F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13D7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18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D86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DC8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专家评价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7B8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9D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9305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1E39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FA1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340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2EB0B">
            <w:pPr>
              <w:jc w:val="center"/>
              <w:rPr>
                <w:rFonts w:hint="eastAsia" w:ascii="微软雅黑" w:hAnsi="微软雅黑" w:eastAsia="微软雅黑" w:cs="微软雅黑"/>
                <w:i/>
                <w:iCs/>
                <w:color w:val="000000"/>
                <w:sz w:val="16"/>
                <w:szCs w:val="16"/>
                <w:u w:val="none"/>
              </w:rPr>
            </w:pPr>
          </w:p>
        </w:tc>
      </w:tr>
      <w:tr w14:paraId="76257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2F650">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992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5C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86A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专家单次劳务报酬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6AA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172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A34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CB21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B0B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C1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466C9">
            <w:pPr>
              <w:jc w:val="center"/>
              <w:rPr>
                <w:rFonts w:hint="eastAsia" w:ascii="微软雅黑" w:hAnsi="微软雅黑" w:eastAsia="微软雅黑" w:cs="微软雅黑"/>
                <w:i/>
                <w:iCs/>
                <w:color w:val="000000"/>
                <w:sz w:val="16"/>
                <w:szCs w:val="16"/>
                <w:u w:val="none"/>
              </w:rPr>
            </w:pPr>
          </w:p>
        </w:tc>
      </w:tr>
      <w:tr w14:paraId="5F97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58E5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B245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E033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EE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劳务报酬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18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A0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0F2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2C9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39100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B92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21D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498AD">
            <w:pPr>
              <w:jc w:val="center"/>
              <w:rPr>
                <w:rFonts w:hint="eastAsia" w:ascii="微软雅黑" w:hAnsi="微软雅黑" w:eastAsia="微软雅黑" w:cs="微软雅黑"/>
                <w:i/>
                <w:iCs/>
                <w:color w:val="000000"/>
                <w:sz w:val="16"/>
                <w:szCs w:val="16"/>
                <w:u w:val="none"/>
              </w:rPr>
            </w:pPr>
          </w:p>
        </w:tc>
      </w:tr>
      <w:tr w14:paraId="480AD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7A0C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393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431AC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511854">
            <w:pPr>
              <w:rPr>
                <w:rFonts w:hint="eastAsia" w:ascii="宋体" w:hAnsi="宋体" w:eastAsia="宋体" w:cs="宋体"/>
                <w:i w:val="0"/>
                <w:iCs w:val="0"/>
                <w:color w:val="000000"/>
                <w:sz w:val="18"/>
                <w:szCs w:val="18"/>
                <w:u w:val="none"/>
              </w:rPr>
            </w:pPr>
          </w:p>
        </w:tc>
      </w:tr>
      <w:tr w14:paraId="6FDF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B2D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BB7C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项目保质保量按时完成，达到预期目标。</w:t>
            </w:r>
          </w:p>
        </w:tc>
      </w:tr>
      <w:tr w14:paraId="39C5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0F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2F4B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38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B21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15384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BC03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F077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项目负责人：陈蛟</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B44C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财务负责人：沈强</w:t>
            </w:r>
          </w:p>
        </w:tc>
      </w:tr>
      <w:tr w14:paraId="5872A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tcBorders>
              <w:top w:val="nil"/>
              <w:left w:val="nil"/>
              <w:bottom w:val="nil"/>
              <w:right w:val="nil"/>
            </w:tcBorders>
            <w:shd w:val="clear" w:color="auto" w:fill="auto"/>
            <w:vAlign w:val="center"/>
          </w:tcPr>
          <w:p w14:paraId="55D75102">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681B586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5376825E">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605A2721">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0DCBCE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E91D90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7035A25F">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077D95F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7632CCD8">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6A68B17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74900C3">
            <w:pPr>
              <w:rPr>
                <w:rFonts w:hint="eastAsia" w:ascii="宋体" w:hAnsi="宋体" w:eastAsia="宋体" w:cs="宋体"/>
                <w:i w:val="0"/>
                <w:iCs w:val="0"/>
                <w:color w:val="000000"/>
                <w:sz w:val="18"/>
                <w:szCs w:val="18"/>
                <w:u w:val="none"/>
              </w:rPr>
            </w:pPr>
          </w:p>
        </w:tc>
      </w:tr>
      <w:tr w14:paraId="2F5C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0" w:type="auto"/>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E0CE0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部门预算项目支出绩效自评表（2025年度）</w:t>
            </w:r>
          </w:p>
        </w:tc>
      </w:tr>
      <w:tr w14:paraId="47D99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899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7CB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51322326T000014683250-政务大厅维修改造</w:t>
            </w:r>
          </w:p>
        </w:tc>
      </w:tr>
      <w:tr w14:paraId="4E5F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E6C5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03EB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w:t>
            </w:r>
          </w:p>
        </w:tc>
        <w:tc>
          <w:tcPr>
            <w:tcW w:w="0" w:type="auto"/>
            <w:tcBorders>
              <w:top w:val="nil"/>
              <w:left w:val="nil"/>
              <w:bottom w:val="nil"/>
              <w:right w:val="nil"/>
            </w:tcBorders>
            <w:shd w:val="clear" w:color="auto" w:fill="auto"/>
            <w:vAlign w:val="center"/>
          </w:tcPr>
          <w:p w14:paraId="12AA1D2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84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茂县行政审批和政务服务管理局（行政）</w:t>
            </w:r>
          </w:p>
        </w:tc>
      </w:tr>
      <w:tr w14:paraId="7B673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0A8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E6C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2D3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0D969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BE9A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0CCE4">
            <w:pP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EB82D">
            <w:pP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EB4D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支付政务大厅维修改造费用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EE6D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14:paraId="16DD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BBA9B">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1889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FBA5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政务大厅维修改造顺利进行，项目保质保量按时完成，达到预期目标。</w:t>
            </w:r>
          </w:p>
        </w:tc>
      </w:tr>
      <w:tr w14:paraId="68877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76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BBB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5C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691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BD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6B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74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14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3B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A829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6308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6E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2E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CF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C05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C09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6A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1E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F18E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5803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AE8B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42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CE0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DC2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765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00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005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E6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AA6AF">
            <w:pPr>
              <w:rPr>
                <w:rFonts w:hint="eastAsia" w:ascii="黑体" w:hAnsi="黑体" w:eastAsia="黑体" w:cs="黑体"/>
                <w:i/>
                <w:iCs/>
                <w:color w:val="000000"/>
                <w:sz w:val="18"/>
                <w:szCs w:val="18"/>
                <w:u w:val="none"/>
              </w:rPr>
            </w:pPr>
          </w:p>
        </w:tc>
      </w:tr>
      <w:tr w14:paraId="4274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6B3F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EC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563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868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BA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2A1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0E43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7D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44FBA">
            <w:pPr>
              <w:rPr>
                <w:rFonts w:hint="eastAsia" w:ascii="黑体" w:hAnsi="黑体" w:eastAsia="黑体" w:cs="黑体"/>
                <w:i/>
                <w:iCs/>
                <w:color w:val="000000"/>
                <w:sz w:val="18"/>
                <w:szCs w:val="18"/>
                <w:u w:val="none"/>
              </w:rPr>
            </w:pPr>
          </w:p>
        </w:tc>
      </w:tr>
      <w:tr w14:paraId="16394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47F6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B22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670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07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FC7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9A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AB0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FC2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508BA">
            <w:pPr>
              <w:rPr>
                <w:rFonts w:hint="eastAsia" w:ascii="黑体" w:hAnsi="黑体" w:eastAsia="黑体" w:cs="黑体"/>
                <w:i/>
                <w:iCs/>
                <w:color w:val="000000"/>
                <w:sz w:val="18"/>
                <w:szCs w:val="18"/>
                <w:u w:val="none"/>
              </w:rPr>
            </w:pPr>
          </w:p>
        </w:tc>
      </w:tr>
      <w:tr w14:paraId="49B5D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3A74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8F5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2E45E">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EA84EB">
            <w:pPr>
              <w:jc w:val="center"/>
              <w:rPr>
                <w:rFonts w:hint="eastAsia" w:ascii="微软雅黑" w:hAnsi="微软雅黑" w:eastAsia="微软雅黑" w:cs="微软雅黑"/>
                <w:i/>
                <w:iCs/>
                <w:color w:val="000000"/>
                <w:sz w:val="16"/>
                <w:szCs w:val="16"/>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EE85C4">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5A1C14">
            <w:pPr>
              <w:jc w:val="center"/>
              <w:rPr>
                <w:rFonts w:hint="eastAsia" w:ascii="微软雅黑" w:hAnsi="微软雅黑" w:eastAsia="微软雅黑" w:cs="微软雅黑"/>
                <w:i/>
                <w:iCs/>
                <w:color w:val="000000"/>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A5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67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3558A">
            <w:pPr>
              <w:rPr>
                <w:rFonts w:hint="eastAsia" w:ascii="黑体" w:hAnsi="黑体" w:eastAsia="黑体" w:cs="黑体"/>
                <w:i/>
                <w:iCs/>
                <w:color w:val="000000"/>
                <w:sz w:val="18"/>
                <w:szCs w:val="18"/>
                <w:u w:val="none"/>
              </w:rPr>
            </w:pPr>
          </w:p>
        </w:tc>
      </w:tr>
      <w:tr w14:paraId="6B4EC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2E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C0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313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E1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6E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955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7D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8FF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54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37C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BBE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8F8A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91E35">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64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866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F3F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BD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E6C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69F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D0A4D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AA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8F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6FB62">
            <w:pPr>
              <w:jc w:val="center"/>
              <w:rPr>
                <w:rFonts w:hint="eastAsia" w:ascii="微软雅黑" w:hAnsi="微软雅黑" w:eastAsia="微软雅黑" w:cs="微软雅黑"/>
                <w:i/>
                <w:iCs/>
                <w:color w:val="000000"/>
                <w:sz w:val="16"/>
                <w:szCs w:val="16"/>
                <w:u w:val="none"/>
              </w:rPr>
            </w:pPr>
          </w:p>
        </w:tc>
      </w:tr>
      <w:tr w14:paraId="71F0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0F98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09DF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891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C94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8E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53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B640B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B778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A5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90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9A0E04">
            <w:pPr>
              <w:jc w:val="center"/>
              <w:rPr>
                <w:rFonts w:hint="eastAsia" w:ascii="微软雅黑" w:hAnsi="微软雅黑" w:eastAsia="微软雅黑" w:cs="微软雅黑"/>
                <w:i/>
                <w:iCs/>
                <w:color w:val="000000"/>
                <w:sz w:val="16"/>
                <w:szCs w:val="16"/>
                <w:u w:val="none"/>
              </w:rPr>
            </w:pPr>
          </w:p>
        </w:tc>
      </w:tr>
      <w:tr w14:paraId="09EAD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5B58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D4EA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68D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789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完成及时率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3C7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5B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429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F038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DF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C8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9DD63">
            <w:pPr>
              <w:jc w:val="center"/>
              <w:rPr>
                <w:rFonts w:hint="eastAsia" w:ascii="微软雅黑" w:hAnsi="微软雅黑" w:eastAsia="微软雅黑" w:cs="微软雅黑"/>
                <w:i/>
                <w:iCs/>
                <w:color w:val="000000"/>
                <w:sz w:val="16"/>
                <w:szCs w:val="16"/>
                <w:u w:val="none"/>
              </w:rPr>
            </w:pPr>
          </w:p>
        </w:tc>
      </w:tr>
      <w:tr w14:paraId="1A05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50516">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8D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89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5B0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优化营商环境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41D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AB47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B701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82E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F5E2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D15C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7814EA">
            <w:pPr>
              <w:jc w:val="center"/>
              <w:rPr>
                <w:rFonts w:hint="eastAsia" w:ascii="微软雅黑" w:hAnsi="微软雅黑" w:eastAsia="微软雅黑" w:cs="微软雅黑"/>
                <w:i/>
                <w:iCs/>
                <w:color w:val="000000"/>
                <w:sz w:val="16"/>
                <w:szCs w:val="16"/>
                <w:u w:val="none"/>
              </w:rPr>
            </w:pPr>
          </w:p>
        </w:tc>
      </w:tr>
      <w:tr w14:paraId="221B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4983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F98E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90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7323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方便群众办事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A67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4FE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CEAC5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E01B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28F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DA3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05421">
            <w:pPr>
              <w:jc w:val="center"/>
              <w:rPr>
                <w:rFonts w:hint="eastAsia" w:ascii="微软雅黑" w:hAnsi="微软雅黑" w:eastAsia="微软雅黑" w:cs="微软雅黑"/>
                <w:i/>
                <w:iCs/>
                <w:color w:val="000000"/>
                <w:sz w:val="16"/>
                <w:szCs w:val="16"/>
                <w:u w:val="none"/>
              </w:rPr>
            </w:pPr>
          </w:p>
        </w:tc>
      </w:tr>
      <w:tr w14:paraId="1875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5902E">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F1F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2AD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484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办事效率逐步提升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3B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92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8C52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FCC2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820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FEC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D75A3">
            <w:pPr>
              <w:jc w:val="center"/>
              <w:rPr>
                <w:rFonts w:hint="eastAsia" w:ascii="微软雅黑" w:hAnsi="微软雅黑" w:eastAsia="微软雅黑" w:cs="微软雅黑"/>
                <w:i/>
                <w:iCs/>
                <w:color w:val="000000"/>
                <w:sz w:val="16"/>
                <w:szCs w:val="16"/>
                <w:u w:val="none"/>
              </w:rPr>
            </w:pPr>
          </w:p>
        </w:tc>
      </w:tr>
      <w:tr w14:paraId="6334E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168B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E8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17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B6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523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C6C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2D4B6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27ECB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满意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276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8D2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894E98">
            <w:pPr>
              <w:jc w:val="center"/>
              <w:rPr>
                <w:rFonts w:hint="eastAsia" w:ascii="微软雅黑" w:hAnsi="微软雅黑" w:eastAsia="微软雅黑" w:cs="微软雅黑"/>
                <w:i/>
                <w:iCs/>
                <w:color w:val="000000"/>
                <w:sz w:val="16"/>
                <w:szCs w:val="16"/>
                <w:u w:val="none"/>
              </w:rPr>
            </w:pPr>
          </w:p>
        </w:tc>
      </w:tr>
      <w:tr w14:paraId="1D49C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216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6A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1D6FC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1E2E2">
            <w:pPr>
              <w:rPr>
                <w:rFonts w:hint="eastAsia" w:ascii="宋体" w:hAnsi="宋体" w:eastAsia="宋体" w:cs="宋体"/>
                <w:i w:val="0"/>
                <w:iCs w:val="0"/>
                <w:color w:val="000000"/>
                <w:sz w:val="18"/>
                <w:szCs w:val="18"/>
                <w:u w:val="none"/>
              </w:rPr>
            </w:pPr>
          </w:p>
        </w:tc>
      </w:tr>
      <w:tr w14:paraId="47FFB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36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F92EAD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项目保质保量按时完成，达到预期目标。</w:t>
            </w:r>
          </w:p>
        </w:tc>
      </w:tr>
      <w:tr w14:paraId="00A6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118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E505D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B504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A7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73C82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EF9C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1662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项目负责人：胡勇</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DED4D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财务负责人：沈强</w:t>
            </w:r>
          </w:p>
        </w:tc>
      </w:tr>
      <w:tr w14:paraId="48FBF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tcBorders>
              <w:top w:val="nil"/>
              <w:left w:val="nil"/>
              <w:bottom w:val="nil"/>
              <w:right w:val="nil"/>
            </w:tcBorders>
            <w:shd w:val="clear" w:color="auto" w:fill="auto"/>
            <w:vAlign w:val="center"/>
          </w:tcPr>
          <w:p w14:paraId="578445A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A3B548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7CCFE678">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01F804C5">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33140A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0B83C760">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2BEFF306">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48530A2C">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BAFF29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1CDCC8C">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vAlign w:val="center"/>
          </w:tcPr>
          <w:p w14:paraId="32707476">
            <w:pPr>
              <w:rPr>
                <w:rFonts w:hint="eastAsia" w:ascii="宋体" w:hAnsi="宋体" w:eastAsia="宋体" w:cs="宋体"/>
                <w:i w:val="0"/>
                <w:iCs w:val="0"/>
                <w:color w:val="000000"/>
                <w:sz w:val="18"/>
                <w:szCs w:val="18"/>
                <w:u w:val="none"/>
              </w:rPr>
            </w:pPr>
          </w:p>
        </w:tc>
      </w:tr>
      <w:tr w14:paraId="7629C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11"/>
            <w:tcBorders>
              <w:top w:val="nil"/>
              <w:left w:val="nil"/>
              <w:bottom w:val="nil"/>
              <w:right w:val="nil"/>
            </w:tcBorders>
            <w:shd w:val="clear" w:color="auto" w:fill="auto"/>
            <w:vAlign w:val="center"/>
          </w:tcPr>
          <w:p w14:paraId="012AA9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14:paraId="07A52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11"/>
            <w:tcBorders>
              <w:top w:val="nil"/>
              <w:left w:val="nil"/>
              <w:bottom w:val="nil"/>
              <w:right w:val="nil"/>
            </w:tcBorders>
            <w:shd w:val="clear" w:color="auto" w:fill="auto"/>
            <w:vAlign w:val="center"/>
          </w:tcPr>
          <w:p w14:paraId="12AE5A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14:paraId="55214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11"/>
            <w:tcBorders>
              <w:top w:val="nil"/>
              <w:left w:val="nil"/>
              <w:bottom w:val="nil"/>
              <w:right w:val="nil"/>
            </w:tcBorders>
            <w:shd w:val="clear" w:color="auto" w:fill="auto"/>
            <w:vAlign w:val="center"/>
          </w:tcPr>
          <w:p w14:paraId="5C3324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14:paraId="05B41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jc w:val="center"/>
        </w:trPr>
        <w:tc>
          <w:tcPr>
            <w:tcW w:w="0" w:type="auto"/>
            <w:gridSpan w:val="11"/>
            <w:tcBorders>
              <w:top w:val="nil"/>
              <w:left w:val="nil"/>
              <w:bottom w:val="nil"/>
              <w:right w:val="nil"/>
            </w:tcBorders>
            <w:shd w:val="clear" w:color="auto" w:fill="auto"/>
            <w:vAlign w:val="center"/>
          </w:tcPr>
          <w:p w14:paraId="1FE9BF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14:paraId="41D92C91">
      <w:pPr>
        <w:pStyle w:val="3"/>
        <w:keepNext w:val="0"/>
        <w:keepLines w:val="0"/>
        <w:pageBreakBefore w:val="0"/>
        <w:widowControl w:val="0"/>
        <w:suppressLineNumbers w:val="0"/>
        <w:kinsoku/>
        <w:wordWrap/>
        <w:overflowPunct/>
        <w:topLinePunct w:val="0"/>
        <w:autoSpaceDE w:val="0"/>
        <w:autoSpaceDN/>
        <w:bidi w:val="0"/>
        <w:snapToGrid/>
        <w:spacing w:before="0" w:beforeAutospacing="0" w:line="560" w:lineRule="exact"/>
        <w:ind w:left="420" w:leftChars="200" w:right="0" w:firstLine="640" w:firstLineChars="200"/>
        <w:textAlignment w:val="auto"/>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EABD830">
      <w:pPr>
        <w:pStyle w:val="8"/>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725C1454">
      <w:pPr>
        <w:pStyle w:val="8"/>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40D66867">
      <w:pPr>
        <w:pStyle w:val="8"/>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45C6CFAA">
      <w:pPr>
        <w:pStyle w:val="5"/>
        <w:bidi w:val="0"/>
        <w:jc w:val="center"/>
        <w:rPr>
          <w:rFonts w:hint="eastAsia"/>
        </w:rPr>
      </w:pPr>
      <w:bookmarkStart w:id="32" w:name="_Toc11970"/>
      <w:r>
        <w:rPr>
          <w:rFonts w:hint="eastAsia"/>
          <w:lang w:val="en-US" w:eastAsia="zh-CN"/>
        </w:rPr>
        <w:t>第五部分 附表</w:t>
      </w:r>
      <w:bookmarkEnd w:id="32"/>
    </w:p>
    <w:p w14:paraId="1DB45109">
      <w:pPr>
        <w:pStyle w:val="6"/>
        <w:widowControl/>
        <w:rPr>
          <w:rFonts w:hint="eastAsia" w:ascii="仿宋" w:hAnsi="仿宋" w:eastAsia="仿宋" w:cs="Times New Roman"/>
          <w:b/>
          <w:bCs/>
          <w:kern w:val="2"/>
          <w:sz w:val="32"/>
          <w:szCs w:val="32"/>
        </w:rPr>
      </w:pPr>
      <w:bookmarkStart w:id="33" w:name="_Toc5245"/>
      <w:bookmarkStart w:id="34" w:name="_Toc23456"/>
      <w:r>
        <w:rPr>
          <w:rFonts w:hint="eastAsia" w:ascii="仿宋" w:hAnsi="仿宋" w:eastAsia="仿宋" w:cs="仿宋"/>
          <w:b w:val="0"/>
          <w:bCs/>
          <w:kern w:val="2"/>
          <w:sz w:val="32"/>
          <w:szCs w:val="32"/>
        </w:rPr>
        <w:t>一、收</w:t>
      </w:r>
      <w:r>
        <w:rPr>
          <w:rStyle w:val="20"/>
          <w:rFonts w:hint="eastAsia" w:ascii="仿宋" w:hAnsi="仿宋" w:eastAsia="仿宋" w:cs="仿宋"/>
          <w:b w:val="0"/>
          <w:bCs w:val="0"/>
          <w:sz w:val="32"/>
          <w:szCs w:val="32"/>
        </w:rPr>
        <w:t>入支出决算总表</w:t>
      </w:r>
      <w:bookmarkEnd w:id="33"/>
      <w:bookmarkEnd w:id="34"/>
    </w:p>
    <w:p w14:paraId="4BD5BC53">
      <w:pPr>
        <w:pStyle w:val="6"/>
        <w:widowControl/>
        <w:rPr>
          <w:rFonts w:hint="eastAsia" w:ascii="仿宋" w:hAnsi="仿宋" w:eastAsia="仿宋" w:cs="Times New Roman"/>
          <w:b/>
          <w:bCs/>
          <w:kern w:val="2"/>
          <w:sz w:val="32"/>
          <w:szCs w:val="32"/>
        </w:rPr>
      </w:pPr>
      <w:bookmarkStart w:id="35" w:name="_Toc5524"/>
      <w:bookmarkStart w:id="36" w:name="_Toc7579"/>
      <w:r>
        <w:rPr>
          <w:rFonts w:hint="eastAsia" w:ascii="仿宋" w:hAnsi="仿宋" w:eastAsia="仿宋" w:cs="仿宋"/>
          <w:b w:val="0"/>
          <w:bCs/>
          <w:kern w:val="2"/>
          <w:sz w:val="32"/>
          <w:szCs w:val="32"/>
        </w:rPr>
        <w:t>二、收</w:t>
      </w:r>
      <w:r>
        <w:rPr>
          <w:rStyle w:val="20"/>
          <w:rFonts w:hint="eastAsia" w:ascii="仿宋" w:hAnsi="仿宋" w:eastAsia="仿宋" w:cs="仿宋"/>
          <w:b w:val="0"/>
          <w:bCs w:val="0"/>
          <w:sz w:val="32"/>
          <w:szCs w:val="32"/>
        </w:rPr>
        <w:t>入决算表</w:t>
      </w:r>
      <w:bookmarkEnd w:id="35"/>
      <w:bookmarkEnd w:id="36"/>
    </w:p>
    <w:p w14:paraId="42B52511">
      <w:pPr>
        <w:pStyle w:val="6"/>
        <w:widowControl/>
        <w:rPr>
          <w:rFonts w:hint="eastAsia" w:ascii="仿宋" w:hAnsi="仿宋" w:eastAsia="仿宋" w:cs="Times New Roman"/>
          <w:b/>
          <w:bCs/>
          <w:kern w:val="2"/>
          <w:sz w:val="32"/>
          <w:szCs w:val="32"/>
        </w:rPr>
      </w:pPr>
      <w:bookmarkStart w:id="37" w:name="_Toc5991"/>
      <w:bookmarkStart w:id="38" w:name="_Toc17303"/>
      <w:r>
        <w:rPr>
          <w:rStyle w:val="20"/>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20"/>
          <w:rFonts w:hint="eastAsia" w:ascii="仿宋" w:hAnsi="仿宋" w:eastAsia="仿宋" w:cs="仿宋"/>
          <w:b w:val="0"/>
          <w:bCs w:val="0"/>
          <w:sz w:val="32"/>
          <w:szCs w:val="32"/>
        </w:rPr>
        <w:t>出决算表</w:t>
      </w:r>
      <w:bookmarkEnd w:id="37"/>
      <w:bookmarkEnd w:id="38"/>
    </w:p>
    <w:p w14:paraId="7401D424">
      <w:pPr>
        <w:pStyle w:val="6"/>
        <w:widowControl/>
        <w:rPr>
          <w:rFonts w:hint="eastAsia" w:ascii="仿宋" w:hAnsi="仿宋" w:eastAsia="仿宋" w:cs="Times New Roman"/>
          <w:b w:val="0"/>
          <w:bCs/>
          <w:kern w:val="2"/>
          <w:sz w:val="32"/>
          <w:szCs w:val="32"/>
        </w:rPr>
      </w:pPr>
      <w:bookmarkStart w:id="39" w:name="_Toc9177"/>
      <w:bookmarkStart w:id="40" w:name="_Toc31944"/>
      <w:r>
        <w:rPr>
          <w:rStyle w:val="20"/>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20"/>
          <w:rFonts w:hint="eastAsia" w:ascii="仿宋" w:hAnsi="仿宋" w:eastAsia="仿宋" w:cs="仿宋"/>
          <w:b w:val="0"/>
          <w:bCs w:val="0"/>
          <w:sz w:val="32"/>
          <w:szCs w:val="32"/>
        </w:rPr>
        <w:t>政拨款收入支出决算总表</w:t>
      </w:r>
      <w:bookmarkEnd w:id="39"/>
      <w:bookmarkEnd w:id="40"/>
    </w:p>
    <w:p w14:paraId="3D08A42F">
      <w:pPr>
        <w:pStyle w:val="6"/>
        <w:widowControl/>
        <w:rPr>
          <w:rFonts w:hint="eastAsia" w:ascii="仿宋" w:hAnsi="仿宋" w:eastAsia="仿宋" w:cs="Times New Roman"/>
          <w:b w:val="0"/>
          <w:bCs w:val="0"/>
          <w:sz w:val="32"/>
          <w:szCs w:val="32"/>
        </w:rPr>
      </w:pPr>
      <w:bookmarkStart w:id="41" w:name="_Toc9518"/>
      <w:bookmarkStart w:id="42" w:name="_Toc17148"/>
      <w:r>
        <w:rPr>
          <w:rStyle w:val="20"/>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20"/>
          <w:rFonts w:hint="eastAsia" w:ascii="仿宋" w:hAnsi="仿宋" w:eastAsia="仿宋" w:cs="仿宋"/>
          <w:b w:val="0"/>
          <w:bCs w:val="0"/>
          <w:sz w:val="32"/>
          <w:szCs w:val="32"/>
        </w:rPr>
        <w:t>政拨款支出决算明细表</w:t>
      </w:r>
      <w:bookmarkEnd w:id="41"/>
      <w:bookmarkEnd w:id="42"/>
    </w:p>
    <w:p w14:paraId="024F0E2E">
      <w:pPr>
        <w:pStyle w:val="6"/>
        <w:widowControl/>
        <w:rPr>
          <w:rFonts w:hint="eastAsia" w:ascii="仿宋" w:hAnsi="仿宋" w:eastAsia="仿宋" w:cs="Times New Roman"/>
          <w:b/>
          <w:bCs/>
          <w:kern w:val="2"/>
          <w:sz w:val="32"/>
          <w:szCs w:val="32"/>
        </w:rPr>
      </w:pPr>
      <w:bookmarkStart w:id="43" w:name="_Toc22494"/>
      <w:bookmarkStart w:id="44" w:name="_Toc377"/>
      <w:r>
        <w:rPr>
          <w:rStyle w:val="20"/>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20"/>
          <w:rFonts w:hint="eastAsia" w:ascii="仿宋" w:hAnsi="仿宋" w:eastAsia="仿宋" w:cs="仿宋"/>
          <w:b w:val="0"/>
          <w:bCs w:val="0"/>
          <w:sz w:val="32"/>
          <w:szCs w:val="32"/>
        </w:rPr>
        <w:t>般公共预算财政拨款支出决算表</w:t>
      </w:r>
      <w:bookmarkEnd w:id="43"/>
      <w:bookmarkEnd w:id="44"/>
    </w:p>
    <w:p w14:paraId="29B1BC49">
      <w:pPr>
        <w:pStyle w:val="6"/>
        <w:widowControl/>
        <w:rPr>
          <w:rFonts w:hint="eastAsia" w:ascii="仿宋" w:hAnsi="仿宋" w:eastAsia="仿宋" w:cs="Times New Roman"/>
          <w:b/>
          <w:bCs/>
          <w:kern w:val="2"/>
          <w:sz w:val="32"/>
          <w:szCs w:val="32"/>
        </w:rPr>
      </w:pPr>
      <w:bookmarkStart w:id="45" w:name="_Toc23472"/>
      <w:bookmarkStart w:id="46" w:name="_Toc8032"/>
      <w:r>
        <w:rPr>
          <w:rStyle w:val="20"/>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20"/>
          <w:rFonts w:hint="eastAsia" w:ascii="仿宋" w:hAnsi="仿宋" w:eastAsia="仿宋" w:cs="仿宋"/>
          <w:b w:val="0"/>
          <w:bCs w:val="0"/>
          <w:sz w:val="32"/>
          <w:szCs w:val="32"/>
        </w:rPr>
        <w:t>般公共预算财政拨款支出决算明细表</w:t>
      </w:r>
      <w:bookmarkEnd w:id="45"/>
      <w:bookmarkEnd w:id="46"/>
    </w:p>
    <w:p w14:paraId="3EA9DBB4">
      <w:pPr>
        <w:pStyle w:val="6"/>
        <w:widowControl/>
        <w:rPr>
          <w:rFonts w:hint="eastAsia" w:ascii="仿宋" w:hAnsi="仿宋" w:eastAsia="仿宋" w:cs="Times New Roman"/>
          <w:b/>
          <w:bCs/>
          <w:kern w:val="2"/>
          <w:sz w:val="32"/>
          <w:szCs w:val="32"/>
        </w:rPr>
      </w:pPr>
      <w:bookmarkStart w:id="47" w:name="_Toc31940"/>
      <w:bookmarkStart w:id="48" w:name="_Toc21378"/>
      <w:r>
        <w:rPr>
          <w:rStyle w:val="20"/>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20"/>
          <w:rFonts w:hint="eastAsia" w:ascii="仿宋" w:hAnsi="仿宋" w:eastAsia="仿宋" w:cs="仿宋"/>
          <w:b w:val="0"/>
          <w:bCs w:val="0"/>
          <w:sz w:val="32"/>
          <w:szCs w:val="32"/>
        </w:rPr>
        <w:t>般公共预算财政拨款基本支出决算表</w:t>
      </w:r>
      <w:bookmarkEnd w:id="47"/>
      <w:bookmarkEnd w:id="48"/>
    </w:p>
    <w:p w14:paraId="5C6AECE1">
      <w:pPr>
        <w:pStyle w:val="6"/>
        <w:widowControl/>
        <w:rPr>
          <w:rFonts w:hint="eastAsia" w:ascii="仿宋" w:hAnsi="仿宋" w:eastAsia="仿宋" w:cs="Times New Roman"/>
          <w:b/>
          <w:bCs/>
          <w:kern w:val="2"/>
          <w:sz w:val="32"/>
          <w:szCs w:val="32"/>
        </w:rPr>
      </w:pPr>
      <w:bookmarkStart w:id="49" w:name="_Toc21343"/>
      <w:bookmarkStart w:id="50" w:name="_Toc32713"/>
      <w:r>
        <w:rPr>
          <w:rStyle w:val="20"/>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20"/>
          <w:rFonts w:hint="eastAsia" w:ascii="仿宋" w:hAnsi="仿宋" w:eastAsia="仿宋" w:cs="仿宋"/>
          <w:b w:val="0"/>
          <w:bCs w:val="0"/>
          <w:sz w:val="32"/>
          <w:szCs w:val="32"/>
        </w:rPr>
        <w:t>般公共预算财政拨款项目支出决算表</w:t>
      </w:r>
      <w:bookmarkEnd w:id="49"/>
      <w:bookmarkEnd w:id="50"/>
    </w:p>
    <w:p w14:paraId="61521C00">
      <w:pPr>
        <w:pStyle w:val="6"/>
        <w:widowControl/>
        <w:rPr>
          <w:rFonts w:hint="eastAsia" w:ascii="仿宋" w:hAnsi="仿宋" w:eastAsia="仿宋" w:cs="Times New Roman"/>
          <w:b/>
          <w:bCs/>
          <w:kern w:val="2"/>
          <w:sz w:val="32"/>
          <w:szCs w:val="32"/>
        </w:rPr>
      </w:pPr>
      <w:bookmarkStart w:id="51" w:name="_Toc9151"/>
      <w:bookmarkStart w:id="52" w:name="_Toc2658"/>
      <w:r>
        <w:rPr>
          <w:rStyle w:val="20"/>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20"/>
          <w:rFonts w:hint="eastAsia" w:ascii="仿宋" w:hAnsi="仿宋" w:eastAsia="仿宋" w:cs="仿宋"/>
          <w:b w:val="0"/>
          <w:bCs w:val="0"/>
          <w:sz w:val="32"/>
          <w:szCs w:val="32"/>
        </w:rPr>
        <w:t>府性基金预算财政拨款收入支出决算表</w:t>
      </w:r>
      <w:bookmarkEnd w:id="51"/>
      <w:bookmarkEnd w:id="52"/>
    </w:p>
    <w:p w14:paraId="6BA1AE2E">
      <w:pPr>
        <w:pStyle w:val="6"/>
        <w:widowControl/>
        <w:rPr>
          <w:rFonts w:hint="eastAsia" w:ascii="仿宋" w:hAnsi="仿宋" w:eastAsia="仿宋" w:cs="Times New Roman"/>
          <w:b/>
          <w:bCs/>
          <w:kern w:val="2"/>
          <w:sz w:val="32"/>
          <w:szCs w:val="32"/>
        </w:rPr>
      </w:pPr>
      <w:bookmarkStart w:id="53" w:name="_Toc28919"/>
      <w:bookmarkStart w:id="54" w:name="_Toc16383"/>
      <w:r>
        <w:rPr>
          <w:rStyle w:val="20"/>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20"/>
          <w:rFonts w:hint="eastAsia" w:ascii="仿宋" w:hAnsi="仿宋" w:eastAsia="仿宋" w:cs="仿宋"/>
          <w:b w:val="0"/>
          <w:bCs w:val="0"/>
          <w:sz w:val="32"/>
          <w:szCs w:val="32"/>
        </w:rPr>
        <w:t>有资本经营预算财政拨款收入支出决算表</w:t>
      </w:r>
      <w:bookmarkEnd w:id="53"/>
      <w:bookmarkEnd w:id="54"/>
    </w:p>
    <w:p w14:paraId="02744477">
      <w:pPr>
        <w:pStyle w:val="6"/>
        <w:widowControl/>
        <w:rPr>
          <w:rFonts w:hint="eastAsia" w:ascii="仿宋" w:hAnsi="仿宋" w:eastAsia="仿宋" w:cs="Times New Roman"/>
          <w:b/>
          <w:bCs/>
          <w:kern w:val="2"/>
          <w:sz w:val="32"/>
          <w:szCs w:val="32"/>
        </w:rPr>
      </w:pPr>
      <w:bookmarkStart w:id="55" w:name="_Toc23922"/>
      <w:bookmarkStart w:id="56" w:name="_Toc21469"/>
      <w:r>
        <w:rPr>
          <w:rStyle w:val="20"/>
          <w:rFonts w:hint="eastAsia" w:ascii="仿宋" w:hAnsi="仿宋" w:eastAsia="仿宋" w:cs="仿宋"/>
          <w:b w:val="0"/>
          <w:bCs w:val="0"/>
          <w:sz w:val="32"/>
          <w:szCs w:val="32"/>
        </w:rPr>
        <w:t>十二、国有资本经营预算财政拨款支出决算表</w:t>
      </w:r>
      <w:bookmarkEnd w:id="55"/>
      <w:bookmarkEnd w:id="56"/>
    </w:p>
    <w:p w14:paraId="0D91AA8B">
      <w:pPr>
        <w:pStyle w:val="6"/>
        <w:widowControl/>
        <w:rPr>
          <w:rFonts w:hint="eastAsia" w:ascii="Cambria" w:hAnsi="Cambria" w:eastAsia="仿宋" w:cs="Times New Roman"/>
          <w:b/>
          <w:bCs/>
          <w:kern w:val="2"/>
          <w:sz w:val="32"/>
          <w:szCs w:val="32"/>
        </w:rPr>
      </w:pPr>
      <w:bookmarkStart w:id="57" w:name="_Toc11787"/>
      <w:bookmarkStart w:id="58" w:name="_Toc6993"/>
      <w:r>
        <w:rPr>
          <w:rStyle w:val="20"/>
          <w:rFonts w:hint="eastAsia" w:ascii="仿宋" w:hAnsi="仿宋" w:eastAsia="仿宋" w:cs="仿宋"/>
          <w:b w:val="0"/>
          <w:bCs w:val="0"/>
          <w:sz w:val="32"/>
          <w:szCs w:val="32"/>
        </w:rPr>
        <w:t>十三、财政拨款“三公”经费支出决算表</w:t>
      </w:r>
      <w:bookmarkEnd w:id="57"/>
      <w:bookmarkEnd w:id="58"/>
    </w:p>
    <w:p w14:paraId="05A4ECA2"/>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24C2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BB438">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8AD3C">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0C8AD3C">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CFF8">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3B35AE9"/>
    <w:rsid w:val="04665056"/>
    <w:rsid w:val="09AE1F88"/>
    <w:rsid w:val="0A5F4902"/>
    <w:rsid w:val="0A977596"/>
    <w:rsid w:val="0B4F6C35"/>
    <w:rsid w:val="0BE00440"/>
    <w:rsid w:val="0DDD0AFB"/>
    <w:rsid w:val="10FB1AA8"/>
    <w:rsid w:val="147847D5"/>
    <w:rsid w:val="14DC3643"/>
    <w:rsid w:val="18465320"/>
    <w:rsid w:val="1A876E66"/>
    <w:rsid w:val="1A956870"/>
    <w:rsid w:val="1AE90A58"/>
    <w:rsid w:val="1CD05E80"/>
    <w:rsid w:val="1DD51A97"/>
    <w:rsid w:val="1E0150FC"/>
    <w:rsid w:val="1F736BA3"/>
    <w:rsid w:val="20282611"/>
    <w:rsid w:val="237E3B0E"/>
    <w:rsid w:val="255517FA"/>
    <w:rsid w:val="25693EC3"/>
    <w:rsid w:val="25B56DD4"/>
    <w:rsid w:val="26757452"/>
    <w:rsid w:val="29EB2AFB"/>
    <w:rsid w:val="2BA63E47"/>
    <w:rsid w:val="2C475206"/>
    <w:rsid w:val="2C8052CD"/>
    <w:rsid w:val="2C9B7130"/>
    <w:rsid w:val="2DD37B2E"/>
    <w:rsid w:val="2F5B6CAF"/>
    <w:rsid w:val="2F956CDC"/>
    <w:rsid w:val="303A0C90"/>
    <w:rsid w:val="31424138"/>
    <w:rsid w:val="32866D48"/>
    <w:rsid w:val="34A80CF3"/>
    <w:rsid w:val="36920AE2"/>
    <w:rsid w:val="38F131A4"/>
    <w:rsid w:val="39567F24"/>
    <w:rsid w:val="3A282B8F"/>
    <w:rsid w:val="3BE04B81"/>
    <w:rsid w:val="3D6C1E8E"/>
    <w:rsid w:val="3E47640C"/>
    <w:rsid w:val="3E477ACF"/>
    <w:rsid w:val="3E774422"/>
    <w:rsid w:val="3F3861FA"/>
    <w:rsid w:val="3F446ADE"/>
    <w:rsid w:val="4055611E"/>
    <w:rsid w:val="411B6B2F"/>
    <w:rsid w:val="414A4154"/>
    <w:rsid w:val="44502853"/>
    <w:rsid w:val="483427C0"/>
    <w:rsid w:val="487503AE"/>
    <w:rsid w:val="4B481731"/>
    <w:rsid w:val="4C0146CD"/>
    <w:rsid w:val="4D114F6B"/>
    <w:rsid w:val="4DAC1914"/>
    <w:rsid w:val="4ED14148"/>
    <w:rsid w:val="50F530E7"/>
    <w:rsid w:val="582E2D75"/>
    <w:rsid w:val="599F590B"/>
    <w:rsid w:val="59FD26BE"/>
    <w:rsid w:val="5A6134FD"/>
    <w:rsid w:val="5B9C3B0C"/>
    <w:rsid w:val="5C5F5DB2"/>
    <w:rsid w:val="5CE07708"/>
    <w:rsid w:val="5D131446"/>
    <w:rsid w:val="5D386CA5"/>
    <w:rsid w:val="5EA33DE2"/>
    <w:rsid w:val="60233110"/>
    <w:rsid w:val="60D179CD"/>
    <w:rsid w:val="62B81FED"/>
    <w:rsid w:val="673C3788"/>
    <w:rsid w:val="67B06DA0"/>
    <w:rsid w:val="6E6F337E"/>
    <w:rsid w:val="70B771A2"/>
    <w:rsid w:val="719A1C34"/>
    <w:rsid w:val="720F7F50"/>
    <w:rsid w:val="74BD6F2E"/>
    <w:rsid w:val="7521645C"/>
    <w:rsid w:val="770E4313"/>
    <w:rsid w:val="783E33C3"/>
    <w:rsid w:val="7B9D456B"/>
    <w:rsid w:val="7C4334E0"/>
    <w:rsid w:val="7C557002"/>
    <w:rsid w:val="7C7B6ADA"/>
    <w:rsid w:val="7D052B84"/>
    <w:rsid w:val="7F0F72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23"/>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6">
    <w:name w:val="heading 2"/>
    <w:basedOn w:val="1"/>
    <w:next w:val="1"/>
    <w:link w:val="24"/>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paragraph" w:styleId="4">
    <w:name w:val="Body Text Indent"/>
    <w:basedOn w:val="1"/>
    <w:next w:val="3"/>
    <w:qFormat/>
    <w:uiPriority w:val="0"/>
    <w:pPr>
      <w:spacing w:after="120"/>
      <w:ind w:left="200" w:leftChars="200"/>
    </w:pPr>
    <w:rPr>
      <w:rFonts w:ascii="仿宋_GB2312"/>
      <w:szCs w:val="32"/>
    </w:rPr>
  </w:style>
  <w:style w:type="paragraph" w:styleId="7">
    <w:name w:val="Normal Indent"/>
    <w:basedOn w:val="1"/>
    <w:qFormat/>
    <w:uiPriority w:val="0"/>
    <w:pPr>
      <w:ind w:firstLine="200" w:firstLineChars="200"/>
    </w:pPr>
  </w:style>
  <w:style w:type="paragraph" w:styleId="8">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2">
    <w:name w:val="table of figures"/>
    <w:basedOn w:val="1"/>
    <w:next w:val="1"/>
    <w:unhideWhenUsed/>
    <w:qFormat/>
    <w:uiPriority w:val="0"/>
    <w:pPr>
      <w:ind w:left="200" w:leftChars="200" w:hanging="200" w:hangingChars="200"/>
    </w:pPr>
    <w:rPr>
      <w:rFonts w:hint="eastAsia"/>
      <w:sz w:val="32"/>
      <w:szCs w:val="21"/>
    </w:rPr>
  </w:style>
  <w:style w:type="paragraph" w:styleId="13">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character" w:styleId="16">
    <w:name w:val="Strong"/>
    <w:basedOn w:val="15"/>
    <w:qFormat/>
    <w:uiPriority w:val="0"/>
    <w:rPr>
      <w:b/>
    </w:rPr>
  </w:style>
  <w:style w:type="character" w:customStyle="1" w:styleId="17">
    <w:name w:val="10"/>
    <w:basedOn w:val="15"/>
    <w:qFormat/>
    <w:uiPriority w:val="0"/>
    <w:rPr>
      <w:rFonts w:hint="default" w:ascii="Times New Roman" w:hAnsi="Times New Roman" w:cs="Times New Roman"/>
    </w:rPr>
  </w:style>
  <w:style w:type="character" w:customStyle="1" w:styleId="18">
    <w:name w:val="16"/>
    <w:basedOn w:val="15"/>
    <w:qFormat/>
    <w:uiPriority w:val="0"/>
    <w:rPr>
      <w:rFonts w:hint="default" w:ascii="Times New Roman" w:hAnsi="Times New Roman" w:cs="Times New Roman"/>
      <w:b/>
      <w:bCs/>
      <w:kern w:val="44"/>
      <w:sz w:val="44"/>
      <w:szCs w:val="44"/>
    </w:rPr>
  </w:style>
  <w:style w:type="character" w:customStyle="1" w:styleId="19">
    <w:name w:val="15"/>
    <w:basedOn w:val="15"/>
    <w:qFormat/>
    <w:uiPriority w:val="0"/>
    <w:rPr>
      <w:rFonts w:hint="default" w:ascii="Times New Roman" w:hAnsi="Times New Roman" w:cs="Times New Roman"/>
      <w:b/>
    </w:rPr>
  </w:style>
  <w:style w:type="character" w:customStyle="1" w:styleId="20">
    <w:name w:val="17"/>
    <w:basedOn w:val="15"/>
    <w:qFormat/>
    <w:uiPriority w:val="0"/>
    <w:rPr>
      <w:rFonts w:hint="default" w:ascii="Cambria" w:hAnsi="Cambria" w:eastAsia="宋体" w:cs="Times New Roman"/>
      <w:b/>
      <w:bCs/>
      <w:sz w:val="32"/>
      <w:szCs w:val="32"/>
    </w:rPr>
  </w:style>
  <w:style w:type="paragraph" w:customStyle="1" w:styleId="21">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2">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3">
    <w:name w:val="标题 1 Char"/>
    <w:basedOn w:val="15"/>
    <w:link w:val="5"/>
    <w:qFormat/>
    <w:uiPriority w:val="0"/>
    <w:rPr>
      <w:rFonts w:hint="default" w:ascii="Calibri" w:hAnsi="Calibri" w:eastAsia="宋体" w:cs="Times New Roman"/>
      <w:b/>
      <w:bCs/>
      <w:kern w:val="44"/>
      <w:sz w:val="44"/>
      <w:szCs w:val="44"/>
      <w:lang w:val="en-US" w:eastAsia="zh-CN" w:bidi="ar"/>
    </w:rPr>
  </w:style>
  <w:style w:type="character" w:customStyle="1" w:styleId="24">
    <w:name w:val="标题 2 Char"/>
    <w:link w:val="6"/>
    <w:qFormat/>
    <w:uiPriority w:val="0"/>
    <w:rPr>
      <w:rFonts w:hint="default" w:ascii="Cambria" w:hAnsi="Cambria" w:eastAsia="宋体" w:cs="Times New Roman"/>
      <w:b/>
      <w:bCs/>
      <w:kern w:val="2"/>
      <w:sz w:val="32"/>
      <w:szCs w:val="3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7024</Words>
  <Characters>7571</Characters>
  <Lines>0</Lines>
  <Paragraphs>0</Paragraphs>
  <TotalTime>8</TotalTime>
  <ScaleCrop>false</ScaleCrop>
  <LinksUpToDate>false</LinksUpToDate>
  <CharactersWithSpaces>7697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2026-08-25T08:40:57Z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D4A39BB81AD24DD694D5EAEE214133A3_12</vt:lpwstr>
  </property>
  <property fmtid="{D5CDD505-2E9C-101B-9397-08002B2CF9AE}" pid="4" name="KSOTemplateDocerSaveRecord">
    <vt:lpwstr>eyJoZGlkIjoiMjM2OGQ3ZDc3NGQ3MmExZjk1YTg4MDIzOGFhN2Q4ZjYiLCJ1c2VySWQiOiIyNjQ5OTE0NjYifQ==</vt:lpwstr>
  </property>
</Properties>
</file>