
<file path=[Content_Types].xml><?xml version="1.0" encoding="utf-8"?>
<Types xmlns="http://schemas.openxmlformats.org/package/2006/content-types">
  <Default Extension="xml" ContentType="application/xml"/>
  <Default Extension="xlsx" ContentType="application/vnd.openxmlformats-officedocument.spreadsheetml.sheet"/>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hint="eastAsia" w:ascii="方正小标宋简体" w:eastAsia="方正小标宋简体"/>
          <w:sz w:val="72"/>
          <w:szCs w:val="72"/>
        </w:rPr>
      </w:pPr>
      <w:bookmarkStart w:id="1" w:name="_Toc15396475"/>
      <w:bookmarkStart w:id="2" w:name="_Toc15396597"/>
      <w:bookmarkStart w:id="3" w:name="_Toc15378441"/>
      <w:bookmarkStart w:id="4" w:name="_Toc15377193"/>
      <w:bookmarkStart w:id="5" w:name="_Toc15377425"/>
      <w:r>
        <w:rPr>
          <w:rFonts w:hint="eastAsia" w:ascii="方正小标宋简体" w:eastAsia="方正小标宋简体"/>
          <w:sz w:val="72"/>
          <w:szCs w:val="72"/>
        </w:rPr>
        <w:t>2021年度</w:t>
      </w:r>
      <w:bookmarkEnd w:id="1"/>
      <w:bookmarkEnd w:id="2"/>
      <w:bookmarkEnd w:id="3"/>
      <w:bookmarkEnd w:id="4"/>
      <w:bookmarkEnd w:id="5"/>
    </w:p>
    <w:p>
      <w:pPr>
        <w:jc w:val="center"/>
        <w:rPr>
          <w:rFonts w:ascii="方正小标宋简体" w:eastAsia="方正小标宋简体"/>
          <w:sz w:val="72"/>
          <w:szCs w:val="72"/>
        </w:rPr>
      </w:pPr>
      <w:bookmarkStart w:id="6" w:name="_Toc15377426"/>
      <w:bookmarkStart w:id="7" w:name="_Toc15378442"/>
      <w:bookmarkStart w:id="8" w:name="_Toc15396598"/>
      <w:bookmarkStart w:id="9" w:name="_Toc15377194"/>
      <w:bookmarkStart w:id="10" w:name="_Toc15396476"/>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rPr>
        <w:t>国库集中支付中心部门决算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bookmarkStart w:id="149" w:name="_GoBack"/>
      <w:bookmarkEnd w:id="149"/>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部门主要负责人审签情况：已审签，同意对外公开</w:t>
      </w:r>
    </w:p>
    <w:p>
      <w:pPr>
        <w:widowControl/>
        <w:jc w:val="center"/>
        <w:rPr>
          <w:rFonts w:ascii="方正小标宋简体" w:eastAsia="方正小标宋简体"/>
          <w:color w:val="000000"/>
          <w:sz w:val="36"/>
          <w:szCs w:val="36"/>
        </w:rPr>
      </w:pP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3"/>
        <w:jc w:val="center"/>
        <w:rPr>
          <w:b w:val="0"/>
          <w:bCs w:val="0"/>
          <w:sz w:val="24"/>
          <w:szCs w:val="24"/>
        </w:rPr>
      </w:pPr>
      <w:r>
        <w:rPr>
          <w:rFonts w:hint="eastAsia"/>
          <w:b w:val="0"/>
          <w:bCs w:val="0"/>
          <w:sz w:val="24"/>
          <w:szCs w:val="24"/>
        </w:rPr>
        <w:t>公开时间：202</w:t>
      </w:r>
      <w:r>
        <w:rPr>
          <w:b w:val="0"/>
          <w:bCs w:val="0"/>
          <w:sz w:val="24"/>
          <w:szCs w:val="24"/>
        </w:rPr>
        <w:t>2</w:t>
      </w:r>
      <w:r>
        <w:rPr>
          <w:rFonts w:hint="eastAsia"/>
          <w:b w:val="0"/>
          <w:bCs w:val="0"/>
          <w:sz w:val="24"/>
          <w:szCs w:val="24"/>
        </w:rPr>
        <w:t>年</w:t>
      </w:r>
      <w:r>
        <w:rPr>
          <w:b w:val="0"/>
          <w:bCs w:val="0"/>
          <w:sz w:val="24"/>
          <w:szCs w:val="24"/>
        </w:rPr>
        <w:t>9</w:t>
      </w:r>
      <w:r>
        <w:rPr>
          <w:rFonts w:hint="eastAsia"/>
          <w:b w:val="0"/>
          <w:bCs w:val="0"/>
          <w:sz w:val="24"/>
          <w:szCs w:val="24"/>
        </w:rPr>
        <w:t>月</w:t>
      </w:r>
      <w:r>
        <w:rPr>
          <w:b w:val="0"/>
          <w:bCs w:val="0"/>
          <w:sz w:val="24"/>
          <w:szCs w:val="24"/>
        </w:rPr>
        <w:t>27</w:t>
      </w:r>
      <w:r>
        <w:rPr>
          <w:rFonts w:hint="eastAsia"/>
          <w:b w:val="0"/>
          <w:bCs w:val="0"/>
          <w:sz w:val="24"/>
          <w:szCs w:val="24"/>
        </w:rPr>
        <w:t>日</w:t>
      </w:r>
    </w:p>
    <w:p>
      <w:pPr>
        <w:pStyle w:val="13"/>
        <w:tabs>
          <w:tab w:val="right" w:leader="dot" w:pos="8296"/>
        </w:tabs>
        <w:rPr>
          <w:rFonts w:ascii="仿宋" w:eastAsia="仿宋"/>
          <w:b w:val="0"/>
          <w:bCs w:val="0"/>
          <w:caps w:val="0"/>
          <w:smallCaps/>
        </w:rPr>
      </w:pPr>
      <w:r>
        <w:rPr>
          <w:rFonts w:ascii="仿宋" w:eastAsia="仿宋"/>
          <w:b w:val="0"/>
          <w:bCs w:val="0"/>
          <w:caps w:val="0"/>
          <w:smallCaps/>
        </w:rPr>
        <w:fldChar w:fldCharType="begin"/>
      </w:r>
      <w:r>
        <w:rPr>
          <w:rFonts w:ascii="仿宋" w:eastAsia="仿宋"/>
          <w:b w:val="0"/>
          <w:bCs w:val="0"/>
          <w:caps w:val="0"/>
          <w:smallCaps/>
        </w:rPr>
        <w:instrText xml:space="preserve"> TOC \o \u </w:instrText>
      </w:r>
      <w:r>
        <w:rPr>
          <w:rFonts w:ascii="仿宋" w:eastAsia="仿宋"/>
          <w:b w:val="0"/>
          <w:bCs w:val="0"/>
          <w:caps w:val="0"/>
          <w:smallCaps/>
        </w:rPr>
        <w:fldChar w:fldCharType="separate"/>
      </w:r>
      <w:r>
        <w:rPr>
          <w:rFonts w:ascii="仿宋" w:eastAsia="仿宋"/>
          <w:b w:val="0"/>
          <w:bCs w:val="0"/>
          <w:caps w:val="0"/>
          <w:smallCaps/>
        </w:rPr>
        <w:t>第一部分 部门概况</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_Toc79163851 \h </w:instrText>
      </w:r>
      <w:r>
        <w:rPr>
          <w:rFonts w:ascii="仿宋" w:eastAsia="仿宋"/>
          <w:b w:val="0"/>
          <w:bCs w:val="0"/>
          <w:caps w:val="0"/>
          <w:smallCaps/>
        </w:rPr>
        <w:fldChar w:fldCharType="separate"/>
      </w:r>
      <w:r>
        <w:rPr>
          <w:rFonts w:ascii="仿宋" w:eastAsia="仿宋"/>
          <w:b w:val="0"/>
          <w:bCs w:val="0"/>
          <w:caps w:val="0"/>
          <w:smallCaps/>
        </w:rPr>
        <w:t>4</w:t>
      </w:r>
      <w:r>
        <w:rPr>
          <w:rFonts w:ascii="仿宋" w:eastAsia="仿宋"/>
          <w:b w:val="0"/>
          <w:bCs w:val="0"/>
          <w:caps w:val="0"/>
          <w:smallCaps/>
        </w:rPr>
        <w:fldChar w:fldCharType="end"/>
      </w:r>
    </w:p>
    <w:p>
      <w:pPr>
        <w:pStyle w:val="16"/>
        <w:tabs>
          <w:tab w:val="right" w:leader="dot" w:pos="8296"/>
        </w:tabs>
        <w:rPr>
          <w:rFonts w:ascii="仿宋" w:eastAsia="仿宋"/>
        </w:rPr>
      </w:pPr>
      <w:r>
        <w:rPr>
          <w:rFonts w:ascii="仿宋" w:eastAsia="仿宋"/>
        </w:rPr>
        <w:t>一、基本职能及主要工作</w:t>
      </w:r>
      <w:r>
        <w:rPr>
          <w:rFonts w:ascii="仿宋" w:eastAsia="仿宋"/>
        </w:rPr>
        <w:tab/>
      </w:r>
      <w:r>
        <w:rPr>
          <w:rFonts w:ascii="仿宋" w:eastAsia="仿宋"/>
        </w:rPr>
        <w:fldChar w:fldCharType="begin"/>
      </w:r>
      <w:r>
        <w:rPr>
          <w:rFonts w:ascii="仿宋" w:eastAsia="仿宋"/>
        </w:rPr>
        <w:instrText xml:space="preserve"> PAGEREF _Toc79163852 \h </w:instrText>
      </w:r>
      <w:r>
        <w:rPr>
          <w:rFonts w:ascii="仿宋" w:eastAsia="仿宋"/>
        </w:rPr>
        <w:fldChar w:fldCharType="separate"/>
      </w:r>
      <w:r>
        <w:rPr>
          <w:rFonts w:ascii="仿宋" w:eastAsia="仿宋"/>
        </w:rPr>
        <w:t>4</w:t>
      </w:r>
      <w:r>
        <w:rPr>
          <w:rFonts w:ascii="仿宋" w:eastAsia="仿宋"/>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（一）主要职能</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_Toc79163853 \h </w:instrText>
      </w:r>
      <w:r>
        <w:rPr>
          <w:rFonts w:ascii="仿宋" w:eastAsia="仿宋"/>
          <w:i w:val="0"/>
          <w:iCs w:val="0"/>
          <w:caps w:val="0"/>
          <w:smallCaps/>
        </w:rPr>
        <w:fldChar w:fldCharType="separate"/>
      </w:r>
      <w:r>
        <w:rPr>
          <w:rFonts w:ascii="仿宋" w:eastAsia="仿宋"/>
          <w:i w:val="0"/>
          <w:iCs w:val="0"/>
          <w:caps w:val="0"/>
          <w:smallCaps/>
        </w:rPr>
        <w:t>4</w:t>
      </w:r>
      <w:r>
        <w:rPr>
          <w:rFonts w:ascii="仿宋" w:eastAsia="仿宋"/>
          <w:i w:val="0"/>
          <w:iCs w:val="0"/>
          <w:caps w:val="0"/>
          <w:smallCaps/>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（二）2021年重点工作完成情况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_Toc79163854 \h </w:instrText>
      </w:r>
      <w:r>
        <w:rPr>
          <w:rFonts w:ascii="仿宋" w:eastAsia="仿宋"/>
          <w:i w:val="0"/>
          <w:iCs w:val="0"/>
          <w:caps w:val="0"/>
          <w:smallCaps/>
        </w:rPr>
        <w:fldChar w:fldCharType="separate"/>
      </w:r>
      <w:r>
        <w:rPr>
          <w:rFonts w:ascii="仿宋" w:eastAsia="仿宋"/>
          <w:i w:val="0"/>
          <w:iCs w:val="0"/>
          <w:caps w:val="0"/>
          <w:smallCaps/>
        </w:rPr>
        <w:t>4</w:t>
      </w:r>
      <w:r>
        <w:rPr>
          <w:rFonts w:ascii="仿宋" w:eastAsia="仿宋"/>
          <w:i w:val="0"/>
          <w:iCs w:val="0"/>
          <w:caps w:val="0"/>
          <w:smallCaps/>
        </w:rPr>
        <w:fldChar w:fldCharType="end"/>
      </w:r>
    </w:p>
    <w:p>
      <w:pPr>
        <w:pStyle w:val="16"/>
        <w:tabs>
          <w:tab w:val="right" w:leader="dot" w:pos="8296"/>
        </w:tabs>
        <w:rPr>
          <w:rFonts w:ascii="仿宋" w:eastAsia="仿宋"/>
        </w:rPr>
      </w:pPr>
      <w:r>
        <w:rPr>
          <w:rFonts w:ascii="仿宋" w:eastAsia="仿宋"/>
        </w:rPr>
        <w:t>二、机构设置</w:t>
      </w:r>
      <w:r>
        <w:rPr>
          <w:rFonts w:ascii="仿宋" w:eastAsia="仿宋"/>
        </w:rPr>
        <w:tab/>
      </w:r>
      <w:r>
        <w:rPr>
          <w:rFonts w:ascii="仿宋" w:eastAsia="仿宋"/>
        </w:rPr>
        <w:fldChar w:fldCharType="begin"/>
      </w:r>
      <w:r>
        <w:rPr>
          <w:rFonts w:ascii="仿宋" w:eastAsia="仿宋"/>
        </w:rPr>
        <w:instrText xml:space="preserve"> PAGEREF _Toc79163855 \h </w:instrText>
      </w:r>
      <w:r>
        <w:rPr>
          <w:rFonts w:ascii="仿宋" w:eastAsia="仿宋"/>
        </w:rPr>
        <w:fldChar w:fldCharType="separate"/>
      </w:r>
      <w:r>
        <w:rPr>
          <w:rFonts w:ascii="仿宋" w:eastAsia="仿宋"/>
        </w:rPr>
        <w:t>4</w:t>
      </w:r>
      <w:r>
        <w:rPr>
          <w:rFonts w:ascii="仿宋" w:eastAsia="仿宋"/>
        </w:rPr>
        <w:fldChar w:fldCharType="end"/>
      </w:r>
    </w:p>
    <w:p>
      <w:pPr>
        <w:pStyle w:val="13"/>
        <w:tabs>
          <w:tab w:val="right" w:leader="dot" w:pos="8296"/>
        </w:tabs>
        <w:rPr>
          <w:rFonts w:ascii="仿宋" w:eastAsia="仿宋"/>
          <w:b w:val="0"/>
          <w:bCs w:val="0"/>
          <w:caps w:val="0"/>
          <w:smallCaps/>
        </w:rPr>
      </w:pPr>
      <w:r>
        <w:rPr>
          <w:rFonts w:ascii="仿宋" w:eastAsia="仿宋"/>
          <w:b w:val="0"/>
          <w:bCs w:val="0"/>
          <w:caps w:val="0"/>
          <w:smallCaps/>
        </w:rPr>
        <w:t>第二部分 2021年度部门决算情况说明</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_Toc79163859 \h </w:instrText>
      </w:r>
      <w:r>
        <w:rPr>
          <w:rFonts w:ascii="仿宋" w:eastAsia="仿宋"/>
          <w:b w:val="0"/>
          <w:bCs w:val="0"/>
          <w:caps w:val="0"/>
          <w:smallCaps/>
        </w:rPr>
        <w:fldChar w:fldCharType="separate"/>
      </w:r>
      <w:r>
        <w:rPr>
          <w:rFonts w:ascii="仿宋" w:eastAsia="仿宋"/>
          <w:b w:val="0"/>
          <w:bCs w:val="0"/>
          <w:caps w:val="0"/>
          <w:smallCaps/>
        </w:rPr>
        <w:t>5</w:t>
      </w:r>
      <w:r>
        <w:rPr>
          <w:rFonts w:ascii="仿宋" w:eastAsia="仿宋"/>
          <w:b w:val="0"/>
          <w:bCs w:val="0"/>
          <w:caps w:val="0"/>
          <w:smallCaps/>
        </w:rPr>
        <w:fldChar w:fldCharType="end"/>
      </w:r>
    </w:p>
    <w:p>
      <w:pPr>
        <w:pStyle w:val="16"/>
        <w:tabs>
          <w:tab w:val="left" w:pos="840"/>
          <w:tab w:val="right" w:leader="dot" w:pos="8296"/>
        </w:tabs>
        <w:rPr>
          <w:rFonts w:ascii="仿宋" w:eastAsia="仿宋"/>
        </w:rPr>
      </w:pPr>
      <w:r>
        <w:rPr>
          <w:rFonts w:ascii="仿宋" w:eastAsia="仿宋"/>
        </w:rPr>
        <w:t>一、</w:t>
      </w:r>
      <w:r>
        <w:rPr>
          <w:rFonts w:ascii="仿宋" w:eastAsia="仿宋"/>
        </w:rPr>
        <w:tab/>
      </w:r>
      <w:r>
        <w:rPr>
          <w:rFonts w:ascii="仿宋" w:eastAsia="仿宋"/>
        </w:rPr>
        <w:t>收入支出决算总体情况说明</w:t>
      </w:r>
      <w:r>
        <w:rPr>
          <w:rFonts w:ascii="仿宋" w:eastAsia="仿宋"/>
        </w:rPr>
        <w:tab/>
      </w:r>
      <w:r>
        <w:rPr>
          <w:rFonts w:ascii="仿宋" w:eastAsia="仿宋"/>
        </w:rPr>
        <w:fldChar w:fldCharType="begin"/>
      </w:r>
      <w:r>
        <w:rPr>
          <w:rFonts w:ascii="仿宋" w:eastAsia="仿宋"/>
        </w:rPr>
        <w:instrText xml:space="preserve"> PAGEREF _Toc79163860 \h </w:instrText>
      </w:r>
      <w:r>
        <w:rPr>
          <w:rFonts w:ascii="仿宋" w:eastAsia="仿宋"/>
        </w:rPr>
        <w:fldChar w:fldCharType="separate"/>
      </w:r>
      <w:r>
        <w:rPr>
          <w:rFonts w:ascii="仿宋" w:eastAsia="仿宋"/>
        </w:rPr>
        <w:t>5</w:t>
      </w:r>
      <w:r>
        <w:rPr>
          <w:rFonts w:ascii="仿宋" w:eastAsia="仿宋"/>
        </w:rPr>
        <w:fldChar w:fldCharType="end"/>
      </w:r>
    </w:p>
    <w:p>
      <w:pPr>
        <w:pStyle w:val="16"/>
        <w:tabs>
          <w:tab w:val="left" w:pos="840"/>
          <w:tab w:val="right" w:leader="dot" w:pos="8296"/>
        </w:tabs>
        <w:rPr>
          <w:rFonts w:ascii="仿宋" w:eastAsia="仿宋"/>
        </w:rPr>
      </w:pPr>
      <w:r>
        <w:rPr>
          <w:rFonts w:ascii="仿宋" w:eastAsia="仿宋"/>
        </w:rPr>
        <w:t>二、</w:t>
      </w:r>
      <w:r>
        <w:rPr>
          <w:rFonts w:ascii="仿宋" w:eastAsia="仿宋"/>
        </w:rPr>
        <w:tab/>
      </w:r>
      <w:r>
        <w:rPr>
          <w:rFonts w:ascii="仿宋" w:eastAsia="仿宋"/>
        </w:rPr>
        <w:t>收入决算情况说明</w:t>
      </w:r>
      <w:r>
        <w:rPr>
          <w:rFonts w:ascii="仿宋" w:eastAsia="仿宋"/>
        </w:rPr>
        <w:tab/>
      </w:r>
      <w:r>
        <w:rPr>
          <w:rFonts w:ascii="仿宋" w:eastAsia="仿宋"/>
        </w:rPr>
        <w:fldChar w:fldCharType="begin"/>
      </w:r>
      <w:r>
        <w:rPr>
          <w:rFonts w:ascii="仿宋" w:eastAsia="仿宋"/>
        </w:rPr>
        <w:instrText xml:space="preserve"> PAGEREF _Toc79163861 \h </w:instrText>
      </w:r>
      <w:r>
        <w:rPr>
          <w:rFonts w:ascii="仿宋" w:eastAsia="仿宋"/>
        </w:rPr>
        <w:fldChar w:fldCharType="separate"/>
      </w:r>
      <w:r>
        <w:rPr>
          <w:rFonts w:ascii="仿宋" w:eastAsia="仿宋"/>
        </w:rPr>
        <w:t>5</w:t>
      </w:r>
      <w:r>
        <w:rPr>
          <w:rFonts w:ascii="仿宋" w:eastAsia="仿宋"/>
        </w:rPr>
        <w:fldChar w:fldCharType="end"/>
      </w:r>
    </w:p>
    <w:p>
      <w:pPr>
        <w:pStyle w:val="16"/>
        <w:tabs>
          <w:tab w:val="left" w:pos="840"/>
          <w:tab w:val="right" w:leader="dot" w:pos="8296"/>
        </w:tabs>
        <w:rPr>
          <w:rFonts w:hint="eastAsia" w:ascii="仿宋" w:eastAsia="仿宋"/>
          <w:lang w:eastAsia="zh-CN"/>
        </w:rPr>
      </w:pPr>
      <w:r>
        <w:rPr>
          <w:rFonts w:ascii="仿宋" w:eastAsia="仿宋"/>
        </w:rPr>
        <w:t>三、</w:t>
      </w:r>
      <w:r>
        <w:rPr>
          <w:rFonts w:ascii="仿宋" w:eastAsia="仿宋"/>
        </w:rPr>
        <w:tab/>
      </w:r>
      <w:r>
        <w:rPr>
          <w:rFonts w:ascii="仿宋" w:eastAsia="仿宋"/>
        </w:rPr>
        <w:t>支出决算情况说明</w:t>
      </w:r>
      <w:r>
        <w:rPr>
          <w:rFonts w:ascii="仿宋" w:eastAsia="仿宋"/>
        </w:rPr>
        <w:tab/>
      </w:r>
      <w:r>
        <w:rPr>
          <w:rFonts w:hint="eastAsia" w:ascii="仿宋" w:eastAsia="仿宋"/>
          <w:lang w:val="en-US" w:eastAsia="zh-CN"/>
        </w:rPr>
        <w:t>6</w:t>
      </w:r>
    </w:p>
    <w:p>
      <w:pPr>
        <w:pStyle w:val="16"/>
        <w:tabs>
          <w:tab w:val="right" w:leader="dot" w:pos="8296"/>
        </w:tabs>
        <w:rPr>
          <w:rFonts w:hint="eastAsia" w:ascii="仿宋" w:eastAsia="仿宋"/>
          <w:lang w:eastAsia="zh-CN"/>
        </w:rPr>
      </w:pPr>
      <w:r>
        <w:rPr>
          <w:rFonts w:ascii="仿宋" w:eastAsia="仿宋"/>
        </w:rPr>
        <w:t>四、财政拨款收入支出决算总体情况说明</w:t>
      </w:r>
      <w:r>
        <w:rPr>
          <w:rFonts w:ascii="仿宋" w:eastAsia="仿宋"/>
        </w:rPr>
        <w:tab/>
      </w:r>
      <w:r>
        <w:rPr>
          <w:rFonts w:hint="eastAsia" w:ascii="仿宋" w:eastAsia="仿宋"/>
          <w:lang w:val="en-US" w:eastAsia="zh-CN"/>
        </w:rPr>
        <w:t>7</w:t>
      </w:r>
    </w:p>
    <w:p>
      <w:pPr>
        <w:pStyle w:val="16"/>
        <w:tabs>
          <w:tab w:val="right" w:leader="dot" w:pos="8296"/>
        </w:tabs>
        <w:rPr>
          <w:rFonts w:hint="eastAsia" w:ascii="仿宋" w:eastAsia="仿宋"/>
          <w:lang w:eastAsia="zh-CN"/>
        </w:rPr>
      </w:pPr>
      <w:r>
        <w:rPr>
          <w:rFonts w:ascii="仿宋" w:eastAsia="仿宋"/>
        </w:rPr>
        <w:t>五、一般公共预算财政拨款支出决算情况说明</w:t>
      </w:r>
      <w:r>
        <w:rPr>
          <w:rFonts w:ascii="仿宋" w:eastAsia="仿宋"/>
        </w:rPr>
        <w:tab/>
      </w:r>
      <w:r>
        <w:rPr>
          <w:rFonts w:hint="eastAsia" w:ascii="仿宋" w:eastAsia="仿宋"/>
          <w:lang w:val="en-US" w:eastAsia="zh-CN"/>
        </w:rPr>
        <w:t>7</w:t>
      </w:r>
    </w:p>
    <w:p>
      <w:pPr>
        <w:pStyle w:val="8"/>
        <w:tabs>
          <w:tab w:val="right" w:leader="dot" w:pos="8296"/>
        </w:tabs>
        <w:rPr>
          <w:rFonts w:hint="eastAsia" w:ascii="仿宋" w:eastAsia="仿宋"/>
          <w:i w:val="0"/>
          <w:iCs w:val="0"/>
          <w:caps w:val="0"/>
          <w:smallCaps/>
          <w:lang w:eastAsia="zh-CN"/>
        </w:rPr>
      </w:pPr>
      <w:r>
        <w:rPr>
          <w:rFonts w:ascii="仿宋" w:eastAsia="仿宋"/>
          <w:i w:val="0"/>
          <w:iCs w:val="0"/>
          <w:caps w:val="0"/>
          <w:smallCaps/>
        </w:rPr>
        <w:t>（一）一般公共预算财政拨款支出决算总体情况</w:t>
      </w:r>
      <w:r>
        <w:rPr>
          <w:rFonts w:ascii="仿宋" w:eastAsia="仿宋"/>
          <w:i w:val="0"/>
          <w:iCs w:val="0"/>
          <w:caps w:val="0"/>
          <w:smallCaps/>
        </w:rPr>
        <w:tab/>
      </w:r>
      <w:r>
        <w:rPr>
          <w:rFonts w:hint="eastAsia" w:ascii="仿宋" w:eastAsia="仿宋"/>
          <w:i w:val="0"/>
          <w:iCs w:val="0"/>
          <w:caps w:val="0"/>
          <w:smallCaps/>
          <w:lang w:val="en-US" w:eastAsia="zh-CN"/>
        </w:rPr>
        <w:t>7</w:t>
      </w:r>
    </w:p>
    <w:p>
      <w:pPr>
        <w:pStyle w:val="8"/>
        <w:tabs>
          <w:tab w:val="right" w:leader="dot" w:pos="8296"/>
        </w:tabs>
        <w:rPr>
          <w:rFonts w:hint="eastAsia" w:ascii="仿宋" w:eastAsia="仿宋"/>
          <w:i w:val="0"/>
          <w:iCs w:val="0"/>
          <w:caps w:val="0"/>
          <w:smallCaps/>
          <w:lang w:eastAsia="zh-CN"/>
        </w:rPr>
      </w:pPr>
      <w:r>
        <w:rPr>
          <w:rFonts w:ascii="仿宋" w:eastAsia="仿宋"/>
          <w:i w:val="0"/>
          <w:iCs w:val="0"/>
          <w:caps w:val="0"/>
          <w:smallCaps/>
        </w:rPr>
        <w:t>（二）一般公共预算财政拨款支出决算结构情况</w:t>
      </w:r>
      <w:r>
        <w:rPr>
          <w:rFonts w:ascii="仿宋" w:eastAsia="仿宋"/>
          <w:i w:val="0"/>
          <w:iCs w:val="0"/>
          <w:caps w:val="0"/>
          <w:smallCaps/>
        </w:rPr>
        <w:tab/>
      </w:r>
      <w:r>
        <w:rPr>
          <w:rFonts w:hint="eastAsia" w:ascii="仿宋" w:eastAsia="仿宋"/>
          <w:i w:val="0"/>
          <w:iCs w:val="0"/>
          <w:caps w:val="0"/>
          <w:smallCaps/>
          <w:lang w:val="en-US" w:eastAsia="zh-CN"/>
        </w:rPr>
        <w:t>8</w:t>
      </w:r>
    </w:p>
    <w:p>
      <w:pPr>
        <w:pStyle w:val="8"/>
        <w:tabs>
          <w:tab w:val="right" w:leader="dot" w:pos="8296"/>
        </w:tabs>
        <w:rPr>
          <w:rFonts w:hint="eastAsia" w:ascii="仿宋" w:eastAsia="仿宋"/>
          <w:i w:val="0"/>
          <w:iCs w:val="0"/>
          <w:caps w:val="0"/>
          <w:smallCaps/>
          <w:lang w:eastAsia="zh-CN"/>
        </w:rPr>
      </w:pPr>
      <w:r>
        <w:rPr>
          <w:rFonts w:ascii="仿宋" w:eastAsia="仿宋"/>
          <w:i w:val="0"/>
          <w:iCs w:val="0"/>
          <w:caps w:val="0"/>
          <w:smallCaps/>
        </w:rPr>
        <w:t>（三）一般公共预算财政拨款支出决算具体情况</w:t>
      </w:r>
      <w:r>
        <w:rPr>
          <w:rFonts w:ascii="仿宋" w:eastAsia="仿宋"/>
          <w:i w:val="0"/>
          <w:iCs w:val="0"/>
          <w:caps w:val="0"/>
          <w:smallCaps/>
        </w:rPr>
        <w:tab/>
      </w:r>
      <w:r>
        <w:rPr>
          <w:rFonts w:hint="eastAsia" w:ascii="仿宋" w:eastAsia="仿宋"/>
          <w:i w:val="0"/>
          <w:iCs w:val="0"/>
          <w:caps w:val="0"/>
          <w:smallCaps/>
          <w:lang w:val="en-US" w:eastAsia="zh-CN"/>
        </w:rPr>
        <w:t>9</w:t>
      </w:r>
    </w:p>
    <w:p>
      <w:pPr>
        <w:pStyle w:val="16"/>
        <w:tabs>
          <w:tab w:val="right" w:leader="dot" w:pos="8296"/>
        </w:tabs>
        <w:rPr>
          <w:rFonts w:hint="eastAsia" w:ascii="仿宋" w:eastAsia="仿宋"/>
          <w:lang w:eastAsia="zh-CN"/>
        </w:rPr>
      </w:pPr>
      <w:r>
        <w:rPr>
          <w:rFonts w:ascii="仿宋" w:eastAsia="仿宋"/>
        </w:rPr>
        <w:t>六、一般公共预算财政拨款基本支出决算情况说明</w:t>
      </w:r>
      <w:r>
        <w:rPr>
          <w:rFonts w:ascii="仿宋" w:eastAsia="仿宋"/>
        </w:rPr>
        <w:tab/>
      </w:r>
      <w:r>
        <w:rPr>
          <w:rFonts w:hint="eastAsia" w:ascii="仿宋" w:eastAsia="仿宋"/>
          <w:lang w:val="en-US" w:eastAsia="zh-CN"/>
        </w:rPr>
        <w:t>9</w:t>
      </w:r>
    </w:p>
    <w:p>
      <w:pPr>
        <w:pStyle w:val="16"/>
        <w:tabs>
          <w:tab w:val="right" w:leader="dot" w:pos="8296"/>
        </w:tabs>
        <w:rPr>
          <w:rFonts w:ascii="仿宋" w:eastAsia="仿宋"/>
          <w:lang w:val="en-US" w:eastAsia="zh-CN"/>
        </w:rPr>
      </w:pPr>
      <w:r>
        <w:rPr>
          <w:rFonts w:ascii="仿宋" w:eastAsia="仿宋"/>
        </w:rPr>
        <w:t>七、“三公”经费财政拨款支出决算情况说明</w:t>
      </w:r>
      <w:r>
        <w:rPr>
          <w:rFonts w:ascii="仿宋" w:eastAsia="仿宋"/>
        </w:rPr>
        <w:tab/>
      </w:r>
      <w:r>
        <w:rPr>
          <w:rFonts w:hint="eastAsia" w:ascii="仿宋" w:eastAsia="仿宋"/>
          <w:lang w:val="en-US" w:eastAsia="zh-CN"/>
        </w:rPr>
        <w:t>10</w:t>
      </w:r>
    </w:p>
    <w:p>
      <w:pPr>
        <w:pStyle w:val="8"/>
        <w:tabs>
          <w:tab w:val="right" w:leader="dot" w:pos="8296"/>
        </w:tabs>
        <w:rPr>
          <w:rFonts w:ascii="仿宋" w:eastAsia="仿宋"/>
          <w:i w:val="0"/>
          <w:iCs w:val="0"/>
          <w:caps w:val="0"/>
          <w:smallCaps/>
          <w:lang w:val="en-US" w:eastAsia="zh-CN"/>
        </w:rPr>
      </w:pPr>
      <w:r>
        <w:rPr>
          <w:rFonts w:ascii="仿宋" w:eastAsia="仿宋"/>
          <w:i w:val="0"/>
          <w:iCs w:val="0"/>
          <w:caps w:val="0"/>
          <w:smallCaps/>
        </w:rPr>
        <w:t>（一）“三公”经费财政拨款支出决算总体情况说明</w:t>
      </w:r>
      <w:r>
        <w:rPr>
          <w:rFonts w:ascii="仿宋" w:eastAsia="仿宋"/>
          <w:i w:val="0"/>
          <w:iCs w:val="0"/>
          <w:caps w:val="0"/>
          <w:smallCaps/>
        </w:rPr>
        <w:tab/>
      </w:r>
      <w:r>
        <w:rPr>
          <w:rFonts w:hint="eastAsia" w:ascii="仿宋" w:eastAsia="仿宋"/>
          <w:i w:val="0"/>
          <w:iCs w:val="0"/>
          <w:caps w:val="0"/>
          <w:smallCaps/>
          <w:lang w:val="en-US" w:eastAsia="zh-CN"/>
        </w:rPr>
        <w:t>10</w:t>
      </w:r>
    </w:p>
    <w:p>
      <w:pPr>
        <w:pStyle w:val="8"/>
        <w:tabs>
          <w:tab w:val="right" w:leader="dot" w:pos="8296"/>
        </w:tabs>
        <w:rPr>
          <w:rFonts w:ascii="仿宋" w:eastAsia="仿宋"/>
          <w:i w:val="0"/>
          <w:iCs w:val="0"/>
          <w:caps w:val="0"/>
          <w:smallCaps/>
          <w:lang w:val="en-US" w:eastAsia="zh-CN"/>
        </w:rPr>
      </w:pPr>
      <w:r>
        <w:rPr>
          <w:rFonts w:ascii="仿宋" w:eastAsia="仿宋"/>
          <w:i w:val="0"/>
          <w:iCs w:val="0"/>
          <w:caps w:val="0"/>
          <w:smallCaps/>
        </w:rPr>
        <w:t>（二）“三公”经费财政拨款支出决算具体情况说明</w:t>
      </w:r>
      <w:r>
        <w:rPr>
          <w:rFonts w:ascii="仿宋" w:eastAsia="仿宋"/>
          <w:i w:val="0"/>
          <w:iCs w:val="0"/>
          <w:caps w:val="0"/>
          <w:smallCaps/>
        </w:rPr>
        <w:tab/>
      </w:r>
      <w:r>
        <w:rPr>
          <w:rFonts w:hint="eastAsia" w:ascii="仿宋" w:eastAsia="仿宋"/>
          <w:i w:val="0"/>
          <w:iCs w:val="0"/>
          <w:caps w:val="0"/>
          <w:smallCaps/>
          <w:lang w:val="en-US" w:eastAsia="zh-CN"/>
        </w:rPr>
        <w:t>10</w:t>
      </w:r>
    </w:p>
    <w:p>
      <w:pPr>
        <w:pStyle w:val="16"/>
        <w:tabs>
          <w:tab w:val="right" w:leader="dot" w:pos="8296"/>
        </w:tabs>
        <w:rPr>
          <w:rFonts w:ascii="仿宋" w:eastAsia="仿宋"/>
        </w:rPr>
      </w:pPr>
      <w:r>
        <w:rPr>
          <w:rFonts w:ascii="仿宋" w:eastAsia="仿宋"/>
        </w:rPr>
        <w:t>八、政府性基金预算支出决算情况说明</w:t>
      </w:r>
      <w:r>
        <w:rPr>
          <w:rFonts w:ascii="仿宋" w:eastAsia="仿宋"/>
        </w:rPr>
        <w:tab/>
      </w:r>
      <w:r>
        <w:rPr>
          <w:rFonts w:ascii="仿宋" w:eastAsia="仿宋"/>
        </w:rPr>
        <w:fldChar w:fldCharType="begin"/>
      </w:r>
      <w:r>
        <w:rPr>
          <w:rFonts w:ascii="仿宋" w:eastAsia="仿宋"/>
        </w:rPr>
        <w:instrText xml:space="preserve"> PAGEREF _Toc79163872 \h </w:instrText>
      </w:r>
      <w:r>
        <w:rPr>
          <w:rFonts w:ascii="仿宋" w:eastAsia="仿宋"/>
        </w:rPr>
        <w:fldChar w:fldCharType="separate"/>
      </w:r>
      <w:r>
        <w:rPr>
          <w:rFonts w:ascii="仿宋" w:eastAsia="仿宋"/>
        </w:rPr>
        <w:t>1</w:t>
      </w:r>
      <w:r>
        <w:rPr>
          <w:rFonts w:hint="eastAsia" w:ascii="仿宋" w:eastAsia="仿宋"/>
          <w:lang w:val="en-US" w:eastAsia="zh-CN"/>
        </w:rPr>
        <w:t>0</w:t>
      </w:r>
      <w:r>
        <w:rPr>
          <w:rFonts w:ascii="仿宋" w:eastAsia="仿宋"/>
        </w:rPr>
        <w:fldChar w:fldCharType="end"/>
      </w:r>
    </w:p>
    <w:p>
      <w:pPr>
        <w:pStyle w:val="16"/>
        <w:tabs>
          <w:tab w:val="right" w:leader="dot" w:pos="8296"/>
        </w:tabs>
        <w:rPr>
          <w:rFonts w:ascii="仿宋" w:eastAsia="仿宋"/>
        </w:rPr>
      </w:pPr>
      <w:r>
        <w:rPr>
          <w:rFonts w:ascii="仿宋" w:eastAsia="仿宋"/>
        </w:rPr>
        <w:t>九、 国有资本经营预算支出决算情况说明</w:t>
      </w:r>
      <w:r>
        <w:rPr>
          <w:rFonts w:ascii="仿宋" w:eastAsia="仿宋"/>
        </w:rPr>
        <w:tab/>
      </w:r>
      <w:r>
        <w:rPr>
          <w:rFonts w:ascii="仿宋" w:eastAsia="仿宋"/>
        </w:rPr>
        <w:fldChar w:fldCharType="begin"/>
      </w:r>
      <w:r>
        <w:rPr>
          <w:rFonts w:ascii="仿宋" w:eastAsia="仿宋"/>
        </w:rPr>
        <w:instrText xml:space="preserve"> PAGEREF _Toc79163873 \h </w:instrText>
      </w:r>
      <w:r>
        <w:rPr>
          <w:rFonts w:ascii="仿宋" w:eastAsia="仿宋"/>
        </w:rPr>
        <w:fldChar w:fldCharType="separate"/>
      </w:r>
      <w:r>
        <w:rPr>
          <w:rFonts w:ascii="仿宋" w:eastAsia="仿宋"/>
        </w:rPr>
        <w:t>1</w:t>
      </w:r>
      <w:r>
        <w:rPr>
          <w:rFonts w:hint="eastAsia" w:ascii="仿宋" w:eastAsia="仿宋"/>
          <w:lang w:val="en-US" w:eastAsia="zh-CN"/>
        </w:rPr>
        <w:t>0</w:t>
      </w:r>
      <w:r>
        <w:rPr>
          <w:rFonts w:ascii="仿宋" w:eastAsia="仿宋"/>
        </w:rPr>
        <w:fldChar w:fldCharType="end"/>
      </w:r>
    </w:p>
    <w:p>
      <w:pPr>
        <w:pStyle w:val="16"/>
        <w:tabs>
          <w:tab w:val="right" w:leader="dot" w:pos="8296"/>
        </w:tabs>
        <w:rPr>
          <w:rFonts w:ascii="仿宋" w:eastAsia="仿宋"/>
        </w:rPr>
      </w:pPr>
      <w:r>
        <w:rPr>
          <w:rFonts w:ascii="仿宋" w:eastAsia="仿宋"/>
        </w:rPr>
        <w:t>十、其他重要事项的情况说明</w:t>
      </w:r>
      <w:r>
        <w:rPr>
          <w:rFonts w:ascii="仿宋" w:eastAsia="仿宋"/>
        </w:rPr>
        <w:tab/>
      </w:r>
      <w:r>
        <w:rPr>
          <w:rFonts w:ascii="仿宋" w:eastAsia="仿宋"/>
        </w:rPr>
        <w:fldChar w:fldCharType="begin"/>
      </w:r>
      <w:r>
        <w:rPr>
          <w:rFonts w:ascii="仿宋" w:eastAsia="仿宋"/>
        </w:rPr>
        <w:instrText xml:space="preserve"> PAGEREF _Toc79163874 \h </w:instrText>
      </w:r>
      <w:r>
        <w:rPr>
          <w:rFonts w:ascii="仿宋" w:eastAsia="仿宋"/>
        </w:rPr>
        <w:fldChar w:fldCharType="separate"/>
      </w:r>
      <w:r>
        <w:rPr>
          <w:rFonts w:ascii="仿宋" w:eastAsia="仿宋"/>
        </w:rPr>
        <w:t>1</w:t>
      </w:r>
      <w:r>
        <w:rPr>
          <w:rFonts w:hint="eastAsia" w:ascii="仿宋" w:eastAsia="仿宋"/>
          <w:lang w:val="en-US" w:eastAsia="zh-CN"/>
        </w:rPr>
        <w:t>0</w:t>
      </w:r>
      <w:r>
        <w:rPr>
          <w:rFonts w:ascii="仿宋" w:eastAsia="仿宋"/>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（一）机关运行经费支出情况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_Toc79163875 \h </w:instrText>
      </w:r>
      <w:r>
        <w:rPr>
          <w:rFonts w:ascii="仿宋" w:eastAsia="仿宋"/>
          <w:i w:val="0"/>
          <w:iCs w:val="0"/>
          <w:caps w:val="0"/>
          <w:smallCaps/>
        </w:rPr>
        <w:fldChar w:fldCharType="separate"/>
      </w:r>
      <w:r>
        <w:rPr>
          <w:rFonts w:ascii="仿宋" w:eastAsia="仿宋"/>
          <w:i w:val="0"/>
          <w:iCs w:val="0"/>
          <w:caps w:val="0"/>
          <w:smallCaps/>
        </w:rPr>
        <w:t>1</w:t>
      </w:r>
      <w:r>
        <w:rPr>
          <w:rFonts w:hint="eastAsia" w:ascii="仿宋" w:eastAsia="仿宋"/>
          <w:i w:val="0"/>
          <w:iCs w:val="0"/>
          <w:caps w:val="0"/>
          <w:smallCaps/>
          <w:lang w:val="en-US" w:eastAsia="zh-CN"/>
        </w:rPr>
        <w:t>0</w:t>
      </w:r>
      <w:r>
        <w:rPr>
          <w:rFonts w:ascii="仿宋" w:eastAsia="仿宋"/>
          <w:i w:val="0"/>
          <w:iCs w:val="0"/>
          <w:caps w:val="0"/>
          <w:smallCaps/>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（二）政府采购支出情况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_Toc79163876 \h </w:instrText>
      </w:r>
      <w:r>
        <w:rPr>
          <w:rFonts w:ascii="仿宋" w:eastAsia="仿宋"/>
          <w:i w:val="0"/>
          <w:iCs w:val="0"/>
          <w:caps w:val="0"/>
          <w:smallCaps/>
        </w:rPr>
        <w:fldChar w:fldCharType="separate"/>
      </w:r>
      <w:r>
        <w:rPr>
          <w:rFonts w:ascii="仿宋" w:eastAsia="仿宋"/>
          <w:i w:val="0"/>
          <w:iCs w:val="0"/>
          <w:caps w:val="0"/>
          <w:smallCaps/>
        </w:rPr>
        <w:t>11</w:t>
      </w:r>
      <w:r>
        <w:rPr>
          <w:rFonts w:ascii="仿宋" w:eastAsia="仿宋"/>
          <w:i w:val="0"/>
          <w:iCs w:val="0"/>
          <w:caps w:val="0"/>
          <w:smallCaps/>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（三）国有资产占有使用情况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_Toc79163877 \h </w:instrText>
      </w:r>
      <w:r>
        <w:rPr>
          <w:rFonts w:ascii="仿宋" w:eastAsia="仿宋"/>
          <w:i w:val="0"/>
          <w:iCs w:val="0"/>
          <w:caps w:val="0"/>
          <w:smallCaps/>
        </w:rPr>
        <w:fldChar w:fldCharType="separate"/>
      </w:r>
      <w:r>
        <w:rPr>
          <w:rFonts w:ascii="仿宋" w:eastAsia="仿宋"/>
          <w:i w:val="0"/>
          <w:iCs w:val="0"/>
          <w:caps w:val="0"/>
          <w:smallCaps/>
        </w:rPr>
        <w:t>11</w:t>
      </w:r>
      <w:r>
        <w:rPr>
          <w:rFonts w:ascii="仿宋" w:eastAsia="仿宋"/>
          <w:i w:val="0"/>
          <w:iCs w:val="0"/>
          <w:caps w:val="0"/>
          <w:smallCaps/>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（四）预算绩效管理情况。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_Toc79163878 \h </w:instrText>
      </w:r>
      <w:r>
        <w:rPr>
          <w:rFonts w:ascii="仿宋" w:eastAsia="仿宋"/>
          <w:i w:val="0"/>
          <w:iCs w:val="0"/>
          <w:caps w:val="0"/>
          <w:smallCaps/>
        </w:rPr>
        <w:fldChar w:fldCharType="separate"/>
      </w:r>
      <w:r>
        <w:rPr>
          <w:rFonts w:ascii="仿宋" w:eastAsia="仿宋"/>
          <w:i w:val="0"/>
          <w:iCs w:val="0"/>
          <w:caps w:val="0"/>
          <w:smallCaps/>
        </w:rPr>
        <w:t>1</w:t>
      </w:r>
      <w:r>
        <w:rPr>
          <w:rFonts w:hint="eastAsia" w:ascii="仿宋" w:eastAsia="仿宋"/>
          <w:i w:val="0"/>
          <w:iCs w:val="0"/>
          <w:caps w:val="0"/>
          <w:smallCaps/>
          <w:lang w:val="en-US" w:eastAsia="zh-CN"/>
        </w:rPr>
        <w:t>1</w:t>
      </w:r>
      <w:r>
        <w:rPr>
          <w:rFonts w:ascii="仿宋" w:eastAsia="仿宋"/>
          <w:i w:val="0"/>
          <w:iCs w:val="0"/>
          <w:caps w:val="0"/>
          <w:smallCaps/>
        </w:rPr>
        <w:fldChar w:fldCharType="end"/>
      </w:r>
    </w:p>
    <w:p>
      <w:pPr>
        <w:pStyle w:val="13"/>
        <w:tabs>
          <w:tab w:val="right" w:leader="dot" w:pos="8296"/>
        </w:tabs>
        <w:rPr>
          <w:rFonts w:ascii="仿宋" w:eastAsia="仿宋"/>
          <w:b w:val="0"/>
          <w:bCs w:val="0"/>
          <w:caps w:val="0"/>
          <w:smallCaps/>
        </w:rPr>
      </w:pPr>
      <w:r>
        <w:rPr>
          <w:rFonts w:ascii="仿宋" w:eastAsia="仿宋"/>
          <w:b w:val="0"/>
          <w:bCs w:val="0"/>
          <w:caps w:val="0"/>
          <w:smallCaps/>
        </w:rPr>
        <w:t>第三部分 名词解释</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_Toc79163879 \h </w:instrText>
      </w:r>
      <w:r>
        <w:rPr>
          <w:rFonts w:ascii="仿宋" w:eastAsia="仿宋"/>
          <w:b w:val="0"/>
          <w:bCs w:val="0"/>
          <w:caps w:val="0"/>
          <w:smallCaps/>
        </w:rPr>
        <w:fldChar w:fldCharType="separate"/>
      </w:r>
      <w:r>
        <w:rPr>
          <w:rFonts w:ascii="仿宋" w:eastAsia="仿宋"/>
          <w:b w:val="0"/>
          <w:bCs w:val="0"/>
          <w:caps w:val="0"/>
          <w:smallCaps/>
        </w:rPr>
        <w:t>1</w:t>
      </w:r>
      <w:r>
        <w:rPr>
          <w:rFonts w:hint="eastAsia" w:ascii="仿宋" w:eastAsia="仿宋"/>
          <w:b w:val="0"/>
          <w:bCs w:val="0"/>
          <w:caps w:val="0"/>
          <w:smallCaps/>
          <w:lang w:val="en-US" w:eastAsia="zh-CN"/>
        </w:rPr>
        <w:t>2</w:t>
      </w:r>
      <w:r>
        <w:rPr>
          <w:rFonts w:ascii="仿宋" w:eastAsia="仿宋"/>
          <w:b w:val="0"/>
          <w:bCs w:val="0"/>
          <w:caps w:val="0"/>
          <w:smallCaps/>
        </w:rPr>
        <w:fldChar w:fldCharType="end"/>
      </w:r>
    </w:p>
    <w:p>
      <w:pPr>
        <w:pStyle w:val="13"/>
        <w:tabs>
          <w:tab w:val="right" w:leader="dot" w:pos="8296"/>
        </w:tabs>
        <w:rPr>
          <w:rFonts w:ascii="仿宋" w:eastAsia="仿宋"/>
          <w:b w:val="0"/>
          <w:bCs w:val="0"/>
          <w:caps w:val="0"/>
          <w:smallCaps/>
        </w:rPr>
      </w:pPr>
      <w:r>
        <w:rPr>
          <w:rFonts w:ascii="仿宋" w:eastAsia="仿宋"/>
          <w:b w:val="0"/>
          <w:bCs w:val="0"/>
          <w:caps w:val="0"/>
          <w:smallCaps/>
        </w:rPr>
        <w:t>第四部分 附件</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_Toc79163880 \h </w:instrText>
      </w:r>
      <w:r>
        <w:rPr>
          <w:rFonts w:ascii="仿宋" w:eastAsia="仿宋"/>
          <w:b w:val="0"/>
          <w:bCs w:val="0"/>
          <w:caps w:val="0"/>
          <w:smallCaps/>
        </w:rPr>
        <w:fldChar w:fldCharType="separate"/>
      </w:r>
      <w:r>
        <w:rPr>
          <w:rFonts w:ascii="仿宋" w:eastAsia="仿宋"/>
          <w:b w:val="0"/>
          <w:bCs w:val="0"/>
          <w:caps w:val="0"/>
          <w:smallCaps/>
        </w:rPr>
        <w:t>1</w:t>
      </w:r>
      <w:r>
        <w:rPr>
          <w:rFonts w:hint="eastAsia" w:ascii="仿宋" w:eastAsia="仿宋"/>
          <w:b w:val="0"/>
          <w:bCs w:val="0"/>
          <w:caps w:val="0"/>
          <w:smallCaps/>
          <w:lang w:val="en-US" w:eastAsia="zh-CN"/>
        </w:rPr>
        <w:t>4</w:t>
      </w:r>
      <w:r>
        <w:rPr>
          <w:rFonts w:ascii="仿宋" w:eastAsia="仿宋"/>
          <w:b w:val="0"/>
          <w:bCs w:val="0"/>
          <w:caps w:val="0"/>
          <w:smallCaps/>
        </w:rPr>
        <w:fldChar w:fldCharType="end"/>
      </w:r>
    </w:p>
    <w:p>
      <w:pPr>
        <w:pStyle w:val="13"/>
        <w:tabs>
          <w:tab w:val="right" w:leader="dot" w:pos="8296"/>
        </w:tabs>
        <w:rPr>
          <w:rFonts w:ascii="仿宋" w:eastAsia="仿宋"/>
          <w:b w:val="0"/>
          <w:bCs w:val="0"/>
          <w:caps w:val="0"/>
          <w:smallCaps/>
        </w:rPr>
      </w:pPr>
      <w:r>
        <w:rPr>
          <w:rFonts w:ascii="仿宋" w:eastAsia="仿宋"/>
          <w:b w:val="0"/>
          <w:bCs w:val="0"/>
          <w:caps w:val="0"/>
          <w:smallCaps/>
        </w:rPr>
        <w:t>附件1</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_Toc79163881 \h </w:instrText>
      </w:r>
      <w:r>
        <w:rPr>
          <w:rFonts w:ascii="仿宋" w:eastAsia="仿宋"/>
          <w:b w:val="0"/>
          <w:bCs w:val="0"/>
          <w:caps w:val="0"/>
          <w:smallCaps/>
        </w:rPr>
        <w:fldChar w:fldCharType="separate"/>
      </w:r>
      <w:r>
        <w:rPr>
          <w:rFonts w:ascii="仿宋" w:eastAsia="仿宋"/>
          <w:b w:val="0"/>
          <w:bCs w:val="0"/>
          <w:caps w:val="0"/>
          <w:smallCaps/>
        </w:rPr>
        <w:t>1</w:t>
      </w:r>
      <w:r>
        <w:rPr>
          <w:rFonts w:hint="eastAsia" w:ascii="仿宋" w:eastAsia="仿宋"/>
          <w:b w:val="0"/>
          <w:bCs w:val="0"/>
          <w:caps w:val="0"/>
          <w:smallCaps/>
          <w:lang w:val="en-US" w:eastAsia="zh-CN"/>
        </w:rPr>
        <w:t>4</w:t>
      </w:r>
      <w:r>
        <w:rPr>
          <w:rFonts w:ascii="仿宋" w:eastAsia="仿宋"/>
          <w:b w:val="0"/>
          <w:bCs w:val="0"/>
          <w:caps w:val="0"/>
          <w:smallCaps/>
        </w:rPr>
        <w:fldChar w:fldCharType="end"/>
      </w:r>
    </w:p>
    <w:p>
      <w:pPr>
        <w:pStyle w:val="13"/>
        <w:tabs>
          <w:tab w:val="right" w:leader="dot" w:pos="8296"/>
        </w:tabs>
        <w:ind w:firstLine="400" w:firstLineChars="200"/>
        <w:rPr>
          <w:rFonts w:ascii="仿宋" w:eastAsia="仿宋"/>
          <w:b w:val="0"/>
          <w:bCs w:val="0"/>
          <w:caps w:val="0"/>
          <w:smallCaps/>
        </w:rPr>
      </w:pPr>
      <w:r>
        <w:rPr>
          <w:rFonts w:hint="eastAsia" w:ascii="仿宋" w:eastAsia="仿宋"/>
          <w:b w:val="0"/>
          <w:bCs w:val="0"/>
          <w:caps w:val="0"/>
          <w:smallCaps/>
        </w:rPr>
        <w:t>茂县国库集中支付中心</w:t>
      </w:r>
      <w:r>
        <w:rPr>
          <w:rFonts w:ascii="仿宋" w:eastAsia="仿宋"/>
          <w:b w:val="0"/>
          <w:bCs w:val="0"/>
          <w:caps w:val="0"/>
          <w:smallCaps/>
        </w:rPr>
        <w:t>2021年部门整体支出绩效评价报告</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_Toc79163882 \h </w:instrText>
      </w:r>
      <w:r>
        <w:rPr>
          <w:rFonts w:ascii="仿宋" w:eastAsia="仿宋"/>
          <w:b w:val="0"/>
          <w:bCs w:val="0"/>
          <w:caps w:val="0"/>
          <w:smallCaps/>
        </w:rPr>
        <w:fldChar w:fldCharType="separate"/>
      </w:r>
      <w:r>
        <w:rPr>
          <w:rFonts w:ascii="仿宋" w:eastAsia="仿宋"/>
          <w:b w:val="0"/>
          <w:bCs w:val="0"/>
          <w:caps w:val="0"/>
          <w:smallCaps/>
        </w:rPr>
        <w:t>1</w:t>
      </w:r>
      <w:r>
        <w:rPr>
          <w:rFonts w:hint="eastAsia" w:ascii="仿宋" w:eastAsia="仿宋"/>
          <w:b w:val="0"/>
          <w:bCs w:val="0"/>
          <w:caps w:val="0"/>
          <w:smallCaps/>
          <w:lang w:val="en-US" w:eastAsia="zh-CN"/>
        </w:rPr>
        <w:t>4</w:t>
      </w:r>
      <w:r>
        <w:rPr>
          <w:rFonts w:ascii="仿宋" w:eastAsia="仿宋"/>
          <w:b w:val="0"/>
          <w:bCs w:val="0"/>
          <w:caps w:val="0"/>
          <w:smallCaps/>
        </w:rPr>
        <w:fldChar w:fldCharType="end"/>
      </w:r>
    </w:p>
    <w:p>
      <w:pPr>
        <w:pStyle w:val="13"/>
        <w:tabs>
          <w:tab w:val="right" w:leader="dot" w:pos="8296"/>
        </w:tabs>
        <w:rPr>
          <w:rFonts w:ascii="仿宋" w:eastAsia="仿宋"/>
          <w:b w:val="0"/>
          <w:bCs w:val="0"/>
          <w:caps w:val="0"/>
          <w:smallCaps/>
          <w:lang w:val="en-US" w:eastAsia="zh-CN"/>
        </w:rPr>
      </w:pPr>
      <w:r>
        <w:rPr>
          <w:rFonts w:ascii="仿宋" w:eastAsia="仿宋"/>
          <w:b w:val="0"/>
          <w:bCs w:val="0"/>
          <w:caps w:val="0"/>
          <w:smallCaps/>
        </w:rPr>
        <w:t>第五部分 附表</w:t>
      </w:r>
      <w:r>
        <w:rPr>
          <w:rFonts w:ascii="仿宋" w:eastAsia="仿宋"/>
          <w:b w:val="0"/>
          <w:bCs w:val="0"/>
          <w:caps w:val="0"/>
          <w:smallCaps/>
        </w:rPr>
        <w:tab/>
      </w:r>
      <w:r>
        <w:rPr>
          <w:rFonts w:hint="eastAsia" w:ascii="仿宋" w:eastAsia="仿宋"/>
          <w:b w:val="0"/>
          <w:bCs w:val="0"/>
          <w:caps w:val="0"/>
          <w:smallCaps/>
          <w:lang w:val="en-US" w:eastAsia="zh-CN"/>
        </w:rPr>
        <w:t>17</w:t>
      </w:r>
    </w:p>
    <w:p>
      <w:pPr>
        <w:pStyle w:val="16"/>
        <w:tabs>
          <w:tab w:val="right" w:leader="dot" w:pos="8296"/>
        </w:tabs>
        <w:rPr>
          <w:rFonts w:ascii="仿宋" w:eastAsia="仿宋"/>
          <w:lang w:val="en-US" w:eastAsia="zh-CN"/>
        </w:rPr>
      </w:pPr>
      <w:r>
        <w:rPr>
          <w:rFonts w:ascii="仿宋" w:eastAsia="仿宋"/>
        </w:rPr>
        <w:t>一、收入支出决算总表</w:t>
      </w:r>
      <w:r>
        <w:rPr>
          <w:rFonts w:ascii="仿宋" w:eastAsia="仿宋"/>
        </w:rPr>
        <w:tab/>
      </w:r>
      <w:r>
        <w:rPr>
          <w:rFonts w:hint="eastAsia" w:ascii="仿宋" w:eastAsia="仿宋"/>
          <w:lang w:val="en-US" w:eastAsia="zh-CN"/>
        </w:rPr>
        <w:t>17</w:t>
      </w:r>
    </w:p>
    <w:p>
      <w:pPr>
        <w:pStyle w:val="16"/>
        <w:tabs>
          <w:tab w:val="right" w:leader="dot" w:pos="8296"/>
        </w:tabs>
        <w:rPr>
          <w:rFonts w:ascii="仿宋" w:eastAsia="仿宋"/>
          <w:lang w:val="en-US" w:eastAsia="zh-CN"/>
        </w:rPr>
      </w:pPr>
      <w:r>
        <w:rPr>
          <w:rFonts w:ascii="仿宋" w:eastAsia="仿宋"/>
        </w:rPr>
        <w:t>二、收入决算表</w:t>
      </w:r>
      <w:r>
        <w:rPr>
          <w:rFonts w:ascii="仿宋" w:eastAsia="仿宋"/>
        </w:rPr>
        <w:tab/>
      </w:r>
      <w:r>
        <w:rPr>
          <w:rFonts w:hint="eastAsia" w:ascii="仿宋" w:eastAsia="仿宋"/>
          <w:lang w:val="en-US" w:eastAsia="zh-CN"/>
        </w:rPr>
        <w:t>17</w:t>
      </w:r>
    </w:p>
    <w:p>
      <w:pPr>
        <w:pStyle w:val="16"/>
        <w:tabs>
          <w:tab w:val="right" w:leader="dot" w:pos="8296"/>
        </w:tabs>
        <w:rPr>
          <w:rFonts w:ascii="仿宋" w:eastAsia="仿宋"/>
          <w:lang w:val="en-US" w:eastAsia="zh-CN"/>
        </w:rPr>
      </w:pPr>
      <w:r>
        <w:rPr>
          <w:rFonts w:ascii="仿宋" w:eastAsia="仿宋"/>
        </w:rPr>
        <w:t>三、支出决算表</w:t>
      </w:r>
      <w:r>
        <w:rPr>
          <w:rFonts w:ascii="仿宋" w:eastAsia="仿宋"/>
        </w:rPr>
        <w:tab/>
      </w:r>
      <w:r>
        <w:rPr>
          <w:rFonts w:hint="eastAsia" w:ascii="仿宋" w:eastAsia="仿宋"/>
          <w:lang w:val="en-US" w:eastAsia="zh-CN"/>
        </w:rPr>
        <w:t>17</w:t>
      </w:r>
    </w:p>
    <w:p>
      <w:pPr>
        <w:pStyle w:val="16"/>
        <w:tabs>
          <w:tab w:val="right" w:leader="dot" w:pos="8296"/>
        </w:tabs>
        <w:rPr>
          <w:rFonts w:ascii="仿宋" w:eastAsia="仿宋"/>
          <w:lang w:val="en-US" w:eastAsia="zh-CN"/>
        </w:rPr>
      </w:pPr>
      <w:r>
        <w:rPr>
          <w:rFonts w:ascii="仿宋" w:eastAsia="仿宋"/>
        </w:rPr>
        <w:t>四、财政拨款收入支出决算总表</w:t>
      </w:r>
      <w:r>
        <w:rPr>
          <w:rFonts w:ascii="仿宋" w:eastAsia="仿宋"/>
        </w:rPr>
        <w:tab/>
      </w:r>
      <w:r>
        <w:rPr>
          <w:rFonts w:hint="eastAsia" w:ascii="仿宋" w:eastAsia="仿宋"/>
          <w:lang w:val="en-US" w:eastAsia="zh-CN"/>
        </w:rPr>
        <w:t>17</w:t>
      </w:r>
    </w:p>
    <w:p>
      <w:pPr>
        <w:pStyle w:val="16"/>
        <w:tabs>
          <w:tab w:val="right" w:leader="dot" w:pos="8296"/>
        </w:tabs>
        <w:rPr>
          <w:rFonts w:ascii="仿宋" w:eastAsia="仿宋"/>
          <w:lang w:val="en-US" w:eastAsia="zh-CN"/>
        </w:rPr>
      </w:pPr>
      <w:r>
        <w:rPr>
          <w:rFonts w:ascii="仿宋" w:eastAsia="仿宋"/>
        </w:rPr>
        <w:t>五、财政拨款支出决算明细表</w:t>
      </w:r>
      <w:r>
        <w:rPr>
          <w:rFonts w:ascii="仿宋" w:eastAsia="仿宋"/>
        </w:rPr>
        <w:tab/>
      </w:r>
      <w:r>
        <w:rPr>
          <w:rFonts w:hint="eastAsia" w:ascii="仿宋" w:eastAsia="仿宋"/>
          <w:lang w:val="en-US" w:eastAsia="zh-CN"/>
        </w:rPr>
        <w:t>17</w:t>
      </w:r>
    </w:p>
    <w:p>
      <w:pPr>
        <w:pStyle w:val="16"/>
        <w:tabs>
          <w:tab w:val="right" w:leader="dot" w:pos="8296"/>
        </w:tabs>
        <w:rPr>
          <w:rFonts w:ascii="仿宋" w:eastAsia="仿宋"/>
          <w:lang w:val="en-US" w:eastAsia="zh-CN"/>
        </w:rPr>
      </w:pPr>
      <w:r>
        <w:rPr>
          <w:rFonts w:ascii="仿宋" w:eastAsia="仿宋"/>
        </w:rPr>
        <w:t>六、一般公共预算财政拨款支出决算表</w:t>
      </w:r>
      <w:r>
        <w:rPr>
          <w:rFonts w:ascii="仿宋" w:eastAsia="仿宋"/>
        </w:rPr>
        <w:tab/>
      </w:r>
      <w:r>
        <w:rPr>
          <w:rFonts w:hint="eastAsia" w:ascii="仿宋" w:eastAsia="仿宋"/>
          <w:lang w:val="en-US" w:eastAsia="zh-CN"/>
        </w:rPr>
        <w:t>17</w:t>
      </w:r>
    </w:p>
    <w:p>
      <w:pPr>
        <w:pStyle w:val="16"/>
        <w:tabs>
          <w:tab w:val="right" w:leader="dot" w:pos="8296"/>
        </w:tabs>
        <w:rPr>
          <w:rFonts w:ascii="仿宋" w:eastAsia="仿宋"/>
          <w:lang w:val="en-US" w:eastAsia="zh-CN"/>
        </w:rPr>
      </w:pPr>
      <w:r>
        <w:rPr>
          <w:rFonts w:ascii="仿宋" w:eastAsia="仿宋"/>
        </w:rPr>
        <w:t>七、一般公共预算财政拨款支出决算明细表</w:t>
      </w:r>
      <w:r>
        <w:rPr>
          <w:rFonts w:ascii="仿宋" w:eastAsia="仿宋"/>
        </w:rPr>
        <w:tab/>
      </w:r>
      <w:r>
        <w:rPr>
          <w:rFonts w:hint="eastAsia" w:ascii="仿宋" w:eastAsia="仿宋"/>
          <w:lang w:val="en-US" w:eastAsia="zh-CN"/>
        </w:rPr>
        <w:t>17</w:t>
      </w:r>
    </w:p>
    <w:p>
      <w:pPr>
        <w:pStyle w:val="16"/>
        <w:tabs>
          <w:tab w:val="right" w:leader="dot" w:pos="8296"/>
        </w:tabs>
        <w:rPr>
          <w:rFonts w:ascii="仿宋" w:eastAsia="仿宋"/>
          <w:lang w:val="en-US" w:eastAsia="zh-CN"/>
        </w:rPr>
      </w:pPr>
      <w:r>
        <w:rPr>
          <w:rFonts w:ascii="仿宋" w:eastAsia="仿宋"/>
        </w:rPr>
        <w:t>八、一般公共预算财政拨款基本支出决算表</w:t>
      </w:r>
      <w:r>
        <w:rPr>
          <w:rFonts w:ascii="仿宋" w:eastAsia="仿宋"/>
        </w:rPr>
        <w:tab/>
      </w:r>
      <w:r>
        <w:rPr>
          <w:rFonts w:hint="eastAsia" w:ascii="仿宋" w:eastAsia="仿宋"/>
          <w:lang w:val="en-US" w:eastAsia="zh-CN"/>
        </w:rPr>
        <w:t>17</w:t>
      </w:r>
    </w:p>
    <w:p>
      <w:pPr>
        <w:pStyle w:val="16"/>
        <w:tabs>
          <w:tab w:val="right" w:leader="dot" w:pos="8296"/>
        </w:tabs>
        <w:rPr>
          <w:rFonts w:ascii="仿宋" w:eastAsia="仿宋"/>
          <w:lang w:val="en-US" w:eastAsia="zh-CN"/>
        </w:rPr>
      </w:pPr>
      <w:r>
        <w:rPr>
          <w:rFonts w:ascii="仿宋" w:eastAsia="仿宋"/>
        </w:rPr>
        <w:t>九、一般公共预算财政拨款项目支出决算表</w:t>
      </w:r>
      <w:r>
        <w:rPr>
          <w:rFonts w:ascii="仿宋" w:eastAsia="仿宋"/>
        </w:rPr>
        <w:tab/>
      </w:r>
      <w:r>
        <w:rPr>
          <w:rFonts w:hint="eastAsia" w:ascii="仿宋" w:eastAsia="仿宋"/>
          <w:lang w:val="en-US" w:eastAsia="zh-CN"/>
        </w:rPr>
        <w:t>17</w:t>
      </w:r>
    </w:p>
    <w:p>
      <w:pPr>
        <w:pStyle w:val="16"/>
        <w:tabs>
          <w:tab w:val="right" w:leader="dot" w:pos="8296"/>
        </w:tabs>
        <w:rPr>
          <w:rFonts w:ascii="仿宋" w:eastAsia="仿宋"/>
          <w:lang w:val="en-US" w:eastAsia="zh-CN"/>
        </w:rPr>
      </w:pPr>
      <w:r>
        <w:rPr>
          <w:rFonts w:ascii="仿宋" w:eastAsia="仿宋"/>
        </w:rPr>
        <w:t>十、一般公共预算财政拨款“三公”经费支出决算表</w:t>
      </w:r>
      <w:r>
        <w:rPr>
          <w:rFonts w:ascii="仿宋" w:eastAsia="仿宋"/>
        </w:rPr>
        <w:tab/>
      </w:r>
      <w:r>
        <w:rPr>
          <w:rFonts w:hint="eastAsia" w:ascii="仿宋" w:eastAsia="仿宋"/>
          <w:lang w:val="en-US" w:eastAsia="zh-CN"/>
        </w:rPr>
        <w:t>17</w:t>
      </w:r>
    </w:p>
    <w:p>
      <w:pPr>
        <w:pStyle w:val="16"/>
        <w:tabs>
          <w:tab w:val="right" w:leader="dot" w:pos="8296"/>
        </w:tabs>
        <w:rPr>
          <w:rFonts w:ascii="仿宋" w:eastAsia="仿宋"/>
          <w:lang w:val="en-US" w:eastAsia="zh-CN"/>
        </w:rPr>
      </w:pPr>
      <w:r>
        <w:rPr>
          <w:rFonts w:ascii="仿宋" w:eastAsia="仿宋"/>
        </w:rPr>
        <w:t>十一、政府性基金预算财政拨款收入支出决算表</w:t>
      </w:r>
      <w:r>
        <w:rPr>
          <w:rFonts w:ascii="仿宋" w:eastAsia="仿宋"/>
        </w:rPr>
        <w:tab/>
      </w:r>
      <w:r>
        <w:rPr>
          <w:rFonts w:hint="eastAsia" w:ascii="仿宋" w:eastAsia="仿宋"/>
          <w:lang w:val="en-US" w:eastAsia="zh-CN"/>
        </w:rPr>
        <w:t>17</w:t>
      </w:r>
    </w:p>
    <w:p>
      <w:pPr>
        <w:pStyle w:val="16"/>
        <w:tabs>
          <w:tab w:val="right" w:leader="dot" w:pos="8296"/>
        </w:tabs>
        <w:rPr>
          <w:rFonts w:ascii="仿宋" w:eastAsia="仿宋"/>
          <w:lang w:val="en-US" w:eastAsia="zh-CN"/>
        </w:rPr>
      </w:pPr>
      <w:r>
        <w:rPr>
          <w:rFonts w:ascii="仿宋" w:eastAsia="仿宋"/>
        </w:rPr>
        <w:t>十二、政府性基金预算财政拨款“三公”经费支出决算表</w:t>
      </w:r>
      <w:r>
        <w:rPr>
          <w:rFonts w:ascii="仿宋" w:eastAsia="仿宋"/>
        </w:rPr>
        <w:tab/>
      </w:r>
      <w:r>
        <w:rPr>
          <w:rFonts w:hint="eastAsia" w:ascii="仿宋" w:eastAsia="仿宋"/>
          <w:lang w:val="en-US" w:eastAsia="zh-CN"/>
        </w:rPr>
        <w:t>17</w:t>
      </w:r>
    </w:p>
    <w:p>
      <w:pPr>
        <w:pStyle w:val="16"/>
        <w:tabs>
          <w:tab w:val="right" w:leader="dot" w:pos="8296"/>
        </w:tabs>
        <w:rPr>
          <w:rFonts w:ascii="仿宋" w:eastAsia="仿宋"/>
          <w:lang w:val="en-US" w:eastAsia="zh-CN"/>
        </w:rPr>
      </w:pPr>
      <w:r>
        <w:rPr>
          <w:rFonts w:ascii="仿宋" w:eastAsia="仿宋"/>
        </w:rPr>
        <w:t>十三、国有资本经营预算财政拨款支出决算表</w:t>
      </w:r>
      <w:r>
        <w:rPr>
          <w:rFonts w:ascii="仿宋" w:eastAsia="仿宋"/>
        </w:rPr>
        <w:tab/>
      </w:r>
      <w:r>
        <w:rPr>
          <w:rFonts w:hint="eastAsia" w:ascii="仿宋" w:eastAsia="仿宋"/>
          <w:lang w:val="en-US" w:eastAsia="zh-CN"/>
        </w:rPr>
        <w:t>17</w:t>
      </w:r>
    </w:p>
    <w:p>
      <w:pPr>
        <w:pStyle w:val="16"/>
        <w:tabs>
          <w:tab w:val="right" w:leader="dot" w:pos="8296"/>
        </w:tabs>
        <w:rPr>
          <w:rFonts w:ascii="仿宋" w:eastAsia="仿宋"/>
          <w:lang w:val="en-US" w:eastAsia="zh-CN"/>
        </w:rPr>
      </w:pPr>
      <w:r>
        <w:rPr>
          <w:rFonts w:ascii="仿宋" w:eastAsia="仿宋"/>
        </w:rPr>
        <w:t>十四、国有资本经营预算财政拨款支出决算表</w:t>
      </w:r>
      <w:r>
        <w:rPr>
          <w:rFonts w:ascii="仿宋" w:eastAsia="仿宋"/>
        </w:rPr>
        <w:tab/>
      </w:r>
      <w:r>
        <w:rPr>
          <w:rFonts w:hint="eastAsia" w:ascii="仿宋" w:eastAsia="仿宋"/>
          <w:lang w:val="en-US" w:eastAsia="zh-CN"/>
        </w:rPr>
        <w:t>17</w:t>
      </w:r>
    </w:p>
    <w:p>
      <w:r>
        <w:rPr>
          <w:rFonts w:ascii="仿宋" w:eastAsia="仿宋"/>
          <w:caps w:val="0"/>
          <w:smallCaps/>
          <w:sz w:val="20"/>
          <w:szCs w:val="20"/>
        </w:rPr>
        <w:fldChar w:fldCharType="end"/>
      </w:r>
    </w:p>
    <w:p>
      <w:pPr>
        <w:pStyle w:val="2"/>
        <w:jc w:val="center"/>
        <w:rPr>
          <w:rFonts w:hint="eastAsia" w:ascii="黑体" w:eastAsia="黑体"/>
          <w:b w:val="0"/>
        </w:rPr>
      </w:pPr>
      <w:bookmarkStart w:id="12" w:name="_Toc15396599"/>
      <w:bookmarkStart w:id="13" w:name="_Toc79163601"/>
      <w:bookmarkStart w:id="14" w:name="_Toc15377196"/>
      <w:bookmarkStart w:id="15" w:name="_Toc79163851"/>
    </w:p>
    <w:p>
      <w:pPr>
        <w:pStyle w:val="2"/>
        <w:jc w:val="center"/>
        <w:rPr>
          <w:rFonts w:hint="eastAsia" w:ascii="黑体" w:eastAsia="黑体"/>
          <w:b w:val="0"/>
        </w:rPr>
      </w:pPr>
    </w:p>
    <w:p>
      <w:pPr>
        <w:pStyle w:val="2"/>
        <w:jc w:val="center"/>
        <w:rPr>
          <w:rFonts w:hint="eastAsia" w:ascii="黑体" w:eastAsia="黑体"/>
          <w:b w:val="0"/>
        </w:rPr>
      </w:pPr>
    </w:p>
    <w:p>
      <w:pPr>
        <w:pStyle w:val="2"/>
        <w:jc w:val="center"/>
        <w:rPr>
          <w:rFonts w:hint="eastAsia" w:ascii="黑体" w:eastAsia="黑体"/>
          <w:b w:val="0"/>
        </w:rPr>
      </w:pPr>
    </w:p>
    <w:p>
      <w:pPr>
        <w:pStyle w:val="2"/>
        <w:jc w:val="center"/>
        <w:rPr>
          <w:rFonts w:hint="eastAsia" w:ascii="黑体" w:eastAsia="黑体"/>
          <w:b w:val="0"/>
        </w:rPr>
      </w:pPr>
    </w:p>
    <w:p>
      <w:pPr>
        <w:pStyle w:val="2"/>
        <w:jc w:val="both"/>
        <w:rPr>
          <w:rFonts w:hint="eastAsia" w:ascii="黑体" w:eastAsia="黑体"/>
          <w:b w:val="0"/>
        </w:rPr>
      </w:pPr>
    </w:p>
    <w:p>
      <w:pPr>
        <w:rPr>
          <w:rFonts w:hint="eastAsia" w:ascii="黑体" w:eastAsia="黑体"/>
          <w:b w:val="0"/>
        </w:rPr>
      </w:pPr>
    </w:p>
    <w:p>
      <w:pPr>
        <w:rPr>
          <w:rFonts w:hint="eastAsia" w:ascii="黑体" w:eastAsia="黑体"/>
          <w:b w:val="0"/>
        </w:rPr>
      </w:pPr>
    </w:p>
    <w:p>
      <w:pPr>
        <w:rPr>
          <w:rFonts w:hint="eastAsia" w:ascii="黑体" w:eastAsia="黑体"/>
          <w:b w:val="0"/>
        </w:rPr>
      </w:pPr>
    </w:p>
    <w:p>
      <w:pPr>
        <w:pStyle w:val="2"/>
        <w:jc w:val="both"/>
        <w:rPr>
          <w:rFonts w:hint="eastAsia" w:ascii="黑体" w:eastAsia="黑体"/>
          <w:b w:val="0"/>
        </w:rPr>
      </w:pPr>
    </w:p>
    <w:p>
      <w:pPr>
        <w:rPr>
          <w:rFonts w:hint="eastAsia"/>
        </w:rPr>
      </w:pPr>
    </w:p>
    <w:p>
      <w:pPr>
        <w:pStyle w:val="2"/>
        <w:jc w:val="center"/>
        <w:rPr>
          <w:rStyle w:val="22"/>
          <w:rFonts w:ascii="黑体" w:eastAsia="黑体"/>
          <w:b/>
          <w:bCs w:val="0"/>
        </w:rPr>
      </w:pPr>
      <w:r>
        <w:rPr>
          <w:rFonts w:hint="eastAsia" w:ascii="黑体" w:eastAsia="黑体"/>
          <w:b w:val="0"/>
        </w:rPr>
        <w:t>第一部分</w:t>
      </w:r>
      <w:r>
        <w:rPr>
          <w:rFonts w:ascii="黑体" w:eastAsia="黑体"/>
          <w:b w:val="0"/>
        </w:rPr>
        <w:t xml:space="preserve"> </w:t>
      </w:r>
      <w:r>
        <w:rPr>
          <w:rStyle w:val="22"/>
          <w:rFonts w:hint="eastAsia" w:ascii="黑体" w:eastAsia="黑体"/>
          <w:b w:val="0"/>
          <w:bCs w:val="0"/>
        </w:rPr>
        <w:t>部门概况</w:t>
      </w:r>
      <w:bookmarkEnd w:id="12"/>
      <w:bookmarkEnd w:id="13"/>
      <w:bookmarkEnd w:id="14"/>
      <w:bookmarkEnd w:id="15"/>
    </w:p>
    <w:p>
      <w:pPr>
        <w:spacing w:line="576" w:lineRule="exact"/>
        <w:ind w:firstLine="640" w:firstLineChars="200"/>
        <w:rPr>
          <w:rFonts w:ascii="黑体" w:eastAsia="黑体"/>
          <w:sz w:val="32"/>
          <w:szCs w:val="32"/>
        </w:rPr>
      </w:pPr>
      <w:r>
        <w:rPr>
          <w:rFonts w:hint="eastAsia" w:ascii="黑体" w:eastAsia="黑体"/>
          <w:sz w:val="32"/>
          <w:szCs w:val="32"/>
        </w:rPr>
        <w:t>一、基本职能及主要工作</w:t>
      </w:r>
    </w:p>
    <w:p>
      <w:pPr>
        <w:spacing w:line="576" w:lineRule="exact"/>
        <w:ind w:firstLine="642" w:firstLineChars="200"/>
        <w:rPr>
          <w:rFonts w:ascii="楷体_GB2312" w:eastAsia="楷体_GB2312" w:cs="楷体_GB2312"/>
          <w:b/>
          <w:sz w:val="32"/>
          <w:szCs w:val="32"/>
        </w:rPr>
      </w:pPr>
      <w:r>
        <w:rPr>
          <w:rFonts w:hint="eastAsia" w:ascii="楷体_GB2312" w:eastAsia="楷体_GB2312" w:cs="楷体_GB2312"/>
          <w:b/>
          <w:sz w:val="32"/>
          <w:szCs w:val="32"/>
        </w:rPr>
        <w:t>（一）主要职能</w:t>
      </w:r>
    </w:p>
    <w:p>
      <w:pPr>
        <w:shd w:val="clear" w:color="auto" w:fill="FFFEFB"/>
        <w:spacing w:line="480" w:lineRule="auto"/>
        <w:ind w:firstLine="640"/>
        <w:rPr>
          <w:rFonts w:hint="eastAsia" w:ascii="仿宋_GB2312" w:eastAsia="仿宋_GB2312"/>
          <w:sz w:val="32"/>
          <w:szCs w:val="32"/>
          <w:u w:val="none"/>
          <w:lang w:val="zh-CN" w:eastAsia="zh-CN"/>
        </w:rPr>
      </w:pPr>
      <w:r>
        <w:rPr>
          <w:rFonts w:hint="eastAsia" w:ascii="仿宋_GB2312" w:eastAsia="仿宋_GB2312" w:cs="宋体"/>
          <w:sz w:val="32"/>
          <w:szCs w:val="32"/>
          <w:u w:val="none"/>
          <w:lang w:bidi="ar-SA"/>
        </w:rPr>
        <w:t>1.</w:t>
      </w:r>
      <w:r>
        <w:rPr>
          <w:rFonts w:hint="eastAsia" w:ascii="仿宋_GB2312" w:eastAsia="仿宋_GB2312"/>
          <w:sz w:val="32"/>
          <w:szCs w:val="32"/>
          <w:u w:val="none"/>
          <w:lang w:val="zh-CN" w:eastAsia="zh-CN"/>
        </w:rPr>
        <w:t>贯彻执行国家财经法律、法规和政策，根据《预算法》、《预算法实施条例》等法律法规，履行国库集中支付职能。</w:t>
      </w:r>
    </w:p>
    <w:p>
      <w:pPr>
        <w:shd w:val="clear" w:color="auto" w:fill="FFFEFB"/>
        <w:spacing w:line="480" w:lineRule="auto"/>
        <w:ind w:firstLine="640"/>
        <w:rPr>
          <w:rFonts w:hint="eastAsia" w:ascii="仿宋_GB2312" w:eastAsia="仿宋_GB2312" w:cs="宋体"/>
          <w:sz w:val="32"/>
          <w:szCs w:val="32"/>
          <w:u w:val="none"/>
          <w:lang w:bidi="ar-SA"/>
        </w:rPr>
      </w:pPr>
      <w:r>
        <w:rPr>
          <w:rFonts w:hint="eastAsia" w:ascii="仿宋_GB2312" w:eastAsia="仿宋_GB2312" w:cs="宋体"/>
          <w:sz w:val="32"/>
          <w:szCs w:val="32"/>
          <w:u w:val="none"/>
          <w:lang w:bidi="ar-SA"/>
        </w:rPr>
        <w:t>2.</w:t>
      </w:r>
      <w:r>
        <w:rPr>
          <w:rFonts w:hint="eastAsia" w:ascii="仿宋_GB2312" w:eastAsia="仿宋_GB2312"/>
          <w:sz w:val="32"/>
          <w:szCs w:val="32"/>
          <w:u w:val="none"/>
        </w:rPr>
        <w:t>负责办理预算单位财政直接支付业务。</w:t>
      </w:r>
    </w:p>
    <w:p>
      <w:pPr>
        <w:shd w:val="clear" w:color="auto" w:fill="FFFEFB"/>
        <w:spacing w:line="480" w:lineRule="auto"/>
        <w:ind w:firstLine="640"/>
        <w:rPr>
          <w:rFonts w:hint="eastAsia" w:ascii="仿宋_GB2312" w:eastAsia="仿宋_GB2312" w:cs="宋体"/>
          <w:sz w:val="32"/>
          <w:szCs w:val="32"/>
          <w:u w:val="none"/>
          <w:lang w:bidi="ar-SA"/>
        </w:rPr>
      </w:pPr>
      <w:r>
        <w:rPr>
          <w:rFonts w:hint="eastAsia" w:ascii="仿宋_GB2312" w:eastAsia="仿宋_GB2312" w:cs="宋体"/>
          <w:sz w:val="32"/>
          <w:szCs w:val="32"/>
          <w:u w:val="none"/>
          <w:lang w:bidi="ar-SA"/>
        </w:rPr>
        <w:t>3.</w:t>
      </w:r>
      <w:r>
        <w:rPr>
          <w:rFonts w:hint="eastAsia" w:ascii="仿宋_GB2312" w:eastAsia="仿宋_GB2312"/>
          <w:sz w:val="32"/>
          <w:szCs w:val="32"/>
          <w:u w:val="none"/>
        </w:rPr>
        <w:t>负责管理和使用财政国库单一账户体系中的财政零余额账户。</w:t>
      </w:r>
    </w:p>
    <w:p>
      <w:pPr>
        <w:shd w:val="clear" w:color="auto" w:fill="FFFEFB"/>
        <w:spacing w:line="480" w:lineRule="auto"/>
        <w:ind w:firstLine="640"/>
        <w:rPr>
          <w:rFonts w:hint="eastAsia" w:ascii="仿宋_GB2312" w:eastAsia="仿宋_GB2312"/>
          <w:sz w:val="32"/>
          <w:szCs w:val="32"/>
          <w:lang w:val="zh-CN"/>
        </w:rPr>
      </w:pPr>
      <w:r>
        <w:rPr>
          <w:rFonts w:hint="eastAsia" w:ascii="仿宋_GB2312" w:eastAsia="仿宋_GB2312" w:cs="宋体"/>
          <w:sz w:val="32"/>
          <w:szCs w:val="32"/>
          <w:u w:val="none"/>
          <w:lang w:bidi="ar-SA"/>
        </w:rPr>
        <w:t>4.</w:t>
      </w:r>
      <w:r>
        <w:rPr>
          <w:rFonts w:hint="eastAsia" w:ascii="仿宋_GB2312" w:eastAsia="仿宋_GB2312"/>
          <w:sz w:val="32"/>
          <w:szCs w:val="32"/>
          <w:u w:val="none"/>
          <w:lang w:val="zh-CN" w:eastAsia="zh-CN"/>
        </w:rPr>
        <w:t>负责财政零余额账户的资金清算和账务核算工作，向国库股提供支付和清算信息。</w:t>
      </w:r>
    </w:p>
    <w:p>
      <w:pPr>
        <w:pStyle w:val="6"/>
        <w:adjustRightInd w:val="0"/>
        <w:snapToGrid w:val="0"/>
        <w:spacing w:before="93" w:beforeLines="0" w:line="600" w:lineRule="exact"/>
        <w:ind w:firstLine="668" w:firstLineChars="208"/>
        <w:outlineLvl w:val="2"/>
        <w:rPr>
          <w:rFonts w:hint="eastAsia"/>
          <w:b/>
          <w:bCs/>
          <w:color w:val="000000"/>
          <w:sz w:val="32"/>
          <w:szCs w:val="32"/>
        </w:rPr>
      </w:pPr>
      <w:bookmarkStart w:id="16" w:name="_Toc79163854"/>
      <w:bookmarkStart w:id="17" w:name="_Toc15378446"/>
      <w:bookmarkStart w:id="18" w:name="_Toc79163604"/>
      <w:bookmarkStart w:id="19" w:name="_Toc15377199"/>
      <w:r>
        <w:rPr>
          <w:rFonts w:hint="eastAsia"/>
          <w:b/>
          <w:bCs/>
          <w:color w:val="000000"/>
          <w:sz w:val="32"/>
          <w:szCs w:val="32"/>
        </w:rPr>
        <w:t>（二）2021年重点工作完成情况。</w:t>
      </w:r>
      <w:bookmarkEnd w:id="16"/>
      <w:bookmarkEnd w:id="17"/>
      <w:bookmarkEnd w:id="18"/>
      <w:bookmarkEnd w:id="19"/>
    </w:p>
    <w:p>
      <w:pPr>
        <w:pStyle w:val="6"/>
        <w:adjustRightInd w:val="0"/>
        <w:snapToGrid w:val="0"/>
        <w:spacing w:before="93" w:beforeLines="0" w:line="600" w:lineRule="exact"/>
        <w:ind w:firstLine="665" w:firstLineChars="208"/>
        <w:outlineLvl w:val="2"/>
        <w:rPr>
          <w:rFonts w:hint="eastAsia"/>
          <w:bCs/>
          <w:color w:val="000000"/>
          <w:sz w:val="32"/>
          <w:szCs w:val="32"/>
        </w:rPr>
      </w:pPr>
      <w:r>
        <w:rPr>
          <w:rFonts w:hint="eastAsia"/>
          <w:sz w:val="32"/>
          <w:szCs w:val="32"/>
          <w:u w:val="none"/>
          <w:lang w:val="zh-CN" w:eastAsia="zh-CN"/>
        </w:rPr>
        <w:t>严格执行国库集中支付制度，强化财务监督职能，加强基层行政事业单位财务管理制度执行的监督和指导，做好预算管理一体化系统工作和资金清算工作，不断规范会计基础，提升财务管理水平，提高制度执行的效率。</w:t>
      </w:r>
    </w:p>
    <w:p>
      <w:pPr>
        <w:spacing w:line="576" w:lineRule="exact"/>
        <w:ind w:firstLine="640" w:firstLineChars="200"/>
        <w:rPr>
          <w:rStyle w:val="23"/>
          <w:rFonts w:ascii="黑体" w:eastAsia="黑体"/>
          <w:b w:val="0"/>
          <w:bCs w:val="0"/>
        </w:rPr>
      </w:pPr>
      <w:r>
        <w:rPr>
          <w:rFonts w:hint="eastAsia" w:ascii="黑体" w:eastAsia="黑体"/>
          <w:sz w:val="32"/>
          <w:szCs w:val="32"/>
        </w:rPr>
        <w:t>二、机</w:t>
      </w:r>
      <w:r>
        <w:rPr>
          <w:rStyle w:val="23"/>
          <w:rFonts w:hint="eastAsia" w:ascii="黑体" w:eastAsia="黑体"/>
          <w:b w:val="0"/>
          <w:bCs w:val="0"/>
        </w:rPr>
        <w:t>构设置</w:t>
      </w:r>
    </w:p>
    <w:p>
      <w:pPr>
        <w:widowControl/>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茂县国库集中支付中心是参照公务员法管理的事业单位，属一级预算单位，下属二级预算单位0个。</w:t>
      </w:r>
      <w:bookmarkStart w:id="20" w:name="_Toc79163859"/>
      <w:bookmarkStart w:id="21" w:name="_Toc79163609"/>
      <w:bookmarkStart w:id="22" w:name="_Toc15377204"/>
      <w:bookmarkStart w:id="23" w:name="_Toc15396602"/>
    </w:p>
    <w:p>
      <w:pPr>
        <w:widowControl/>
        <w:ind w:firstLine="640" w:firstLineChars="200"/>
        <w:jc w:val="left"/>
        <w:rPr>
          <w:rFonts w:hint="eastAsia" w:ascii="仿宋_GB2312" w:eastAsia="仿宋_GB2312" w:cs="仿宋_GB2312"/>
          <w:sz w:val="32"/>
          <w:szCs w:val="32"/>
        </w:rPr>
      </w:pPr>
    </w:p>
    <w:p>
      <w:pPr>
        <w:widowControl/>
        <w:ind w:firstLine="640" w:firstLineChars="200"/>
        <w:jc w:val="left"/>
        <w:rPr>
          <w:rFonts w:hint="eastAsia" w:ascii="仿宋_GB2312" w:eastAsia="仿宋_GB2312" w:cs="仿宋_GB2312"/>
          <w:sz w:val="32"/>
          <w:szCs w:val="32"/>
        </w:rPr>
      </w:pPr>
    </w:p>
    <w:p>
      <w:pPr>
        <w:pStyle w:val="2"/>
        <w:spacing w:before="0" w:beforeAutospacing="0"/>
        <w:ind w:right="440" w:firstLine="440" w:firstLineChars="100"/>
        <w:jc w:val="center"/>
        <w:rPr>
          <w:rStyle w:val="22"/>
          <w:rFonts w:ascii="黑体" w:eastAsia="黑体"/>
          <w:b w:val="0"/>
          <w:bCs w:val="0"/>
        </w:rPr>
      </w:pPr>
      <w:r>
        <w:rPr>
          <w:rFonts w:hint="eastAsia" w:ascii="黑体" w:eastAsia="黑体"/>
          <w:b w:val="0"/>
          <w:color w:val="000000"/>
        </w:rPr>
        <w:t>第二部分</w:t>
      </w:r>
      <w:r>
        <w:rPr>
          <w:rFonts w:ascii="黑体" w:eastAsia="黑体"/>
          <w:color w:val="000000"/>
        </w:rPr>
        <w:t xml:space="preserve"> </w:t>
      </w:r>
      <w:r>
        <w:rPr>
          <w:rStyle w:val="22"/>
          <w:rFonts w:ascii="黑体" w:eastAsia="黑体"/>
          <w:b w:val="0"/>
          <w:bCs w:val="0"/>
        </w:rPr>
        <w:t>2021</w:t>
      </w:r>
      <w:r>
        <w:rPr>
          <w:rStyle w:val="22"/>
          <w:rFonts w:hint="eastAsia" w:ascii="黑体" w:eastAsia="黑体"/>
          <w:b w:val="0"/>
          <w:bCs w:val="0"/>
        </w:rPr>
        <w:t>年度部门决算情况说明</w:t>
      </w:r>
      <w:bookmarkEnd w:id="20"/>
      <w:bookmarkEnd w:id="21"/>
      <w:bookmarkEnd w:id="22"/>
      <w:bookmarkEnd w:id="23"/>
    </w:p>
    <w:p>
      <w:pPr>
        <w:pStyle w:val="28"/>
        <w:spacing w:line="600" w:lineRule="exact"/>
        <w:ind w:left="0" w:firstLine="640" w:firstLineChars="200"/>
        <w:outlineLvl w:val="1"/>
        <w:rPr>
          <w:rStyle w:val="23"/>
          <w:rFonts w:ascii="黑体" w:eastAsia="黑体"/>
          <w:b w:val="0"/>
        </w:rPr>
      </w:pPr>
      <w:bookmarkStart w:id="24" w:name="_Toc15377205"/>
      <w:bookmarkStart w:id="25" w:name="_Toc79163610"/>
      <w:bookmarkStart w:id="26" w:name="_Toc79163860"/>
      <w:bookmarkStart w:id="27" w:name="_Toc15396603"/>
      <w:r>
        <w:rPr>
          <w:rFonts w:hint="eastAsia" w:ascii="黑体" w:eastAsia="黑体"/>
          <w:color w:val="000000"/>
          <w:sz w:val="32"/>
          <w:szCs w:val="32"/>
          <w:lang w:val="en-US" w:eastAsia="zh-CN"/>
        </w:rPr>
        <w:t>一、</w:t>
      </w:r>
      <w:r>
        <w:rPr>
          <w:rFonts w:hint="eastAsia" w:ascii="黑体" w:eastAsia="黑体"/>
          <w:color w:val="000000"/>
          <w:sz w:val="32"/>
          <w:szCs w:val="32"/>
        </w:rPr>
        <w:t>收</w:t>
      </w:r>
      <w:r>
        <w:rPr>
          <w:rStyle w:val="23"/>
          <w:rFonts w:hint="eastAsia" w:ascii="黑体" w:eastAsia="黑体"/>
          <w:b w:val="0"/>
        </w:rPr>
        <w:t>入支出决算总体情况说明</w:t>
      </w:r>
      <w:bookmarkEnd w:id="24"/>
      <w:bookmarkEnd w:id="25"/>
      <w:bookmarkEnd w:id="26"/>
      <w:bookmarkEnd w:id="27"/>
    </w:p>
    <w:p>
      <w:pPr>
        <w:spacing w:line="600" w:lineRule="exact"/>
        <w:ind w:firstLine="640" w:firstLineChars="200"/>
        <w:rPr>
          <w:rFonts w:hint="eastAsia" w:ascii="仿宋_GB2312" w:eastAsia="仿宋_GB2312" w:cs="仿宋_GB2312"/>
          <w:sz w:val="32"/>
          <w:szCs w:val="32"/>
        </w:rPr>
      </w:pPr>
      <w:r>
        <w:rPr>
          <w:rFonts w:hint="eastAsia" w:ascii="仿宋_GB2312" w:eastAsia="仿宋_GB2312"/>
          <w:color w:val="000000"/>
          <w:sz w:val="32"/>
          <w:szCs w:val="32"/>
        </w:rPr>
        <w:t>2021年度收、支总计159.87万元。与2020年相比，收、支总计各增加6.93万元，增长4.53%。主要变动原因是</w:t>
      </w:r>
      <w:r>
        <w:rPr>
          <w:rFonts w:hint="eastAsia" w:ascii="仿宋_GB2312" w:eastAsia="仿宋_GB2312" w:cs="仿宋_GB2312"/>
          <w:sz w:val="32"/>
          <w:szCs w:val="32"/>
        </w:rPr>
        <w:t>本年职工工资及保险、公积金有所增长。</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（图1：收、支决算总计变动情况图）（柱状图）</w:t>
      </w:r>
    </w:p>
    <w:p>
      <w:pPr>
        <w:spacing w:line="600" w:lineRule="exact"/>
        <w:ind w:firstLine="640" w:firstLineChars="200"/>
        <w:rPr>
          <w:rFonts w:hint="eastAsia" w:ascii="仿宋" w:eastAsia="仿宋"/>
          <w:color w:val="000000"/>
          <w:sz w:val="32"/>
          <w:szCs w:val="32"/>
        </w:rPr>
      </w:pPr>
      <w:r>
        <w:rPr>
          <w:rFonts w:ascii="仿宋" w:eastAsia="仿宋"/>
          <w:color w:val="000000"/>
          <w:sz w:val="32"/>
          <w:szCs w:val="32"/>
        </w:rPr>
        <w:drawing>
          <wp:anchor distT="0" distB="0" distL="84455" distR="84455" simplePos="0" relativeHeight="251659264" behindDoc="0" locked="0" layoutInCell="1" allowOverlap="1">
            <wp:simplePos x="0" y="0"/>
            <wp:positionH relativeFrom="column">
              <wp:posOffset>415290</wp:posOffset>
            </wp:positionH>
            <wp:positionV relativeFrom="paragraph">
              <wp:posOffset>180975</wp:posOffset>
            </wp:positionV>
            <wp:extent cx="4413250" cy="2647950"/>
            <wp:effectExtent l="0" t="0" r="4" b="39"/>
            <wp:wrapSquare wrapText="bothSides"/>
            <wp:docPr id="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pic:cNvPicPr>
                      <a:picLocks noChangeAspect="1"/>
                    </pic:cNvPicPr>
                  </pic:nvPicPr>
                  <pic:blipFill>
                    <a:blip r:embed="rId6"/>
                    <a:stretch>
                      <a:fillRect/>
                    </a:stretch>
                  </pic:blipFill>
                  <pic:spPr>
                    <a:xfrm>
                      <a:off x="0" y="0"/>
                      <a:ext cx="4413250" cy="2647948"/>
                    </a:xfrm>
                    <a:prstGeom prst="rect">
                      <a:avLst/>
                    </a:prstGeom>
                    <a:noFill/>
                    <a:ln w="9525" cap="flat" cmpd="sng">
                      <a:noFill/>
                      <a:prstDash val="solid"/>
                      <a:miter/>
                    </a:ln>
                  </pic:spPr>
                </pic:pic>
              </a:graphicData>
            </a:graphic>
          </wp:anchor>
        </w:drawing>
      </w:r>
      <w:bookmarkStart w:id="28" w:name="_Toc15396604"/>
      <w:bookmarkStart w:id="29" w:name="_Toc15377206"/>
      <w:bookmarkStart w:id="30" w:name="_Toc79163611"/>
      <w:bookmarkStart w:id="31" w:name="_Toc79163861"/>
    </w:p>
    <w:p>
      <w:pPr>
        <w:pStyle w:val="28"/>
        <w:spacing w:line="600" w:lineRule="exact"/>
        <w:ind w:left="640"/>
        <w:outlineLvl w:val="1"/>
        <w:rPr>
          <w:rStyle w:val="23"/>
          <w:rFonts w:ascii="黑体" w:eastAsia="黑体"/>
          <w:b w:val="0"/>
        </w:rPr>
      </w:pPr>
      <w:r>
        <w:rPr>
          <w:rFonts w:hint="eastAsia" w:ascii="黑体" w:eastAsia="黑体"/>
          <w:color w:val="000000"/>
          <w:sz w:val="32"/>
          <w:szCs w:val="32"/>
          <w:lang w:val="en-US" w:eastAsia="zh-CN"/>
        </w:rPr>
        <w:t>二、</w:t>
      </w:r>
      <w:r>
        <w:rPr>
          <w:rFonts w:hint="eastAsia" w:ascii="黑体" w:eastAsia="黑体"/>
          <w:color w:val="000000"/>
          <w:sz w:val="32"/>
          <w:szCs w:val="32"/>
        </w:rPr>
        <w:t>收</w:t>
      </w:r>
      <w:r>
        <w:rPr>
          <w:rStyle w:val="23"/>
          <w:rFonts w:hint="eastAsia" w:ascii="黑体" w:eastAsia="黑体"/>
          <w:b w:val="0"/>
        </w:rPr>
        <w:t>入决算情况说明</w:t>
      </w:r>
      <w:bookmarkEnd w:id="28"/>
      <w:bookmarkEnd w:id="29"/>
      <w:bookmarkEnd w:id="30"/>
      <w:bookmarkEnd w:id="31"/>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2021年本年收入合计159.87万元，其中：一般公共预算财政拨款收入159.87万元，占100%；政府性基金预算财政拨款收入0万元，</w:t>
      </w:r>
      <w:r>
        <w:rPr>
          <w:rFonts w:hint="eastAsia" w:ascii="仿宋_GB2312" w:eastAsia="仿宋_GB2312"/>
          <w:sz w:val="32"/>
          <w:szCs w:val="32"/>
        </w:rPr>
        <w:t>占0%</w:t>
      </w:r>
      <w:r>
        <w:rPr>
          <w:rFonts w:hint="eastAsia" w:ascii="仿宋_GB2312" w:eastAsia="仿宋_GB2312"/>
          <w:color w:val="000000"/>
          <w:sz w:val="32"/>
          <w:szCs w:val="32"/>
        </w:rPr>
        <w:t>；上级补助收入0万元，</w:t>
      </w:r>
      <w:r>
        <w:rPr>
          <w:rFonts w:hint="eastAsia" w:ascii="仿宋_GB2312" w:eastAsia="仿宋_GB2312"/>
          <w:sz w:val="32"/>
          <w:szCs w:val="32"/>
        </w:rPr>
        <w:t>占0%</w:t>
      </w:r>
      <w:r>
        <w:rPr>
          <w:rFonts w:hint="eastAsia" w:ascii="仿宋_GB2312" w:eastAsia="仿宋_GB2312"/>
          <w:color w:val="000000"/>
          <w:sz w:val="32"/>
          <w:szCs w:val="32"/>
        </w:rPr>
        <w:t>；事业收入0万元，</w:t>
      </w:r>
      <w:r>
        <w:rPr>
          <w:rFonts w:hint="eastAsia" w:ascii="仿宋_GB2312" w:eastAsia="仿宋_GB2312"/>
          <w:sz w:val="32"/>
          <w:szCs w:val="32"/>
        </w:rPr>
        <w:t>占0%</w:t>
      </w:r>
      <w:r>
        <w:rPr>
          <w:rFonts w:hint="eastAsia" w:ascii="仿宋_GB2312" w:eastAsia="仿宋_GB2312"/>
          <w:color w:val="000000"/>
          <w:sz w:val="32"/>
          <w:szCs w:val="32"/>
        </w:rPr>
        <w:t>；经营收入0万元，</w:t>
      </w:r>
      <w:r>
        <w:rPr>
          <w:rFonts w:hint="eastAsia" w:ascii="仿宋_GB2312" w:eastAsia="仿宋_GB2312"/>
          <w:sz w:val="32"/>
          <w:szCs w:val="32"/>
        </w:rPr>
        <w:t>占0%</w:t>
      </w:r>
      <w:r>
        <w:rPr>
          <w:rFonts w:hint="eastAsia" w:ascii="仿宋_GB2312" w:eastAsia="仿宋_GB2312"/>
          <w:color w:val="000000"/>
          <w:sz w:val="32"/>
          <w:szCs w:val="32"/>
        </w:rPr>
        <w:t>；附属单位上缴收入0万元，</w:t>
      </w:r>
      <w:r>
        <w:rPr>
          <w:rFonts w:hint="eastAsia" w:ascii="仿宋_GB2312" w:eastAsia="仿宋_GB2312"/>
          <w:sz w:val="32"/>
          <w:szCs w:val="32"/>
        </w:rPr>
        <w:t>占0%</w:t>
      </w:r>
      <w:r>
        <w:rPr>
          <w:rFonts w:hint="eastAsia" w:ascii="仿宋_GB2312" w:eastAsia="仿宋_GB2312"/>
          <w:color w:val="000000"/>
          <w:sz w:val="32"/>
          <w:szCs w:val="32"/>
        </w:rPr>
        <w:t>；其他收入0万元%，</w:t>
      </w:r>
      <w:r>
        <w:rPr>
          <w:rFonts w:hint="eastAsia" w:ascii="仿宋_GB2312" w:eastAsia="仿宋_GB2312"/>
          <w:sz w:val="32"/>
          <w:szCs w:val="32"/>
        </w:rPr>
        <w:t>占0%</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（图2：收入决算结构图）（饼状图）</w:t>
      </w:r>
    </w:p>
    <w:p>
      <w:pPr>
        <w:spacing w:line="600" w:lineRule="exact"/>
        <w:ind w:left="0"/>
        <w:rPr>
          <w:rFonts w:ascii="仿宋_GB2312" w:eastAsia="仿宋_GB2312"/>
          <w:color w:val="FF0000"/>
          <w:sz w:val="32"/>
          <w:szCs w:val="32"/>
        </w:rPr>
      </w:pPr>
      <w:r>
        <w:rPr>
          <w:rFonts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363220</wp:posOffset>
            </wp:positionH>
            <wp:positionV relativeFrom="paragraph">
              <wp:posOffset>378460</wp:posOffset>
            </wp:positionV>
            <wp:extent cx="4229735" cy="2458085"/>
            <wp:effectExtent l="0" t="0" r="0" b="0"/>
            <wp:wrapTight wrapText="bothSides">
              <wp:wrapPolygon>
                <wp:start x="-6" y="-40"/>
                <wp:lineTo x="-6" y="21553"/>
                <wp:lineTo x="21589" y="21553"/>
                <wp:lineTo x="21589" y="-40"/>
                <wp:lineTo x="-6" y="-40"/>
              </wp:wrapPolygon>
            </wp:wrapTight>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left="0"/>
        <w:rPr>
          <w:rFonts w:ascii="仿宋_GB2312" w:eastAsia="仿宋_GB2312"/>
          <w:color w:val="FF0000"/>
          <w:sz w:val="32"/>
          <w:szCs w:val="32"/>
        </w:rPr>
      </w:pPr>
    </w:p>
    <w:p>
      <w:pPr>
        <w:pStyle w:val="28"/>
        <w:spacing w:line="600" w:lineRule="exact"/>
        <w:ind w:left="640"/>
        <w:outlineLvl w:val="1"/>
        <w:rPr>
          <w:rStyle w:val="23"/>
          <w:rFonts w:ascii="黑体" w:eastAsia="黑体"/>
          <w:b w:val="0"/>
        </w:rPr>
      </w:pPr>
      <w:bookmarkStart w:id="32" w:name="_Toc79163612"/>
      <w:bookmarkStart w:id="33" w:name="_Toc15377207"/>
      <w:bookmarkStart w:id="34" w:name="_Toc15396605"/>
      <w:bookmarkStart w:id="35" w:name="_Toc79163862"/>
      <w:r>
        <w:rPr>
          <w:rFonts w:hint="eastAsia" w:ascii="黑体" w:eastAsia="黑体"/>
          <w:color w:val="000000"/>
          <w:sz w:val="32"/>
          <w:szCs w:val="32"/>
          <w:lang w:val="en-US" w:eastAsia="zh-CN"/>
        </w:rPr>
        <w:t>三、</w:t>
      </w:r>
      <w:r>
        <w:rPr>
          <w:rFonts w:hint="eastAsia" w:ascii="黑体" w:eastAsia="黑体"/>
          <w:color w:val="000000"/>
          <w:sz w:val="32"/>
          <w:szCs w:val="32"/>
        </w:rPr>
        <w:t>支</w:t>
      </w:r>
      <w:r>
        <w:rPr>
          <w:rStyle w:val="23"/>
          <w:rFonts w:hint="eastAsia" w:ascii="黑体" w:eastAsia="黑体"/>
          <w:b w:val="0"/>
        </w:rPr>
        <w:t>出决算情况说明</w:t>
      </w:r>
      <w:bookmarkEnd w:id="32"/>
      <w:bookmarkEnd w:id="33"/>
      <w:bookmarkEnd w:id="34"/>
      <w:bookmarkEnd w:id="35"/>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2021年本年支出合计159.87万元，其中：基本支出159.87万元，占100%；项目支出0万元，占0%；上缴上级支出0万元，占0%；经营支出0万元，占0%；对附属单位补助支出0万元，占0%。</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（图3：支出决算结构图）（饼状图）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r>
        <w:rPr>
          <w:rFonts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451485</wp:posOffset>
            </wp:positionH>
            <wp:positionV relativeFrom="paragraph">
              <wp:posOffset>26670</wp:posOffset>
            </wp:positionV>
            <wp:extent cx="4112895" cy="2446020"/>
            <wp:effectExtent l="0" t="0" r="0" b="0"/>
            <wp:wrapTight wrapText="bothSides">
              <wp:wrapPolygon>
                <wp:start x="-23" y="-68"/>
                <wp:lineTo x="-23" y="21548"/>
                <wp:lineTo x="21586" y="21548"/>
                <wp:lineTo x="21586" y="-68"/>
                <wp:lineTo x="-23" y="-68"/>
              </wp:wrapPolygon>
            </wp:wrapTight>
            <wp:docPr id="5" name="图片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3"/>
          <w:rFonts w:ascii="黑体" w:eastAsia="黑体"/>
          <w:b w:val="0"/>
        </w:rPr>
      </w:pPr>
      <w:bookmarkStart w:id="36" w:name="_Toc79163613"/>
      <w:bookmarkStart w:id="37" w:name="_Toc15396606"/>
      <w:bookmarkStart w:id="38" w:name="_Toc15377208"/>
      <w:bookmarkStart w:id="39" w:name="_Toc79163863"/>
      <w:r>
        <w:rPr>
          <w:rFonts w:hint="eastAsia" w:ascii="黑体" w:eastAsia="黑体"/>
          <w:color w:val="000000"/>
          <w:sz w:val="32"/>
          <w:szCs w:val="32"/>
        </w:rPr>
        <w:t>四、财</w:t>
      </w:r>
      <w:r>
        <w:rPr>
          <w:rStyle w:val="23"/>
          <w:rFonts w:hint="eastAsia" w:ascii="黑体" w:eastAsia="黑体"/>
          <w:b w:val="0"/>
        </w:rPr>
        <w:t>政拨款收入支出决算总体情况说明</w:t>
      </w:r>
      <w:bookmarkEnd w:id="36"/>
      <w:bookmarkEnd w:id="37"/>
      <w:bookmarkEnd w:id="38"/>
      <w:bookmarkEnd w:id="39"/>
    </w:p>
    <w:p>
      <w:pPr>
        <w:spacing w:line="600" w:lineRule="exact"/>
        <w:ind w:firstLine="640"/>
        <w:rPr>
          <w:rFonts w:hint="eastAsia" w:ascii="仿宋_GB2312" w:eastAsia="仿宋_GB2312" w:cs="仿宋_GB2312"/>
          <w:sz w:val="32"/>
          <w:szCs w:val="32"/>
        </w:rPr>
      </w:pPr>
      <w:r>
        <w:rPr>
          <w:rFonts w:hint="eastAsia" w:ascii="仿宋_GB2312" w:eastAsia="仿宋_GB2312"/>
          <w:color w:val="000000"/>
          <w:sz w:val="32"/>
          <w:szCs w:val="32"/>
        </w:rPr>
        <w:t>2021年财政拨款收、支总计159.87万元。与2020年相比，财政拨款收、支总计各增加6.93万元，增长4.53%。主要变动原因是</w:t>
      </w:r>
      <w:r>
        <w:rPr>
          <w:rFonts w:hint="eastAsia" w:ascii="仿宋_GB2312" w:eastAsia="仿宋_GB2312" w:cs="仿宋_GB2312"/>
          <w:sz w:val="32"/>
          <w:szCs w:val="32"/>
        </w:rPr>
        <w:t>本年职工工资及保险、公积金有所增长。</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（图4：财政拨款收、支决算总计变动情况）（柱状图）</w:t>
      </w:r>
    </w:p>
    <w:p>
      <w:pPr>
        <w:spacing w:line="600" w:lineRule="exact"/>
        <w:ind w:firstLine="640" w:firstLineChars="200"/>
        <w:rPr>
          <w:rFonts w:ascii="仿宋" w:eastAsia="仿宋"/>
          <w:color w:val="000000"/>
          <w:sz w:val="32"/>
          <w:szCs w:val="32"/>
        </w:rPr>
      </w:pPr>
      <w:r>
        <w:rPr>
          <w:rFonts w:ascii="仿宋" w:eastAsia="仿宋"/>
          <w:color w:val="000000"/>
          <w:sz w:val="32"/>
          <w:szCs w:val="32"/>
        </w:rPr>
        <w:drawing>
          <wp:anchor distT="0" distB="0" distL="84455" distR="84455" simplePos="0" relativeHeight="251659264" behindDoc="0" locked="0" layoutInCell="1" allowOverlap="1">
            <wp:simplePos x="0" y="0"/>
            <wp:positionH relativeFrom="column">
              <wp:posOffset>424815</wp:posOffset>
            </wp:positionH>
            <wp:positionV relativeFrom="paragraph">
              <wp:posOffset>254635</wp:posOffset>
            </wp:positionV>
            <wp:extent cx="4413250" cy="2647950"/>
            <wp:effectExtent l="0" t="0" r="4" b="40"/>
            <wp:wrapSquare wrapText="bothSides"/>
            <wp:docPr id="6"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pic:cNvPicPr>
                      <a:picLocks noChangeAspect="1"/>
                    </pic:cNvPicPr>
                  </pic:nvPicPr>
                  <pic:blipFill>
                    <a:blip r:embed="rId6"/>
                    <a:stretch>
                      <a:fillRect/>
                    </a:stretch>
                  </pic:blipFill>
                  <pic:spPr>
                    <a:xfrm>
                      <a:off x="0" y="0"/>
                      <a:ext cx="4413250" cy="2647950"/>
                    </a:xfrm>
                    <a:prstGeom prst="rect">
                      <a:avLst/>
                    </a:prstGeom>
                    <a:noFill/>
                    <a:ln w="9525" cap="flat" cmpd="sng">
                      <a:noFill/>
                      <a:prstDash val="solid"/>
                      <a:miter/>
                    </a:ln>
                  </pic:spPr>
                </pic:pic>
              </a:graphicData>
            </a:graphic>
          </wp:anchor>
        </w:drawing>
      </w:r>
    </w:p>
    <w:p>
      <w:pPr>
        <w:spacing w:line="600" w:lineRule="exact"/>
        <w:ind w:firstLine="640" w:firstLineChars="200"/>
        <w:outlineLvl w:val="1"/>
        <w:rPr>
          <w:rStyle w:val="23"/>
          <w:rFonts w:ascii="黑体" w:eastAsia="黑体"/>
          <w:b w:val="0"/>
        </w:rPr>
      </w:pPr>
      <w:bookmarkStart w:id="40" w:name="_Toc79163614"/>
      <w:bookmarkStart w:id="41" w:name="_Toc79163864"/>
      <w:bookmarkStart w:id="42" w:name="_Toc15396607"/>
      <w:bookmarkStart w:id="43" w:name="_Toc15377209"/>
      <w:r>
        <w:rPr>
          <w:rFonts w:hint="eastAsia" w:ascii="黑体" w:eastAsia="黑体"/>
          <w:color w:val="000000"/>
          <w:sz w:val="32"/>
          <w:szCs w:val="32"/>
        </w:rPr>
        <w:t>五、</w:t>
      </w:r>
      <w:r>
        <w:rPr>
          <w:rFonts w:hint="eastAsia" w:ascii="黑体" w:eastAsia="黑体"/>
          <w:b/>
          <w:color w:val="000000"/>
          <w:sz w:val="32"/>
          <w:szCs w:val="32"/>
        </w:rPr>
        <w:t>一</w:t>
      </w:r>
      <w:r>
        <w:rPr>
          <w:rStyle w:val="23"/>
          <w:rFonts w:hint="eastAsia" w:ascii="黑体" w:eastAsia="黑体"/>
          <w:b w:val="0"/>
        </w:rPr>
        <w:t>般公共预算财政拨款支出决算情况说明</w:t>
      </w:r>
      <w:bookmarkEnd w:id="40"/>
      <w:bookmarkEnd w:id="41"/>
      <w:bookmarkEnd w:id="42"/>
      <w:bookmarkEnd w:id="43"/>
    </w:p>
    <w:p>
      <w:pPr>
        <w:spacing w:line="600" w:lineRule="exact"/>
        <w:ind w:firstLine="642" w:firstLineChars="200"/>
        <w:outlineLvl w:val="2"/>
        <w:rPr>
          <w:rFonts w:hint="eastAsia" w:ascii="仿宋_GB2312" w:eastAsia="仿宋_GB2312"/>
          <w:b/>
          <w:color w:val="000000"/>
          <w:sz w:val="32"/>
          <w:szCs w:val="32"/>
        </w:rPr>
      </w:pPr>
      <w:bookmarkStart w:id="44" w:name="_Toc15377210"/>
      <w:bookmarkStart w:id="45" w:name="_Toc79163615"/>
      <w:bookmarkStart w:id="46" w:name="_Toc79163865"/>
      <w:r>
        <w:rPr>
          <w:rFonts w:hint="eastAsia" w:ascii="仿宋_GB2312" w:eastAsia="仿宋_GB2312"/>
          <w:b/>
          <w:color w:val="000000"/>
          <w:sz w:val="32"/>
          <w:szCs w:val="32"/>
        </w:rPr>
        <w:t>（一）一般公共预算财政拨款支出决算总体情况</w:t>
      </w:r>
      <w:bookmarkEnd w:id="44"/>
      <w:bookmarkEnd w:id="45"/>
      <w:bookmarkEnd w:id="46"/>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2021年一般公共预算财政拨款支出159.87万元，占本年支出合计的100%。与2020年相比，一般公共预算财政拨款增加6.93万元，增长4.53%。</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（图5：一般公共预算财政拨款支出决算变动情况）（柱状图）</w:t>
      </w:r>
    </w:p>
    <w:p>
      <w:pPr>
        <w:spacing w:line="600" w:lineRule="exact"/>
        <w:ind w:left="0"/>
        <w:outlineLvl w:val="2"/>
        <w:rPr>
          <w:rFonts w:ascii="仿宋" w:eastAsia="仿宋"/>
          <w:b/>
          <w:color w:val="000000"/>
          <w:sz w:val="32"/>
          <w:szCs w:val="32"/>
        </w:rPr>
      </w:pPr>
      <w:bookmarkStart w:id="47" w:name="_Toc15377211"/>
      <w:bookmarkStart w:id="48" w:name="_Toc79163616"/>
      <w:bookmarkStart w:id="49" w:name="_Toc79163866"/>
    </w:p>
    <w:p>
      <w:pPr>
        <w:spacing w:line="600" w:lineRule="exact"/>
        <w:ind w:firstLine="642" w:firstLineChars="200"/>
        <w:outlineLvl w:val="2"/>
        <w:rPr>
          <w:rFonts w:ascii="仿宋" w:eastAsia="仿宋"/>
          <w:b/>
          <w:color w:val="000000"/>
          <w:sz w:val="32"/>
          <w:szCs w:val="32"/>
        </w:rPr>
      </w:pPr>
      <w:r>
        <w:rPr>
          <w:rFonts w:ascii="仿宋" w:eastAsia="仿宋"/>
          <w:b/>
          <w:color w:val="000000"/>
          <w:sz w:val="32"/>
          <w:szCs w:val="32"/>
        </w:rPr>
        <w:drawing>
          <wp:anchor distT="0" distB="0" distL="84455" distR="84455" simplePos="0" relativeHeight="251659264" behindDoc="0" locked="0" layoutInCell="1" allowOverlap="1">
            <wp:simplePos x="0" y="0"/>
            <wp:positionH relativeFrom="column">
              <wp:posOffset>539115</wp:posOffset>
            </wp:positionH>
            <wp:positionV relativeFrom="paragraph">
              <wp:posOffset>92710</wp:posOffset>
            </wp:positionV>
            <wp:extent cx="4413250" cy="2647950"/>
            <wp:effectExtent l="0" t="1" r="4" b="42"/>
            <wp:wrapSquare wrapText="bothSides"/>
            <wp:docPr id="8"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pic:cNvPicPr>
                      <a:picLocks noChangeAspect="1"/>
                    </pic:cNvPicPr>
                  </pic:nvPicPr>
                  <pic:blipFill>
                    <a:blip r:embed="rId6"/>
                    <a:stretch>
                      <a:fillRect/>
                    </a:stretch>
                  </pic:blipFill>
                  <pic:spPr>
                    <a:xfrm>
                      <a:off x="0" y="0"/>
                      <a:ext cx="4413250" cy="2647950"/>
                    </a:xfrm>
                    <a:prstGeom prst="rect">
                      <a:avLst/>
                    </a:prstGeom>
                    <a:noFill/>
                    <a:ln w="9525" cap="flat" cmpd="sng">
                      <a:noFill/>
                      <a:prstDash val="solid"/>
                      <a:miter/>
                    </a:ln>
                  </pic:spPr>
                </pic:pic>
              </a:graphicData>
            </a:graphic>
          </wp:anchor>
        </w:drawing>
      </w:r>
    </w:p>
    <w:p>
      <w:pPr>
        <w:spacing w:line="600" w:lineRule="exact"/>
        <w:ind w:firstLine="642" w:firstLineChars="200"/>
        <w:outlineLvl w:val="2"/>
        <w:rPr>
          <w:rFonts w:ascii="仿宋" w:eastAsia="仿宋"/>
          <w:b/>
          <w:color w:val="000000"/>
          <w:sz w:val="32"/>
          <w:szCs w:val="32"/>
        </w:rPr>
      </w:pPr>
    </w:p>
    <w:p>
      <w:pPr>
        <w:spacing w:line="600" w:lineRule="exact"/>
        <w:ind w:firstLine="642" w:firstLineChars="200"/>
        <w:outlineLvl w:val="2"/>
        <w:rPr>
          <w:rFonts w:ascii="仿宋" w:eastAsia="仿宋"/>
          <w:b/>
          <w:color w:val="000000"/>
          <w:sz w:val="32"/>
          <w:szCs w:val="32"/>
        </w:rPr>
      </w:pPr>
    </w:p>
    <w:p>
      <w:pPr>
        <w:spacing w:line="600" w:lineRule="exact"/>
        <w:ind w:firstLine="642" w:firstLineChars="200"/>
        <w:outlineLvl w:val="2"/>
        <w:rPr>
          <w:rFonts w:hint="eastAsia" w:ascii="仿宋_GB2312" w:eastAsia="仿宋_GB2312"/>
          <w:b/>
          <w:color w:val="000000"/>
          <w:sz w:val="32"/>
          <w:szCs w:val="32"/>
        </w:rPr>
      </w:pPr>
      <w:r>
        <w:rPr>
          <w:rFonts w:hint="eastAsia" w:ascii="仿宋_GB2312" w:eastAsia="仿宋_GB2312"/>
          <w:b/>
          <w:color w:val="000000"/>
          <w:sz w:val="32"/>
          <w:szCs w:val="32"/>
        </w:rPr>
        <w:t>（二）一般公共预算财政拨款支出决算结构情况</w:t>
      </w:r>
      <w:bookmarkEnd w:id="47"/>
      <w:bookmarkEnd w:id="48"/>
      <w:bookmarkEnd w:id="49"/>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2021年一般公共预算财政拨款支出159.87万元，主要用于以下方面:</w:t>
      </w:r>
      <w:r>
        <w:rPr>
          <w:rFonts w:hint="eastAsia" w:ascii="仿宋_GB2312" w:eastAsia="仿宋_GB2312"/>
          <w:b/>
          <w:color w:val="000000"/>
          <w:sz w:val="32"/>
          <w:szCs w:val="32"/>
        </w:rPr>
        <w:t>一般公共服务支出（类）</w:t>
      </w:r>
      <w:r>
        <w:rPr>
          <w:rFonts w:hint="eastAsia" w:ascii="仿宋_GB2312" w:eastAsia="仿宋_GB2312"/>
          <w:color w:val="000000"/>
          <w:sz w:val="32"/>
          <w:szCs w:val="32"/>
        </w:rPr>
        <w:t>支出121.73万元，占76.14%；</w:t>
      </w:r>
      <w:r>
        <w:rPr>
          <w:rFonts w:hint="eastAsia" w:ascii="仿宋_GB2312" w:eastAsia="仿宋_GB2312"/>
          <w:b/>
          <w:color w:val="000000"/>
          <w:sz w:val="32"/>
          <w:szCs w:val="32"/>
        </w:rPr>
        <w:t>社会保障和就业支出（类）</w:t>
      </w:r>
      <w:r>
        <w:rPr>
          <w:rFonts w:hint="eastAsia" w:ascii="仿宋_GB2312" w:eastAsia="仿宋_GB2312"/>
          <w:color w:val="000000"/>
          <w:sz w:val="32"/>
          <w:szCs w:val="32"/>
        </w:rPr>
        <w:t>支出17.94万元，占11.22%；</w:t>
      </w:r>
      <w:r>
        <w:rPr>
          <w:rFonts w:hint="eastAsia" w:ascii="仿宋_GB2312" w:eastAsia="仿宋_GB2312"/>
          <w:b/>
          <w:bCs/>
          <w:color w:val="000000"/>
          <w:sz w:val="32"/>
          <w:szCs w:val="32"/>
        </w:rPr>
        <w:t>卫生健康支出（类）</w:t>
      </w:r>
      <w:r>
        <w:rPr>
          <w:rFonts w:hint="eastAsia" w:ascii="仿宋_GB2312" w:eastAsia="仿宋_GB2312"/>
          <w:color w:val="000000"/>
          <w:sz w:val="32"/>
          <w:szCs w:val="32"/>
        </w:rPr>
        <w:t>支出7.96万元，占4.98%；</w:t>
      </w:r>
      <w:r>
        <w:rPr>
          <w:rFonts w:hint="eastAsia" w:ascii="仿宋_GB2312" w:eastAsia="仿宋_GB2312"/>
          <w:b/>
          <w:color w:val="000000"/>
          <w:sz w:val="32"/>
          <w:szCs w:val="32"/>
        </w:rPr>
        <w:t>住房保障支出(类)</w:t>
      </w:r>
      <w:r>
        <w:rPr>
          <w:rFonts w:hint="eastAsia" w:ascii="仿宋_GB2312" w:eastAsia="仿宋_GB2312"/>
          <w:color w:val="000000"/>
          <w:sz w:val="32"/>
          <w:szCs w:val="32"/>
        </w:rPr>
        <w:t>支出12.24万元，占7.66%。</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（图6：一般公共预算财政拨款支出决算结构）（饼状图）</w:t>
      </w:r>
    </w:p>
    <w:p>
      <w:pPr>
        <w:spacing w:line="600" w:lineRule="exact"/>
        <w:ind w:firstLine="640" w:firstLineChars="200"/>
        <w:rPr>
          <w:rFonts w:ascii="仿宋" w:eastAsia="仿宋"/>
          <w:color w:val="000000"/>
          <w:sz w:val="32"/>
          <w:szCs w:val="32"/>
        </w:rPr>
      </w:pPr>
      <w:r>
        <w:rPr>
          <w:rFonts w:ascii="仿宋" w:eastAsia="仿宋"/>
          <w:color w:val="000000"/>
          <w:sz w:val="32"/>
          <w:szCs w:val="32"/>
        </w:rPr>
        <w:drawing>
          <wp:anchor distT="0" distB="0" distL="84455" distR="84455" simplePos="0" relativeHeight="251659264" behindDoc="0" locked="0" layoutInCell="1" allowOverlap="1">
            <wp:simplePos x="0" y="0"/>
            <wp:positionH relativeFrom="column">
              <wp:posOffset>596265</wp:posOffset>
            </wp:positionH>
            <wp:positionV relativeFrom="paragraph">
              <wp:posOffset>300355</wp:posOffset>
            </wp:positionV>
            <wp:extent cx="4018280" cy="2887980"/>
            <wp:effectExtent l="0" t="0" r="0" b="0"/>
            <wp:wrapTight wrapText="bothSides">
              <wp:wrapPolygon>
                <wp:start x="-30" y="-49"/>
                <wp:lineTo x="-30" y="21550"/>
                <wp:lineTo x="21569" y="21550"/>
                <wp:lineTo x="21569" y="-49"/>
                <wp:lineTo x="-30" y="-49"/>
              </wp:wrapPolygon>
            </wp:wrapTight>
            <wp:docPr id="10"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pic:cNvPicPr>
                      <a:picLocks noChangeAspect="1"/>
                    </pic:cNvPicPr>
                  </pic:nvPicPr>
                  <pic:blipFill>
                    <a:blip r:embed="rId9"/>
                    <a:stretch>
                      <a:fillRect/>
                    </a:stretch>
                  </pic:blipFill>
                  <pic:spPr>
                    <a:xfrm>
                      <a:off x="0" y="0"/>
                      <a:ext cx="4018279" cy="2887980"/>
                    </a:xfrm>
                    <a:prstGeom prst="rect">
                      <a:avLst/>
                    </a:prstGeom>
                    <a:noFill/>
                    <a:ln w="9525" cap="flat" cmpd="sng">
                      <a:noFill/>
                      <a:prstDash val="solid"/>
                      <a:miter/>
                    </a:ln>
                  </pic:spPr>
                </pic:pic>
              </a:graphicData>
            </a:graphic>
          </wp:anchor>
        </w:drawing>
      </w:r>
    </w:p>
    <w:p>
      <w:pPr>
        <w:spacing w:line="600" w:lineRule="exact"/>
        <w:ind w:firstLine="640" w:firstLineChars="200"/>
        <w:rPr>
          <w:rFonts w:hint="eastAsia" w:ascii="仿宋" w:eastAsia="仿宋"/>
          <w:color w:val="000000"/>
          <w:sz w:val="32"/>
          <w:szCs w:val="32"/>
        </w:rPr>
      </w:pPr>
    </w:p>
    <w:p>
      <w:pPr>
        <w:spacing w:line="600" w:lineRule="exact"/>
        <w:ind w:firstLine="640" w:firstLineChars="200"/>
        <w:rPr>
          <w:rFonts w:ascii="仿宋" w:eastAsia="仿宋"/>
          <w:color w:val="000000"/>
          <w:sz w:val="32"/>
          <w:szCs w:val="32"/>
        </w:rPr>
      </w:pPr>
    </w:p>
    <w:p>
      <w:pPr>
        <w:spacing w:line="600" w:lineRule="exact"/>
        <w:ind w:firstLine="640" w:firstLineChars="200"/>
        <w:rPr>
          <w:rFonts w:ascii="仿宋" w:eastAsia="仿宋"/>
          <w:color w:val="000000"/>
          <w:sz w:val="32"/>
          <w:szCs w:val="32"/>
        </w:rPr>
      </w:pPr>
    </w:p>
    <w:p>
      <w:pPr>
        <w:spacing w:line="600" w:lineRule="exact"/>
        <w:ind w:firstLine="640" w:firstLineChars="200"/>
        <w:rPr>
          <w:rFonts w:ascii="仿宋" w:eastAsia="仿宋"/>
          <w:color w:val="000000"/>
          <w:sz w:val="32"/>
          <w:szCs w:val="32"/>
        </w:rPr>
      </w:pPr>
    </w:p>
    <w:p>
      <w:pPr>
        <w:spacing w:line="600" w:lineRule="exact"/>
        <w:ind w:firstLine="640" w:firstLineChars="200"/>
        <w:rPr>
          <w:rFonts w:ascii="仿宋" w:eastAsia="仿宋"/>
          <w:color w:val="000000"/>
          <w:sz w:val="32"/>
          <w:szCs w:val="32"/>
        </w:rPr>
      </w:pPr>
    </w:p>
    <w:p>
      <w:pPr>
        <w:spacing w:line="600" w:lineRule="exact"/>
        <w:ind w:firstLine="640" w:firstLineChars="200"/>
        <w:rPr>
          <w:rFonts w:ascii="仿宋" w:eastAsia="仿宋"/>
          <w:color w:val="000000"/>
          <w:sz w:val="32"/>
          <w:szCs w:val="32"/>
        </w:rPr>
      </w:pPr>
    </w:p>
    <w:p>
      <w:pPr>
        <w:spacing w:line="600" w:lineRule="exact"/>
        <w:ind w:firstLine="642" w:firstLineChars="200"/>
        <w:outlineLvl w:val="2"/>
        <w:rPr>
          <w:rFonts w:ascii="仿宋" w:eastAsia="仿宋"/>
          <w:b/>
          <w:color w:val="000000"/>
          <w:sz w:val="32"/>
          <w:szCs w:val="32"/>
        </w:rPr>
      </w:pPr>
      <w:bookmarkStart w:id="50" w:name="_Toc79163867"/>
      <w:bookmarkStart w:id="51" w:name="_Toc79163617"/>
      <w:bookmarkStart w:id="52" w:name="_Toc15377212"/>
    </w:p>
    <w:p>
      <w:pPr>
        <w:spacing w:line="600" w:lineRule="exact"/>
        <w:ind w:firstLine="642" w:firstLineChars="200"/>
        <w:outlineLvl w:val="2"/>
        <w:rPr>
          <w:rFonts w:ascii="仿宋" w:eastAsia="仿宋"/>
          <w:b/>
          <w:color w:val="000000"/>
          <w:sz w:val="32"/>
          <w:szCs w:val="32"/>
        </w:rPr>
      </w:pPr>
    </w:p>
    <w:p>
      <w:pPr>
        <w:spacing w:line="600" w:lineRule="exact"/>
        <w:ind w:firstLine="642" w:firstLineChars="200"/>
        <w:outlineLvl w:val="2"/>
        <w:rPr>
          <w:rFonts w:hint="eastAsia" w:ascii="仿宋_GB2312" w:eastAsia="仿宋_GB2312"/>
          <w:b/>
          <w:bCs/>
          <w:color w:val="000000"/>
          <w:sz w:val="32"/>
          <w:szCs w:val="32"/>
        </w:rPr>
      </w:pPr>
      <w:r>
        <w:rPr>
          <w:rFonts w:hint="eastAsia" w:ascii="仿宋_GB2312" w:eastAsia="仿宋_GB2312"/>
          <w:b/>
          <w:bCs/>
          <w:color w:val="000000"/>
          <w:sz w:val="32"/>
          <w:szCs w:val="32"/>
        </w:rPr>
        <w:t>（三）一般公共预算财政拨款支出决算具体情况</w:t>
      </w:r>
      <w:bookmarkEnd w:id="50"/>
      <w:bookmarkEnd w:id="51"/>
      <w:bookmarkEnd w:id="52"/>
    </w:p>
    <w:p>
      <w:pPr>
        <w:spacing w:line="600" w:lineRule="exact"/>
        <w:ind w:firstLine="642" w:firstLineChars="200"/>
        <w:rPr>
          <w:rFonts w:ascii="仿宋_GB2312" w:eastAsia="仿宋_GB2312"/>
          <w:b/>
          <w:bCs/>
          <w:sz w:val="32"/>
          <w:szCs w:val="32"/>
        </w:rPr>
      </w:pPr>
      <w:bookmarkStart w:id="53" w:name="_Toc15377213"/>
      <w:bookmarkStart w:id="54" w:name="_Toc15378460"/>
      <w:bookmarkStart w:id="55" w:name="_Toc15377444"/>
      <w:r>
        <w:rPr>
          <w:rFonts w:ascii="仿宋_GB2312" w:eastAsia="仿宋_GB2312"/>
          <w:b/>
          <w:bCs/>
          <w:sz w:val="32"/>
          <w:szCs w:val="32"/>
        </w:rPr>
        <w:t>2021</w:t>
      </w:r>
      <w:r>
        <w:rPr>
          <w:rFonts w:hint="eastAsia" w:ascii="仿宋_GB2312" w:eastAsia="仿宋_GB2312"/>
          <w:b/>
          <w:bCs/>
          <w:sz w:val="32"/>
          <w:szCs w:val="32"/>
        </w:rPr>
        <w:t>年一般公共预算支出决算数为</w:t>
      </w:r>
      <w:r>
        <w:rPr>
          <w:rFonts w:ascii="仿宋_GB2312" w:eastAsia="仿宋_GB2312"/>
          <w:b/>
          <w:bCs/>
          <w:sz w:val="32"/>
          <w:szCs w:val="32"/>
        </w:rPr>
        <w:t>159.87万元</w:t>
      </w:r>
      <w:r>
        <w:rPr>
          <w:rFonts w:hint="eastAsia" w:ascii="仿宋_GB2312" w:eastAsia="仿宋_GB2312"/>
          <w:b/>
          <w:bCs/>
          <w:sz w:val="32"/>
          <w:szCs w:val="32"/>
        </w:rPr>
        <w:t>，完成预算</w:t>
      </w:r>
      <w:r>
        <w:rPr>
          <w:rFonts w:ascii="仿宋_GB2312" w:eastAsia="仿宋_GB2312"/>
          <w:b/>
          <w:bCs/>
          <w:sz w:val="32"/>
          <w:szCs w:val="32"/>
        </w:rPr>
        <w:t>100%</w:t>
      </w:r>
      <w:r>
        <w:rPr>
          <w:rFonts w:hint="eastAsia" w:ascii="仿宋_GB2312" w:eastAsia="仿宋_GB2312"/>
          <w:b/>
          <w:bCs/>
          <w:sz w:val="32"/>
          <w:szCs w:val="32"/>
        </w:rPr>
        <w:t>。其中：</w:t>
      </w:r>
      <w:bookmarkEnd w:id="53"/>
      <w:bookmarkEnd w:id="54"/>
      <w:bookmarkEnd w:id="55"/>
    </w:p>
    <w:p>
      <w:pPr>
        <w:spacing w:line="600" w:lineRule="exact"/>
        <w:ind w:firstLine="642" w:firstLineChars="200"/>
        <w:rPr>
          <w:rFonts w:hint="eastAsia" w:ascii="仿宋_GB2312" w:eastAsia="仿宋_GB2312"/>
          <w:b/>
          <w:color w:val="000000"/>
          <w:sz w:val="32"/>
          <w:szCs w:val="32"/>
        </w:rPr>
      </w:pPr>
      <w:r>
        <w:rPr>
          <w:rStyle w:val="20"/>
          <w:rFonts w:hint="eastAsia" w:ascii="仿宋_GB2312" w:eastAsia="仿宋_GB2312"/>
          <w:bCs/>
          <w:color w:val="000000"/>
          <w:sz w:val="32"/>
          <w:szCs w:val="32"/>
        </w:rPr>
        <w:t>1.一般公共服务支出（类）财政事务（款）行政运行（项）:</w:t>
      </w:r>
      <w:r>
        <w:rPr>
          <w:rStyle w:val="20"/>
          <w:rFonts w:hint="eastAsia" w:ascii="仿宋_GB2312" w:eastAsia="仿宋_GB2312"/>
          <w:b w:val="0"/>
          <w:bCs/>
          <w:color w:val="000000"/>
          <w:sz w:val="32"/>
          <w:szCs w:val="32"/>
        </w:rPr>
        <w:t xml:space="preserve"> 支出决算为121.73万元，完成预算100%。</w:t>
      </w:r>
    </w:p>
    <w:p>
      <w:pPr>
        <w:spacing w:line="600" w:lineRule="exact"/>
        <w:ind w:firstLine="642" w:firstLineChars="200"/>
        <w:rPr>
          <w:rStyle w:val="20"/>
          <w:rFonts w:hint="eastAsia" w:ascii="仿宋_GB2312" w:eastAsia="仿宋_GB2312"/>
          <w:b w:val="0"/>
          <w:bCs/>
          <w:color w:val="000000"/>
          <w:sz w:val="32"/>
          <w:szCs w:val="32"/>
        </w:rPr>
      </w:pPr>
      <w:r>
        <w:rPr>
          <w:rStyle w:val="20"/>
          <w:rFonts w:hint="eastAsia" w:ascii="仿宋_GB2312" w:eastAsia="仿宋_GB2312"/>
          <w:bCs/>
          <w:color w:val="000000"/>
          <w:sz w:val="32"/>
          <w:szCs w:val="32"/>
        </w:rPr>
        <w:t>2.社会保障和就业支出（类）行政事业单位养老支出（款）机关事业单位基本养老保险缴费支出（项）:</w:t>
      </w:r>
      <w:r>
        <w:rPr>
          <w:rStyle w:val="20"/>
          <w:rFonts w:hint="eastAsia" w:ascii="仿宋_GB2312" w:eastAsia="仿宋_GB2312"/>
          <w:b w:val="0"/>
          <w:bCs/>
          <w:color w:val="000000"/>
          <w:sz w:val="32"/>
          <w:szCs w:val="32"/>
        </w:rPr>
        <w:t xml:space="preserve"> 支出决算为11.96万元，完成预算100%。</w:t>
      </w:r>
    </w:p>
    <w:p>
      <w:pPr>
        <w:spacing w:line="600" w:lineRule="exact"/>
        <w:ind w:firstLine="642" w:firstLineChars="200"/>
        <w:rPr>
          <w:rFonts w:hint="eastAsia" w:ascii="仿宋_GB2312" w:eastAsia="仿宋_GB2312"/>
          <w:b/>
          <w:color w:val="000000"/>
          <w:sz w:val="32"/>
          <w:szCs w:val="32"/>
        </w:rPr>
      </w:pPr>
      <w:r>
        <w:rPr>
          <w:rStyle w:val="20"/>
          <w:rFonts w:hint="eastAsia" w:ascii="仿宋_GB2312" w:eastAsia="仿宋_GB2312"/>
          <w:bCs/>
          <w:color w:val="000000"/>
          <w:sz w:val="32"/>
          <w:szCs w:val="32"/>
        </w:rPr>
        <w:t>3.社会保障和就业支出（类）行政事业单位养老支出（款）机关事业单位职业年金缴费支出（项）:</w:t>
      </w:r>
      <w:r>
        <w:rPr>
          <w:rStyle w:val="20"/>
          <w:rFonts w:hint="eastAsia" w:ascii="仿宋_GB2312" w:eastAsia="仿宋_GB2312"/>
          <w:b w:val="0"/>
          <w:bCs/>
          <w:color w:val="000000"/>
          <w:sz w:val="32"/>
          <w:szCs w:val="32"/>
        </w:rPr>
        <w:t xml:space="preserve"> 支出决算为5.98万元，完成预算100%。</w:t>
      </w:r>
    </w:p>
    <w:p>
      <w:pPr>
        <w:spacing w:line="600" w:lineRule="exact"/>
        <w:ind w:firstLine="642" w:firstLineChars="200"/>
        <w:rPr>
          <w:rStyle w:val="20"/>
          <w:rFonts w:hint="eastAsia" w:ascii="仿宋_GB2312" w:eastAsia="仿宋_GB2312"/>
          <w:b w:val="0"/>
          <w:bCs/>
          <w:color w:val="000000"/>
          <w:sz w:val="32"/>
          <w:szCs w:val="32"/>
        </w:rPr>
      </w:pPr>
      <w:r>
        <w:rPr>
          <w:rStyle w:val="20"/>
          <w:rFonts w:hint="eastAsia" w:ascii="仿宋_GB2312" w:eastAsia="仿宋_GB2312"/>
          <w:bCs/>
          <w:color w:val="000000"/>
          <w:sz w:val="32"/>
          <w:szCs w:val="32"/>
        </w:rPr>
        <w:t>4.</w:t>
      </w:r>
      <w:r>
        <w:rPr>
          <w:rFonts w:hint="eastAsia" w:ascii="仿宋_GB2312" w:eastAsia="仿宋_GB2312"/>
          <w:b/>
          <w:bCs/>
          <w:color w:val="000000"/>
          <w:sz w:val="32"/>
          <w:szCs w:val="32"/>
        </w:rPr>
        <w:t>卫生健康支出</w:t>
      </w:r>
      <w:r>
        <w:rPr>
          <w:rStyle w:val="20"/>
          <w:rFonts w:hint="eastAsia" w:ascii="仿宋_GB2312" w:eastAsia="仿宋_GB2312"/>
          <w:bCs/>
          <w:color w:val="000000"/>
          <w:sz w:val="32"/>
          <w:szCs w:val="32"/>
        </w:rPr>
        <w:t>（类）行政</w:t>
      </w:r>
      <w:r>
        <w:rPr>
          <w:rStyle w:val="20"/>
          <w:rFonts w:hint="default" w:ascii="仿宋_GB2312" w:eastAsia="仿宋_GB2312"/>
          <w:bCs/>
          <w:color w:val="000000"/>
          <w:sz w:val="32"/>
          <w:szCs w:val="32"/>
        </w:rPr>
        <w:t>事业单位</w:t>
      </w:r>
      <w:r>
        <w:rPr>
          <w:rStyle w:val="20"/>
          <w:rFonts w:hint="eastAsia" w:ascii="仿宋_GB2312" w:eastAsia="仿宋_GB2312"/>
          <w:bCs/>
          <w:color w:val="000000"/>
          <w:sz w:val="32"/>
          <w:szCs w:val="32"/>
        </w:rPr>
        <w:t>医疗（款）行政单位医疗（项）:</w:t>
      </w:r>
      <w:r>
        <w:rPr>
          <w:rStyle w:val="20"/>
          <w:rFonts w:hint="eastAsia" w:ascii="仿宋_GB2312" w:eastAsia="仿宋_GB2312"/>
          <w:b w:val="0"/>
          <w:bCs/>
          <w:color w:val="000000"/>
          <w:sz w:val="32"/>
          <w:szCs w:val="32"/>
        </w:rPr>
        <w:t>支出决算为7.96万元，完成预算100%。</w:t>
      </w:r>
    </w:p>
    <w:p>
      <w:pPr>
        <w:spacing w:line="600" w:lineRule="exact"/>
        <w:ind w:firstLine="642" w:firstLineChars="200"/>
        <w:rPr>
          <w:rStyle w:val="20"/>
          <w:rFonts w:hint="eastAsia" w:ascii="仿宋_GB2312" w:eastAsia="仿宋_GB2312"/>
          <w:b w:val="0"/>
          <w:bCs/>
          <w:color w:val="000000"/>
          <w:sz w:val="32"/>
          <w:szCs w:val="32"/>
        </w:rPr>
      </w:pPr>
      <w:r>
        <w:rPr>
          <w:rStyle w:val="20"/>
          <w:rFonts w:hint="eastAsia" w:ascii="仿宋_GB2312" w:eastAsia="仿宋_GB2312"/>
          <w:bCs/>
          <w:color w:val="000000"/>
          <w:sz w:val="32"/>
          <w:szCs w:val="32"/>
        </w:rPr>
        <w:t>5.住房保障支出（类）住房改革支出（款）住房公积金（项）:</w:t>
      </w:r>
      <w:r>
        <w:rPr>
          <w:rStyle w:val="20"/>
          <w:rFonts w:hint="eastAsia" w:ascii="仿宋_GB2312" w:eastAsia="仿宋_GB2312"/>
          <w:b w:val="0"/>
          <w:bCs/>
          <w:color w:val="000000"/>
          <w:sz w:val="32"/>
          <w:szCs w:val="32"/>
        </w:rPr>
        <w:t>支出决算为12.24万元，完成预算100%。</w:t>
      </w:r>
      <w:bookmarkStart w:id="56" w:name="_Toc79163868"/>
      <w:bookmarkStart w:id="57" w:name="_Toc79163618"/>
      <w:bookmarkStart w:id="58" w:name="_Toc15377214"/>
      <w:bookmarkStart w:id="59" w:name="_Toc15396608"/>
    </w:p>
    <w:p>
      <w:pPr>
        <w:tabs>
          <w:tab w:val="right" w:pos="8306"/>
        </w:tabs>
        <w:spacing w:line="600" w:lineRule="exact"/>
        <w:ind w:firstLine="640"/>
        <w:outlineLvl w:val="1"/>
        <w:rPr>
          <w:rStyle w:val="23"/>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eastAsia="黑体"/>
          <w:color w:val="000000"/>
          <w:sz w:val="32"/>
          <w:szCs w:val="32"/>
        </w:rPr>
        <w:t>一</w:t>
      </w:r>
      <w:r>
        <w:rPr>
          <w:rStyle w:val="23"/>
          <w:rFonts w:hint="eastAsia" w:ascii="黑体" w:eastAsia="黑体"/>
          <w:b w:val="0"/>
        </w:rPr>
        <w:t>般公共预算财政拨款基本支出决算情况说明</w:t>
      </w:r>
      <w:bookmarkEnd w:id="56"/>
      <w:bookmarkEnd w:id="57"/>
      <w:bookmarkEnd w:id="58"/>
      <w:bookmarkEnd w:id="59"/>
      <w:r>
        <w:rPr>
          <w:rStyle w:val="23"/>
          <w:rFonts w:ascii="黑体" w:eastAsia="黑体"/>
          <w:b w:val="0"/>
        </w:rPr>
        <w:tab/>
      </w:r>
    </w:p>
    <w:p>
      <w:pPr>
        <w:spacing w:line="60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2021年一般公共预算财政拨款基本支出159.87万元，其中：</w:t>
      </w:r>
    </w:p>
    <w:p>
      <w:pPr>
        <w:spacing w:line="576" w:lineRule="exact"/>
        <w:ind w:firstLine="645"/>
        <w:rPr>
          <w:rFonts w:hint="eastAsia" w:ascii="仿宋_GB2312" w:eastAsia="仿宋_GB2312" w:cs="仿宋_GB2312"/>
          <w:sz w:val="32"/>
          <w:szCs w:val="32"/>
        </w:rPr>
      </w:pPr>
      <w:r>
        <w:rPr>
          <w:rFonts w:hint="eastAsia" w:ascii="仿宋_GB2312" w:eastAsia="仿宋_GB2312"/>
          <w:color w:val="000000"/>
          <w:sz w:val="32"/>
          <w:szCs w:val="32"/>
        </w:rPr>
        <w:t>人员经费153.61万元，主要包括：</w:t>
      </w:r>
      <w:r>
        <w:rPr>
          <w:rFonts w:hint="eastAsia" w:ascii="仿宋_GB2312" w:eastAsia="仿宋_GB2312" w:cs="仿宋_GB2312"/>
          <w:sz w:val="32"/>
          <w:szCs w:val="32"/>
        </w:rPr>
        <w:t>基本工资、津贴补贴、奖金、绩效工资、机关事业单位基本养老保险缴费、职业年金缴费、职工基本医疗保险缴费、其他社会保障缴费、住房公积金、医疗费、奖励金。</w:t>
      </w:r>
    </w:p>
    <w:p>
      <w:pPr>
        <w:spacing w:line="600" w:lineRule="exact"/>
        <w:ind w:firstLine="645"/>
        <w:rPr>
          <w:rFonts w:hint="eastAsia" w:ascii="仿宋_GB2312" w:eastAsia="仿宋_GB2312"/>
          <w:color w:val="000000"/>
          <w:sz w:val="32"/>
          <w:szCs w:val="32"/>
        </w:rPr>
      </w:pPr>
      <w:r>
        <w:rPr>
          <w:rFonts w:hint="eastAsia" w:ascii="仿宋_GB2312" w:eastAsia="仿宋_GB2312"/>
          <w:color w:val="000000"/>
          <w:sz w:val="32"/>
          <w:szCs w:val="32"/>
        </w:rPr>
        <w:br w:type="textWrapping"/>
      </w:r>
      <w:r>
        <w:rPr>
          <w:rFonts w:hint="eastAsia" w:ascii="仿宋_GB2312" w:eastAsia="仿宋_GB2312"/>
          <w:color w:val="000000"/>
          <w:sz w:val="32"/>
          <w:szCs w:val="32"/>
        </w:rPr>
        <w:t>　　日常公用经费6.26万元，主要包括：办公费、差旅费。</w:t>
      </w:r>
    </w:p>
    <w:p>
      <w:pPr>
        <w:spacing w:line="600" w:lineRule="exact"/>
        <w:ind w:firstLine="640"/>
        <w:outlineLvl w:val="1"/>
        <w:rPr>
          <w:rStyle w:val="23"/>
          <w:rFonts w:ascii="黑体" w:eastAsia="黑体"/>
          <w:b w:val="0"/>
        </w:rPr>
      </w:pPr>
      <w:bookmarkStart w:id="60" w:name="_Toc79163619"/>
      <w:bookmarkStart w:id="61" w:name="_Toc15396609"/>
      <w:bookmarkStart w:id="62" w:name="_Toc79163869"/>
      <w:bookmarkStart w:id="63" w:name="_Toc15377215"/>
      <w:r>
        <w:rPr>
          <w:rFonts w:hint="eastAsia" w:ascii="黑体" w:eastAsia="黑体"/>
          <w:color w:val="000000"/>
          <w:sz w:val="32"/>
          <w:szCs w:val="32"/>
        </w:rPr>
        <w:t>七、</w:t>
      </w:r>
      <w:r>
        <w:rPr>
          <w:rStyle w:val="23"/>
          <w:rFonts w:hint="eastAsia" w:ascii="黑体" w:eastAsia="黑体"/>
        </w:rPr>
        <w:t>“</w:t>
      </w:r>
      <w:r>
        <w:rPr>
          <w:rStyle w:val="23"/>
          <w:rFonts w:hint="eastAsia" w:ascii="黑体" w:eastAsia="黑体"/>
          <w:b w:val="0"/>
        </w:rPr>
        <w:t>三公”经费财政拨款支出决算情况说明</w:t>
      </w:r>
      <w:bookmarkEnd w:id="60"/>
      <w:bookmarkEnd w:id="61"/>
      <w:bookmarkEnd w:id="62"/>
      <w:bookmarkEnd w:id="63"/>
    </w:p>
    <w:p>
      <w:pPr>
        <w:spacing w:line="600" w:lineRule="exact"/>
        <w:ind w:firstLine="640"/>
        <w:outlineLvl w:val="2"/>
        <w:rPr>
          <w:rFonts w:hint="eastAsia" w:ascii="仿宋_GB2312" w:eastAsia="仿宋_GB2312"/>
          <w:b/>
          <w:color w:val="000000"/>
          <w:sz w:val="32"/>
          <w:szCs w:val="32"/>
        </w:rPr>
      </w:pPr>
      <w:bookmarkStart w:id="64" w:name="_Toc79163870"/>
      <w:bookmarkStart w:id="65" w:name="_Toc15377216"/>
      <w:bookmarkStart w:id="66" w:name="_Toc79163620"/>
      <w:r>
        <w:rPr>
          <w:rFonts w:hint="eastAsia" w:ascii="仿宋_GB2312" w:eastAsia="仿宋_GB2312"/>
          <w:b/>
          <w:color w:val="000000"/>
          <w:sz w:val="32"/>
          <w:szCs w:val="32"/>
        </w:rPr>
        <w:t>（一）“三公”经费财政拨款支出决算总体情况说明</w:t>
      </w:r>
      <w:bookmarkEnd w:id="64"/>
      <w:bookmarkEnd w:id="65"/>
      <w:bookmarkEnd w:id="66"/>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2021年“三公”经费财政拨款支出决算为0万元，完成预算100%。</w:t>
      </w:r>
    </w:p>
    <w:p>
      <w:pPr>
        <w:spacing w:line="600" w:lineRule="exact"/>
        <w:ind w:firstLine="640"/>
        <w:outlineLvl w:val="2"/>
        <w:rPr>
          <w:rFonts w:hint="eastAsia" w:ascii="仿宋_GB2312" w:eastAsia="仿宋_GB2312"/>
          <w:b/>
          <w:color w:val="000000"/>
          <w:sz w:val="32"/>
          <w:szCs w:val="32"/>
        </w:rPr>
      </w:pPr>
      <w:bookmarkStart w:id="67" w:name="_Toc15377217"/>
      <w:bookmarkStart w:id="68" w:name="_Toc79163621"/>
      <w:bookmarkStart w:id="69" w:name="_Toc79163871"/>
      <w:r>
        <w:rPr>
          <w:rFonts w:hint="eastAsia" w:ascii="仿宋_GB2312" w:eastAsia="仿宋_GB2312"/>
          <w:b/>
          <w:color w:val="000000"/>
          <w:sz w:val="32"/>
          <w:szCs w:val="32"/>
        </w:rPr>
        <w:t>（二）“三公”经费财政拨款支出决算具体情况说明</w:t>
      </w:r>
      <w:bookmarkEnd w:id="67"/>
      <w:bookmarkEnd w:id="68"/>
      <w:bookmarkEnd w:id="69"/>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2021年“三公”经费财政拨款支出决算中，因公出国（境）费支出决算0万元，占100%；公务用车购置及运行维护费支出决算0万元，占100%；公务接待费支出决算0万元，占100%。具体情况如下：</w:t>
      </w:r>
    </w:p>
    <w:p>
      <w:pPr>
        <w:spacing w:line="600" w:lineRule="exact"/>
        <w:ind w:firstLine="640"/>
        <w:rPr>
          <w:rStyle w:val="20"/>
          <w:rFonts w:hint="eastAsia" w:ascii="仿宋_GB2312" w:eastAsia="仿宋_GB2312"/>
          <w:b w:val="0"/>
          <w:color w:val="000000"/>
          <w:sz w:val="32"/>
          <w:szCs w:val="32"/>
        </w:rPr>
      </w:pPr>
      <w:r>
        <w:rPr>
          <w:rFonts w:hint="eastAsia" w:ascii="仿宋_GB2312" w:eastAsia="仿宋_GB2312"/>
          <w:color w:val="000000"/>
          <w:sz w:val="32"/>
          <w:szCs w:val="32"/>
        </w:rPr>
        <w:t>1.因公出国（境）经费支出0万元，</w:t>
      </w:r>
      <w:r>
        <w:rPr>
          <w:rStyle w:val="20"/>
          <w:rFonts w:hint="eastAsia" w:ascii="仿宋_GB2312" w:eastAsia="仿宋_GB2312"/>
          <w:b w:val="0"/>
          <w:color w:val="000000"/>
          <w:sz w:val="32"/>
          <w:szCs w:val="32"/>
        </w:rPr>
        <w:t>完成预算100%。</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2.公务用车购置及运行维护费支出0万元,</w:t>
      </w:r>
      <w:r>
        <w:rPr>
          <w:rStyle w:val="20"/>
          <w:rFonts w:hint="eastAsia" w:ascii="仿宋_GB2312" w:eastAsia="仿宋_GB2312"/>
          <w:b w:val="0"/>
          <w:color w:val="000000"/>
          <w:sz w:val="32"/>
          <w:szCs w:val="32"/>
        </w:rPr>
        <w:t>完成预算100%。</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3.公务接待费支出0万元，</w:t>
      </w:r>
      <w:r>
        <w:rPr>
          <w:rStyle w:val="20"/>
          <w:rFonts w:hint="eastAsia" w:ascii="仿宋_GB2312" w:eastAsia="仿宋_GB2312"/>
          <w:b w:val="0"/>
          <w:color w:val="000000"/>
          <w:sz w:val="32"/>
          <w:szCs w:val="32"/>
        </w:rPr>
        <w:t>完成预算100%。</w:t>
      </w:r>
    </w:p>
    <w:p>
      <w:pPr>
        <w:spacing w:line="600" w:lineRule="exact"/>
        <w:ind w:firstLine="640"/>
        <w:outlineLvl w:val="1"/>
        <w:rPr>
          <w:rStyle w:val="23"/>
          <w:rFonts w:ascii="黑体" w:eastAsia="黑体"/>
        </w:rPr>
      </w:pPr>
      <w:bookmarkStart w:id="70" w:name="_Toc79163872"/>
      <w:bookmarkStart w:id="71" w:name="_Toc15377218"/>
      <w:bookmarkStart w:id="72" w:name="_Toc79163622"/>
      <w:bookmarkStart w:id="73" w:name="_Toc15396610"/>
      <w:r>
        <w:rPr>
          <w:rFonts w:hint="eastAsia" w:ascii="黑体" w:eastAsia="黑体"/>
          <w:color w:val="000000"/>
          <w:sz w:val="32"/>
          <w:szCs w:val="32"/>
        </w:rPr>
        <w:t>八、</w:t>
      </w:r>
      <w:r>
        <w:rPr>
          <w:rStyle w:val="23"/>
          <w:rFonts w:hint="eastAsia" w:ascii="黑体" w:eastAsia="黑体"/>
          <w:b w:val="0"/>
        </w:rPr>
        <w:t>政府性基金预算支出决算情况说明</w:t>
      </w:r>
      <w:bookmarkEnd w:id="70"/>
      <w:bookmarkEnd w:id="71"/>
      <w:bookmarkEnd w:id="72"/>
      <w:bookmarkEnd w:id="7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1"/>
        </w:numPr>
        <w:spacing w:line="600" w:lineRule="exact"/>
        <w:ind w:left="0" w:firstLine="640"/>
        <w:outlineLvl w:val="1"/>
        <w:rPr>
          <w:rStyle w:val="23"/>
          <w:rFonts w:ascii="黑体" w:eastAsia="黑体"/>
          <w:b w:val="0"/>
        </w:rPr>
      </w:pPr>
      <w:bookmarkStart w:id="74" w:name="_Toc15377219"/>
      <w:bookmarkStart w:id="75" w:name="_Toc15396611"/>
      <w:bookmarkStart w:id="76" w:name="_Toc79163873"/>
      <w:bookmarkStart w:id="77" w:name="_Toc79163623"/>
      <w:r>
        <w:rPr>
          <w:rStyle w:val="23"/>
          <w:rFonts w:hint="eastAsia" w:ascii="黑体" w:eastAsia="黑体"/>
          <w:b w:val="0"/>
        </w:rPr>
        <w:t>国有资本经营预算支出决算情况说明</w:t>
      </w:r>
      <w:bookmarkEnd w:id="74"/>
      <w:bookmarkEnd w:id="75"/>
      <w:bookmarkEnd w:id="76"/>
      <w:bookmarkEnd w:id="7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left="0" w:firstLine="640" w:firstLineChars="200"/>
        <w:outlineLvl w:val="1"/>
        <w:rPr>
          <w:rStyle w:val="23"/>
          <w:rFonts w:ascii="黑体" w:eastAsia="黑体"/>
        </w:rPr>
      </w:pPr>
      <w:bookmarkStart w:id="78" w:name="_Toc79163874"/>
      <w:bookmarkStart w:id="79" w:name="_Toc79163624"/>
      <w:bookmarkStart w:id="80" w:name="_Toc15396612"/>
      <w:bookmarkStart w:id="81" w:name="_Toc15377221"/>
      <w:r>
        <w:rPr>
          <w:rFonts w:hint="eastAsia" w:ascii="黑体" w:eastAsia="黑体"/>
          <w:color w:val="000000"/>
          <w:sz w:val="32"/>
          <w:szCs w:val="32"/>
        </w:rPr>
        <w:t>十</w:t>
      </w:r>
      <w:r>
        <w:rPr>
          <w:rStyle w:val="23"/>
          <w:rFonts w:hint="eastAsia" w:ascii="黑体" w:eastAsia="黑体"/>
        </w:rPr>
        <w:t>、</w:t>
      </w:r>
      <w:r>
        <w:rPr>
          <w:rStyle w:val="23"/>
          <w:rFonts w:hint="eastAsia" w:ascii="黑体" w:eastAsia="黑体"/>
          <w:b w:val="0"/>
        </w:rPr>
        <w:t>其他重要事项的情况说明</w:t>
      </w:r>
      <w:bookmarkEnd w:id="78"/>
      <w:bookmarkEnd w:id="79"/>
      <w:bookmarkEnd w:id="80"/>
      <w:bookmarkEnd w:id="81"/>
    </w:p>
    <w:p>
      <w:pPr>
        <w:spacing w:line="600" w:lineRule="exact"/>
        <w:ind w:firstLine="642" w:firstLineChars="200"/>
        <w:outlineLvl w:val="2"/>
        <w:rPr>
          <w:rFonts w:hint="eastAsia" w:ascii="仿宋_GB2312" w:eastAsia="仿宋_GB2312"/>
          <w:color w:val="000000"/>
          <w:sz w:val="32"/>
          <w:szCs w:val="32"/>
        </w:rPr>
      </w:pPr>
      <w:bookmarkStart w:id="82" w:name="_Toc79163875"/>
      <w:bookmarkStart w:id="83" w:name="_Toc79163625"/>
      <w:bookmarkStart w:id="84" w:name="_Toc15377222"/>
      <w:r>
        <w:rPr>
          <w:rFonts w:hint="eastAsia" w:ascii="仿宋_GB2312" w:eastAsia="仿宋_GB2312"/>
          <w:b/>
          <w:color w:val="000000"/>
          <w:sz w:val="32"/>
          <w:szCs w:val="32"/>
        </w:rPr>
        <w:t>（一）机关运行经费支出情况</w:t>
      </w:r>
      <w:bookmarkEnd w:id="82"/>
      <w:bookmarkEnd w:id="83"/>
      <w:bookmarkEnd w:id="84"/>
    </w:p>
    <w:p>
      <w:pPr>
        <w:spacing w:line="600" w:lineRule="exact"/>
        <w:ind w:firstLine="640" w:firstLineChars="200"/>
        <w:rPr>
          <w:rFonts w:hint="eastAsia" w:ascii="仿宋_GB2312" w:eastAsia="仿宋_GB2312"/>
          <w:b/>
          <w:color w:val="FF0000"/>
          <w:sz w:val="32"/>
          <w:szCs w:val="32"/>
          <w:highlight w:val="green"/>
        </w:rPr>
      </w:pPr>
      <w:r>
        <w:rPr>
          <w:rFonts w:hint="eastAsia" w:ascii="仿宋_GB2312" w:eastAsia="仿宋_GB2312"/>
          <w:color w:val="000000"/>
          <w:sz w:val="32"/>
          <w:szCs w:val="32"/>
        </w:rPr>
        <w:t>2021年，支付中心机关运行经费支出6.26万元，比2020年增加2.42万元，增长63.02%。</w:t>
      </w:r>
      <w:r>
        <w:rPr>
          <w:rFonts w:ascii="仿宋_GB2312" w:eastAsia="仿宋_GB2312"/>
          <w:color w:val="000000"/>
          <w:sz w:val="32"/>
          <w:szCs w:val="32"/>
        </w:rPr>
        <w:t>主要原因是工作量增加，办公耗材增多。</w:t>
      </w:r>
    </w:p>
    <w:p>
      <w:pPr>
        <w:spacing w:line="600" w:lineRule="exact"/>
        <w:ind w:firstLine="642" w:firstLineChars="200"/>
        <w:rPr>
          <w:rFonts w:hint="eastAsia" w:ascii="仿宋_GB2312" w:eastAsia="仿宋_GB2312"/>
          <w:b/>
          <w:color w:val="FF0000"/>
          <w:sz w:val="32"/>
          <w:szCs w:val="32"/>
          <w:highlight w:val="green"/>
        </w:rPr>
      </w:pPr>
    </w:p>
    <w:p>
      <w:pPr>
        <w:autoSpaceDE w:val="0"/>
        <w:autoSpaceDN w:val="0"/>
        <w:adjustRightInd w:val="0"/>
        <w:spacing w:line="600" w:lineRule="exact"/>
        <w:ind w:firstLine="642" w:firstLineChars="200"/>
        <w:jc w:val="left"/>
        <w:outlineLvl w:val="2"/>
        <w:rPr>
          <w:rFonts w:hint="eastAsia" w:ascii="仿宋_GB2312" w:eastAsia="仿宋_GB2312"/>
          <w:b/>
          <w:color w:val="000000"/>
          <w:sz w:val="32"/>
          <w:szCs w:val="32"/>
        </w:rPr>
      </w:pPr>
      <w:bookmarkStart w:id="85" w:name="_Toc79163876"/>
      <w:bookmarkStart w:id="86" w:name="_Toc79163626"/>
      <w:bookmarkStart w:id="87" w:name="_Toc15377223"/>
      <w:r>
        <w:rPr>
          <w:rFonts w:hint="eastAsia" w:ascii="仿宋_GB2312" w:eastAsia="仿宋_GB2312"/>
          <w:b/>
          <w:color w:val="000000"/>
          <w:sz w:val="32"/>
          <w:szCs w:val="32"/>
        </w:rPr>
        <w:t>（二）政府采购支出情况</w:t>
      </w:r>
      <w:bookmarkEnd w:id="85"/>
      <w:bookmarkEnd w:id="86"/>
      <w:bookmarkEnd w:id="87"/>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2021年，支付中心政府采购支出总额0万元。</w:t>
      </w:r>
    </w:p>
    <w:p>
      <w:pPr>
        <w:autoSpaceDE w:val="0"/>
        <w:autoSpaceDN w:val="0"/>
        <w:adjustRightInd w:val="0"/>
        <w:spacing w:line="600" w:lineRule="exact"/>
        <w:ind w:firstLine="642" w:firstLineChars="200"/>
        <w:jc w:val="left"/>
        <w:outlineLvl w:val="2"/>
        <w:rPr>
          <w:rFonts w:hint="eastAsia" w:ascii="仿宋_GB2312" w:eastAsia="仿宋_GB2312"/>
          <w:b/>
          <w:color w:val="000000"/>
          <w:sz w:val="32"/>
          <w:szCs w:val="32"/>
        </w:rPr>
      </w:pPr>
      <w:bookmarkStart w:id="88" w:name="_Toc79163627"/>
      <w:bookmarkStart w:id="89" w:name="_Toc79163877"/>
      <w:bookmarkStart w:id="90" w:name="_Toc15377224"/>
      <w:r>
        <w:rPr>
          <w:rFonts w:hint="eastAsia" w:ascii="仿宋_GB2312" w:eastAsia="仿宋_GB2312"/>
          <w:b/>
          <w:color w:val="000000"/>
          <w:sz w:val="32"/>
          <w:szCs w:val="32"/>
        </w:rPr>
        <w:t>（三）国有资产占有使用情况</w:t>
      </w:r>
      <w:bookmarkEnd w:id="88"/>
      <w:bookmarkEnd w:id="89"/>
      <w:bookmarkEnd w:id="90"/>
    </w:p>
    <w:p>
      <w:pPr>
        <w:autoSpaceDE w:val="0"/>
        <w:autoSpaceDN w:val="0"/>
        <w:adjustRightInd w:val="0"/>
        <w:spacing w:line="600" w:lineRule="exact"/>
        <w:ind w:firstLine="640" w:firstLineChars="200"/>
        <w:jc w:val="left"/>
        <w:rPr>
          <w:rFonts w:hint="eastAsia" w:ascii="仿宋_GB2312" w:eastAsia="仿宋_GB2312"/>
          <w:b/>
          <w:color w:val="FF0000"/>
          <w:sz w:val="32"/>
          <w:szCs w:val="32"/>
        </w:rPr>
      </w:pPr>
      <w:r>
        <w:rPr>
          <w:rFonts w:hint="eastAsia" w:ascii="仿宋_GB2312" w:eastAsia="仿宋_GB2312"/>
          <w:color w:val="000000"/>
          <w:sz w:val="32"/>
          <w:szCs w:val="32"/>
        </w:rPr>
        <w:t>截至2021年12月31日，支付中心共有车辆0辆。</w:t>
      </w:r>
    </w:p>
    <w:p>
      <w:pPr>
        <w:autoSpaceDE w:val="0"/>
        <w:autoSpaceDN w:val="0"/>
        <w:adjustRightInd w:val="0"/>
        <w:spacing w:line="600" w:lineRule="exact"/>
        <w:ind w:firstLine="642" w:firstLineChars="200"/>
        <w:jc w:val="left"/>
        <w:outlineLvl w:val="2"/>
        <w:rPr>
          <w:rFonts w:hint="eastAsia" w:ascii="仿宋_GB2312" w:eastAsia="仿宋_GB2312"/>
          <w:b/>
          <w:color w:val="000000"/>
          <w:sz w:val="32"/>
          <w:szCs w:val="32"/>
        </w:rPr>
      </w:pPr>
      <w:bookmarkStart w:id="91" w:name="_Toc79163628"/>
      <w:bookmarkStart w:id="92" w:name="_Toc79163878"/>
      <w:r>
        <w:rPr>
          <w:rFonts w:hint="eastAsia" w:ascii="仿宋_GB2312" w:eastAsia="仿宋_GB2312"/>
          <w:b/>
          <w:color w:val="000000"/>
          <w:sz w:val="32"/>
          <w:szCs w:val="32"/>
        </w:rPr>
        <w:t>（四）预算绩效管理情况</w:t>
      </w:r>
      <w:bookmarkEnd w:id="91"/>
      <w:bookmarkEnd w:id="92"/>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本部门按要求对2021年部门整体支出开展绩效自评，从评价情况来看，2021年我中心部门整体支出绩效评价自查自评结果良好，全面基本支出保证了部门的正常运行和日常工作的正常开展，绩效目标得到较好实现，绩效管理水平不断提高，绩效指标体系逐渐丰富和完善。</w:t>
      </w:r>
    </w:p>
    <w:p>
      <w:pPr>
        <w:spacing w:line="576"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cs="仿宋_GB2312"/>
          <w:sz w:val="32"/>
          <w:szCs w:val="32"/>
        </w:rPr>
        <w:t>项目绩效目标完成情况</w:t>
      </w:r>
    </w:p>
    <w:p>
      <w:pPr>
        <w:spacing w:line="576" w:lineRule="exact"/>
        <w:ind w:firstLine="640" w:firstLineChars="200"/>
        <w:outlineLvl w:val="1"/>
        <w:rPr>
          <w:rFonts w:hint="eastAsia" w:ascii="仿宋_GB2312" w:eastAsia="仿宋_GB2312" w:cs="仿宋_GB2312"/>
          <w:sz w:val="32"/>
          <w:szCs w:val="32"/>
        </w:rPr>
      </w:pPr>
      <w:r>
        <w:rPr>
          <w:rFonts w:hint="eastAsia" w:ascii="仿宋_GB2312" w:eastAsia="仿宋_GB2312" w:cs="仿宋_GB2312"/>
          <w:sz w:val="32"/>
          <w:szCs w:val="32"/>
        </w:rPr>
        <w:t>茂县国库集中支付中心在2021年度部门决算中不涉及此内容。</w:t>
      </w:r>
    </w:p>
    <w:p>
      <w:pPr>
        <w:spacing w:line="576" w:lineRule="exact"/>
        <w:ind w:firstLine="640" w:firstLineChars="200"/>
        <w:outlineLvl w:val="1"/>
        <w:rPr>
          <w:rFonts w:hint="eastAsia" w:ascii="仿宋_GB2312" w:eastAsia="仿宋_GB2312" w:cs="仿宋_GB2312"/>
          <w:sz w:val="32"/>
          <w:szCs w:val="32"/>
        </w:rPr>
      </w:pPr>
      <w:r>
        <w:rPr>
          <w:rFonts w:hint="eastAsia" w:ascii="仿宋_GB2312" w:eastAsia="仿宋_GB2312" w:cs="仿宋_GB2312"/>
          <w:sz w:val="32"/>
          <w:szCs w:val="32"/>
        </w:rPr>
        <w:t>2.部门开展绩效评价结果</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茂县国库集中支付中心按要求对2021年部门整体支出绩效评价情况开展自评。《茂县国库集中支付中心2021年部门整体支出绩效评价报告》见附件（附件1）。</w:t>
      </w:r>
    </w:p>
    <w:p>
      <w:pPr>
        <w:spacing w:line="576" w:lineRule="exact"/>
        <w:ind w:firstLine="640" w:firstLineChars="200"/>
        <w:rPr>
          <w:rFonts w:ascii="仿宋_GB2312" w:eastAsia="仿宋_GB2312" w:cs="仿宋_GB2312"/>
          <w:sz w:val="32"/>
          <w:szCs w:val="32"/>
        </w:rPr>
      </w:pPr>
    </w:p>
    <w:p>
      <w:pPr>
        <w:spacing w:line="576" w:lineRule="exact"/>
        <w:ind w:firstLine="640" w:firstLineChars="200"/>
        <w:rPr>
          <w:rFonts w:ascii="仿宋_GB2312" w:eastAsia="仿宋_GB2312" w:cs="仿宋_GB2312"/>
          <w:sz w:val="32"/>
          <w:szCs w:val="32"/>
        </w:rPr>
      </w:pPr>
    </w:p>
    <w:p>
      <w:pPr>
        <w:spacing w:line="576" w:lineRule="exact"/>
        <w:ind w:firstLine="640" w:firstLineChars="200"/>
        <w:rPr>
          <w:rFonts w:ascii="仿宋_GB2312" w:eastAsia="仿宋_GB2312" w:cs="仿宋_GB2312"/>
          <w:sz w:val="32"/>
          <w:szCs w:val="32"/>
        </w:rPr>
      </w:pPr>
    </w:p>
    <w:p>
      <w:pPr>
        <w:spacing w:line="576" w:lineRule="exact"/>
        <w:rPr>
          <w:rFonts w:ascii="仿宋_GB2312" w:eastAsia="仿宋_GB2312" w:cs="仿宋_GB2312"/>
          <w:sz w:val="32"/>
          <w:szCs w:val="32"/>
        </w:rPr>
      </w:pPr>
    </w:p>
    <w:p>
      <w:pPr>
        <w:spacing w:line="576" w:lineRule="exact"/>
        <w:rPr>
          <w:rFonts w:ascii="仿宋_GB2312" w:eastAsia="仿宋_GB2312" w:cs="仿宋_GB2312"/>
          <w:sz w:val="32"/>
          <w:szCs w:val="32"/>
        </w:rPr>
      </w:pPr>
    </w:p>
    <w:p>
      <w:pPr>
        <w:spacing w:line="600" w:lineRule="exact"/>
        <w:ind w:left="0"/>
        <w:outlineLvl w:val="0"/>
        <w:rPr>
          <w:rStyle w:val="22"/>
          <w:rFonts w:ascii="黑体" w:eastAsia="黑体"/>
          <w:b w:val="0"/>
        </w:rPr>
      </w:pPr>
      <w:bookmarkStart w:id="93" w:name="_Toc15396613"/>
      <w:bookmarkStart w:id="94" w:name="_Toc79163879"/>
      <w:bookmarkStart w:id="95" w:name="_Toc79163629"/>
      <w:bookmarkStart w:id="96" w:name="_Toc15377225"/>
    </w:p>
    <w:p>
      <w:pPr>
        <w:numPr>
          <w:ilvl w:val="0"/>
          <w:numId w:val="2"/>
        </w:numPr>
        <w:spacing w:line="600" w:lineRule="exact"/>
        <w:ind w:left="0" w:firstLine="660" w:firstLineChars="150"/>
        <w:jc w:val="center"/>
        <w:outlineLvl w:val="0"/>
        <w:rPr>
          <w:rStyle w:val="22"/>
          <w:rFonts w:ascii="黑体" w:eastAsia="黑体"/>
          <w:b w:val="0"/>
        </w:rPr>
      </w:pPr>
      <w:r>
        <w:rPr>
          <w:rFonts w:hint="eastAsia" w:ascii="黑体" w:eastAsia="黑体"/>
          <w:color w:val="000000"/>
          <w:sz w:val="44"/>
          <w:szCs w:val="44"/>
        </w:rPr>
        <w:t>名</w:t>
      </w:r>
      <w:r>
        <w:rPr>
          <w:rStyle w:val="22"/>
          <w:rFonts w:hint="eastAsia" w:ascii="黑体" w:eastAsia="黑体"/>
          <w:b w:val="0"/>
        </w:rPr>
        <w:t>词解释</w:t>
      </w:r>
      <w:bookmarkEnd w:id="93"/>
      <w:bookmarkEnd w:id="94"/>
      <w:bookmarkEnd w:id="95"/>
      <w:bookmarkEnd w:id="96"/>
    </w:p>
    <w:p>
      <w:pPr>
        <w:spacing w:line="600" w:lineRule="exact"/>
        <w:jc w:val="left"/>
        <w:rPr>
          <w:rFonts w:ascii="宋体"/>
          <w:b/>
          <w:color w:val="000000"/>
          <w:sz w:val="44"/>
          <w:szCs w:val="44"/>
        </w:rPr>
      </w:pPr>
    </w:p>
    <w:p>
      <w:pPr>
        <w:pStyle w:val="27"/>
        <w:spacing w:line="560" w:lineRule="exact"/>
        <w:ind w:firstLine="640" w:firstLineChars="200"/>
        <w:rPr>
          <w:rFonts w:hint="eastAsia" w:ascii="仿宋_GB2312" w:eastAsia="仿宋_GB2312" w:cs="仿宋_GB2312"/>
          <w:kern w:val="2"/>
          <w:sz w:val="32"/>
          <w:szCs w:val="32"/>
        </w:rPr>
      </w:pPr>
      <w:bookmarkStart w:id="97" w:name="_Toc15377226"/>
      <w:r>
        <w:rPr>
          <w:rFonts w:hint="eastAsia" w:ascii="仿宋_GB2312" w:eastAsia="仿宋_GB2312"/>
          <w:sz w:val="32"/>
          <w:szCs w:val="32"/>
        </w:rPr>
        <w:t>1.财政拨款收入：指单位从同级财政部门取得的财政预算资</w:t>
      </w:r>
      <w:r>
        <w:rPr>
          <w:rFonts w:hint="eastAsia" w:ascii="仿宋_GB2312" w:eastAsia="仿宋_GB2312" w:cs="仿宋_GB2312"/>
          <w:kern w:val="2"/>
          <w:sz w:val="32"/>
          <w:szCs w:val="32"/>
        </w:rPr>
        <w:t>金。</w:t>
      </w:r>
    </w:p>
    <w:p>
      <w:pPr>
        <w:ind w:firstLine="640" w:firstLineChars="200"/>
        <w:rPr>
          <w:rFonts w:hint="eastAsia" w:ascii="仿宋_GB2312" w:eastAsia="仿宋_GB2312" w:cs="仿宋"/>
          <w:color w:val="000000"/>
          <w:kern w:val="0"/>
          <w:sz w:val="32"/>
          <w:szCs w:val="32"/>
        </w:rPr>
      </w:pPr>
      <w:r>
        <w:rPr>
          <w:rFonts w:hint="eastAsia" w:ascii="仿宋_GB2312" w:eastAsia="仿宋_GB2312" w:cs="仿宋_GB2312"/>
          <w:color w:val="000000"/>
          <w:sz w:val="32"/>
          <w:szCs w:val="32"/>
        </w:rPr>
        <w:t>2.</w:t>
      </w:r>
      <w:r>
        <w:rPr>
          <w:rFonts w:hint="eastAsia" w:ascii="仿宋_GB2312" w:eastAsia="仿宋_GB2312" w:cs="仿宋"/>
          <w:color w:val="000000"/>
          <w:kern w:val="0"/>
          <w:sz w:val="32"/>
          <w:szCs w:val="32"/>
        </w:rPr>
        <w:t>一般公共服务（类）财政事务（款）行政运行（项）：指单位用于保障机构正常运行、开展日常工作的基本支出。</w:t>
      </w:r>
    </w:p>
    <w:p>
      <w:pPr>
        <w:spacing w:line="576" w:lineRule="exact"/>
        <w:ind w:firstLine="636" w:firstLineChars="199"/>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3.</w:t>
      </w:r>
      <w:r>
        <w:rPr>
          <w:rStyle w:val="20"/>
          <w:rFonts w:hint="eastAsia" w:ascii="仿宋_GB2312" w:eastAsia="仿宋_GB2312" w:cs="仿宋_GB2312"/>
          <w:b w:val="0"/>
          <w:sz w:val="32"/>
          <w:szCs w:val="32"/>
        </w:rPr>
        <w:t xml:space="preserve"> 社会保障和就业支出（类）行政事业单位养老支出（款）</w:t>
      </w:r>
      <w:r>
        <w:rPr>
          <w:rFonts w:hint="eastAsia" w:ascii="仿宋_GB2312" w:eastAsia="仿宋_GB2312" w:cs="仿宋"/>
          <w:color w:val="000000"/>
          <w:kern w:val="0"/>
          <w:sz w:val="32"/>
          <w:szCs w:val="32"/>
        </w:rPr>
        <w:t>机关事业单位基本养老保险缴费支出（项）：指机关事业单位实施养老保险制度由单位缴纳的基本养老保险费支出。</w:t>
      </w:r>
    </w:p>
    <w:p>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4.</w:t>
      </w:r>
      <w:r>
        <w:rPr>
          <w:rStyle w:val="20"/>
          <w:rFonts w:hint="eastAsia" w:ascii="仿宋_GB2312" w:eastAsia="仿宋_GB2312" w:cs="仿宋_GB2312"/>
          <w:b w:val="0"/>
          <w:sz w:val="32"/>
          <w:szCs w:val="32"/>
        </w:rPr>
        <w:t xml:space="preserve"> 社会保障和就业支出（类）行政事业单位养老支出（款）机关事业单位职业年金缴费支出（项）</w:t>
      </w:r>
      <w:r>
        <w:rPr>
          <w:rFonts w:hint="eastAsia" w:ascii="仿宋_GB2312" w:eastAsia="仿宋_GB2312" w:cs="仿宋"/>
          <w:color w:val="000000"/>
          <w:kern w:val="0"/>
          <w:sz w:val="32"/>
          <w:szCs w:val="32"/>
        </w:rPr>
        <w:t>：指机关事业单位实施养老保险制度由单位实际缴纳的职业年金支出。</w:t>
      </w:r>
    </w:p>
    <w:p>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5.医疗卫生与计划生育（类）行政事业单位医疗（款）行政单位医疗（项）：指单位用于缴纳单位基本医疗保险支出。</w:t>
      </w:r>
    </w:p>
    <w:p>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6.住房保障支出（类）住房改革支出（款）住房公积金（项）：指反映单位按规定比例为职工缴纳的住房公积金。</w:t>
      </w:r>
    </w:p>
    <w:p>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7.基本支出：指为保障机构正常运转、完成日常工作任务而发生的人员支出和公用支出。</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2"/>
          <w:rFonts w:ascii="黑体" w:eastAsia="黑体"/>
          <w:b w:val="0"/>
        </w:rPr>
      </w:pPr>
      <w:r>
        <w:rPr>
          <w:rFonts w:ascii="宋体"/>
          <w:b/>
          <w:color w:val="000000"/>
          <w:sz w:val="44"/>
          <w:szCs w:val="44"/>
        </w:rPr>
        <w:br w:type="page"/>
      </w:r>
      <w:bookmarkStart w:id="98" w:name="_Toc15396614"/>
      <w:bookmarkStart w:id="99" w:name="_Toc79163880"/>
      <w:bookmarkStart w:id="100" w:name="_Toc79163630"/>
      <w:r>
        <w:rPr>
          <w:rFonts w:hint="eastAsia" w:ascii="黑体" w:eastAsia="黑体"/>
          <w:color w:val="000000"/>
          <w:sz w:val="44"/>
          <w:szCs w:val="44"/>
        </w:rPr>
        <w:t>第</w:t>
      </w:r>
      <w:r>
        <w:rPr>
          <w:rStyle w:val="22"/>
          <w:rFonts w:hint="eastAsia" w:ascii="黑体" w:eastAsia="黑体"/>
          <w:b w:val="0"/>
        </w:rPr>
        <w:t>四部分</w:t>
      </w:r>
      <w:r>
        <w:rPr>
          <w:rStyle w:val="22"/>
          <w:rFonts w:ascii="黑体" w:eastAsia="黑体"/>
          <w:b w:val="0"/>
        </w:rPr>
        <w:t xml:space="preserve"> </w:t>
      </w:r>
      <w:r>
        <w:rPr>
          <w:rStyle w:val="22"/>
          <w:rFonts w:hint="eastAsia" w:ascii="黑体" w:eastAsia="黑体"/>
          <w:b w:val="0"/>
        </w:rPr>
        <w:t>附件</w:t>
      </w:r>
      <w:bookmarkEnd w:id="98"/>
      <w:bookmarkEnd w:id="99"/>
      <w:bookmarkEnd w:id="100"/>
    </w:p>
    <w:p>
      <w:pPr>
        <w:spacing w:line="600" w:lineRule="exact"/>
        <w:jc w:val="left"/>
        <w:outlineLvl w:val="0"/>
        <w:rPr>
          <w:rFonts w:ascii="方正小标宋简体" w:eastAsia="方正小标宋简体" w:cs="方正小标宋简体"/>
          <w:sz w:val="32"/>
          <w:szCs w:val="32"/>
        </w:rPr>
      </w:pPr>
      <w:bookmarkStart w:id="101" w:name="_Toc79163631"/>
      <w:bookmarkStart w:id="102" w:name="_Toc79163881"/>
      <w:r>
        <w:rPr>
          <w:rFonts w:hint="eastAsia" w:ascii="黑体" w:eastAsia="黑体" w:cs="黑体"/>
          <w:sz w:val="32"/>
          <w:szCs w:val="32"/>
        </w:rPr>
        <w:t>附件</w:t>
      </w:r>
      <w:r>
        <w:rPr>
          <w:rFonts w:ascii="黑体" w:eastAsia="黑体" w:cs="黑体"/>
          <w:sz w:val="32"/>
          <w:szCs w:val="32"/>
        </w:rPr>
        <w:t>1</w:t>
      </w:r>
      <w:bookmarkEnd w:id="101"/>
      <w:bookmarkEnd w:id="102"/>
    </w:p>
    <w:p>
      <w:pPr>
        <w:spacing w:line="580" w:lineRule="exact"/>
        <w:jc w:val="center"/>
        <w:rPr>
          <w:rFonts w:ascii="方正小标宋简体" w:eastAsia="方正小标宋简体" w:cs="方正小标宋简体"/>
          <w:sz w:val="44"/>
          <w:szCs w:val="44"/>
        </w:rPr>
      </w:pPr>
    </w:p>
    <w:p>
      <w:pPr>
        <w:spacing w:line="600" w:lineRule="exact"/>
        <w:jc w:val="center"/>
        <w:outlineLvl w:val="0"/>
        <w:rPr>
          <w:rFonts w:ascii="方正小标宋简体" w:eastAsia="方正小标宋简体" w:cs="黑体"/>
          <w:sz w:val="44"/>
          <w:szCs w:val="44"/>
        </w:rPr>
      </w:pPr>
      <w:bookmarkStart w:id="103" w:name="_Toc79163632"/>
      <w:bookmarkStart w:id="104" w:name="_Toc79163882"/>
      <w:r>
        <w:rPr>
          <w:rFonts w:ascii="方正小标宋简体" w:eastAsia="方正小标宋简体" w:cs="黑体"/>
          <w:sz w:val="44"/>
          <w:szCs w:val="44"/>
        </w:rPr>
        <w:t>茂县国库集中支付中心2021</w:t>
      </w:r>
      <w:r>
        <w:rPr>
          <w:rFonts w:hint="eastAsia" w:ascii="方正小标宋简体" w:eastAsia="方正小标宋简体" w:cs="黑体"/>
          <w:sz w:val="44"/>
          <w:szCs w:val="44"/>
        </w:rPr>
        <w:t>年部门整体支出绩效评价报告</w:t>
      </w:r>
      <w:bookmarkEnd w:id="103"/>
      <w:bookmarkEnd w:id="104"/>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spacing w:line="576" w:lineRule="exact"/>
        <w:ind w:firstLine="642" w:firstLineChars="200"/>
        <w:outlineLvl w:val="1"/>
        <w:rPr>
          <w:rStyle w:val="23"/>
          <w:rFonts w:ascii="楷体_GB2312" w:eastAsia="楷体_GB2312" w:cs="楷体_GB2312"/>
        </w:rPr>
      </w:pPr>
      <w:r>
        <w:rPr>
          <w:rStyle w:val="23"/>
          <w:rFonts w:hint="eastAsia" w:ascii="楷体_GB2312" w:eastAsia="楷体_GB2312" w:cs="楷体_GB2312"/>
        </w:rPr>
        <w:t>（一）机构组成</w:t>
      </w:r>
    </w:p>
    <w:p>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茂县国库集中支付中心是参照公务员法管理的事业单位，属一级预算单位，下属二级预算单位0个。</w:t>
      </w:r>
    </w:p>
    <w:p>
      <w:pPr>
        <w:spacing w:line="576" w:lineRule="exact"/>
        <w:ind w:firstLine="642" w:firstLineChars="200"/>
        <w:rPr>
          <w:rStyle w:val="23"/>
          <w:rFonts w:ascii="楷体_GB2312" w:eastAsia="楷体_GB2312" w:cs="楷体_GB2312"/>
        </w:rPr>
      </w:pPr>
      <w:r>
        <w:rPr>
          <w:rStyle w:val="23"/>
          <w:rFonts w:hint="eastAsia" w:ascii="楷体_GB2312" w:eastAsia="楷体_GB2312" w:cs="楷体_GB2312"/>
        </w:rPr>
        <w:t>（二）机构职能</w:t>
      </w:r>
    </w:p>
    <w:p>
      <w:pPr>
        <w:shd w:val="clear" w:color="auto" w:fill="FFFEFB"/>
        <w:spacing w:line="480" w:lineRule="auto"/>
        <w:ind w:firstLine="640"/>
        <w:rPr>
          <w:rFonts w:ascii="仿宋_GB2312" w:eastAsia="仿宋_GB2312"/>
          <w:sz w:val="32"/>
          <w:szCs w:val="32"/>
          <w:lang w:val="zh-CN"/>
        </w:rPr>
      </w:pPr>
      <w:r>
        <w:rPr>
          <w:rFonts w:hint="eastAsia" w:ascii="仿宋_GB2312" w:eastAsia="仿宋_GB2312" w:cs="宋体"/>
          <w:sz w:val="32"/>
          <w:szCs w:val="32"/>
        </w:rPr>
        <w:t>1.</w:t>
      </w:r>
      <w:r>
        <w:rPr>
          <w:rFonts w:hint="eastAsia" w:ascii="仿宋_GB2312" w:eastAsia="仿宋_GB2312"/>
          <w:sz w:val="32"/>
          <w:szCs w:val="32"/>
          <w:lang w:val="zh-CN"/>
        </w:rPr>
        <w:t>贯彻执行国家财经法律、法规和政策，根据《预算法》、《预算法实施条例》等法律法规，履行国库集中支付职能。</w:t>
      </w:r>
    </w:p>
    <w:p>
      <w:pPr>
        <w:shd w:val="clear" w:color="auto" w:fill="FFFEFB"/>
        <w:spacing w:line="480" w:lineRule="auto"/>
        <w:ind w:firstLine="640"/>
        <w:rPr>
          <w:rFonts w:ascii="仿宋_GB2312" w:eastAsia="仿宋_GB2312" w:cs="宋体"/>
          <w:sz w:val="32"/>
          <w:szCs w:val="32"/>
        </w:rPr>
      </w:pPr>
      <w:r>
        <w:rPr>
          <w:rFonts w:hint="eastAsia" w:ascii="仿宋_GB2312" w:eastAsia="仿宋_GB2312" w:cs="宋体"/>
          <w:sz w:val="32"/>
          <w:szCs w:val="32"/>
        </w:rPr>
        <w:t>2.</w:t>
      </w:r>
      <w:r>
        <w:rPr>
          <w:rFonts w:hint="eastAsia" w:ascii="仿宋_GB2312" w:eastAsia="仿宋_GB2312"/>
          <w:sz w:val="32"/>
          <w:szCs w:val="32"/>
        </w:rPr>
        <w:t>负责办理预算单位财政直接支付业务。</w:t>
      </w:r>
    </w:p>
    <w:p>
      <w:pPr>
        <w:shd w:val="clear" w:color="auto" w:fill="FFFEFB"/>
        <w:spacing w:line="480" w:lineRule="auto"/>
        <w:ind w:firstLine="640"/>
        <w:rPr>
          <w:rFonts w:ascii="仿宋_GB2312" w:eastAsia="仿宋_GB2312" w:cs="宋体"/>
          <w:sz w:val="32"/>
          <w:szCs w:val="32"/>
        </w:rPr>
      </w:pPr>
      <w:r>
        <w:rPr>
          <w:rFonts w:hint="eastAsia" w:ascii="仿宋_GB2312" w:eastAsia="仿宋_GB2312" w:cs="宋体"/>
          <w:sz w:val="32"/>
          <w:szCs w:val="32"/>
        </w:rPr>
        <w:t>3.</w:t>
      </w:r>
      <w:r>
        <w:rPr>
          <w:rFonts w:hint="eastAsia" w:ascii="仿宋_GB2312" w:eastAsia="仿宋_GB2312"/>
          <w:sz w:val="32"/>
          <w:szCs w:val="32"/>
        </w:rPr>
        <w:t>负责管理和使用财政国库单一账户体系中的财政零余额账户。</w:t>
      </w:r>
    </w:p>
    <w:p>
      <w:pPr>
        <w:shd w:val="clear" w:color="auto" w:fill="FFFEFB"/>
        <w:spacing w:line="480" w:lineRule="auto"/>
        <w:ind w:firstLine="640"/>
        <w:rPr>
          <w:rFonts w:ascii="仿宋_GB2312" w:eastAsia="仿宋_GB2312"/>
          <w:sz w:val="32"/>
          <w:szCs w:val="32"/>
          <w:lang w:val="zh-CN"/>
        </w:rPr>
      </w:pPr>
      <w:r>
        <w:rPr>
          <w:rFonts w:hint="eastAsia" w:ascii="仿宋_GB2312" w:eastAsia="仿宋_GB2312" w:cs="宋体"/>
          <w:sz w:val="32"/>
          <w:szCs w:val="32"/>
        </w:rPr>
        <w:t>4.</w:t>
      </w:r>
      <w:r>
        <w:rPr>
          <w:rFonts w:hint="eastAsia" w:ascii="仿宋_GB2312" w:eastAsia="仿宋_GB2312"/>
          <w:sz w:val="32"/>
          <w:szCs w:val="32"/>
          <w:lang w:val="zh-CN"/>
        </w:rPr>
        <w:t>负责财政零余额账户的资金清算和账务核算工作，向国库股提供支付和清算信息。</w:t>
      </w:r>
    </w:p>
    <w:p>
      <w:pPr>
        <w:spacing w:line="576" w:lineRule="exact"/>
        <w:ind w:firstLine="642" w:firstLineChars="200"/>
        <w:outlineLvl w:val="1"/>
        <w:rPr>
          <w:rStyle w:val="23"/>
          <w:rFonts w:ascii="楷体_GB2312" w:eastAsia="楷体_GB2312" w:cs="楷体_GB2312"/>
        </w:rPr>
      </w:pPr>
      <w:r>
        <w:rPr>
          <w:rStyle w:val="23"/>
          <w:rFonts w:hint="eastAsia" w:ascii="楷体_GB2312" w:eastAsia="楷体_GB2312" w:cs="楷体_GB2312"/>
        </w:rPr>
        <w:t>（三）人员概况</w:t>
      </w:r>
    </w:p>
    <w:p>
      <w:pPr>
        <w:widowControl/>
        <w:shd w:val="clear" w:color="auto" w:fill="FFFEFB"/>
        <w:spacing w:line="480" w:lineRule="auto"/>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总编制12名。其中：参公事业编制12名。在职人员总数</w:t>
      </w:r>
      <w:r>
        <w:rPr>
          <w:rFonts w:ascii="仿宋_GB2312" w:eastAsia="仿宋_GB2312" w:cs="仿宋_GB2312"/>
          <w:sz w:val="32"/>
          <w:szCs w:val="32"/>
        </w:rPr>
        <w:t>9</w:t>
      </w:r>
      <w:r>
        <w:rPr>
          <w:rFonts w:hint="eastAsia" w:ascii="仿宋_GB2312" w:eastAsia="仿宋_GB2312" w:cs="仿宋_GB2312"/>
          <w:sz w:val="32"/>
          <w:szCs w:val="32"/>
        </w:rPr>
        <w:t>人。</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numPr>
          <w:ilvl w:val="0"/>
          <w:numId w:val="3"/>
        </w:numPr>
        <w:adjustRightInd w:val="0"/>
        <w:snapToGrid w:val="0"/>
        <w:spacing w:line="580" w:lineRule="exact"/>
        <w:contextualSpacing/>
        <w:jc w:val="left"/>
        <w:rPr>
          <w:rFonts w:ascii="仿宋_GB2312" w:eastAsia="仿宋_GB2312" w:cs="宋体"/>
          <w:b/>
          <w:bCs/>
          <w:color w:val="000000"/>
          <w:kern w:val="0"/>
          <w:sz w:val="32"/>
          <w:szCs w:val="32"/>
          <w:shd w:val="clear" w:color="auto" w:fill="FFFFFF"/>
          <w:lang w:val="zh-CN"/>
        </w:rPr>
      </w:pPr>
      <w:r>
        <w:rPr>
          <w:rFonts w:hint="eastAsia" w:ascii="仿宋_GB2312" w:eastAsia="仿宋_GB2312" w:cs="宋体"/>
          <w:b/>
          <w:bCs/>
          <w:color w:val="000000"/>
          <w:kern w:val="0"/>
          <w:sz w:val="32"/>
          <w:szCs w:val="32"/>
          <w:shd w:val="clear" w:color="auto" w:fill="FFFFFF"/>
          <w:lang w:val="zh-CN"/>
        </w:rPr>
        <w:t>部门财政资金收入情况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w:t>
      </w:r>
      <w:r>
        <w:rPr>
          <w:rFonts w:ascii="仿宋_GB2312" w:eastAsia="仿宋_GB2312" w:cs="仿宋_GB2312"/>
          <w:sz w:val="32"/>
          <w:szCs w:val="32"/>
        </w:rPr>
        <w:t>1</w:t>
      </w:r>
      <w:r>
        <w:rPr>
          <w:rFonts w:hint="eastAsia" w:ascii="仿宋_GB2312" w:eastAsia="仿宋_GB2312" w:cs="仿宋_GB2312"/>
          <w:sz w:val="32"/>
          <w:szCs w:val="32"/>
        </w:rPr>
        <w:t>年财政拨款收入决算总额为15</w:t>
      </w:r>
      <w:r>
        <w:rPr>
          <w:rFonts w:ascii="仿宋_GB2312" w:eastAsia="仿宋_GB2312" w:cs="仿宋_GB2312"/>
          <w:sz w:val="32"/>
          <w:szCs w:val="32"/>
        </w:rPr>
        <w:t>9.87</w:t>
      </w:r>
      <w:r>
        <w:rPr>
          <w:rFonts w:hint="eastAsia" w:ascii="仿宋_GB2312" w:eastAsia="仿宋_GB2312" w:cs="仿宋_GB2312"/>
          <w:sz w:val="32"/>
          <w:szCs w:val="32"/>
        </w:rPr>
        <w:t>万元，其中：当年财政拨款收入15</w:t>
      </w:r>
      <w:r>
        <w:rPr>
          <w:rFonts w:ascii="仿宋_GB2312" w:eastAsia="仿宋_GB2312" w:cs="仿宋_GB2312"/>
          <w:sz w:val="32"/>
          <w:szCs w:val="32"/>
        </w:rPr>
        <w:t>9.87</w:t>
      </w:r>
      <w:r>
        <w:rPr>
          <w:rFonts w:hint="eastAsia" w:ascii="仿宋_GB2312" w:eastAsia="仿宋_GB2312" w:cs="仿宋_GB2312"/>
          <w:sz w:val="32"/>
          <w:szCs w:val="32"/>
        </w:rPr>
        <w:t>万元。</w:t>
      </w:r>
    </w:p>
    <w:p>
      <w:pPr>
        <w:widowControl/>
        <w:adjustRightInd w:val="0"/>
        <w:snapToGrid w:val="0"/>
        <w:spacing w:line="580" w:lineRule="exact"/>
        <w:ind w:firstLine="642" w:firstLineChars="200"/>
        <w:contextualSpacing/>
        <w:jc w:val="left"/>
        <w:rPr>
          <w:rFonts w:ascii="仿宋_GB2312" w:eastAsia="仿宋_GB2312" w:cs="宋体"/>
          <w:b/>
          <w:bCs/>
          <w:color w:val="000000"/>
          <w:kern w:val="0"/>
          <w:sz w:val="32"/>
          <w:szCs w:val="32"/>
          <w:shd w:val="clear" w:color="auto" w:fill="FFFFFF"/>
          <w:lang w:val="zh-CN"/>
        </w:rPr>
      </w:pPr>
      <w:r>
        <w:rPr>
          <w:rFonts w:hint="eastAsia" w:ascii="仿宋_GB2312" w:eastAsia="仿宋_GB2312" w:cs="宋体"/>
          <w:b/>
          <w:bCs/>
          <w:color w:val="000000"/>
          <w:kern w:val="0"/>
          <w:sz w:val="32"/>
          <w:szCs w:val="32"/>
          <w:shd w:val="clear" w:color="auto" w:fill="FFFFFF"/>
          <w:lang w:val="zh-CN"/>
        </w:rPr>
        <w:t>（二）部门财政资金支出情况</w:t>
      </w:r>
    </w:p>
    <w:p>
      <w:pPr>
        <w:spacing w:line="576" w:lineRule="exact"/>
        <w:ind w:firstLine="640"/>
        <w:rPr>
          <w:rFonts w:ascii="仿宋_GB2312" w:eastAsia="仿宋_GB2312" w:cs="仿宋_GB2312"/>
          <w:sz w:val="32"/>
          <w:szCs w:val="32"/>
        </w:rPr>
      </w:pPr>
      <w:r>
        <w:rPr>
          <w:rFonts w:hint="eastAsia" w:ascii="仿宋_GB2312" w:eastAsia="仿宋_GB2312" w:cs="仿宋_GB2312"/>
          <w:sz w:val="32"/>
          <w:szCs w:val="32"/>
        </w:rPr>
        <w:t>202</w:t>
      </w:r>
      <w:r>
        <w:rPr>
          <w:rFonts w:ascii="仿宋_GB2312" w:eastAsia="仿宋_GB2312" w:cs="仿宋_GB2312"/>
          <w:sz w:val="32"/>
          <w:szCs w:val="32"/>
        </w:rPr>
        <w:t>1</w:t>
      </w:r>
      <w:r>
        <w:rPr>
          <w:rFonts w:hint="eastAsia" w:ascii="仿宋_GB2312" w:eastAsia="仿宋_GB2312" w:cs="仿宋_GB2312"/>
          <w:sz w:val="32"/>
          <w:szCs w:val="32"/>
        </w:rPr>
        <w:t>年财政拨款支出决算总额15</w:t>
      </w:r>
      <w:r>
        <w:rPr>
          <w:rFonts w:ascii="仿宋_GB2312" w:eastAsia="仿宋_GB2312" w:cs="仿宋_GB2312"/>
          <w:sz w:val="32"/>
          <w:szCs w:val="32"/>
        </w:rPr>
        <w:t>9.87</w:t>
      </w:r>
      <w:r>
        <w:rPr>
          <w:rFonts w:hint="eastAsia" w:ascii="仿宋_GB2312" w:eastAsia="仿宋_GB2312" w:cs="仿宋_GB2312"/>
          <w:sz w:val="32"/>
          <w:szCs w:val="32"/>
        </w:rPr>
        <w:t>万元。其中按功能分类:</w:t>
      </w:r>
      <w:r>
        <w:rPr>
          <w:rFonts w:hint="eastAsia" w:ascii="仿宋_GB2312" w:eastAsia="仿宋_GB2312" w:cs="仿宋_GB2312"/>
          <w:bCs/>
          <w:sz w:val="32"/>
          <w:szCs w:val="32"/>
        </w:rPr>
        <w:t>一般公共服务支出</w:t>
      </w:r>
      <w:r>
        <w:rPr>
          <w:rFonts w:ascii="仿宋_GB2312" w:eastAsia="仿宋_GB2312" w:cs="仿宋_GB2312"/>
          <w:bCs/>
          <w:sz w:val="32"/>
          <w:szCs w:val="32"/>
        </w:rPr>
        <w:t>121.73</w:t>
      </w:r>
      <w:r>
        <w:rPr>
          <w:rFonts w:hint="eastAsia" w:ascii="仿宋_GB2312" w:eastAsia="仿宋_GB2312" w:cs="仿宋_GB2312"/>
          <w:bCs/>
          <w:sz w:val="32"/>
          <w:szCs w:val="32"/>
        </w:rPr>
        <w:t>万元、社会保障和就业</w:t>
      </w:r>
      <w:r>
        <w:rPr>
          <w:rFonts w:hint="eastAsia" w:ascii="仿宋_GB2312" w:eastAsia="仿宋_GB2312" w:cs="仿宋_GB2312"/>
          <w:sz w:val="32"/>
          <w:szCs w:val="32"/>
        </w:rPr>
        <w:t>支出</w:t>
      </w:r>
      <w:r>
        <w:rPr>
          <w:rFonts w:ascii="仿宋_GB2312" w:eastAsia="仿宋_GB2312" w:cs="仿宋_GB2312"/>
          <w:sz w:val="32"/>
          <w:szCs w:val="32"/>
        </w:rPr>
        <w:t>17.94</w:t>
      </w:r>
      <w:r>
        <w:rPr>
          <w:rFonts w:hint="eastAsia" w:ascii="仿宋_GB2312" w:eastAsia="仿宋_GB2312" w:cs="仿宋_GB2312"/>
          <w:sz w:val="32"/>
          <w:szCs w:val="32"/>
        </w:rPr>
        <w:t>万元、卫生健康支出</w:t>
      </w:r>
      <w:r>
        <w:rPr>
          <w:rFonts w:ascii="仿宋_GB2312" w:eastAsia="仿宋_GB2312" w:cs="仿宋_GB2312"/>
          <w:sz w:val="32"/>
          <w:szCs w:val="32"/>
        </w:rPr>
        <w:t>7.96</w:t>
      </w:r>
      <w:r>
        <w:rPr>
          <w:rFonts w:hint="eastAsia" w:ascii="仿宋_GB2312" w:eastAsia="仿宋_GB2312" w:cs="仿宋_GB2312"/>
          <w:sz w:val="32"/>
          <w:szCs w:val="32"/>
        </w:rPr>
        <w:t>万元、住房保障支出</w:t>
      </w:r>
      <w:r>
        <w:rPr>
          <w:rFonts w:ascii="仿宋_GB2312" w:eastAsia="仿宋_GB2312" w:cs="仿宋_GB2312"/>
          <w:sz w:val="32"/>
          <w:szCs w:val="32"/>
        </w:rPr>
        <w:t>12.24</w:t>
      </w:r>
      <w:r>
        <w:rPr>
          <w:rFonts w:hint="eastAsia" w:ascii="仿宋_GB2312" w:eastAsia="仿宋_GB2312" w:cs="仿宋_GB2312"/>
          <w:sz w:val="32"/>
          <w:szCs w:val="32"/>
        </w:rPr>
        <w:t>万元；按支出性质分类，基本支出</w:t>
      </w:r>
      <w:r>
        <w:rPr>
          <w:rFonts w:ascii="仿宋_GB2312" w:eastAsia="仿宋_GB2312" w:cs="仿宋_GB2312"/>
          <w:sz w:val="32"/>
          <w:szCs w:val="32"/>
        </w:rPr>
        <w:t>159.87</w:t>
      </w:r>
      <w:r>
        <w:rPr>
          <w:rFonts w:hint="eastAsia" w:ascii="仿宋_GB2312" w:eastAsia="仿宋_GB2312" w:cs="仿宋_GB2312"/>
          <w:sz w:val="32"/>
          <w:szCs w:val="32"/>
        </w:rPr>
        <w:t>万元；按经济分类，工资福利支出</w:t>
      </w:r>
      <w:r>
        <w:rPr>
          <w:rFonts w:ascii="仿宋_GB2312" w:eastAsia="仿宋_GB2312" w:cs="仿宋_GB2312"/>
          <w:sz w:val="32"/>
          <w:szCs w:val="32"/>
        </w:rPr>
        <w:t>153.56</w:t>
      </w:r>
      <w:r>
        <w:rPr>
          <w:rFonts w:hint="eastAsia" w:ascii="仿宋_GB2312" w:eastAsia="仿宋_GB2312" w:cs="仿宋_GB2312"/>
          <w:sz w:val="32"/>
          <w:szCs w:val="32"/>
        </w:rPr>
        <w:t>万元，商品服务支出</w:t>
      </w:r>
      <w:r>
        <w:rPr>
          <w:rFonts w:ascii="仿宋_GB2312" w:eastAsia="仿宋_GB2312" w:cs="仿宋_GB2312"/>
          <w:sz w:val="32"/>
          <w:szCs w:val="32"/>
        </w:rPr>
        <w:t>6.26</w:t>
      </w:r>
      <w:r>
        <w:rPr>
          <w:rFonts w:hint="eastAsia" w:ascii="仿宋_GB2312" w:eastAsia="仿宋_GB2312" w:cs="仿宋_GB2312"/>
          <w:sz w:val="32"/>
          <w:szCs w:val="32"/>
        </w:rPr>
        <w:t>万元，对个人和家庭的补助0.0</w:t>
      </w:r>
      <w:r>
        <w:rPr>
          <w:rFonts w:ascii="仿宋_GB2312" w:eastAsia="仿宋_GB2312" w:cs="仿宋_GB2312"/>
          <w:sz w:val="32"/>
          <w:szCs w:val="32"/>
        </w:rPr>
        <w:t>5</w:t>
      </w:r>
      <w:r>
        <w:rPr>
          <w:rFonts w:hint="eastAsia" w:ascii="仿宋_GB2312" w:eastAsia="仿宋_GB2312" w:cs="仿宋_GB2312"/>
          <w:sz w:val="32"/>
          <w:szCs w:val="32"/>
        </w:rPr>
        <w:t>万元。</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2" w:firstLineChars="200"/>
        <w:contextualSpacing/>
        <w:jc w:val="left"/>
        <w:rPr>
          <w:rFonts w:ascii="仿宋_GB2312" w:eastAsia="仿宋_GB2312" w:cs="宋体"/>
          <w:b/>
          <w:bCs/>
          <w:color w:val="000000"/>
          <w:kern w:val="0"/>
          <w:sz w:val="32"/>
          <w:szCs w:val="32"/>
          <w:shd w:val="clear" w:color="auto" w:fill="FFFFFF"/>
          <w:lang w:val="zh-CN"/>
        </w:rPr>
      </w:pPr>
      <w:r>
        <w:rPr>
          <w:rFonts w:hint="eastAsia" w:ascii="仿宋_GB2312" w:eastAsia="仿宋_GB2312" w:cs="宋体"/>
          <w:b/>
          <w:bCs/>
          <w:color w:val="000000"/>
          <w:kern w:val="0"/>
          <w:sz w:val="32"/>
          <w:szCs w:val="32"/>
          <w:shd w:val="clear" w:color="auto" w:fill="FFFFFF"/>
          <w:lang w:val="zh-CN"/>
        </w:rPr>
        <w:t>（一）部门预算管理</w:t>
      </w:r>
    </w:p>
    <w:p>
      <w:pPr>
        <w:widowControl/>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按照 202</w:t>
      </w:r>
      <w:r>
        <w:rPr>
          <w:rFonts w:ascii="仿宋_GB2312" w:eastAsia="仿宋_GB2312" w:cs="仿宋_GB2312"/>
          <w:sz w:val="32"/>
          <w:szCs w:val="32"/>
        </w:rPr>
        <w:t>1</w:t>
      </w:r>
      <w:r>
        <w:rPr>
          <w:rFonts w:hint="eastAsia" w:ascii="仿宋_GB2312" w:eastAsia="仿宋_GB2312" w:cs="仿宋_GB2312"/>
          <w:sz w:val="32"/>
          <w:szCs w:val="32"/>
        </w:rPr>
        <w:t>年部门预算编审要求，根据我中心职能职责，结合中长期规划和年度工作计划，明确了年度主要工作任务及年度内履职所要达到的总体产出和效果，认真填报了整体支出绩效目标。</w:t>
      </w:r>
    </w:p>
    <w:p>
      <w:pPr>
        <w:widowControl/>
        <w:adjustRightInd w:val="0"/>
        <w:snapToGrid w:val="0"/>
        <w:spacing w:line="580" w:lineRule="exact"/>
        <w:ind w:firstLine="640" w:firstLineChars="200"/>
        <w:contextualSpacing/>
        <w:jc w:val="left"/>
        <w:rPr>
          <w:rFonts w:ascii="仿宋_GB2312" w:eastAsia="仿宋_GB2312" w:cs="仿宋_GB2312"/>
          <w:sz w:val="32"/>
          <w:szCs w:val="32"/>
        </w:rPr>
      </w:pPr>
      <w:r>
        <w:rPr>
          <w:rFonts w:hint="eastAsia" w:ascii="仿宋_GB2312" w:eastAsia="仿宋_GB2312" w:cs="仿宋_GB2312"/>
          <w:sz w:val="32"/>
          <w:szCs w:val="32"/>
        </w:rPr>
        <w:t>按照财政部门统一部署，我中心于</w:t>
      </w:r>
      <w:r>
        <w:rPr>
          <w:rFonts w:ascii="仿宋_GB2312" w:eastAsia="仿宋_GB2312" w:cs="仿宋_GB2312"/>
          <w:sz w:val="32"/>
          <w:szCs w:val="32"/>
        </w:rPr>
        <w:t>2021年4月23日按要求公开了2021年部门预算。</w:t>
      </w:r>
    </w:p>
    <w:p>
      <w:pPr>
        <w:widowControl/>
        <w:adjustRightInd w:val="0"/>
        <w:snapToGrid w:val="0"/>
        <w:spacing w:line="580" w:lineRule="exact"/>
        <w:ind w:firstLine="642" w:firstLineChars="200"/>
        <w:contextualSpacing/>
        <w:jc w:val="left"/>
        <w:rPr>
          <w:rFonts w:ascii="仿宋_GB2312" w:eastAsia="仿宋_GB2312" w:cs="宋体"/>
          <w:b/>
          <w:bCs/>
          <w:color w:val="000000"/>
          <w:kern w:val="0"/>
          <w:sz w:val="32"/>
          <w:szCs w:val="32"/>
          <w:shd w:val="clear" w:color="auto" w:fill="FFFFFF"/>
          <w:lang w:val="zh-CN"/>
        </w:rPr>
      </w:pPr>
      <w:r>
        <w:rPr>
          <w:rFonts w:hint="eastAsia" w:ascii="仿宋_GB2312" w:eastAsia="仿宋_GB2312" w:cs="宋体"/>
          <w:b/>
          <w:bCs/>
          <w:color w:val="000000"/>
          <w:kern w:val="0"/>
          <w:sz w:val="32"/>
          <w:szCs w:val="32"/>
          <w:shd w:val="clear" w:color="auto" w:fill="FFFFFF"/>
          <w:lang w:val="zh-CN"/>
        </w:rPr>
        <w:t>（二）结果应用情况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我中心对部门预算绩效管理工作开展情况认真进行了自查自评。不断强化绩效理念，推动我中心部门整体绩效管理水平不断提升。</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spacing w:line="576" w:lineRule="exact"/>
        <w:ind w:firstLine="642" w:firstLineChars="200"/>
        <w:rPr>
          <w:rFonts w:ascii="楷体_GB2312" w:eastAsia="楷体_GB2312" w:cs="楷体_GB2312"/>
          <w:b/>
          <w:bCs/>
          <w:sz w:val="32"/>
          <w:szCs w:val="32"/>
        </w:rPr>
      </w:pPr>
      <w:r>
        <w:rPr>
          <w:rFonts w:hint="eastAsia" w:ascii="楷体_GB2312" w:eastAsia="楷体_GB2312" w:cs="楷体_GB2312"/>
          <w:b/>
          <w:bCs/>
          <w:sz w:val="32"/>
          <w:szCs w:val="32"/>
        </w:rPr>
        <w:t>（一）评价结论</w:t>
      </w:r>
      <w:r>
        <w:rPr>
          <w:rFonts w:ascii="楷体_GB2312" w:eastAsia="楷体_GB2312" w:cs="楷体_GB2312"/>
          <w:b/>
          <w:bCs/>
          <w:sz w:val="32"/>
          <w:szCs w:val="32"/>
        </w:rPr>
        <w:t>。</w:t>
      </w:r>
    </w:p>
    <w:p>
      <w:pPr>
        <w:spacing w:line="640" w:lineRule="exact"/>
        <w:ind w:right="-1" w:firstLine="640" w:firstLineChars="200"/>
        <w:jc w:val="left"/>
        <w:rPr>
          <w:rFonts w:ascii="仿宋_GB2312" w:eastAsia="仿宋_GB2312" w:cs="仿宋_GB2312"/>
          <w:sz w:val="32"/>
          <w:szCs w:val="32"/>
        </w:rPr>
      </w:pPr>
      <w:r>
        <w:rPr>
          <w:rFonts w:hint="eastAsia" w:ascii="仿宋_GB2312" w:eastAsia="仿宋_GB2312" w:cs="仿宋_GB2312"/>
          <w:sz w:val="32"/>
          <w:szCs w:val="32"/>
        </w:rPr>
        <w:t>202</w:t>
      </w:r>
      <w:r>
        <w:rPr>
          <w:rFonts w:ascii="仿宋_GB2312" w:eastAsia="仿宋_GB2312" w:cs="仿宋_GB2312"/>
          <w:sz w:val="32"/>
          <w:szCs w:val="32"/>
        </w:rPr>
        <w:t>1</w:t>
      </w:r>
      <w:r>
        <w:rPr>
          <w:rFonts w:hint="eastAsia" w:ascii="仿宋_GB2312" w:eastAsia="仿宋_GB2312" w:cs="仿宋_GB2312"/>
          <w:sz w:val="32"/>
          <w:szCs w:val="32"/>
        </w:rPr>
        <w:t>年我中心整体支出绩效评价自查自评结果良好，全年基本支出保证了部门的正常运行和日常工作的正常开展，达到预期绩效目标。</w:t>
      </w:r>
    </w:p>
    <w:p>
      <w:pPr>
        <w:spacing w:line="640" w:lineRule="exact"/>
        <w:ind w:right="-1" w:firstLine="642" w:firstLineChars="200"/>
        <w:jc w:val="left"/>
        <w:rPr>
          <w:rFonts w:ascii="楷体_GB2312" w:eastAsia="楷体_GB2312" w:cs="楷体_GB2312"/>
          <w:b/>
          <w:bCs/>
          <w:sz w:val="32"/>
          <w:szCs w:val="32"/>
        </w:rPr>
      </w:pPr>
      <w:r>
        <w:rPr>
          <w:rFonts w:hint="eastAsia" w:ascii="楷体_GB2312" w:eastAsia="楷体_GB2312" w:cs="楷体_GB2312"/>
          <w:b/>
          <w:bCs/>
          <w:sz w:val="32"/>
          <w:szCs w:val="32"/>
        </w:rPr>
        <w:t>（二）存在问题</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绩效目标设定有待更科学更合理。</w:t>
      </w:r>
    </w:p>
    <w:p>
      <w:pPr>
        <w:spacing w:line="576" w:lineRule="exact"/>
        <w:ind w:firstLine="642" w:firstLineChars="200"/>
        <w:rPr>
          <w:rFonts w:ascii="楷体_GB2312" w:eastAsia="楷体_GB2312" w:cs="楷体_GB2312"/>
          <w:b/>
          <w:bCs/>
          <w:sz w:val="32"/>
          <w:szCs w:val="32"/>
        </w:rPr>
      </w:pPr>
      <w:r>
        <w:rPr>
          <w:rFonts w:hint="eastAsia" w:ascii="楷体_GB2312" w:eastAsia="楷体_GB2312" w:cs="楷体_GB2312"/>
          <w:b/>
          <w:bCs/>
          <w:sz w:val="32"/>
          <w:szCs w:val="32"/>
        </w:rPr>
        <w:t>（三）改进建议</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针对存在的问题，我们将进一步科学设定绩效目标，加强预算执行管理。改进部门收支预算编制，夯实预算基础工作，提高预算编制质量。</w:t>
      </w: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ascii="黑体" w:eastAsia="黑体" w:cs="黑体"/>
          <w:sz w:val="32"/>
          <w:szCs w:val="32"/>
        </w:rPr>
      </w:pPr>
      <w:bookmarkStart w:id="105" w:name="_Toc15396618"/>
      <w:bookmarkStart w:id="106" w:name="_Toc79163885"/>
      <w:bookmarkStart w:id="107" w:name="_Toc79163635"/>
    </w:p>
    <w:p>
      <w:pPr>
        <w:spacing w:line="600" w:lineRule="exact"/>
        <w:jc w:val="center"/>
        <w:outlineLvl w:val="0"/>
        <w:rPr>
          <w:rFonts w:ascii="黑体" w:eastAsia="黑体" w:cs="黑体"/>
          <w:sz w:val="32"/>
          <w:szCs w:val="32"/>
        </w:rPr>
      </w:pPr>
    </w:p>
    <w:p>
      <w:pPr>
        <w:spacing w:line="600" w:lineRule="exact"/>
        <w:jc w:val="center"/>
        <w:outlineLvl w:val="0"/>
        <w:rPr>
          <w:rFonts w:ascii="黑体" w:eastAsia="黑体" w:cs="黑体"/>
          <w:sz w:val="32"/>
          <w:szCs w:val="32"/>
        </w:rPr>
      </w:pPr>
    </w:p>
    <w:p>
      <w:pPr>
        <w:spacing w:line="600" w:lineRule="exact"/>
        <w:jc w:val="center"/>
        <w:outlineLvl w:val="0"/>
        <w:rPr>
          <w:rFonts w:ascii="黑体" w:eastAsia="黑体" w:cs="黑体"/>
          <w:sz w:val="32"/>
          <w:szCs w:val="32"/>
        </w:rPr>
      </w:pPr>
    </w:p>
    <w:p>
      <w:pPr>
        <w:spacing w:line="600" w:lineRule="exact"/>
        <w:jc w:val="center"/>
        <w:outlineLvl w:val="0"/>
        <w:rPr>
          <w:rFonts w:ascii="黑体" w:eastAsia="黑体" w:cs="黑体"/>
          <w:sz w:val="32"/>
          <w:szCs w:val="32"/>
        </w:rPr>
      </w:pPr>
    </w:p>
    <w:p>
      <w:pPr>
        <w:spacing w:line="600" w:lineRule="exact"/>
        <w:jc w:val="center"/>
        <w:outlineLvl w:val="0"/>
        <w:rPr>
          <w:rFonts w:ascii="黑体" w:eastAsia="黑体" w:cs="黑体"/>
          <w:sz w:val="32"/>
          <w:szCs w:val="32"/>
        </w:rPr>
      </w:pPr>
    </w:p>
    <w:p>
      <w:pPr>
        <w:spacing w:line="600" w:lineRule="exact"/>
        <w:jc w:val="center"/>
        <w:outlineLvl w:val="0"/>
        <w:rPr>
          <w:rFonts w:ascii="黑体" w:eastAsia="黑体" w:cs="黑体"/>
          <w:sz w:val="32"/>
          <w:szCs w:val="32"/>
        </w:rPr>
      </w:pPr>
    </w:p>
    <w:p>
      <w:pPr>
        <w:spacing w:line="600" w:lineRule="exact"/>
        <w:jc w:val="center"/>
        <w:outlineLvl w:val="0"/>
        <w:rPr>
          <w:rFonts w:ascii="黑体" w:eastAsia="黑体" w:cs="黑体"/>
          <w:sz w:val="32"/>
          <w:szCs w:val="32"/>
        </w:rPr>
      </w:pPr>
    </w:p>
    <w:p>
      <w:pPr>
        <w:spacing w:line="600" w:lineRule="exact"/>
        <w:jc w:val="center"/>
        <w:outlineLvl w:val="0"/>
        <w:rPr>
          <w:rFonts w:ascii="黑体" w:eastAsia="黑体" w:cs="黑体"/>
          <w:sz w:val="32"/>
          <w:szCs w:val="32"/>
        </w:rPr>
      </w:pPr>
    </w:p>
    <w:p>
      <w:pPr>
        <w:spacing w:line="600" w:lineRule="exact"/>
        <w:outlineLvl w:val="0"/>
        <w:rPr>
          <w:rFonts w:ascii="黑体" w:eastAsia="黑体" w:cs="黑体"/>
          <w:sz w:val="32"/>
          <w:szCs w:val="32"/>
        </w:rPr>
      </w:pPr>
    </w:p>
    <w:p>
      <w:pPr>
        <w:spacing w:line="600" w:lineRule="exact"/>
        <w:jc w:val="center"/>
        <w:outlineLvl w:val="0"/>
        <w:rPr>
          <w:rFonts w:ascii="黑体" w:eastAsia="黑体" w:cs="黑体"/>
          <w:sz w:val="32"/>
          <w:szCs w:val="32"/>
        </w:rPr>
      </w:pPr>
    </w:p>
    <w:p>
      <w:pPr>
        <w:spacing w:line="600" w:lineRule="exact"/>
        <w:outlineLvl w:val="0"/>
        <w:rPr>
          <w:rFonts w:ascii="黑体" w:eastAsia="黑体" w:cs="黑体"/>
          <w:sz w:val="32"/>
          <w:szCs w:val="32"/>
        </w:rPr>
      </w:pPr>
    </w:p>
    <w:p>
      <w:pPr>
        <w:spacing w:line="600" w:lineRule="exact"/>
        <w:jc w:val="center"/>
        <w:outlineLvl w:val="0"/>
        <w:rPr>
          <w:rStyle w:val="22"/>
          <w:rFonts w:ascii="黑体" w:eastAsia="黑体"/>
          <w:b w:val="0"/>
        </w:rPr>
      </w:pPr>
      <w:r>
        <w:rPr>
          <w:rFonts w:hint="eastAsia" w:ascii="黑体" w:eastAsia="黑体"/>
          <w:color w:val="000000"/>
          <w:sz w:val="44"/>
          <w:szCs w:val="44"/>
        </w:rPr>
        <w:t>第</w:t>
      </w:r>
      <w:r>
        <w:rPr>
          <w:rStyle w:val="22"/>
          <w:rFonts w:hint="eastAsia" w:ascii="黑体" w:eastAsia="黑体"/>
          <w:b w:val="0"/>
        </w:rPr>
        <w:t>五部分</w:t>
      </w:r>
      <w:r>
        <w:rPr>
          <w:rStyle w:val="22"/>
          <w:rFonts w:ascii="黑体" w:eastAsia="黑体"/>
          <w:b w:val="0"/>
        </w:rPr>
        <w:t xml:space="preserve"> </w:t>
      </w:r>
      <w:r>
        <w:rPr>
          <w:rStyle w:val="22"/>
          <w:rFonts w:hint="eastAsia" w:ascii="黑体" w:eastAsia="黑体"/>
          <w:b w:val="0"/>
        </w:rPr>
        <w:t>附表</w:t>
      </w:r>
      <w:bookmarkEnd w:id="97"/>
      <w:bookmarkEnd w:id="105"/>
      <w:bookmarkEnd w:id="106"/>
      <w:bookmarkEnd w:id="107"/>
    </w:p>
    <w:p>
      <w:pPr>
        <w:spacing w:line="576" w:lineRule="exact"/>
        <w:ind w:firstLine="640" w:firstLineChars="200"/>
        <w:rPr>
          <w:rFonts w:ascii="黑体" w:eastAsia="黑体" w:cs="黑体"/>
          <w:bCs/>
          <w:sz w:val="32"/>
          <w:szCs w:val="32"/>
          <w:shd w:val="clear" w:color="auto" w:fill="auto"/>
        </w:rPr>
      </w:pPr>
      <w:bookmarkStart w:id="108" w:name="_Toc79163636"/>
      <w:bookmarkStart w:id="109" w:name="_Toc79163886"/>
      <w:bookmarkStart w:id="110" w:name="_Toc15396619"/>
    </w:p>
    <w:p>
      <w:pPr>
        <w:spacing w:line="576"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一、收入支出决算总表</w:t>
      </w:r>
      <w:bookmarkEnd w:id="108"/>
      <w:bookmarkEnd w:id="109"/>
      <w:bookmarkEnd w:id="110"/>
    </w:p>
    <w:p>
      <w:pPr>
        <w:spacing w:line="576" w:lineRule="exact"/>
        <w:ind w:firstLine="640" w:firstLineChars="200"/>
        <w:rPr>
          <w:rFonts w:hint="eastAsia" w:ascii="仿宋_GB2312" w:eastAsia="仿宋_GB2312" w:cs="Times New Roman"/>
          <w:sz w:val="32"/>
          <w:szCs w:val="32"/>
        </w:rPr>
      </w:pPr>
      <w:bookmarkStart w:id="111" w:name="_Toc15396620"/>
      <w:bookmarkStart w:id="112" w:name="_Toc79163887"/>
      <w:bookmarkStart w:id="113" w:name="_Toc79163637"/>
      <w:r>
        <w:rPr>
          <w:rFonts w:hint="eastAsia" w:ascii="仿宋_GB2312" w:eastAsia="仿宋_GB2312" w:cs="Times New Roman"/>
          <w:sz w:val="32"/>
          <w:szCs w:val="32"/>
        </w:rPr>
        <w:t>二、收入决算表</w:t>
      </w:r>
      <w:bookmarkEnd w:id="111"/>
      <w:bookmarkEnd w:id="112"/>
      <w:bookmarkEnd w:id="113"/>
    </w:p>
    <w:p>
      <w:pPr>
        <w:spacing w:line="576" w:lineRule="exact"/>
        <w:ind w:firstLine="640" w:firstLineChars="200"/>
        <w:rPr>
          <w:rFonts w:hint="eastAsia" w:ascii="仿宋_GB2312" w:eastAsia="仿宋_GB2312" w:cs="Times New Roman"/>
          <w:sz w:val="32"/>
          <w:szCs w:val="32"/>
        </w:rPr>
      </w:pPr>
      <w:bookmarkStart w:id="114" w:name="_Toc15396621"/>
      <w:bookmarkStart w:id="115" w:name="_Toc79163638"/>
      <w:bookmarkStart w:id="116" w:name="_Toc79163888"/>
      <w:r>
        <w:rPr>
          <w:rFonts w:hint="eastAsia" w:ascii="仿宋_GB2312" w:eastAsia="仿宋_GB2312" w:cs="Times New Roman"/>
          <w:sz w:val="32"/>
          <w:szCs w:val="32"/>
        </w:rPr>
        <w:t>三、支出决算表</w:t>
      </w:r>
      <w:bookmarkEnd w:id="114"/>
      <w:bookmarkEnd w:id="115"/>
      <w:bookmarkEnd w:id="116"/>
    </w:p>
    <w:p>
      <w:pPr>
        <w:spacing w:line="576" w:lineRule="exact"/>
        <w:ind w:firstLine="640" w:firstLineChars="200"/>
        <w:rPr>
          <w:rFonts w:hint="eastAsia" w:ascii="仿宋_GB2312" w:eastAsia="仿宋_GB2312" w:cs="Times New Roman"/>
          <w:sz w:val="32"/>
          <w:szCs w:val="32"/>
        </w:rPr>
      </w:pPr>
      <w:bookmarkStart w:id="117" w:name="_Toc79163639"/>
      <w:bookmarkStart w:id="118" w:name="_Toc15396622"/>
      <w:bookmarkStart w:id="119" w:name="_Toc79163889"/>
      <w:r>
        <w:rPr>
          <w:rFonts w:hint="eastAsia" w:ascii="仿宋_GB2312" w:eastAsia="仿宋_GB2312" w:cs="Times New Roman"/>
          <w:sz w:val="32"/>
          <w:szCs w:val="32"/>
        </w:rPr>
        <w:t>四、财政拨款收入支出决算总表</w:t>
      </w:r>
      <w:bookmarkEnd w:id="117"/>
      <w:bookmarkEnd w:id="118"/>
      <w:bookmarkEnd w:id="119"/>
    </w:p>
    <w:p>
      <w:pPr>
        <w:spacing w:line="576" w:lineRule="exact"/>
        <w:ind w:firstLine="640" w:firstLineChars="200"/>
        <w:rPr>
          <w:rFonts w:hint="eastAsia" w:ascii="仿宋_GB2312" w:eastAsia="仿宋_GB2312" w:cs="Times New Roman"/>
          <w:sz w:val="32"/>
          <w:szCs w:val="32"/>
        </w:rPr>
      </w:pPr>
      <w:bookmarkStart w:id="120" w:name="_Toc79163640"/>
      <w:bookmarkStart w:id="121" w:name="_Toc79163890"/>
      <w:bookmarkStart w:id="122" w:name="_Toc15396623"/>
      <w:r>
        <w:rPr>
          <w:rFonts w:hint="eastAsia" w:ascii="仿宋_GB2312" w:eastAsia="仿宋_GB2312" w:cs="Times New Roman"/>
          <w:sz w:val="32"/>
          <w:szCs w:val="32"/>
        </w:rPr>
        <w:t>五、财政拨款支出决算明细表</w:t>
      </w:r>
      <w:bookmarkEnd w:id="120"/>
      <w:bookmarkEnd w:id="121"/>
      <w:bookmarkEnd w:id="122"/>
      <w:bookmarkStart w:id="123" w:name="_Toc15396624"/>
    </w:p>
    <w:p>
      <w:pPr>
        <w:spacing w:line="576" w:lineRule="exact"/>
        <w:ind w:firstLine="640" w:firstLineChars="200"/>
        <w:rPr>
          <w:rFonts w:hint="eastAsia" w:ascii="仿宋_GB2312" w:eastAsia="仿宋_GB2312" w:cs="Times New Roman"/>
          <w:sz w:val="32"/>
          <w:szCs w:val="32"/>
        </w:rPr>
      </w:pPr>
      <w:bookmarkStart w:id="124" w:name="_Toc79163641"/>
      <w:bookmarkStart w:id="125" w:name="_Toc79163891"/>
      <w:r>
        <w:rPr>
          <w:rFonts w:hint="eastAsia" w:ascii="仿宋_GB2312" w:eastAsia="仿宋_GB2312" w:cs="Times New Roman"/>
          <w:sz w:val="32"/>
          <w:szCs w:val="32"/>
        </w:rPr>
        <w:t>六、一般公共预算财政拨款支出决算表</w:t>
      </w:r>
      <w:bookmarkEnd w:id="123"/>
      <w:bookmarkEnd w:id="124"/>
      <w:bookmarkEnd w:id="125"/>
    </w:p>
    <w:p>
      <w:pPr>
        <w:spacing w:line="576" w:lineRule="exact"/>
        <w:ind w:firstLine="640" w:firstLineChars="200"/>
        <w:rPr>
          <w:rFonts w:hint="eastAsia" w:ascii="仿宋_GB2312" w:eastAsia="仿宋_GB2312" w:cs="Times New Roman"/>
          <w:sz w:val="32"/>
          <w:szCs w:val="32"/>
        </w:rPr>
      </w:pPr>
      <w:bookmarkStart w:id="126" w:name="_Toc79163642"/>
      <w:bookmarkStart w:id="127" w:name="_Toc15396625"/>
      <w:bookmarkStart w:id="128" w:name="_Toc79163892"/>
      <w:r>
        <w:rPr>
          <w:rFonts w:hint="eastAsia" w:ascii="仿宋_GB2312" w:eastAsia="仿宋_GB2312" w:cs="Times New Roman"/>
          <w:sz w:val="32"/>
          <w:szCs w:val="32"/>
        </w:rPr>
        <w:t>七、一般公共预算财政拨款支出决算明细表</w:t>
      </w:r>
      <w:bookmarkEnd w:id="126"/>
      <w:bookmarkEnd w:id="127"/>
      <w:bookmarkEnd w:id="128"/>
    </w:p>
    <w:p>
      <w:pPr>
        <w:spacing w:line="576" w:lineRule="exact"/>
        <w:ind w:firstLine="640" w:firstLineChars="200"/>
        <w:rPr>
          <w:rFonts w:hint="eastAsia" w:ascii="仿宋_GB2312" w:eastAsia="仿宋_GB2312" w:cs="Times New Roman"/>
          <w:sz w:val="32"/>
          <w:szCs w:val="32"/>
        </w:rPr>
      </w:pPr>
      <w:bookmarkStart w:id="129" w:name="_Toc79163643"/>
      <w:bookmarkStart w:id="130" w:name="_Toc79163893"/>
      <w:bookmarkStart w:id="131" w:name="_Toc15396626"/>
      <w:r>
        <w:rPr>
          <w:rFonts w:hint="eastAsia" w:ascii="仿宋_GB2312" w:eastAsia="仿宋_GB2312" w:cs="Times New Roman"/>
          <w:sz w:val="32"/>
          <w:szCs w:val="32"/>
        </w:rPr>
        <w:t>八、一般公共预算财政拨款基本支出决算表</w:t>
      </w:r>
      <w:bookmarkEnd w:id="129"/>
      <w:bookmarkEnd w:id="130"/>
      <w:bookmarkEnd w:id="131"/>
    </w:p>
    <w:p>
      <w:pPr>
        <w:spacing w:line="576" w:lineRule="exact"/>
        <w:ind w:firstLine="640" w:firstLineChars="200"/>
        <w:rPr>
          <w:rFonts w:hint="eastAsia" w:ascii="仿宋_GB2312" w:eastAsia="仿宋_GB2312" w:cs="Times New Roman"/>
          <w:sz w:val="32"/>
          <w:szCs w:val="32"/>
        </w:rPr>
      </w:pPr>
      <w:bookmarkStart w:id="132" w:name="_Toc79163644"/>
      <w:bookmarkStart w:id="133" w:name="_Toc15396627"/>
      <w:bookmarkStart w:id="134" w:name="_Toc79163894"/>
      <w:r>
        <w:rPr>
          <w:rFonts w:hint="eastAsia" w:ascii="仿宋_GB2312" w:eastAsia="仿宋_GB2312" w:cs="Times New Roman"/>
          <w:sz w:val="32"/>
          <w:szCs w:val="32"/>
        </w:rPr>
        <w:t>九、一般公共预算财政拨款项目支出决算表</w:t>
      </w:r>
      <w:bookmarkEnd w:id="132"/>
      <w:bookmarkEnd w:id="133"/>
      <w:bookmarkEnd w:id="134"/>
    </w:p>
    <w:p>
      <w:pPr>
        <w:spacing w:line="576" w:lineRule="exact"/>
        <w:ind w:firstLine="640" w:firstLineChars="200"/>
        <w:rPr>
          <w:rFonts w:hint="eastAsia" w:ascii="仿宋_GB2312" w:eastAsia="仿宋_GB2312" w:cs="Times New Roman"/>
          <w:sz w:val="32"/>
          <w:szCs w:val="32"/>
        </w:rPr>
      </w:pPr>
      <w:bookmarkStart w:id="135" w:name="_Toc79163645"/>
      <w:bookmarkStart w:id="136" w:name="_Toc79163895"/>
      <w:bookmarkStart w:id="137" w:name="_Toc15396628"/>
      <w:r>
        <w:rPr>
          <w:rFonts w:hint="eastAsia" w:ascii="仿宋_GB2312" w:eastAsia="仿宋_GB2312" w:cs="Times New Roman"/>
          <w:sz w:val="32"/>
          <w:szCs w:val="32"/>
        </w:rPr>
        <w:t>十、一般公共预算财政拨款“三公”经费支出决算表</w:t>
      </w:r>
      <w:bookmarkEnd w:id="135"/>
      <w:bookmarkEnd w:id="136"/>
      <w:bookmarkEnd w:id="137"/>
    </w:p>
    <w:p>
      <w:pPr>
        <w:spacing w:line="576" w:lineRule="exact"/>
        <w:ind w:firstLine="640" w:firstLineChars="200"/>
        <w:rPr>
          <w:rFonts w:hint="eastAsia" w:ascii="仿宋_GB2312" w:eastAsia="仿宋_GB2312" w:cs="Times New Roman"/>
          <w:sz w:val="32"/>
          <w:szCs w:val="32"/>
        </w:rPr>
      </w:pPr>
      <w:bookmarkStart w:id="138" w:name="_Toc79163646"/>
      <w:bookmarkStart w:id="139" w:name="_Toc15396629"/>
      <w:bookmarkStart w:id="140" w:name="_Toc79163896"/>
      <w:r>
        <w:rPr>
          <w:rFonts w:hint="eastAsia" w:ascii="仿宋_GB2312" w:eastAsia="仿宋_GB2312" w:cs="Times New Roman"/>
          <w:sz w:val="32"/>
          <w:szCs w:val="32"/>
        </w:rPr>
        <w:t>十一、政府性基金预算财政拨款收入支出决算表</w:t>
      </w:r>
      <w:bookmarkEnd w:id="138"/>
      <w:bookmarkEnd w:id="139"/>
      <w:bookmarkEnd w:id="140"/>
    </w:p>
    <w:p>
      <w:pPr>
        <w:spacing w:line="576" w:lineRule="exact"/>
        <w:ind w:firstLine="640" w:firstLineChars="200"/>
        <w:rPr>
          <w:rFonts w:hint="eastAsia" w:ascii="仿宋_GB2312" w:eastAsia="仿宋_GB2312" w:cs="Times New Roman"/>
          <w:sz w:val="32"/>
          <w:szCs w:val="32"/>
        </w:rPr>
      </w:pPr>
      <w:bookmarkStart w:id="141" w:name="_Toc79163647"/>
      <w:bookmarkStart w:id="142" w:name="_Toc79163897"/>
      <w:bookmarkStart w:id="143" w:name="_Toc15396630"/>
      <w:r>
        <w:rPr>
          <w:rFonts w:hint="eastAsia" w:ascii="仿宋_GB2312" w:eastAsia="仿宋_GB2312" w:cs="Times New Roman"/>
          <w:sz w:val="32"/>
          <w:szCs w:val="32"/>
        </w:rPr>
        <w:t>十二、政府性基金预算财政拨款“三公”经费支出决算表</w:t>
      </w:r>
      <w:bookmarkEnd w:id="141"/>
      <w:bookmarkEnd w:id="142"/>
      <w:bookmarkEnd w:id="143"/>
    </w:p>
    <w:p>
      <w:pPr>
        <w:spacing w:line="576" w:lineRule="exact"/>
        <w:ind w:firstLine="640" w:firstLineChars="200"/>
        <w:rPr>
          <w:rFonts w:hint="eastAsia" w:ascii="仿宋_GB2312" w:eastAsia="仿宋_GB2312" w:cs="Times New Roman"/>
          <w:sz w:val="32"/>
          <w:szCs w:val="32"/>
        </w:rPr>
      </w:pPr>
      <w:bookmarkStart w:id="144" w:name="_Toc79163648"/>
      <w:bookmarkStart w:id="145" w:name="_Toc15396631"/>
      <w:bookmarkStart w:id="146" w:name="_Toc79163898"/>
      <w:r>
        <w:rPr>
          <w:rFonts w:hint="eastAsia" w:ascii="仿宋_GB2312" w:eastAsia="仿宋_GB2312" w:cs="Times New Roman"/>
          <w:sz w:val="32"/>
          <w:szCs w:val="32"/>
        </w:rPr>
        <w:t>十三、国有资本经营预算财政拨款支出决算表</w:t>
      </w:r>
      <w:bookmarkEnd w:id="144"/>
      <w:bookmarkEnd w:id="145"/>
      <w:bookmarkEnd w:id="146"/>
    </w:p>
    <w:p>
      <w:pPr>
        <w:spacing w:line="576" w:lineRule="exact"/>
        <w:ind w:firstLine="640" w:firstLineChars="200"/>
        <w:rPr>
          <w:rFonts w:hint="eastAsia" w:ascii="仿宋_GB2312" w:eastAsia="仿宋_GB2312" w:cs="Times New Roman"/>
          <w:sz w:val="32"/>
          <w:szCs w:val="32"/>
        </w:rPr>
      </w:pPr>
      <w:bookmarkStart w:id="147" w:name="_Toc79163899"/>
      <w:bookmarkStart w:id="148" w:name="_Toc79163649"/>
      <w:r>
        <w:rPr>
          <w:rFonts w:hint="eastAsia" w:ascii="仿宋_GB2312" w:eastAsia="仿宋_GB2312" w:cs="Times New Roman"/>
          <w:sz w:val="32"/>
          <w:szCs w:val="32"/>
        </w:rPr>
        <w:t>十四、国有资本经营预算财政拨款支出决算表</w:t>
      </w:r>
      <w:bookmarkEnd w:id="147"/>
      <w:bookmarkEnd w:id="148"/>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1"/>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w:altName w:val="仿宋_GB2312"/>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仿宋_GB2312"/>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2">
    <w:nsid w:val="2F523E50"/>
    <w:multiLevelType w:val="multilevel"/>
    <w:tmpl w:val="2F523E50"/>
    <w:lvl w:ilvl="0" w:tentative="0">
      <w:start w:val="1"/>
      <w:numFmt w:val="chineseCountingThousand"/>
      <w:lvlText w:val="（%1）"/>
      <w:lvlJc w:val="left"/>
      <w:pPr>
        <w:ind w:left="1611" w:hanging="971"/>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Dg5NDgyMzY0MTJkN2JjODM0ZTkzMDQ0ZWRmMGNiZGEifQ=="/>
  </w:docVars>
  <w:rsids>
    <w:rsidRoot w:val="00000000"/>
    <w:rsid w:val="75F704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3"/>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30" w:beforeLines="30"/>
    </w:pPr>
    <w:rPr>
      <w:rFonts w:ascii="仿宋_GB2312" w:eastAsia="仿宋_GB2312"/>
      <w:kern w:val="0"/>
      <w:sz w:val="24"/>
      <w:szCs w:val="20"/>
    </w:rPr>
  </w:style>
  <w:style w:type="paragraph" w:styleId="7">
    <w:name w:val="toc 5"/>
    <w:basedOn w:val="1"/>
    <w:next w:val="1"/>
    <w:qFormat/>
    <w:uiPriority w:val="0"/>
    <w:pPr>
      <w:ind w:left="840"/>
      <w:jc w:val="left"/>
    </w:pPr>
    <w:rPr>
      <w:rFonts w:ascii="等线" w:eastAsia="等线"/>
      <w:sz w:val="18"/>
      <w:szCs w:val="18"/>
    </w:rPr>
  </w:style>
  <w:style w:type="paragraph" w:styleId="8">
    <w:name w:val="toc 3"/>
    <w:basedOn w:val="1"/>
    <w:next w:val="1"/>
    <w:qFormat/>
    <w:uiPriority w:val="0"/>
    <w:pPr>
      <w:ind w:left="420"/>
      <w:jc w:val="left"/>
    </w:pPr>
    <w:rPr>
      <w:rFonts w:ascii="等线" w:eastAsia="等线"/>
      <w:i/>
      <w:iCs/>
      <w:sz w:val="20"/>
      <w:szCs w:val="20"/>
    </w:rPr>
  </w:style>
  <w:style w:type="paragraph" w:styleId="9">
    <w:name w:val="toc 8"/>
    <w:basedOn w:val="1"/>
    <w:next w:val="1"/>
    <w:qFormat/>
    <w:uiPriority w:val="0"/>
    <w:pPr>
      <w:ind w:left="1470"/>
      <w:jc w:val="left"/>
    </w:pPr>
    <w:rPr>
      <w:rFonts w:ascii="等线" w:eastAsia="等线"/>
      <w:sz w:val="18"/>
      <w:szCs w:val="18"/>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0"/>
    <w:pPr>
      <w:spacing w:before="120" w:after="120"/>
      <w:jc w:val="left"/>
    </w:pPr>
    <w:rPr>
      <w:rFonts w:ascii="等线" w:eastAsia="等线"/>
      <w:b/>
      <w:bCs/>
      <w:caps/>
      <w:sz w:val="20"/>
      <w:szCs w:val="20"/>
    </w:rPr>
  </w:style>
  <w:style w:type="paragraph" w:styleId="14">
    <w:name w:val="toc 4"/>
    <w:basedOn w:val="1"/>
    <w:next w:val="1"/>
    <w:qFormat/>
    <w:uiPriority w:val="0"/>
    <w:pPr>
      <w:ind w:left="630"/>
      <w:jc w:val="left"/>
    </w:pPr>
    <w:rPr>
      <w:rFonts w:ascii="等线" w:eastAsia="等线"/>
      <w:sz w:val="18"/>
      <w:szCs w:val="18"/>
    </w:rPr>
  </w:style>
  <w:style w:type="paragraph" w:styleId="15">
    <w:name w:val="toc 6"/>
    <w:basedOn w:val="1"/>
    <w:next w:val="1"/>
    <w:qFormat/>
    <w:uiPriority w:val="0"/>
    <w:pPr>
      <w:ind w:left="1050"/>
      <w:jc w:val="left"/>
    </w:pPr>
    <w:rPr>
      <w:rFonts w:ascii="等线" w:eastAsia="等线"/>
      <w:sz w:val="18"/>
      <w:szCs w:val="18"/>
    </w:rPr>
  </w:style>
  <w:style w:type="paragraph" w:styleId="16">
    <w:name w:val="toc 2"/>
    <w:basedOn w:val="1"/>
    <w:next w:val="1"/>
    <w:qFormat/>
    <w:uiPriority w:val="0"/>
    <w:pPr>
      <w:ind w:left="210"/>
      <w:jc w:val="left"/>
    </w:pPr>
    <w:rPr>
      <w:rFonts w:ascii="等线" w:eastAsia="等线"/>
      <w:smallCaps/>
      <w:sz w:val="20"/>
      <w:szCs w:val="20"/>
    </w:rPr>
  </w:style>
  <w:style w:type="paragraph" w:styleId="17">
    <w:name w:val="toc 9"/>
    <w:basedOn w:val="1"/>
    <w:next w:val="1"/>
    <w:qFormat/>
    <w:uiPriority w:val="0"/>
    <w:pPr>
      <w:ind w:left="1680"/>
      <w:jc w:val="left"/>
    </w:pPr>
    <w:rPr>
      <w:rFonts w:ascii="等线" w:eastAsia="等线"/>
      <w:sz w:val="18"/>
      <w:szCs w:val="18"/>
    </w:rPr>
  </w:style>
  <w:style w:type="character" w:styleId="20">
    <w:name w:val="Strong"/>
    <w:basedOn w:val="19"/>
    <w:qFormat/>
    <w:uiPriority w:val="0"/>
    <w:rPr>
      <w:rFonts w:cs="Times New Roman"/>
      <w:b/>
    </w:rPr>
  </w:style>
  <w:style w:type="character" w:styleId="21">
    <w:name w:val="Hyperlink"/>
    <w:basedOn w:val="19"/>
    <w:qFormat/>
    <w:uiPriority w:val="0"/>
    <w:rPr>
      <w:rFonts w:cs="Times New Roman"/>
      <w:color w:val="0000FF"/>
      <w:u w:val="single"/>
    </w:rPr>
  </w:style>
  <w:style w:type="character" w:customStyle="1" w:styleId="22">
    <w:name w:val="heading 1 Char"/>
    <w:basedOn w:val="19"/>
    <w:link w:val="2"/>
    <w:qFormat/>
    <w:uiPriority w:val="0"/>
    <w:rPr>
      <w:rFonts w:ascii="Times New Roman" w:hAnsi="Times New Roman" w:eastAsia="宋体" w:cs="Times New Roman"/>
      <w:b/>
      <w:bCs/>
      <w:kern w:val="44"/>
      <w:sz w:val="44"/>
      <w:szCs w:val="44"/>
      <w:lang w:val="en-US" w:eastAsia="zh-CN" w:bidi="ar-SA"/>
    </w:rPr>
  </w:style>
  <w:style w:type="character" w:customStyle="1" w:styleId="23">
    <w:name w:val="heading 2 Char"/>
    <w:basedOn w:val="19"/>
    <w:link w:val="3"/>
    <w:qFormat/>
    <w:uiPriority w:val="0"/>
    <w:rPr>
      <w:rFonts w:ascii="Cambria" w:hAnsi="Cambria" w:eastAsia="宋体" w:cs="Times New Roman"/>
      <w:b/>
      <w:bCs/>
      <w:kern w:val="2"/>
      <w:sz w:val="32"/>
      <w:szCs w:val="32"/>
      <w:lang w:val="en-US" w:eastAsia="zh-CN" w:bidi="ar-SA"/>
    </w:rPr>
  </w:style>
  <w:style w:type="character" w:customStyle="1" w:styleId="24">
    <w:name w:val="Body Text Char"/>
    <w:basedOn w:val="19"/>
    <w:qFormat/>
    <w:uiPriority w:val="0"/>
    <w:rPr>
      <w:rFonts w:ascii="Times New Roman" w:hAnsi="Times New Roman" w:cs="Times New Roman"/>
      <w:sz w:val="24"/>
      <w:szCs w:val="24"/>
    </w:rPr>
  </w:style>
  <w:style w:type="character" w:customStyle="1" w:styleId="25">
    <w:name w:val="Footer Char"/>
    <w:basedOn w:val="19"/>
    <w:qFormat/>
    <w:uiPriority w:val="0"/>
    <w:rPr>
      <w:rFonts w:ascii="Times New Roman" w:hAnsi="Times New Roman" w:cs="Times New Roman"/>
      <w:sz w:val="18"/>
      <w:szCs w:val="18"/>
    </w:rPr>
  </w:style>
  <w:style w:type="character" w:customStyle="1" w:styleId="26">
    <w:name w:val="Header Char"/>
    <w:basedOn w:val="19"/>
    <w:qFormat/>
    <w:uiPriority w:val="0"/>
    <w:rPr>
      <w:rFonts w:ascii="Times New Roman" w:hAnsi="Times New Roman" w:cs="Times New Roman"/>
      <w:sz w:val="18"/>
      <w:szCs w:val="18"/>
    </w:rPr>
  </w:style>
  <w:style w:type="paragraph" w:customStyle="1" w:styleId="2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8">
    <w:name w:val="列表段落1"/>
    <w:basedOn w:val="1"/>
    <w:qFormat/>
    <w:uiPriority w:val="0"/>
    <w:pPr>
      <w:ind w:firstLine="200" w:firstLineChars="200"/>
    </w:pPr>
  </w:style>
  <w:style w:type="paragraph" w:customStyle="1" w:styleId="29">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0">
    <w:name w:val="TOC Heading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
    <w:basedOn w:val="2"/>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800" b="0" i="0" u="none" strike="noStrike" kern="1200" baseline="0">
                <a:solidFill>
                  <a:srgbClr val="939393"/>
                </a:solidFill>
                <a:latin typeface="Times New Roman" panose="02020603050405020304"/>
                <a:ea typeface="宋体"/>
                <a:cs typeface="Arial" panose="020B0604020202020204" pitchFamily="2"/>
              </a:defRPr>
            </a:pPr>
            <a:r>
              <a:rPr lang="zh-CN"/>
              <a:t>一般公共预算财政拨款收入</a:t>
            </a:r>
            <a:endParaRPr lang="zh-CN"/>
          </a:p>
        </c:rich>
      </c:tx>
      <c:layout>
        <c:manualLayout>
          <c:xMode val="edge"/>
          <c:yMode val="edge"/>
          <c:x val="0.32972223"/>
          <c:y val="0.106481485"/>
        </c:manualLayout>
      </c:layout>
      <c:overlay val="0"/>
      <c:spPr>
        <a:noFill/>
        <a:ln>
          <a:noFill/>
        </a:ln>
      </c:spPr>
    </c:title>
    <c:autoTitleDeleted val="0"/>
    <c:plotArea>
      <c:layout/>
      <c:pieChart>
        <c:varyColors val="1"/>
        <c:ser>
          <c:idx val="0"/>
          <c:order val="0"/>
          <c:spPr>
            <a:solidFill>
              <a:srgbClr val="4F81BD"/>
            </a:solidFill>
            <a:ln>
              <a:noFill/>
            </a:ln>
          </c:spPr>
          <c:explosion val="0"/>
          <c:dPt>
            <c:idx val="0"/>
            <c:bubble3D val="0"/>
            <c:spPr>
              <a:solidFill>
                <a:srgbClr val="4F81BD"/>
              </a:solidFill>
              <a:ln w="19050">
                <a:solidFill>
                  <a:srgbClr val="FFFFFF"/>
                </a:solidFill>
                <a:prstDash val="solid"/>
              </a:ln>
            </c:spPr>
          </c:dPt>
          <c:dLbls>
            <c:dLbl>
              <c:idx val="0"/>
              <c:layout>
                <c:manualLayout>
                  <c:x val="0.16985118"/>
                  <c:y val="-0.69535196"/>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707070"/>
                      </a:solidFill>
                      <a:latin typeface="Times New Roman" panose="02020603050405020304"/>
                      <a:ea typeface="宋体"/>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707070"/>
                    </a:solidFill>
                    <a:latin typeface="Times New Roman" panose="02020603050405020304"/>
                    <a:ea typeface="宋体"/>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val>
            <c:numRef>
              <c:f>{1}</c:f>
              <c:numCache>
                <c:formatCode>General</c:formatCode>
                <c:ptCount val="1"/>
                <c:pt idx="0">
                  <c:v>1</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939393"/>
              </a:solidFill>
              <a:latin typeface="Times New Roman" panose="02020603050405020304"/>
              <a:ea typeface="宋体"/>
              <a:cs typeface="Arial" panose="020B0604020202020204" pitchFamily="2"/>
            </a:defRPr>
          </a:pPr>
        </a:p>
      </c:txPr>
    </c:legend>
    <c:plotVisOnly val="1"/>
    <c:dispBlanksAs val="zero"/>
    <c:showDLblsOverMax val="0"/>
  </c:chart>
  <c:spPr>
    <a:solidFill>
      <a:srgbClr val="FFFFFF"/>
    </a:solidFill>
    <a:ln w="6350" cap="flat" cmpd="sng" algn="ctr">
      <a:solidFill>
        <a:srgbClr val="F9F9F9"/>
      </a:solidFill>
      <a:prstDash val="solid"/>
      <a:round/>
    </a:ln>
  </c:spPr>
  <c:txPr>
    <a:bodyPr/>
    <a:lstStyle/>
    <a:p>
      <a:pPr>
        <a:defRPr lang="zh-CN" sz="1000" b="0" i="0" u="none" strike="noStrike" baseline="0">
          <a:solidFill>
            <a:srgbClr val="000000"/>
          </a:solidFill>
          <a:latin typeface="Times New Roman" panose="02020603050405020304"/>
          <a:ea typeface="宋体"/>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800" b="0" i="0" u="none" strike="noStrike" kern="1200" baseline="0">
                <a:solidFill>
                  <a:srgbClr val="939393"/>
                </a:solidFill>
                <a:latin typeface="Times New Roman" panose="02020603050405020304"/>
                <a:ea typeface="宋体"/>
                <a:cs typeface="Arial" panose="020B0604020202020204" pitchFamily="2"/>
              </a:defRPr>
            </a:pPr>
            <a:r>
              <a:rPr lang="zh-CN"/>
              <a:t>基本支出</a:t>
            </a:r>
            <a:endParaRPr lang="zh-CN"/>
          </a:p>
        </c:rich>
      </c:tx>
      <c:layout>
        <c:manualLayout>
          <c:xMode val="edge"/>
          <c:yMode val="edge"/>
          <c:x val="0.42277777"/>
          <c:y val="0.104166664"/>
        </c:manualLayout>
      </c:layout>
      <c:overlay val="0"/>
      <c:spPr>
        <a:noFill/>
        <a:ln>
          <a:noFill/>
        </a:ln>
      </c:spPr>
    </c:title>
    <c:autoTitleDeleted val="0"/>
    <c:plotArea>
      <c:layout>
        <c:manualLayout>
          <c:layoutTarget val="inner"/>
          <c:xMode val="edge"/>
          <c:yMode val="edge"/>
          <c:x val="0.31362778"/>
          <c:y val="0.18509722"/>
          <c:w val="0.36996666"/>
          <c:h val="0.6166111"/>
        </c:manualLayout>
      </c:layout>
      <c:pieChart>
        <c:varyColors val="1"/>
        <c:ser>
          <c:idx val="0"/>
          <c:order val="0"/>
          <c:spPr>
            <a:solidFill>
              <a:srgbClr val="4F81BD"/>
            </a:solidFill>
            <a:ln>
              <a:noFill/>
            </a:ln>
          </c:spPr>
          <c:explosion val="0"/>
          <c:dPt>
            <c:idx val="0"/>
            <c:bubble3D val="0"/>
            <c:spPr>
              <a:solidFill>
                <a:srgbClr val="4F81BD"/>
              </a:solidFill>
              <a:ln w="19050">
                <a:solidFill>
                  <a:srgbClr val="FFFFFF"/>
                </a:solidFill>
                <a:prstDash val="solid"/>
              </a:ln>
            </c:spPr>
          </c:dPt>
          <c:dLbls>
            <c:dLbl>
              <c:idx val="0"/>
              <c:layout>
                <c:manualLayout>
                  <c:x val="0.06388822"/>
                  <c:y val="-0.7188697"/>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707070"/>
                      </a:solidFill>
                      <a:latin typeface="Times New Roman" panose="02020603050405020304"/>
                      <a:ea typeface="宋体"/>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707070"/>
                    </a:solidFill>
                    <a:latin typeface="Times New Roman" panose="02020603050405020304"/>
                    <a:ea typeface="宋体"/>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val>
            <c:numRef>
              <c:f>{1}</c:f>
              <c:numCache>
                <c:formatCode>General</c:formatCode>
                <c:ptCount val="1"/>
                <c:pt idx="0">
                  <c:v>1</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939393"/>
              </a:solidFill>
              <a:latin typeface="Times New Roman" panose="02020603050405020304"/>
              <a:ea typeface="宋体"/>
              <a:cs typeface="Arial" panose="020B0604020202020204" pitchFamily="2"/>
            </a:defRPr>
          </a:pPr>
        </a:p>
      </c:txPr>
    </c:legend>
    <c:plotVisOnly val="1"/>
    <c:dispBlanksAs val="zero"/>
    <c:showDLblsOverMax val="0"/>
  </c:chart>
  <c:spPr>
    <a:solidFill>
      <a:srgbClr val="FFFFFF"/>
    </a:solidFill>
    <a:ln w="6350" cap="flat" cmpd="sng" algn="ctr">
      <a:solidFill>
        <a:srgbClr val="F9F9F9"/>
      </a:solidFill>
      <a:prstDash val="solid"/>
      <a:round/>
    </a:ln>
  </c:spPr>
  <c:txPr>
    <a:bodyPr/>
    <a:lstStyle/>
    <a:p>
      <a:pPr>
        <a:defRPr lang="zh-CN" sz="1000" b="0" i="0" u="none" strike="noStrike" baseline="0">
          <a:solidFill>
            <a:srgbClr val="000000"/>
          </a:solidFill>
          <a:latin typeface="Times New Roman" panose="02020603050405020304"/>
          <a:ea typeface="宋体"/>
          <a:cs typeface="Arial" panose="020B0604020202020204" pitchFamily="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17</Pages>
  <Words>4573</Words>
  <Characters>4996</Characters>
  <Lines>349</Lines>
  <Paragraphs>172</Paragraphs>
  <TotalTime>47</TotalTime>
  <ScaleCrop>false</ScaleCrop>
  <LinksUpToDate>false</LinksUpToDate>
  <CharactersWithSpaces>5065</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2021-07-29T11:56:00Z</cp:lastPrinted>
  <dcterms:modified xsi:type="dcterms:W3CDTF">2026-05-08T09:05:44Z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C72BC30D7C2C4DEF9B7F79B226BE3785</vt:lpwstr>
  </property>
</Properties>
</file>