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4"/>
          <w:szCs w:val="44"/>
        </w:rPr>
      </w:pPr>
      <w:bookmarkStart w:id="1" w:name="_Toc15377425"/>
      <w:bookmarkStart w:id="2" w:name="_Toc15377193"/>
      <w:bookmarkStart w:id="3" w:name="_Toc15378441"/>
      <w:bookmarkStart w:id="4" w:name="_Toc15396597"/>
      <w:bookmarkStart w:id="5" w:name="_Toc15396475"/>
      <w:r>
        <w:rPr>
          <w:rFonts w:ascii="黑体" w:hAnsi="黑体" w:eastAsia="黑体"/>
          <w:color w:val="000000"/>
          <w:sz w:val="44"/>
          <w:szCs w:val="44"/>
        </w:rPr>
        <w:t>201</w:t>
      </w:r>
      <w:r>
        <w:rPr>
          <w:rFonts w:hint="eastAsia" w:ascii="黑体" w:hAnsi="黑体" w:eastAsia="黑体"/>
          <w:color w:val="000000"/>
          <w:sz w:val="44"/>
          <w:szCs w:val="44"/>
        </w:rPr>
        <w:t>9</w:t>
      </w:r>
      <w:r>
        <w:rPr>
          <w:rFonts w:hint="eastAsia" w:ascii="方正小标宋简体" w:hAnsi="宋体" w:eastAsia="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44"/>
          <w:szCs w:val="44"/>
          <w:lang w:eastAsia="zh-CN"/>
        </w:rPr>
      </w:pPr>
      <w:bookmarkStart w:id="6" w:name="_Toc15377426"/>
      <w:bookmarkStart w:id="7" w:name="_Toc15377194"/>
      <w:bookmarkStart w:id="8" w:name="_Toc15396598"/>
      <w:bookmarkStart w:id="9" w:name="_Toc15396476"/>
      <w:bookmarkStart w:id="10" w:name="_Toc15378442"/>
      <w:r>
        <w:rPr>
          <w:rFonts w:hint="eastAsia" w:ascii="方正小标宋简体" w:hAnsi="宋体" w:eastAsia="方正小标宋简体"/>
          <w:color w:val="000000"/>
          <w:sz w:val="44"/>
          <w:szCs w:val="44"/>
        </w:rPr>
        <w:t>四川省阿坝州</w:t>
      </w:r>
      <w:bookmarkEnd w:id="0"/>
      <w:bookmarkStart w:id="11" w:name="_Toc15306268"/>
      <w:r>
        <w:rPr>
          <w:rFonts w:hint="eastAsia" w:ascii="方正小标宋简体" w:hAnsi="宋体" w:eastAsia="方正小标宋简体"/>
          <w:color w:val="000000"/>
          <w:sz w:val="44"/>
          <w:szCs w:val="44"/>
          <w:lang w:eastAsia="zh-CN"/>
        </w:rPr>
        <w:t>茂县供销合作社联合社</w:t>
      </w:r>
    </w:p>
    <w:p>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widowControl/>
        <w:ind w:firstLine="1280" w:firstLineChars="400"/>
        <w:jc w:val="both"/>
        <w:rPr>
          <w:rFonts w:ascii="黑体" w:hAnsi="黑体" w:eastAsia="黑体"/>
          <w:color w:val="000000"/>
          <w:sz w:val="48"/>
          <w:szCs w:val="48"/>
        </w:rPr>
      </w:pPr>
      <w:r>
        <w:rPr>
          <w:rFonts w:hint="eastAsia" w:ascii="仿宋_GB2312" w:eastAsia="仿宋_GB2312" w:cs="仿宋_GB2312"/>
          <w:sz w:val="32"/>
          <w:szCs w:val="32"/>
        </w:rPr>
        <w:t>部</w:t>
      </w:r>
      <w:r>
        <w:rPr>
          <w:rFonts w:hint="eastAsia" w:ascii="仿宋_GB2312" w:eastAsia="仿宋_GB2312" w:cs="仿宋_GB2312"/>
          <w:sz w:val="32"/>
          <w:szCs w:val="32"/>
          <w:highlight w:val="none"/>
        </w:rPr>
        <w:t>门主要负责人审签情况：</w:t>
      </w:r>
      <w:r>
        <w:rPr>
          <w:rFonts w:ascii="方正小标宋简体" w:hAnsi="宋体" w:eastAsia="方正小标宋简体"/>
          <w:sz w:val="36"/>
          <w:szCs w:val="36"/>
        </w:rPr>
        <w:br w:type="page"/>
      </w:r>
      <w:r>
        <w:rPr>
          <w:rFonts w:hint="eastAsia" w:ascii="方正小标宋简体" w:hAnsi="宋体" w:eastAsia="方正小标宋简体"/>
          <w:sz w:val="36"/>
          <w:szCs w:val="36"/>
          <w:lang w:val="en-US" w:eastAsia="zh-CN"/>
        </w:rPr>
        <w:t xml:space="preserve">                   </w:t>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ascii="黑体" w:hAnsi="黑体" w:eastAsia="黑体" w:cstheme="minorBidi"/>
          <w:sz w:val="28"/>
          <w:szCs w:val="28"/>
        </w:rPr>
      </w:pPr>
    </w:p>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第二部分度部门决算情况说明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12</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pPr>
        <w:pStyle w:val="11"/>
        <w:adjustRightInd w:val="0"/>
        <w:snapToGrid w:val="0"/>
        <w:spacing w:line="440" w:lineRule="exact"/>
        <w:ind w:lef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Style w:val="15"/>
          <w:rFonts w:hint="eastAsia" w:ascii="仿宋_GB2312" w:hAnsi="仿宋_GB2312" w:eastAsia="仿宋_GB2312" w:cs="仿宋_GB2312"/>
          <w:color w:val="000000" w:themeColor="text1"/>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18</w:t>
      </w:r>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21</w:t>
      </w:r>
    </w:p>
    <w:p>
      <w:pPr>
        <w:pStyle w:val="11"/>
        <w:adjustRightInd w:val="0"/>
        <w:snapToGrid w:val="0"/>
        <w:spacing w:line="4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供销社</w:t>
      </w:r>
      <w:r>
        <w:rPr>
          <w:rFonts w:hint="eastAsia" w:ascii="仿宋_GB2312" w:hAnsi="仿宋_GB2312" w:eastAsia="仿宋_GB2312" w:cs="仿宋_GB2312"/>
          <w:sz w:val="32"/>
          <w:szCs w:val="32"/>
          <w:lang w:val="en-US" w:eastAsia="zh-CN"/>
        </w:rPr>
        <w:t>2019年部门整体支出绩效评价报告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21</w:t>
      </w:r>
    </w:p>
    <w:p>
      <w:pPr>
        <w:pStyle w:val="10"/>
        <w:adjustRightInd w:val="0"/>
        <w:snapToGrid w:val="0"/>
        <w:spacing w:before="0"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pStyle w:val="11"/>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十三、国有资本经营预算支出决算表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27</w:t>
      </w:r>
    </w:p>
    <w:p>
      <w:pPr>
        <w:widowControl/>
        <w:spacing w:line="440" w:lineRule="exact"/>
        <w:jc w:val="left"/>
        <w:rPr>
          <w:rFonts w:hint="eastAsia"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pPr>
        <w:pStyle w:val="2"/>
        <w:numPr>
          <w:ilvl w:val="0"/>
          <w:numId w:val="1"/>
        </w:numPr>
        <w:jc w:val="center"/>
      </w:pPr>
      <w:r>
        <w:rPr>
          <w:rStyle w:val="24"/>
          <w:rFonts w:hint="eastAsia" w:ascii="黑体" w:hAnsi="黑体" w:eastAsia="黑体"/>
          <w:b w:val="0"/>
          <w:bCs w:val="0"/>
        </w:rPr>
        <w:t>部门概况</w:t>
      </w:r>
      <w:bookmarkEnd w:id="12"/>
      <w:bookmarkEnd w:id="13"/>
    </w:p>
    <w:p>
      <w:pPr>
        <w:pStyle w:val="3"/>
        <w:ind w:firstLine="640" w:firstLineChars="200"/>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5" w:firstLineChars="210"/>
        <w:outlineLvl w:val="2"/>
        <w:rPr>
          <w:rFonts w:hint="eastAsia" w:ascii="仿宋" w:hAnsi="仿宋" w:eastAsia="仿宋"/>
          <w:bCs/>
          <w:color w:val="000000"/>
          <w:sz w:val="32"/>
          <w:szCs w:val="32"/>
        </w:rPr>
      </w:pPr>
      <w:bookmarkStart w:id="16" w:name="_Toc15377198"/>
      <w:bookmarkStart w:id="17" w:name="_Toc15378445"/>
      <w:r>
        <w:rPr>
          <w:rFonts w:hint="eastAsia" w:ascii="楷体" w:hAnsi="楷体" w:eastAsia="楷体" w:cs="楷体"/>
          <w:b/>
          <w:bCs w:val="0"/>
          <w:color w:val="000000"/>
          <w:sz w:val="32"/>
          <w:szCs w:val="32"/>
        </w:rPr>
        <w:t>（一）主要职能</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宣传贯彻党中央、国务院、省委、省政府和州委、市政府及县委县政府有关农业、农村经济工作和社会发展方针政策，维护全县供销社的合法权益</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研究和制定全县供销合作社发展规划，指导全县供销合作社的企业改革和发展</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受政府委托，对重要农业生产资料、农副产品经营进行组织、储备、调运工作，负责烟花爆竹和废旧物资再生资源的经营及社办工业的指导</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负责对政策性商品经营资格审定、质量监督和行业管理及有关救灾物资的组织、储备、调运工作</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协调同政府有关部门、社会组织的关系，研究供销合作经济运行中的重大问题，维护合作经济组织的合法权益</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6.</w:t>
      </w:r>
      <w:r>
        <w:rPr>
          <w:rFonts w:hint="eastAsia" w:ascii="仿宋" w:hAnsi="仿宋" w:eastAsia="仿宋"/>
          <w:bCs/>
          <w:color w:val="000000"/>
          <w:sz w:val="32"/>
          <w:szCs w:val="32"/>
        </w:rPr>
        <w:t>组织全县供销系统参与和推进农业产业化经营，加强农产品市场调查研究，培育农产品市场，组织发展专业合作社、消费合作社等中介服务组织，培育龙头企业，加强商品供求市场、信息服务体系建设</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7.</w:t>
      </w:r>
      <w:r>
        <w:rPr>
          <w:rFonts w:hint="eastAsia" w:ascii="仿宋" w:hAnsi="仿宋" w:eastAsia="仿宋"/>
          <w:bCs/>
          <w:color w:val="000000"/>
          <w:sz w:val="32"/>
          <w:szCs w:val="32"/>
        </w:rPr>
        <w:t>指导农村社会化服务体系建设，推进建立现代流通体系和现代营销方式，发展社区性、综合性、便民性社区综合服务社，满足农牧民生产、生活等社会化服务的需要</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监督和管理社有资产，确保社有资产的保值、增值，对直属企业行使出资人的职权，依法享有资产受益、重大决策和选择经营管理者等权利</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积极参与供销合作经济对外交流活动；承担县政府交办的其他事项。</w:t>
      </w:r>
    </w:p>
    <w:p>
      <w:pPr>
        <w:pStyle w:val="5"/>
        <w:adjustRightInd w:val="0"/>
        <w:snapToGrid w:val="0"/>
        <w:spacing w:before="93" w:line="600" w:lineRule="exact"/>
        <w:ind w:firstLine="675" w:firstLineChars="210"/>
        <w:outlineLvl w:val="2"/>
        <w:rPr>
          <w:rFonts w:hint="eastAsia" w:ascii="仿宋" w:hAnsi="仿宋" w:eastAsia="仿宋" w:cs="仿宋"/>
          <w:bCs/>
          <w:color w:val="000000"/>
          <w:sz w:val="32"/>
          <w:szCs w:val="32"/>
        </w:rPr>
      </w:pPr>
      <w:bookmarkStart w:id="18" w:name="_Toc15378446"/>
      <w:bookmarkStart w:id="19" w:name="_Toc15377199"/>
      <w:r>
        <w:rPr>
          <w:rFonts w:hint="eastAsia" w:ascii="楷体" w:hAnsi="楷体" w:eastAsia="楷体" w:cs="楷体"/>
          <w:b/>
          <w:bCs w:val="0"/>
          <w:color w:val="000000"/>
          <w:sz w:val="32"/>
          <w:szCs w:val="32"/>
        </w:rPr>
        <w:t>（二）2019年重点工作完成情况</w:t>
      </w:r>
      <w:bookmarkEnd w:id="18"/>
      <w:bookmarkEnd w:id="19"/>
    </w:p>
    <w:p>
      <w:pPr>
        <w:pStyle w:val="5"/>
        <w:adjustRightInd w:val="0"/>
        <w:snapToGrid w:val="0"/>
        <w:spacing w:before="93" w:line="600" w:lineRule="exact"/>
        <w:ind w:firstLine="672" w:firstLineChars="210"/>
        <w:outlineLvl w:val="2"/>
        <w:rPr>
          <w:rFonts w:hint="eastAsia" w:ascii="仿宋" w:hAnsi="仿宋" w:eastAsia="仿宋" w:cs="仿宋"/>
          <w:bCs/>
          <w:color w:val="000000"/>
          <w:sz w:val="32"/>
          <w:szCs w:val="32"/>
          <w:lang w:val="en-US" w:eastAsia="zh-CN"/>
        </w:rPr>
      </w:pPr>
      <w:r>
        <w:rPr>
          <w:rFonts w:hint="eastAsia" w:ascii="仿宋" w:hAnsi="仿宋" w:eastAsia="仿宋" w:cs="仿宋"/>
          <w:color w:val="000000"/>
          <w:sz w:val="32"/>
          <w:szCs w:val="32"/>
          <w:lang w:val="en-US" w:eastAsia="zh-CN"/>
        </w:rPr>
        <w:t>2019年以来，我社在县委、县政府的正确领导和州供销社的业务指导下，紧紧围绕县委、县政府关于乡村振兴、全面深化供销社综合改革和全面从严治党等统一部署，创新发展，坚持为“三农”服务办社宗旨，提升为农服务功能；坚持以市场经济为导向，提升企业市场竞争力；坚持稳中求进的工作基调，推进供销社综合改革发展，取得了较好的成效。</w:t>
      </w:r>
      <w:r>
        <w:rPr>
          <w:rFonts w:hint="eastAsia" w:ascii="仿宋" w:hAnsi="仿宋" w:eastAsia="仿宋" w:cs="仿宋"/>
          <w:bCs/>
          <w:color w:val="000000"/>
          <w:sz w:val="32"/>
          <w:szCs w:val="32"/>
          <w:lang w:val="en-US" w:eastAsia="zh-CN"/>
        </w:rPr>
        <w:t xml:space="preserve"> </w:t>
      </w:r>
    </w:p>
    <w:p>
      <w:pPr>
        <w:pStyle w:val="5"/>
        <w:adjustRightInd w:val="0"/>
        <w:snapToGrid w:val="0"/>
        <w:spacing w:before="93" w:line="600" w:lineRule="exact"/>
        <w:outlineLvl w:val="2"/>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 xml:space="preserve">   1.做好农资储备和供应，确保农业生产所需；2.积极开展便民、利民和惠利于民工作；3.严格烟花爆竹安全监管；4.开展为农服务中心及基层社建设工作；5.支持供销合作社和农民专业合作社等农村合作经济组织融合发展，</w:t>
      </w:r>
      <w:r>
        <w:rPr>
          <w:rFonts w:hint="eastAsia" w:ascii="仿宋" w:hAnsi="仿宋" w:eastAsia="仿宋" w:cs="仿宋"/>
          <w:b w:val="0"/>
          <w:bCs/>
          <w:sz w:val="32"/>
          <w:szCs w:val="32"/>
        </w:rPr>
        <w:t>积极发展生产合作、供销合作、信用合作、消费合作，加快建成以农民为主体的综合性合作社</w:t>
      </w:r>
      <w:r>
        <w:rPr>
          <w:rFonts w:hint="eastAsia" w:ascii="仿宋" w:hAnsi="仿宋" w:eastAsia="仿宋" w:cs="仿宋"/>
          <w:b w:val="0"/>
          <w:bCs/>
          <w:color w:val="000000"/>
          <w:sz w:val="32"/>
          <w:szCs w:val="32"/>
          <w:lang w:val="en-US" w:eastAsia="zh-CN"/>
        </w:rPr>
        <w:t>；6.</w:t>
      </w:r>
      <w:r>
        <w:rPr>
          <w:rFonts w:hint="eastAsia" w:ascii="仿宋" w:hAnsi="仿宋" w:eastAsia="仿宋" w:cs="仿宋"/>
          <w:b w:val="0"/>
          <w:bCs/>
          <w:sz w:val="32"/>
          <w:szCs w:val="32"/>
        </w:rPr>
        <w:t>大力推广宣传“四川扶贫”集体商标工作</w:t>
      </w:r>
      <w:r>
        <w:rPr>
          <w:rFonts w:hint="eastAsia" w:ascii="仿宋" w:hAnsi="仿宋" w:eastAsia="仿宋" w:cs="仿宋"/>
          <w:b w:val="0"/>
          <w:bCs/>
          <w:color w:val="000000"/>
          <w:sz w:val="32"/>
          <w:szCs w:val="32"/>
          <w:lang w:val="en-US" w:eastAsia="zh-CN"/>
        </w:rPr>
        <w:t>；7.</w:t>
      </w:r>
      <w:r>
        <w:rPr>
          <w:rFonts w:hint="eastAsia" w:ascii="仿宋" w:hAnsi="仿宋" w:eastAsia="仿宋" w:cs="仿宋"/>
          <w:b w:val="0"/>
          <w:bCs/>
          <w:color w:val="0D0D0D"/>
          <w:sz w:val="32"/>
          <w:szCs w:val="32"/>
          <w:shd w:val="clear" w:color="auto" w:fill="FFFFFF"/>
        </w:rPr>
        <w:t>以党建为抓手，打造学习型、服务型班子队伍</w:t>
      </w:r>
      <w:r>
        <w:rPr>
          <w:rFonts w:hint="eastAsia" w:ascii="仿宋" w:hAnsi="仿宋" w:eastAsia="仿宋" w:cs="仿宋"/>
          <w:b w:val="0"/>
          <w:bCs/>
          <w:color w:val="000000"/>
          <w:sz w:val="32"/>
          <w:szCs w:val="32"/>
          <w:lang w:val="en-US" w:eastAsia="zh-CN"/>
        </w:rPr>
        <w:t>；8.</w:t>
      </w:r>
      <w:r>
        <w:rPr>
          <w:rFonts w:hint="eastAsia" w:ascii="仿宋" w:hAnsi="仿宋" w:eastAsia="仿宋" w:cs="仿宋"/>
          <w:b w:val="0"/>
          <w:bCs/>
          <w:kern w:val="2"/>
          <w:sz w:val="32"/>
          <w:szCs w:val="32"/>
        </w:rPr>
        <w:t>抓好廉政建设，建立健全惩防体系</w:t>
      </w:r>
      <w:r>
        <w:rPr>
          <w:rFonts w:hint="eastAsia" w:ascii="仿宋" w:hAnsi="仿宋" w:eastAsia="仿宋" w:cs="仿宋"/>
          <w:b w:val="0"/>
          <w:bCs/>
          <w:color w:val="000000"/>
          <w:sz w:val="32"/>
          <w:szCs w:val="32"/>
          <w:lang w:val="en-US" w:eastAsia="zh-CN"/>
        </w:rPr>
        <w:t>；9.</w:t>
      </w:r>
      <w:r>
        <w:rPr>
          <w:rFonts w:hint="eastAsia" w:ascii="仿宋" w:hAnsi="仿宋" w:eastAsia="仿宋" w:cs="仿宋"/>
          <w:b w:val="0"/>
          <w:bCs/>
          <w:kern w:val="2"/>
          <w:sz w:val="32"/>
          <w:szCs w:val="32"/>
        </w:rPr>
        <w:t>推进法治建设，依法治社成效显著</w:t>
      </w:r>
      <w:r>
        <w:rPr>
          <w:rFonts w:hint="eastAsia" w:ascii="仿宋" w:hAnsi="仿宋" w:eastAsia="仿宋" w:cs="仿宋"/>
          <w:b w:val="0"/>
          <w:bCs/>
          <w:color w:val="000000"/>
          <w:sz w:val="32"/>
          <w:szCs w:val="32"/>
          <w:lang w:val="en-US" w:eastAsia="zh-CN"/>
        </w:rPr>
        <w:t>。</w:t>
      </w:r>
    </w:p>
    <w:bookmarkEnd w:id="16"/>
    <w:bookmarkEnd w:id="17"/>
    <w:p>
      <w:pPr>
        <w:pStyle w:val="3"/>
        <w:ind w:firstLine="640" w:firstLineChars="200"/>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640" w:firstLineChars="200"/>
        <w:rPr>
          <w:rFonts w:ascii="仿宋" w:hAnsi="仿宋" w:eastAsia="仿宋"/>
          <w:sz w:val="32"/>
          <w:szCs w:val="32"/>
        </w:rPr>
      </w:pPr>
      <w:r>
        <w:rPr>
          <w:rFonts w:hint="eastAsia" w:ascii="仿宋" w:hAnsi="仿宋" w:eastAsia="仿宋"/>
          <w:sz w:val="32"/>
          <w:szCs w:val="32"/>
          <w:lang w:eastAsia="zh-CN"/>
        </w:rPr>
        <w:t>本部分</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2"/>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521.85</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276.28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112.5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w:t>
      </w:r>
      <w:r>
        <w:rPr>
          <w:rFonts w:hint="eastAsia" w:ascii="仿宋" w:hAnsi="仿宋" w:eastAsia="仿宋"/>
          <w:color w:val="000000"/>
          <w:sz w:val="32"/>
          <w:szCs w:val="32"/>
          <w:lang w:eastAsia="zh-CN"/>
        </w:rPr>
        <w:t>项目资金增加。</w:t>
      </w: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2336" behindDoc="0" locked="0" layoutInCell="1" allowOverlap="1">
            <wp:simplePos x="0" y="0"/>
            <wp:positionH relativeFrom="column">
              <wp:posOffset>271145</wp:posOffset>
            </wp:positionH>
            <wp:positionV relativeFrom="paragraph">
              <wp:posOffset>548005</wp:posOffset>
            </wp:positionV>
            <wp:extent cx="4572000" cy="2743200"/>
            <wp:effectExtent l="4445" t="4445" r="14605" b="14605"/>
            <wp:wrapTopAndBottom/>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516.88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516.88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59264" behindDoc="0" locked="0" layoutInCell="1" allowOverlap="1">
            <wp:simplePos x="0" y="0"/>
            <wp:positionH relativeFrom="column">
              <wp:posOffset>323850</wp:posOffset>
            </wp:positionH>
            <wp:positionV relativeFrom="paragraph">
              <wp:posOffset>246380</wp:posOffset>
            </wp:positionV>
            <wp:extent cx="4572000" cy="2743200"/>
            <wp:effectExtent l="4445" t="4445" r="14605" b="14605"/>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FF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521.85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220.44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42.24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301.41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57.76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（图3：支出决算结构图）（饼状图）</w:t>
      </w:r>
      <w:r>
        <w:drawing>
          <wp:anchor distT="0" distB="0" distL="114300" distR="114300" simplePos="0" relativeHeight="251660288" behindDoc="0" locked="0" layoutInCell="1" allowOverlap="1">
            <wp:simplePos x="0" y="0"/>
            <wp:positionH relativeFrom="column">
              <wp:posOffset>228600</wp:posOffset>
            </wp:positionH>
            <wp:positionV relativeFrom="paragraph">
              <wp:posOffset>222885</wp:posOffset>
            </wp:positionV>
            <wp:extent cx="4572000" cy="3171825"/>
            <wp:effectExtent l="4445" t="4445" r="14605" b="5080"/>
            <wp:wrapTopAndBottom/>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521.85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276.28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112.5%</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w:t>
      </w:r>
      <w:r>
        <w:rPr>
          <w:rFonts w:hint="eastAsia" w:ascii="仿宋" w:hAnsi="仿宋" w:eastAsia="仿宋"/>
          <w:color w:val="000000"/>
          <w:sz w:val="32"/>
          <w:szCs w:val="32"/>
          <w:lang w:eastAsia="zh-CN"/>
        </w:rPr>
        <w:t>项目资金增加。</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drawing>
          <wp:anchor distT="0" distB="0" distL="114300" distR="114300" simplePos="0" relativeHeight="251661312" behindDoc="1" locked="0" layoutInCell="1" allowOverlap="1">
            <wp:simplePos x="0" y="0"/>
            <wp:positionH relativeFrom="column">
              <wp:posOffset>410845</wp:posOffset>
            </wp:positionH>
            <wp:positionV relativeFrom="paragraph">
              <wp:posOffset>296545</wp:posOffset>
            </wp:positionV>
            <wp:extent cx="4572000" cy="2743200"/>
            <wp:effectExtent l="4445" t="4445" r="14605" b="14605"/>
            <wp:wrapTight wrapText="bothSides">
              <wp:wrapPolygon>
                <wp:start x="-21" y="-35"/>
                <wp:lineTo x="-21" y="21565"/>
                <wp:lineTo x="21579" y="21565"/>
                <wp:lineTo x="21579" y="-35"/>
                <wp:lineTo x="-21" y="-35"/>
              </wp:wrapPolygon>
            </wp:wrapTight>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hint="eastAsia" w:ascii="楷体" w:hAnsi="楷体" w:eastAsia="楷体" w:cs="楷体"/>
          <w:b/>
          <w:color w:val="000000"/>
          <w:sz w:val="32"/>
          <w:szCs w:val="32"/>
        </w:rPr>
      </w:pPr>
      <w:bookmarkStart w:id="34" w:name="_Toc15377210"/>
      <w:r>
        <w:rPr>
          <w:rFonts w:hint="eastAsia" w:ascii="楷体" w:hAnsi="楷体" w:eastAsia="楷体" w:cs="楷体"/>
          <w:b/>
          <w:color w:val="000000"/>
          <w:sz w:val="32"/>
          <w:szCs w:val="32"/>
        </w:rPr>
        <w:t>（一）一般公共预</w:t>
      </w:r>
      <w:bookmarkStart w:id="73" w:name="_GoBack"/>
      <w:bookmarkEnd w:id="73"/>
      <w:r>
        <w:rPr>
          <w:rFonts w:hint="eastAsia" w:ascii="楷体" w:hAnsi="楷体" w:eastAsia="楷体" w:cs="楷体"/>
          <w:b/>
          <w:color w:val="000000"/>
          <w:sz w:val="32"/>
          <w:szCs w:val="32"/>
        </w:rPr>
        <w:t>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521.85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276.28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112.5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w:t>
      </w:r>
      <w:r>
        <w:rPr>
          <w:rFonts w:hint="eastAsia" w:ascii="仿宋" w:hAnsi="仿宋" w:eastAsia="仿宋"/>
          <w:color w:val="000000"/>
          <w:sz w:val="32"/>
          <w:szCs w:val="32"/>
          <w:lang w:eastAsia="zh-CN"/>
        </w:rPr>
        <w:t>项目资金增加。</w:t>
      </w: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3360" behindDoc="0" locked="0" layoutInCell="1" allowOverlap="1">
            <wp:simplePos x="0" y="0"/>
            <wp:positionH relativeFrom="column">
              <wp:posOffset>423545</wp:posOffset>
            </wp:positionH>
            <wp:positionV relativeFrom="paragraph">
              <wp:posOffset>775335</wp:posOffset>
            </wp:positionV>
            <wp:extent cx="4572000" cy="2743200"/>
            <wp:effectExtent l="4445" t="4445" r="14605" b="14605"/>
            <wp:wrapTopAndBottom/>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hint="eastAsia" w:ascii="楷体" w:hAnsi="楷体" w:eastAsia="楷体" w:cs="楷体"/>
          <w:b/>
          <w:color w:val="000000"/>
          <w:sz w:val="32"/>
          <w:szCs w:val="32"/>
        </w:rPr>
      </w:pPr>
      <w:bookmarkStart w:id="35" w:name="_Toc15377211"/>
      <w:r>
        <w:rPr>
          <w:rFonts w:hint="eastAsia" w:ascii="楷体" w:hAnsi="楷体" w:eastAsia="楷体" w:cs="楷体"/>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521.85</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432.4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82.86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23.04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4.42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12.47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2.39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14.5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2.78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lang w:eastAsia="zh-CN"/>
        </w:rPr>
        <w:t>农林水（类）</w:t>
      </w:r>
      <w:r>
        <w:rPr>
          <w:rFonts w:hint="eastAsia" w:ascii="仿宋" w:hAnsi="仿宋" w:eastAsia="仿宋"/>
          <w:color w:val="000000" w:themeColor="text1"/>
          <w:sz w:val="32"/>
          <w:szCs w:val="32"/>
          <w:lang w:eastAsia="zh-CN"/>
        </w:rPr>
        <w:t>支出</w:t>
      </w:r>
      <w:r>
        <w:rPr>
          <w:rFonts w:hint="eastAsia" w:ascii="仿宋" w:hAnsi="仿宋" w:eastAsia="仿宋"/>
          <w:color w:val="000000" w:themeColor="text1"/>
          <w:sz w:val="32"/>
          <w:szCs w:val="32"/>
          <w:lang w:val="en-US" w:eastAsia="zh-CN"/>
        </w:rPr>
        <w:t>39.44万元，占7.55%</w:t>
      </w:r>
      <w:r>
        <w:rPr>
          <w:rFonts w:hint="eastAsia" w:ascii="仿宋" w:hAnsi="仿宋" w:eastAsia="仿宋"/>
          <w:color w:val="000000" w:themeColor="text1"/>
          <w:sz w:val="32"/>
          <w:szCs w:val="32"/>
        </w:rPr>
        <w:t>。</w:t>
      </w: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323215</wp:posOffset>
            </wp:positionH>
            <wp:positionV relativeFrom="paragraph">
              <wp:posOffset>201930</wp:posOffset>
            </wp:positionV>
            <wp:extent cx="4572000" cy="3686175"/>
            <wp:effectExtent l="4445" t="4445" r="14605" b="5080"/>
            <wp:wrapTopAndBottom/>
            <wp:docPr id="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hint="eastAsia" w:ascii="楷体" w:hAnsi="楷体" w:eastAsia="楷体" w:cs="楷体"/>
          <w:b/>
          <w:color w:val="000000"/>
          <w:sz w:val="32"/>
          <w:szCs w:val="32"/>
        </w:rPr>
      </w:pPr>
      <w:bookmarkStart w:id="36" w:name="_Toc15377212"/>
      <w:r>
        <w:rPr>
          <w:rFonts w:hint="eastAsia" w:ascii="楷体" w:hAnsi="楷体" w:eastAsia="楷体" w:cs="楷体"/>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516.88</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楷体" w:eastAsia="仿宋_GB2312" w:cs="楷体"/>
          <w:b w:val="0"/>
          <w:bCs/>
          <w:color w:val="000000"/>
          <w:sz w:val="32"/>
          <w:szCs w:val="32"/>
        </w:rPr>
      </w:pPr>
      <w:r>
        <w:rPr>
          <w:rFonts w:hint="eastAsia" w:ascii="仿宋_GB2312" w:hAnsi="楷体" w:eastAsia="仿宋_GB2312" w:cs="楷体"/>
          <w:b/>
          <w:bCs/>
          <w:color w:val="000000"/>
          <w:sz w:val="32"/>
          <w:szCs w:val="32"/>
          <w:lang w:val="en-US" w:eastAsia="zh-CN"/>
        </w:rPr>
        <w:t>1.一般公共服务商业服务业（类）商业流通事务（款）行政运行（项）：</w:t>
      </w:r>
      <w:r>
        <w:rPr>
          <w:rFonts w:hint="eastAsia" w:ascii="仿宋_GB2312" w:hAnsi="楷体" w:eastAsia="仿宋_GB2312" w:cs="楷体"/>
          <w:b w:val="0"/>
          <w:bCs/>
          <w:color w:val="000000"/>
          <w:sz w:val="32"/>
          <w:szCs w:val="32"/>
        </w:rPr>
        <w:t>支出决算为</w:t>
      </w:r>
      <w:r>
        <w:rPr>
          <w:rFonts w:hint="eastAsia" w:ascii="仿宋_GB2312" w:hAnsi="楷体" w:eastAsia="仿宋_GB2312" w:cs="楷体"/>
          <w:b w:val="0"/>
          <w:bCs/>
          <w:color w:val="000000"/>
          <w:sz w:val="32"/>
          <w:szCs w:val="32"/>
          <w:lang w:val="en-US" w:eastAsia="zh-CN"/>
        </w:rPr>
        <w:t>170.4</w:t>
      </w:r>
      <w:r>
        <w:rPr>
          <w:rFonts w:hint="eastAsia" w:ascii="仿宋_GB2312" w:hAnsi="楷体" w:eastAsia="仿宋_GB2312" w:cs="楷体"/>
          <w:b w:val="0"/>
          <w:bCs/>
          <w:color w:val="000000"/>
          <w:sz w:val="32"/>
          <w:szCs w:val="32"/>
        </w:rPr>
        <w:t>万元，完成预算100%</w:t>
      </w:r>
      <w:r>
        <w:rPr>
          <w:rFonts w:hint="eastAsia" w:ascii="仿宋_GB2312" w:hAnsi="楷体" w:eastAsia="仿宋_GB2312" w:cs="楷体"/>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楷体" w:eastAsia="仿宋_GB2312" w:cs="楷体"/>
          <w:b w:val="0"/>
          <w:bCs/>
          <w:color w:val="000000"/>
          <w:sz w:val="32"/>
          <w:szCs w:val="32"/>
          <w:lang w:eastAsia="zh-CN"/>
        </w:rPr>
      </w:pPr>
      <w:r>
        <w:rPr>
          <w:rFonts w:hint="eastAsia" w:ascii="仿宋_GB2312" w:hAnsi="楷体" w:eastAsia="仿宋_GB2312" w:cs="楷体"/>
          <w:b/>
          <w:bCs/>
          <w:color w:val="000000"/>
          <w:sz w:val="32"/>
          <w:szCs w:val="32"/>
          <w:lang w:val="en-US" w:eastAsia="zh-CN"/>
        </w:rPr>
        <w:t>2.一般公共服务商业服务业（类）商业流通事务（款）其他商业流通事务（项）：</w:t>
      </w:r>
      <w:r>
        <w:rPr>
          <w:rFonts w:hint="eastAsia" w:ascii="仿宋_GB2312" w:hAnsi="楷体" w:eastAsia="仿宋_GB2312" w:cs="楷体"/>
          <w:b w:val="0"/>
          <w:bCs/>
          <w:color w:val="000000"/>
          <w:sz w:val="32"/>
          <w:szCs w:val="32"/>
        </w:rPr>
        <w:t>支出决算</w:t>
      </w:r>
      <w:r>
        <w:rPr>
          <w:rFonts w:hint="eastAsia" w:ascii="仿宋_GB2312" w:hAnsi="楷体" w:eastAsia="仿宋_GB2312" w:cs="楷体"/>
          <w:b w:val="0"/>
          <w:bCs/>
          <w:color w:val="000000"/>
          <w:sz w:val="32"/>
          <w:szCs w:val="32"/>
          <w:lang w:val="en-US" w:eastAsia="zh-CN"/>
        </w:rPr>
        <w:t>数</w:t>
      </w:r>
      <w:r>
        <w:rPr>
          <w:rFonts w:hint="eastAsia" w:ascii="仿宋_GB2312" w:hAnsi="楷体" w:eastAsia="仿宋_GB2312" w:cs="楷体"/>
          <w:b w:val="0"/>
          <w:bCs/>
          <w:color w:val="000000"/>
          <w:sz w:val="32"/>
          <w:szCs w:val="32"/>
        </w:rPr>
        <w:t>为</w:t>
      </w:r>
      <w:r>
        <w:rPr>
          <w:rFonts w:hint="eastAsia" w:ascii="仿宋_GB2312" w:hAnsi="楷体" w:eastAsia="仿宋_GB2312" w:cs="楷体"/>
          <w:b w:val="0"/>
          <w:bCs/>
          <w:color w:val="000000"/>
          <w:sz w:val="32"/>
          <w:szCs w:val="32"/>
          <w:lang w:val="en-US" w:eastAsia="zh-CN"/>
        </w:rPr>
        <w:t>200</w:t>
      </w:r>
      <w:r>
        <w:rPr>
          <w:rFonts w:hint="eastAsia" w:ascii="仿宋_GB2312" w:hAnsi="楷体" w:eastAsia="仿宋_GB2312" w:cs="楷体"/>
          <w:b w:val="0"/>
          <w:bCs/>
          <w:color w:val="000000"/>
          <w:sz w:val="32"/>
          <w:szCs w:val="32"/>
        </w:rPr>
        <w:t>万元</w:t>
      </w:r>
      <w:r>
        <w:rPr>
          <w:rFonts w:hint="eastAsia" w:ascii="仿宋_GB2312" w:hAnsi="楷体" w:eastAsia="仿宋_GB2312" w:cs="楷体"/>
          <w:b w:val="0"/>
          <w:bCs/>
          <w:color w:val="000000"/>
          <w:sz w:val="32"/>
          <w:szCs w:val="32"/>
          <w:lang w:eastAsia="zh-CN"/>
        </w:rPr>
        <w:t>，</w:t>
      </w:r>
      <w:r>
        <w:rPr>
          <w:rFonts w:hint="eastAsia" w:ascii="仿宋_GB2312" w:hAnsi="楷体" w:eastAsia="仿宋_GB2312" w:cs="楷体"/>
          <w:b w:val="0"/>
          <w:bCs/>
          <w:color w:val="000000"/>
          <w:sz w:val="32"/>
          <w:szCs w:val="32"/>
        </w:rPr>
        <w:t>完成预算100%</w:t>
      </w:r>
      <w:r>
        <w:rPr>
          <w:rFonts w:hint="eastAsia" w:ascii="仿宋_GB2312" w:hAnsi="楷体" w:eastAsia="仿宋_GB2312" w:cs="楷体"/>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楷体" w:eastAsia="仿宋_GB2312" w:cs="楷体"/>
          <w:b w:val="0"/>
          <w:bCs/>
          <w:color w:val="000000"/>
          <w:sz w:val="32"/>
          <w:szCs w:val="32"/>
          <w:lang w:val="en-US" w:eastAsia="zh-CN"/>
        </w:rPr>
      </w:pPr>
      <w:r>
        <w:rPr>
          <w:rFonts w:hint="eastAsia" w:ascii="仿宋_GB2312" w:hAnsi="楷体" w:eastAsia="仿宋_GB2312" w:cs="楷体"/>
          <w:b/>
          <w:bCs/>
          <w:color w:val="000000"/>
          <w:sz w:val="32"/>
          <w:szCs w:val="32"/>
          <w:lang w:val="en-US" w:eastAsia="zh-CN"/>
        </w:rPr>
        <w:t>3.一般公共服务商业服务业（类）商业流通事务（款）民贸民品贷款贴息（项）：</w:t>
      </w:r>
      <w:r>
        <w:rPr>
          <w:rFonts w:hint="eastAsia" w:ascii="仿宋_GB2312" w:hAnsi="楷体" w:eastAsia="仿宋_GB2312" w:cs="楷体"/>
          <w:b w:val="0"/>
          <w:bCs/>
          <w:color w:val="000000"/>
          <w:sz w:val="32"/>
          <w:szCs w:val="32"/>
        </w:rPr>
        <w:t>支出决算</w:t>
      </w:r>
      <w:r>
        <w:rPr>
          <w:rFonts w:hint="eastAsia" w:ascii="仿宋_GB2312" w:hAnsi="楷体" w:eastAsia="仿宋_GB2312" w:cs="楷体"/>
          <w:b w:val="0"/>
          <w:bCs/>
          <w:color w:val="000000"/>
          <w:sz w:val="32"/>
          <w:szCs w:val="32"/>
          <w:lang w:val="en-US" w:eastAsia="zh-CN"/>
        </w:rPr>
        <w:t>数</w:t>
      </w:r>
      <w:r>
        <w:rPr>
          <w:rFonts w:hint="eastAsia" w:ascii="仿宋_GB2312" w:hAnsi="楷体" w:eastAsia="仿宋_GB2312" w:cs="楷体"/>
          <w:b w:val="0"/>
          <w:bCs/>
          <w:color w:val="000000"/>
          <w:sz w:val="32"/>
          <w:szCs w:val="32"/>
        </w:rPr>
        <w:t>为</w:t>
      </w:r>
      <w:r>
        <w:rPr>
          <w:rFonts w:hint="eastAsia" w:ascii="仿宋_GB2312" w:hAnsi="楷体" w:eastAsia="仿宋_GB2312" w:cs="楷体"/>
          <w:b w:val="0"/>
          <w:bCs/>
          <w:color w:val="000000"/>
          <w:sz w:val="32"/>
          <w:szCs w:val="32"/>
          <w:lang w:val="en-US" w:eastAsia="zh-CN"/>
        </w:rPr>
        <w:t>62</w:t>
      </w:r>
      <w:r>
        <w:rPr>
          <w:rFonts w:hint="eastAsia" w:ascii="仿宋_GB2312" w:hAnsi="楷体" w:eastAsia="仿宋_GB2312" w:cs="楷体"/>
          <w:b w:val="0"/>
          <w:bCs/>
          <w:color w:val="000000"/>
          <w:sz w:val="32"/>
          <w:szCs w:val="32"/>
        </w:rPr>
        <w:t>万元</w:t>
      </w:r>
      <w:r>
        <w:rPr>
          <w:rFonts w:hint="eastAsia" w:ascii="仿宋_GB2312" w:hAnsi="楷体" w:eastAsia="仿宋_GB2312" w:cs="楷体"/>
          <w:b w:val="0"/>
          <w:bCs/>
          <w:color w:val="000000"/>
          <w:sz w:val="32"/>
          <w:szCs w:val="32"/>
          <w:lang w:eastAsia="zh-CN"/>
        </w:rPr>
        <w:t>，</w:t>
      </w:r>
      <w:r>
        <w:rPr>
          <w:rFonts w:hint="eastAsia" w:ascii="仿宋_GB2312" w:hAnsi="楷体" w:eastAsia="仿宋_GB2312" w:cs="楷体"/>
          <w:b w:val="0"/>
          <w:bCs/>
          <w:color w:val="000000"/>
          <w:sz w:val="32"/>
          <w:szCs w:val="32"/>
        </w:rPr>
        <w:t>完成预算100%</w:t>
      </w:r>
      <w:r>
        <w:rPr>
          <w:rFonts w:hint="eastAsia" w:ascii="仿宋_GB2312" w:hAnsi="楷体" w:eastAsia="仿宋_GB2312" w:cs="楷体"/>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楷体" w:eastAsia="仿宋_GB2312" w:cs="楷体"/>
          <w:b w:val="0"/>
          <w:bCs/>
          <w:color w:val="000000"/>
          <w:sz w:val="32"/>
          <w:szCs w:val="32"/>
          <w:lang w:eastAsia="zh-CN"/>
        </w:rPr>
      </w:pPr>
      <w:r>
        <w:rPr>
          <w:rFonts w:hint="eastAsia" w:ascii="仿宋_GB2312" w:hAnsi="楷体" w:eastAsia="仿宋_GB2312" w:cs="楷体"/>
          <w:b/>
          <w:bCs/>
          <w:color w:val="000000"/>
          <w:sz w:val="32"/>
          <w:szCs w:val="32"/>
          <w:lang w:val="en-US" w:eastAsia="zh-CN"/>
        </w:rPr>
        <w:t>4.社会保障和就业（类）行政事业单位离退休（款）机关事业单位基本养老保险缴费（项）：</w:t>
      </w:r>
      <w:r>
        <w:rPr>
          <w:rFonts w:hint="eastAsia" w:ascii="仿宋_GB2312" w:hAnsi="楷体" w:eastAsia="仿宋_GB2312" w:cs="楷体"/>
          <w:b w:val="0"/>
          <w:bCs/>
          <w:color w:val="000000"/>
          <w:sz w:val="32"/>
          <w:szCs w:val="32"/>
        </w:rPr>
        <w:t>支出决算</w:t>
      </w:r>
      <w:r>
        <w:rPr>
          <w:rFonts w:hint="eastAsia" w:ascii="仿宋_GB2312" w:hAnsi="楷体" w:eastAsia="仿宋_GB2312" w:cs="楷体"/>
          <w:b w:val="0"/>
          <w:bCs/>
          <w:color w:val="000000"/>
          <w:sz w:val="32"/>
          <w:szCs w:val="32"/>
          <w:lang w:val="en-US" w:eastAsia="zh-CN"/>
        </w:rPr>
        <w:t>数</w:t>
      </w:r>
      <w:r>
        <w:rPr>
          <w:rFonts w:hint="eastAsia" w:ascii="仿宋_GB2312" w:hAnsi="楷体" w:eastAsia="仿宋_GB2312" w:cs="楷体"/>
          <w:b w:val="0"/>
          <w:bCs/>
          <w:color w:val="000000"/>
          <w:sz w:val="32"/>
          <w:szCs w:val="32"/>
        </w:rPr>
        <w:t>为</w:t>
      </w:r>
      <w:r>
        <w:rPr>
          <w:rFonts w:hint="eastAsia" w:ascii="仿宋_GB2312" w:hAnsi="楷体" w:eastAsia="仿宋_GB2312" w:cs="楷体"/>
          <w:b w:val="0"/>
          <w:bCs/>
          <w:color w:val="000000"/>
          <w:sz w:val="32"/>
          <w:szCs w:val="32"/>
          <w:lang w:val="en-US" w:eastAsia="zh-CN"/>
        </w:rPr>
        <w:t>15.8</w:t>
      </w:r>
      <w:r>
        <w:rPr>
          <w:rFonts w:hint="eastAsia" w:ascii="仿宋_GB2312" w:hAnsi="楷体" w:eastAsia="仿宋_GB2312" w:cs="楷体"/>
          <w:b w:val="0"/>
          <w:bCs/>
          <w:color w:val="000000"/>
          <w:sz w:val="32"/>
          <w:szCs w:val="32"/>
        </w:rPr>
        <w:t>万元</w:t>
      </w:r>
      <w:r>
        <w:rPr>
          <w:rFonts w:hint="eastAsia" w:ascii="仿宋_GB2312" w:hAnsi="楷体" w:eastAsia="仿宋_GB2312" w:cs="楷体"/>
          <w:b w:val="0"/>
          <w:bCs/>
          <w:color w:val="000000"/>
          <w:sz w:val="32"/>
          <w:szCs w:val="32"/>
          <w:lang w:eastAsia="zh-CN"/>
        </w:rPr>
        <w:t>，</w:t>
      </w:r>
      <w:r>
        <w:rPr>
          <w:rFonts w:hint="eastAsia" w:ascii="仿宋_GB2312" w:hAnsi="楷体" w:eastAsia="仿宋_GB2312" w:cs="楷体"/>
          <w:b w:val="0"/>
          <w:bCs/>
          <w:color w:val="000000"/>
          <w:sz w:val="32"/>
          <w:szCs w:val="32"/>
        </w:rPr>
        <w:t>完成预算100%</w:t>
      </w:r>
      <w:r>
        <w:rPr>
          <w:rFonts w:hint="eastAsia" w:ascii="仿宋_GB2312" w:hAnsi="楷体" w:eastAsia="仿宋_GB2312" w:cs="楷体"/>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楷体" w:eastAsia="仿宋_GB2312" w:cs="楷体"/>
          <w:color w:val="000000"/>
          <w:sz w:val="32"/>
          <w:szCs w:val="32"/>
        </w:rPr>
      </w:pPr>
      <w:r>
        <w:rPr>
          <w:rFonts w:hint="eastAsia" w:ascii="仿宋_GB2312" w:hAnsi="楷体" w:eastAsia="仿宋_GB2312" w:cs="楷体"/>
          <w:b/>
          <w:bCs/>
          <w:color w:val="000000"/>
          <w:sz w:val="32"/>
          <w:szCs w:val="32"/>
          <w:lang w:val="en-US" w:eastAsia="zh-CN"/>
        </w:rPr>
        <w:t>5.社会保障和就业（类）行政事业单位离退休（款）机关事业单位职业年金缴费（项）：</w:t>
      </w:r>
      <w:r>
        <w:rPr>
          <w:rFonts w:hint="eastAsia" w:ascii="仿宋_GB2312" w:hAnsi="楷体" w:eastAsia="仿宋_GB2312" w:cs="楷体"/>
          <w:color w:val="000000"/>
          <w:sz w:val="32"/>
          <w:szCs w:val="32"/>
          <w:lang w:val="en-US" w:eastAsia="zh-CN"/>
        </w:rPr>
        <w:t>支出决算数为7.24</w:t>
      </w:r>
      <w:r>
        <w:rPr>
          <w:rFonts w:hint="eastAsia" w:ascii="仿宋_GB2312" w:hAnsi="楷体" w:eastAsia="仿宋_GB2312" w:cs="楷体"/>
          <w:color w:val="000000"/>
          <w:sz w:val="32"/>
          <w:szCs w:val="32"/>
        </w:rPr>
        <w:t>万元</w:t>
      </w:r>
      <w:r>
        <w:rPr>
          <w:rFonts w:hint="eastAsia" w:ascii="仿宋_GB2312" w:hAnsi="楷体" w:eastAsia="仿宋_GB2312" w:cs="楷体"/>
          <w:color w:val="000000"/>
          <w:sz w:val="32"/>
          <w:szCs w:val="32"/>
          <w:lang w:eastAsia="zh-CN"/>
        </w:rPr>
        <w:t>，</w:t>
      </w:r>
      <w:r>
        <w:rPr>
          <w:rFonts w:hint="eastAsia" w:ascii="仿宋_GB2312" w:hAnsi="楷体" w:eastAsia="仿宋_GB2312" w:cs="楷体"/>
          <w:color w:val="000000"/>
          <w:sz w:val="32"/>
          <w:szCs w:val="32"/>
        </w:rPr>
        <w:t>完成预算100%</w:t>
      </w:r>
      <w:r>
        <w:rPr>
          <w:rFonts w:hint="eastAsia" w:ascii="仿宋_GB2312" w:hAnsi="楷体" w:eastAsia="仿宋_GB2312" w:cs="楷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楷体" w:eastAsia="仿宋_GB2312" w:cs="楷体"/>
          <w:color w:val="000000"/>
          <w:sz w:val="32"/>
          <w:szCs w:val="32"/>
        </w:rPr>
      </w:pPr>
      <w:r>
        <w:rPr>
          <w:rFonts w:hint="eastAsia" w:ascii="仿宋_GB2312" w:hAnsi="楷体" w:eastAsia="仿宋_GB2312" w:cs="楷体"/>
          <w:b/>
          <w:bCs/>
          <w:color w:val="000000"/>
          <w:sz w:val="32"/>
          <w:szCs w:val="32"/>
          <w:lang w:val="en-US" w:eastAsia="zh-CN"/>
        </w:rPr>
        <w:t>6.医疗卫生与计划生育（类）行政事业单位医疗（款）行政单位医疗（项）：支出</w:t>
      </w:r>
      <w:r>
        <w:rPr>
          <w:rFonts w:hint="eastAsia" w:ascii="仿宋_GB2312" w:hAnsi="楷体" w:eastAsia="仿宋_GB2312" w:cs="楷体"/>
          <w:color w:val="000000"/>
          <w:sz w:val="32"/>
          <w:szCs w:val="32"/>
          <w:lang w:val="en-US" w:eastAsia="zh-CN"/>
        </w:rPr>
        <w:t>决算数为12.47万元，完成预算100%；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楷体" w:eastAsia="仿宋_GB2312" w:cs="楷体"/>
          <w:color w:val="000000"/>
          <w:sz w:val="32"/>
          <w:szCs w:val="32"/>
          <w:lang w:val="en-US" w:eastAsia="zh-CN"/>
        </w:rPr>
      </w:pPr>
      <w:r>
        <w:rPr>
          <w:rFonts w:hint="eastAsia" w:ascii="仿宋_GB2312" w:hAnsi="楷体" w:eastAsia="仿宋_GB2312" w:cs="楷体"/>
          <w:b/>
          <w:bCs/>
          <w:color w:val="000000"/>
          <w:sz w:val="32"/>
          <w:szCs w:val="32"/>
          <w:lang w:val="en-US" w:eastAsia="zh-CN"/>
        </w:rPr>
        <w:t>7.住房保障支出（类）住房改革支出（款）住房公积住房改革支出（款）住房公积金（项）：</w:t>
      </w:r>
      <w:r>
        <w:rPr>
          <w:rFonts w:hint="eastAsia" w:ascii="仿宋_GB2312" w:hAnsi="楷体" w:eastAsia="仿宋_GB2312" w:cs="楷体"/>
          <w:b w:val="0"/>
          <w:bCs w:val="0"/>
          <w:color w:val="000000"/>
          <w:sz w:val="32"/>
          <w:szCs w:val="32"/>
          <w:lang w:val="en-US" w:eastAsia="zh-CN"/>
        </w:rPr>
        <w:t>支出</w:t>
      </w:r>
      <w:r>
        <w:rPr>
          <w:rFonts w:hint="eastAsia" w:ascii="仿宋_GB2312" w:hAnsi="楷体" w:eastAsia="仿宋_GB2312" w:cs="楷体"/>
          <w:color w:val="000000"/>
          <w:sz w:val="32"/>
          <w:szCs w:val="32"/>
          <w:lang w:val="en-US" w:eastAsia="zh-CN"/>
        </w:rPr>
        <w:t>决算数为13.48万元，完成预算100%。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楷体" w:eastAsia="仿宋_GB2312" w:cs="楷体"/>
          <w:color w:val="000000"/>
          <w:sz w:val="32"/>
          <w:szCs w:val="32"/>
          <w:lang w:val="en-US" w:eastAsia="zh-CN"/>
        </w:rPr>
      </w:pPr>
      <w:r>
        <w:rPr>
          <w:rFonts w:hint="eastAsia" w:ascii="仿宋_GB2312" w:hAnsi="楷体" w:eastAsia="仿宋_GB2312" w:cs="楷体"/>
          <w:b/>
          <w:bCs/>
          <w:color w:val="000000"/>
          <w:sz w:val="32"/>
          <w:szCs w:val="32"/>
          <w:lang w:val="en-US" w:eastAsia="zh-CN"/>
        </w:rPr>
        <w:t>8.住房保障支出（类）住房改革支出（款）住房公积住房改革支出（款）购房补贴（项）：</w:t>
      </w:r>
      <w:r>
        <w:rPr>
          <w:rFonts w:hint="eastAsia" w:ascii="仿宋_GB2312" w:hAnsi="楷体" w:eastAsia="仿宋_GB2312" w:cs="楷体"/>
          <w:b w:val="0"/>
          <w:bCs w:val="0"/>
          <w:color w:val="000000"/>
          <w:sz w:val="32"/>
          <w:szCs w:val="32"/>
          <w:lang w:val="en-US" w:eastAsia="zh-CN"/>
        </w:rPr>
        <w:t>支出</w:t>
      </w:r>
      <w:r>
        <w:rPr>
          <w:rFonts w:hint="eastAsia" w:ascii="仿宋_GB2312" w:hAnsi="楷体" w:eastAsia="仿宋_GB2312" w:cs="楷体"/>
          <w:color w:val="000000"/>
          <w:sz w:val="32"/>
          <w:szCs w:val="32"/>
          <w:lang w:val="en-US" w:eastAsia="zh-CN"/>
        </w:rPr>
        <w:t>决算数为1.02万元，完成预算100%。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楷体" w:eastAsia="仿宋_GB2312" w:cs="楷体"/>
          <w:color w:val="000000"/>
          <w:sz w:val="32"/>
          <w:szCs w:val="32"/>
          <w:lang w:val="en-US" w:eastAsia="zh-CN"/>
        </w:rPr>
      </w:pPr>
      <w:r>
        <w:rPr>
          <w:rFonts w:hint="eastAsia" w:ascii="仿宋_GB2312" w:hAnsi="楷体" w:eastAsia="仿宋_GB2312" w:cs="楷体"/>
          <w:b/>
          <w:bCs/>
          <w:color w:val="000000"/>
          <w:sz w:val="32"/>
          <w:szCs w:val="32"/>
          <w:lang w:val="en-US" w:eastAsia="zh-CN"/>
        </w:rPr>
        <w:t>9.农林水支出（类）农业（款）农业生产支持补贴（项）：</w:t>
      </w:r>
      <w:r>
        <w:rPr>
          <w:rFonts w:hint="eastAsia" w:ascii="仿宋_GB2312" w:hAnsi="楷体" w:eastAsia="仿宋_GB2312" w:cs="楷体"/>
          <w:color w:val="000000"/>
          <w:sz w:val="32"/>
          <w:szCs w:val="32"/>
          <w:lang w:val="en-US" w:eastAsia="zh-CN"/>
        </w:rPr>
        <w:t>支出决算37.97万元，完成预算100%。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color w:val="000000"/>
          <w:sz w:val="32"/>
          <w:szCs w:val="32"/>
        </w:rPr>
      </w:pPr>
      <w:r>
        <w:rPr>
          <w:rFonts w:hint="eastAsia" w:ascii="仿宋_GB2312" w:hAnsi="楷体" w:eastAsia="仿宋_GB2312" w:cs="楷体"/>
          <w:b/>
          <w:bCs/>
          <w:color w:val="000000"/>
          <w:sz w:val="32"/>
          <w:szCs w:val="32"/>
          <w:lang w:val="en-US" w:eastAsia="zh-CN"/>
        </w:rPr>
        <w:t>10.农林水支出（类）农业（款）其他农业支出（项）：</w:t>
      </w:r>
      <w:r>
        <w:rPr>
          <w:rFonts w:hint="eastAsia" w:ascii="仿宋_GB2312" w:hAnsi="楷体" w:eastAsia="仿宋_GB2312" w:cs="楷体"/>
          <w:color w:val="000000"/>
          <w:sz w:val="32"/>
          <w:szCs w:val="32"/>
          <w:lang w:val="en-US" w:eastAsia="zh-CN"/>
        </w:rPr>
        <w:t>支出决算为1.47万元，完成预算100%。</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220.43</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206.81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13.62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hint="eastAsia" w:ascii="楷体" w:hAnsi="楷体" w:eastAsia="楷体" w:cs="楷体"/>
          <w:b/>
          <w:color w:val="000000"/>
          <w:sz w:val="32"/>
          <w:szCs w:val="32"/>
        </w:rPr>
      </w:pPr>
      <w:bookmarkStart w:id="44" w:name="_Toc15377216"/>
      <w:r>
        <w:rPr>
          <w:rFonts w:hint="eastAsia" w:ascii="楷体" w:hAnsi="楷体" w:eastAsia="楷体" w:cs="楷体"/>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万元，决算数小于预算数的主要原因是</w:t>
      </w:r>
      <w:r>
        <w:rPr>
          <w:rFonts w:hint="eastAsia" w:ascii="仿宋" w:hAnsi="仿宋" w:eastAsia="仿宋"/>
          <w:color w:val="000000"/>
          <w:sz w:val="32"/>
          <w:szCs w:val="32"/>
          <w:lang w:eastAsia="zh-CN"/>
        </w:rPr>
        <w:t>积极贯彻中央八项规定节约开支</w:t>
      </w:r>
      <w:r>
        <w:rPr>
          <w:rFonts w:hint="eastAsia" w:ascii="仿宋" w:hAnsi="仿宋" w:eastAsia="仿宋"/>
          <w:color w:val="000000"/>
          <w:sz w:val="32"/>
          <w:szCs w:val="32"/>
        </w:rPr>
        <w:t>。</w:t>
      </w:r>
    </w:p>
    <w:p>
      <w:pPr>
        <w:spacing w:line="600" w:lineRule="exact"/>
        <w:ind w:firstLine="640"/>
        <w:outlineLvl w:val="2"/>
        <w:rPr>
          <w:rFonts w:hint="eastAsia" w:ascii="楷体" w:hAnsi="楷体" w:eastAsia="楷体" w:cs="楷体"/>
          <w:b/>
          <w:color w:val="000000"/>
          <w:sz w:val="32"/>
          <w:szCs w:val="32"/>
        </w:rPr>
      </w:pPr>
      <w:bookmarkStart w:id="45" w:name="_Toc15377217"/>
      <w:r>
        <w:rPr>
          <w:rFonts w:hint="eastAsia" w:ascii="楷体" w:hAnsi="楷体" w:eastAsia="楷体" w:cs="楷体"/>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hint="eastAsia" w:ascii="仿宋_GB2312" w:eastAsia="仿宋"/>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主要原因是单位无公务用车。</w:t>
      </w:r>
    </w:p>
    <w:p>
      <w:pPr>
        <w:spacing w:line="600" w:lineRule="exact"/>
        <w:ind w:firstLine="640"/>
        <w:rPr>
          <w:rFonts w:ascii="黑体" w:eastAsia="黑体"/>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pPr>
        <w:numPr>
          <w:ilvl w:val="0"/>
          <w:numId w:val="3"/>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楷体" w:hAnsi="楷体" w:eastAsia="楷体" w:cs="楷体"/>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，供销社</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13.62</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3.02</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下乡时间多，经费增加。</w:t>
      </w:r>
    </w:p>
    <w:p>
      <w:pPr>
        <w:spacing w:line="600" w:lineRule="exact"/>
        <w:ind w:firstLine="643" w:firstLineChars="200"/>
        <w:outlineLvl w:val="2"/>
        <w:rPr>
          <w:rFonts w:hint="eastAsia" w:ascii="楷体" w:hAnsi="楷体" w:eastAsia="楷体" w:cs="楷体"/>
          <w:b/>
          <w:color w:val="000000"/>
          <w:sz w:val="32"/>
          <w:szCs w:val="32"/>
        </w:rPr>
      </w:pPr>
      <w:bookmarkStart w:id="53" w:name="_Toc15377223"/>
      <w:r>
        <w:rPr>
          <w:rFonts w:hint="eastAsia" w:ascii="楷体" w:hAnsi="楷体" w:eastAsia="楷体" w:cs="楷体"/>
          <w:b/>
          <w:color w:val="000000"/>
          <w:sz w:val="32"/>
          <w:szCs w:val="32"/>
        </w:rPr>
        <w:t>（二）政府采购支出情况</w:t>
      </w:r>
      <w:bookmarkEnd w:id="53"/>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供销社</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outlineLvl w:val="2"/>
        <w:rPr>
          <w:rFonts w:hint="eastAsia" w:ascii="楷体" w:hAnsi="楷体" w:eastAsia="楷体" w:cs="楷体"/>
          <w:b/>
          <w:color w:val="000000"/>
          <w:sz w:val="32"/>
          <w:szCs w:val="32"/>
        </w:rPr>
      </w:pPr>
      <w:bookmarkStart w:id="54" w:name="_Toc15377224"/>
      <w:r>
        <w:rPr>
          <w:rFonts w:hint="eastAsia" w:ascii="楷体" w:hAnsi="楷体" w:eastAsia="楷体" w:cs="楷体"/>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供销社</w:t>
      </w:r>
      <w:r>
        <w:rPr>
          <w:rFonts w:hint="eastAsia" w:ascii="仿宋_GB2312" w:eastAsia="仿宋_GB2312"/>
          <w:color w:val="000000"/>
          <w:sz w:val="32"/>
          <w:szCs w:val="32"/>
        </w:rPr>
        <w:t>共</w:t>
      </w:r>
      <w:r>
        <w:rPr>
          <w:rFonts w:hint="eastAsia" w:ascii="仿宋_GB2312" w:eastAsia="仿宋_GB2312"/>
          <w:color w:val="000000"/>
          <w:sz w:val="32"/>
          <w:szCs w:val="32"/>
          <w:lang w:eastAsia="zh-CN"/>
        </w:rPr>
        <w:t>无公务用车</w:t>
      </w:r>
      <w:r>
        <w:rPr>
          <w:rFonts w:hint="eastAsia" w:ascii="仿宋_GB2312" w:eastAsia="仿宋_GB2312"/>
          <w:color w:val="000000"/>
          <w:sz w:val="32"/>
          <w:szCs w:val="32"/>
        </w:rPr>
        <w:t>车辆</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楷体" w:hAnsi="楷体" w:eastAsia="楷体" w:cs="楷体"/>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“农业生产补贴”</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w:t>
      </w:r>
      <w:r>
        <w:rPr>
          <w:rFonts w:hint="eastAsia" w:ascii="仿宋_GB2312" w:hAnsi="仿宋_GB2312" w:eastAsia="仿宋_GB2312" w:cs="仿宋_GB2312"/>
          <w:sz w:val="32"/>
          <w:szCs w:val="32"/>
          <w:lang w:eastAsia="zh-CN"/>
        </w:rPr>
        <w:t>看，整体支出绩效评价自评结果良好，全年基本支出保证了部门的正常运行和日常工作的开展</w:t>
      </w:r>
      <w:r>
        <w:rPr>
          <w:rFonts w:hint="eastAsia" w:ascii="仿宋_GB2312" w:hAnsi="仿宋_GB2312" w:eastAsia="仿宋_GB2312" w:cs="仿宋_GB2312"/>
          <w:sz w:val="32"/>
          <w:szCs w:val="32"/>
        </w:rPr>
        <w:t>。</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农业生产支持补贴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民贸民品优惠贴息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其他商品流通事务支出项目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“扶贫项目”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农业生产支持补贴</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37.97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37.97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减轻了农民的负担。</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民贸民品优惠贴息</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61.98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61.98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%。通过项目实施，支持</w:t>
      </w:r>
      <w:r>
        <w:rPr>
          <w:rFonts w:hint="eastAsia" w:ascii="仿宋_GB2312" w:hAnsi="仿宋_GB2312" w:eastAsia="仿宋_GB2312" w:cs="仿宋_GB2312"/>
          <w:sz w:val="32"/>
          <w:szCs w:val="32"/>
          <w:lang w:eastAsia="zh-CN"/>
        </w:rPr>
        <w:t>为农行业的发展，减轻企业的负担。</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其他商品流通事务支出</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支持了为农服务中心建设。</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扶贫</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支持了脱贫攻坚工作。</w:t>
      </w:r>
    </w:p>
    <w:tbl>
      <w:tblPr>
        <w:tblStyle w:val="12"/>
        <w:tblpPr w:leftFromText="180" w:rightFromText="180" w:vertAnchor="text" w:horzAnchor="page" w:tblpX="1395" w:tblpY="80"/>
        <w:tblOverlap w:val="never"/>
        <w:tblW w:w="0" w:type="auto"/>
        <w:tblInd w:w="0" w:type="dxa"/>
        <w:tblLayout w:type="fixed"/>
        <w:tblCellMar>
          <w:top w:w="0" w:type="dxa"/>
          <w:left w:w="0" w:type="dxa"/>
          <w:bottom w:w="0" w:type="dxa"/>
          <w:right w:w="0" w:type="dxa"/>
        </w:tblCellMar>
      </w:tblPr>
      <w:tblGrid>
        <w:gridCol w:w="801"/>
        <w:gridCol w:w="1384"/>
        <w:gridCol w:w="1065"/>
        <w:gridCol w:w="1924"/>
        <w:gridCol w:w="2043"/>
        <w:gridCol w:w="1886"/>
      </w:tblGrid>
      <w:tr>
        <w:tblPrEx>
          <w:tblCellMar>
            <w:top w:w="0" w:type="dxa"/>
            <w:left w:w="0" w:type="dxa"/>
            <w:bottom w:w="0" w:type="dxa"/>
            <w:right w:w="0" w:type="dxa"/>
          </w:tblCellMar>
        </w:tblPrEx>
        <w:trPr>
          <w:trHeight w:val="1034" w:hRule="atLeast"/>
        </w:trPr>
        <w:tc>
          <w:tcPr>
            <w:tcW w:w="9103" w:type="dxa"/>
            <w:gridSpan w:val="6"/>
            <w:noWrap w:val="0"/>
            <w:tcMar>
              <w:top w:w="15" w:type="dxa"/>
              <w:left w:w="15" w:type="dxa"/>
              <w:bottom w:w="0" w:type="dxa"/>
              <w:right w:w="15" w:type="dxa"/>
            </w:tcMar>
            <w:vAlign w:val="center"/>
          </w:tcPr>
          <w:p>
            <w:pPr>
              <w:pStyle w:val="23"/>
              <w:widowControl/>
              <w:spacing w:line="576" w:lineRule="exact"/>
              <w:ind w:firstLine="0" w:firstLineChars="0"/>
              <w:jc w:val="both"/>
              <w:textAlignment w:val="center"/>
              <w:rPr>
                <w:rFonts w:hint="eastAsia" w:ascii="黑体" w:hAnsi="黑体" w:eastAsia="黑体" w:cs="黑体"/>
                <w:color w:val="000000"/>
                <w:kern w:val="0"/>
                <w:sz w:val="36"/>
                <w:szCs w:val="36"/>
              </w:rPr>
            </w:pPr>
          </w:p>
          <w:p>
            <w:pPr>
              <w:pStyle w:val="23"/>
              <w:widowControl/>
              <w:spacing w:line="576" w:lineRule="exac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32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58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仿宋_GB2312" w:hAnsi="仿宋_GB2312" w:eastAsia="仿宋_GB2312" w:cs="仿宋_GB2312"/>
                <w:color w:val="000000"/>
                <w:kern w:val="0"/>
                <w:sz w:val="32"/>
                <w:szCs w:val="32"/>
                <w:lang w:val="en-US" w:eastAsia="zh-CN"/>
              </w:rPr>
              <w:t>农业生产支持补贴</w:t>
            </w:r>
          </w:p>
        </w:tc>
      </w:tr>
      <w:tr>
        <w:tblPrEx>
          <w:tblCellMar>
            <w:top w:w="0" w:type="dxa"/>
            <w:left w:w="0" w:type="dxa"/>
            <w:bottom w:w="0" w:type="dxa"/>
            <w:right w:w="0" w:type="dxa"/>
          </w:tblCellMar>
        </w:tblPrEx>
        <w:trPr>
          <w:trHeight w:val="276" w:hRule="atLeast"/>
        </w:trPr>
        <w:tc>
          <w:tcPr>
            <w:tcW w:w="32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58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olor w:val="000000"/>
                <w:sz w:val="24"/>
                <w:szCs w:val="24"/>
                <w:lang w:val="en-US" w:eastAsia="zh-CN"/>
              </w:rPr>
            </w:pPr>
            <w:r>
              <w:rPr>
                <w:rFonts w:hint="eastAsia" w:ascii="宋体" w:hAnsi="宋体" w:cs="宋体"/>
                <w:color w:val="000000"/>
                <w:kern w:val="0"/>
                <w:sz w:val="24"/>
                <w:szCs w:val="24"/>
                <w:lang w:val="en-US" w:eastAsia="zh-CN"/>
              </w:rPr>
              <w:t>茂县供销社</w:t>
            </w:r>
          </w:p>
        </w:tc>
      </w:tr>
      <w:tr>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预</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算</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执</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行</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情</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况</w:t>
            </w:r>
          </w:p>
          <w:p>
            <w:pPr>
              <w:widowControl/>
              <w:spacing w:line="576" w:lineRule="exact"/>
              <w:jc w:val="center"/>
              <w:textAlignment w:val="center"/>
              <w:rPr>
                <w:rFonts w:ascii="宋体"/>
                <w:color w:val="00000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4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s="宋体"/>
                <w:color w:val="000000"/>
                <w:sz w:val="24"/>
                <w:szCs w:val="24"/>
                <w:lang w:val="en-US" w:eastAsia="zh-CN"/>
              </w:rPr>
            </w:pPr>
            <w:r>
              <w:rPr>
                <w:rFonts w:hint="eastAsia" w:ascii="宋体" w:cs="宋体"/>
                <w:color w:val="000000"/>
                <w:sz w:val="24"/>
                <w:szCs w:val="24"/>
                <w:lang w:val="en-US" w:eastAsia="zh-CN"/>
              </w:rPr>
              <w:t>37.97</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s="宋体"/>
                <w:color w:val="000000"/>
                <w:sz w:val="24"/>
                <w:szCs w:val="24"/>
                <w:lang w:val="en-US" w:eastAsia="zh-CN"/>
              </w:rPr>
            </w:pPr>
            <w:r>
              <w:rPr>
                <w:rFonts w:hint="eastAsia" w:ascii="宋体" w:cs="宋体"/>
                <w:color w:val="000000"/>
                <w:sz w:val="24"/>
                <w:szCs w:val="24"/>
                <w:lang w:val="en-US" w:eastAsia="zh-CN"/>
              </w:rPr>
              <w:t>37.97</w:t>
            </w:r>
          </w:p>
        </w:tc>
      </w:tr>
      <w:tr>
        <w:tblPrEx>
          <w:tblCellMar>
            <w:top w:w="0" w:type="dxa"/>
            <w:left w:w="0" w:type="dxa"/>
            <w:bottom w:w="0" w:type="dxa"/>
            <w:right w:w="0" w:type="dxa"/>
          </w:tblCellMar>
        </w:tblPrEx>
        <w:trPr>
          <w:trHeight w:val="276"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24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s="宋体"/>
                <w:color w:val="000000"/>
                <w:sz w:val="24"/>
                <w:szCs w:val="24"/>
                <w:lang w:val="en-US" w:eastAsia="zh-CN"/>
              </w:rPr>
            </w:pPr>
            <w:r>
              <w:rPr>
                <w:rFonts w:hint="eastAsia" w:ascii="宋体" w:cs="宋体"/>
                <w:color w:val="000000"/>
                <w:sz w:val="24"/>
                <w:szCs w:val="24"/>
                <w:lang w:val="en-US" w:eastAsia="zh-CN"/>
              </w:rPr>
              <w:t>37.97</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default" w:ascii="宋体" w:eastAsia="宋体" w:cs="宋体"/>
                <w:color w:val="000000"/>
                <w:sz w:val="24"/>
                <w:szCs w:val="24"/>
                <w:lang w:val="en-US" w:eastAsia="zh-CN"/>
              </w:rPr>
            </w:pPr>
            <w:r>
              <w:rPr>
                <w:rFonts w:hint="eastAsia" w:ascii="宋体" w:cs="宋体"/>
                <w:color w:val="000000"/>
                <w:sz w:val="24"/>
                <w:szCs w:val="24"/>
                <w:lang w:val="en-US" w:eastAsia="zh-CN"/>
              </w:rPr>
              <w:t>37.97</w:t>
            </w:r>
          </w:p>
        </w:tc>
      </w:tr>
      <w:tr>
        <w:tblPrEx>
          <w:tblCellMar>
            <w:top w:w="0" w:type="dxa"/>
            <w:left w:w="0" w:type="dxa"/>
            <w:bottom w:w="0" w:type="dxa"/>
            <w:right w:w="0" w:type="dxa"/>
          </w:tblCellMar>
        </w:tblPrEx>
        <w:trPr>
          <w:trHeight w:val="329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24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ascii="宋体" w:cs="宋体"/>
                <w:color w:val="000000"/>
                <w:kern w:val="0"/>
                <w:sz w:val="24"/>
                <w:szCs w:val="24"/>
              </w:rPr>
              <w:t>0</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line="576" w:lineRule="exact"/>
              <w:ind w:left="420" w:leftChars="200"/>
              <w:jc w:val="center"/>
              <w:rPr>
                <w:rFonts w:ascii="宋体" w:cs="宋体"/>
                <w:color w:val="000000"/>
                <w:sz w:val="24"/>
                <w:szCs w:val="24"/>
              </w:rPr>
            </w:pPr>
            <w:r>
              <w:rPr>
                <w:rFonts w:ascii="宋体" w:cs="宋体"/>
                <w:color w:val="000000"/>
                <w:sz w:val="24"/>
                <w:szCs w:val="24"/>
              </w:rPr>
              <w:t>0</w:t>
            </w:r>
          </w:p>
        </w:tc>
      </w:tr>
      <w:tr>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年</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度</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目</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标</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完</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成</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情</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况</w:t>
            </w:r>
          </w:p>
        </w:tc>
        <w:tc>
          <w:tcPr>
            <w:tcW w:w="43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cs="宋体"/>
                <w:color w:val="000000"/>
                <w:sz w:val="24"/>
                <w:szCs w:val="24"/>
                <w:lang w:val="en-US" w:eastAsia="zh-CN"/>
              </w:rPr>
              <w:t>预期目标</w:t>
            </w:r>
          </w:p>
        </w:tc>
        <w:tc>
          <w:tcPr>
            <w:tcW w:w="3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tblPrEx>
          <w:tblCellMar>
            <w:top w:w="0" w:type="dxa"/>
            <w:left w:w="0" w:type="dxa"/>
            <w:bottom w:w="0" w:type="dxa"/>
            <w:right w:w="0" w:type="dxa"/>
          </w:tblCellMar>
        </w:tblPrEx>
        <w:trPr>
          <w:trHeight w:val="2701"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43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cs="宋体"/>
                <w:color w:val="000000"/>
                <w:sz w:val="24"/>
                <w:szCs w:val="24"/>
                <w:lang w:val="en-US" w:eastAsia="zh-CN"/>
              </w:rPr>
              <w:t>减轻农民的负担</w:t>
            </w:r>
          </w:p>
        </w:tc>
        <w:tc>
          <w:tcPr>
            <w:tcW w:w="3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hint="eastAsia" w:ascii="宋体" w:cs="宋体"/>
                <w:color w:val="000000"/>
                <w:sz w:val="24"/>
                <w:szCs w:val="24"/>
                <w:lang w:val="en-US" w:eastAsia="zh-CN"/>
              </w:rPr>
            </w:pPr>
            <w:r>
              <w:rPr>
                <w:rFonts w:hint="eastAsia" w:ascii="宋体" w:cs="宋体"/>
                <w:color w:val="000000"/>
                <w:sz w:val="24"/>
                <w:szCs w:val="24"/>
                <w:lang w:val="en-US" w:eastAsia="zh-CN"/>
              </w:rPr>
              <w:t>通过对项目的实施，减轻了农民的负担</w:t>
            </w:r>
          </w:p>
          <w:p>
            <w:pPr>
              <w:widowControl/>
              <w:spacing w:line="576" w:lineRule="exact"/>
              <w:ind w:left="420" w:leftChars="200"/>
              <w:jc w:val="center"/>
              <w:textAlignment w:val="center"/>
              <w:rPr>
                <w:rFonts w:ascii="宋体"/>
                <w:color w:val="000000"/>
                <w:sz w:val="24"/>
                <w:szCs w:val="24"/>
              </w:rPr>
            </w:pPr>
          </w:p>
        </w:tc>
      </w:tr>
      <w:tr>
        <w:tblPrEx>
          <w:tblCellMar>
            <w:top w:w="0" w:type="dxa"/>
            <w:left w:w="0" w:type="dxa"/>
            <w:bottom w:w="0" w:type="dxa"/>
            <w:right w:w="0" w:type="dxa"/>
          </w:tblCellMar>
        </w:tblPrEx>
        <w:trPr>
          <w:trHeight w:val="1311" w:hRule="atLeast"/>
        </w:trPr>
        <w:tc>
          <w:tcPr>
            <w:tcW w:w="8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绩</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效</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指</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标</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完</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成</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情</w:t>
            </w:r>
          </w:p>
          <w:p>
            <w:pPr>
              <w:widowControl/>
              <w:spacing w:line="576" w:lineRule="exact"/>
              <w:jc w:val="center"/>
              <w:textAlignment w:val="center"/>
              <w:rPr>
                <w:rFonts w:ascii="宋体"/>
                <w:color w:val="000000"/>
                <w:sz w:val="24"/>
                <w:szCs w:val="24"/>
              </w:rPr>
            </w:pPr>
            <w:r>
              <w:rPr>
                <w:rFonts w:hint="eastAsia" w:ascii="宋体" w:hAnsi="宋体" w:cs="宋体"/>
                <w:color w:val="000000"/>
                <w:sz w:val="24"/>
                <w:szCs w:val="24"/>
              </w:rPr>
              <w:t>况</w:t>
            </w: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tblPrEx>
          <w:tblCellMar>
            <w:top w:w="0" w:type="dxa"/>
            <w:left w:w="0" w:type="dxa"/>
            <w:bottom w:w="0" w:type="dxa"/>
            <w:right w:w="0" w:type="dxa"/>
          </w:tblCellMar>
        </w:tblPrEx>
        <w:trPr>
          <w:trHeight w:val="813"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项目</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完成</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质量指标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rPr>
                <w:rFonts w:ascii="宋体"/>
                <w:color w:val="000000"/>
                <w:sz w:val="24"/>
                <w:szCs w:val="24"/>
              </w:rPr>
            </w:pPr>
            <w:r>
              <w:rPr>
                <w:rFonts w:hint="eastAsia" w:ascii="宋体" w:cs="宋体"/>
                <w:color w:val="000000"/>
                <w:sz w:val="24"/>
                <w:szCs w:val="24"/>
              </w:rPr>
              <w:t>发放次数</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firstLine="480" w:firstLineChars="200"/>
              <w:jc w:val="both"/>
              <w:textAlignment w:val="center"/>
              <w:rPr>
                <w:rFonts w:ascii="宋体"/>
                <w:color w:val="000000"/>
                <w:sz w:val="24"/>
                <w:szCs w:val="24"/>
              </w:rPr>
            </w:pPr>
            <w:r>
              <w:rPr>
                <w:rFonts w:ascii="宋体" w:cs="宋体"/>
                <w:color w:val="000000"/>
                <w:sz w:val="24"/>
                <w:szCs w:val="24"/>
              </w:rPr>
              <w:t>&gt;2</w:t>
            </w:r>
            <w:r>
              <w:rPr>
                <w:rFonts w:hint="eastAsia" w:ascii="宋体" w:cs="宋体"/>
                <w:color w:val="000000"/>
                <w:sz w:val="24"/>
                <w:szCs w:val="24"/>
              </w:rPr>
              <w:t>次</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cs="宋体"/>
                <w:color w:val="000000"/>
                <w:sz w:val="24"/>
                <w:szCs w:val="24"/>
              </w:rPr>
              <w:t>一次性发放</w:t>
            </w:r>
          </w:p>
        </w:tc>
      </w:tr>
      <w:tr>
        <w:tblPrEx>
          <w:tblCellMar>
            <w:top w:w="0" w:type="dxa"/>
            <w:left w:w="0" w:type="dxa"/>
            <w:bottom w:w="0" w:type="dxa"/>
            <w:right w:w="0" w:type="dxa"/>
          </w:tblCellMar>
        </w:tblPrEx>
        <w:trPr>
          <w:trHeight w:val="88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项目</w:t>
            </w:r>
          </w:p>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完成</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时效指标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发放时间</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firstLine="720" w:firstLineChars="300"/>
              <w:textAlignment w:val="center"/>
              <w:rPr>
                <w:rFonts w:ascii="宋体"/>
                <w:color w:val="000000"/>
                <w:sz w:val="24"/>
                <w:szCs w:val="24"/>
              </w:rPr>
            </w:pPr>
            <w:r>
              <w:rPr>
                <w:rFonts w:ascii="宋体" w:hAnsi="宋体" w:cs="宋体"/>
                <w:color w:val="000000"/>
                <w:sz w:val="24"/>
                <w:szCs w:val="24"/>
              </w:rPr>
              <w:t>201</w:t>
            </w:r>
            <w:r>
              <w:rPr>
                <w:rFonts w:hint="eastAsia" w:ascii="宋体" w:hAnsi="宋体" w:cs="宋体"/>
                <w:color w:val="000000"/>
                <w:sz w:val="24"/>
                <w:szCs w:val="24"/>
                <w:lang w:val="en-US" w:eastAsia="zh-CN"/>
              </w:rPr>
              <w:t>9</w:t>
            </w:r>
            <w:r>
              <w:rPr>
                <w:rFonts w:hint="eastAsia" w:ascii="宋体" w:hAnsi="宋体" w:cs="宋体"/>
                <w:color w:val="000000"/>
                <w:sz w:val="24"/>
                <w:szCs w:val="24"/>
              </w:rPr>
              <w:t>年</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hint="eastAsia" w:ascii="宋体" w:eastAsia="宋体"/>
                <w:color w:val="000000"/>
                <w:sz w:val="24"/>
                <w:szCs w:val="24"/>
                <w:lang w:val="en-US" w:eastAsia="zh-CN"/>
              </w:rPr>
            </w:pPr>
            <w:r>
              <w:rPr>
                <w:rFonts w:hint="eastAsia" w:ascii="宋体" w:cs="宋体"/>
                <w:color w:val="000000"/>
                <w:sz w:val="24"/>
                <w:szCs w:val="24"/>
              </w:rPr>
              <w:t>按时足额</w:t>
            </w:r>
            <w:r>
              <w:rPr>
                <w:rFonts w:hint="eastAsia" w:ascii="宋体" w:cs="宋体"/>
                <w:color w:val="000000"/>
                <w:sz w:val="24"/>
                <w:szCs w:val="24"/>
                <w:lang w:val="en-US" w:eastAsia="zh-CN"/>
              </w:rPr>
              <w:t>兑现</w:t>
            </w:r>
          </w:p>
        </w:tc>
      </w:tr>
      <w:tr>
        <w:tblPrEx>
          <w:tblCellMar>
            <w:top w:w="0" w:type="dxa"/>
            <w:left w:w="0" w:type="dxa"/>
            <w:bottom w:w="0" w:type="dxa"/>
            <w:right w:w="0" w:type="dxa"/>
          </w:tblCellMar>
        </w:tblPrEx>
        <w:trPr>
          <w:trHeight w:val="1042"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社会效益指标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拟达指标</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rPr>
                <w:rFonts w:ascii="宋体"/>
                <w:color w:val="000000"/>
                <w:sz w:val="24"/>
                <w:szCs w:val="24"/>
              </w:rPr>
            </w:pPr>
            <w:r>
              <w:rPr>
                <w:rFonts w:hint="eastAsia" w:ascii="宋体" w:cs="宋体"/>
                <w:color w:val="000000"/>
                <w:sz w:val="24"/>
                <w:szCs w:val="24"/>
                <w:lang w:val="en-US" w:eastAsia="zh-CN"/>
              </w:rPr>
              <w:t>减轻农民的负担</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lang w:val="en-US" w:eastAsia="zh-CN"/>
              </w:rPr>
              <w:t>通过对项目的实施，减轻了农民的负担</w:t>
            </w:r>
          </w:p>
        </w:tc>
      </w:tr>
      <w:tr>
        <w:tblPrEx>
          <w:tblCellMar>
            <w:top w:w="0" w:type="dxa"/>
            <w:left w:w="0" w:type="dxa"/>
            <w:bottom w:w="0" w:type="dxa"/>
            <w:right w:w="0" w:type="dxa"/>
          </w:tblCellMar>
        </w:tblPrEx>
        <w:trPr>
          <w:trHeight w:val="1050" w:hRule="atLeast"/>
        </w:trPr>
        <w:tc>
          <w:tcPr>
            <w:tcW w:w="8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576" w:lineRule="exact"/>
              <w:ind w:left="420" w:leftChars="200"/>
              <w:jc w:val="center"/>
              <w:rPr>
                <w:rFonts w:ascii="宋体"/>
                <w:color w:val="000000"/>
                <w:sz w:val="24"/>
                <w:szCs w:val="24"/>
              </w:rPr>
            </w:pPr>
          </w:p>
        </w:tc>
        <w:tc>
          <w:tcPr>
            <w:tcW w:w="138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满意度</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指标</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hAnsi="宋体" w:cs="宋体"/>
                <w:color w:val="000000"/>
                <w:kern w:val="0"/>
                <w:sz w:val="24"/>
                <w:szCs w:val="24"/>
              </w:rPr>
              <w:t>满意度</w:t>
            </w:r>
          </w:p>
          <w:p>
            <w:pPr>
              <w:widowControl/>
              <w:spacing w:line="576" w:lineRule="exact"/>
              <w:jc w:val="center"/>
              <w:textAlignment w:val="center"/>
              <w:rPr>
                <w:rFonts w:ascii="宋体"/>
                <w:color w:val="000000"/>
                <w:sz w:val="24"/>
                <w:szCs w:val="24"/>
              </w:rPr>
            </w:pPr>
            <w:r>
              <w:rPr>
                <w:rFonts w:hint="eastAsia" w:ascii="宋体" w:hAnsi="宋体" w:cs="宋体"/>
                <w:color w:val="000000"/>
                <w:kern w:val="0"/>
                <w:sz w:val="24"/>
                <w:szCs w:val="24"/>
              </w:rPr>
              <w:t>指标</w:t>
            </w:r>
          </w:p>
        </w:tc>
        <w:tc>
          <w:tcPr>
            <w:tcW w:w="1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hint="eastAsia" w:ascii="宋体" w:cs="宋体"/>
                <w:color w:val="000000"/>
                <w:sz w:val="24"/>
                <w:szCs w:val="24"/>
              </w:rPr>
              <w:t>用户满意度</w:t>
            </w:r>
          </w:p>
        </w:tc>
        <w:tc>
          <w:tcPr>
            <w:tcW w:w="20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ind w:left="420" w:leftChars="200"/>
              <w:jc w:val="center"/>
              <w:textAlignment w:val="center"/>
              <w:rPr>
                <w:rFonts w:ascii="宋体"/>
                <w:color w:val="000000"/>
                <w:sz w:val="24"/>
                <w:szCs w:val="24"/>
              </w:rPr>
            </w:pPr>
            <w:r>
              <w:rPr>
                <w:rFonts w:ascii="宋体" w:hAnsi="宋体" w:cs="宋体"/>
                <w:color w:val="000000"/>
                <w:sz w:val="24"/>
                <w:szCs w:val="24"/>
              </w:rPr>
              <w:t>&gt;90%</w:t>
            </w:r>
          </w:p>
        </w:tc>
        <w:tc>
          <w:tcPr>
            <w:tcW w:w="18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576" w:lineRule="exact"/>
              <w:jc w:val="center"/>
              <w:textAlignment w:val="center"/>
              <w:rPr>
                <w:rFonts w:ascii="宋体" w:cs="宋体"/>
                <w:color w:val="000000"/>
                <w:sz w:val="24"/>
                <w:szCs w:val="24"/>
              </w:rPr>
            </w:pPr>
            <w:r>
              <w:rPr>
                <w:rFonts w:hint="eastAsia" w:ascii="宋体" w:cs="宋体"/>
                <w:color w:val="000000"/>
                <w:sz w:val="24"/>
                <w:szCs w:val="24"/>
              </w:rPr>
              <w:t>用户满意度</w:t>
            </w:r>
            <w:r>
              <w:rPr>
                <w:rFonts w:ascii="宋体" w:cs="宋体"/>
                <w:color w:val="000000"/>
                <w:sz w:val="24"/>
                <w:szCs w:val="24"/>
              </w:rPr>
              <w:t>100%</w:t>
            </w:r>
          </w:p>
        </w:tc>
      </w:tr>
    </w:tbl>
    <w:p>
      <w:pPr>
        <w:spacing w:line="580" w:lineRule="exact"/>
        <w:rPr>
          <w:rFonts w:hint="eastAsia" w:ascii="仿宋_GB2312" w:hAnsi="仿宋_GB2312" w:eastAsia="仿宋_GB2312" w:cs="仿宋_GB2312"/>
          <w:sz w:val="32"/>
          <w:szCs w:val="32"/>
          <w:lang w:eastAsia="zh-CN"/>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供销社</w:t>
      </w:r>
      <w:r>
        <w:rPr>
          <w:rFonts w:hint="eastAsia" w:ascii="仿宋_GB2312" w:hAnsi="仿宋_GB2312" w:eastAsia="仿宋_GB2312" w:cs="仿宋_GB2312"/>
          <w:sz w:val="32"/>
          <w:szCs w:val="32"/>
        </w:rPr>
        <w:t>2019年部门整体支出绩效评价报告》见附件（附件1）。</w:t>
      </w: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9.一般公共服务商业服务业（类）商业流通事务（款）行政运行（项）：指</w:t>
      </w:r>
      <w:r>
        <w:rPr>
          <w:rFonts w:ascii="仿宋_GB2312" w:eastAsia="仿宋_GB2312"/>
          <w:sz w:val="32"/>
          <w:szCs w:val="32"/>
        </w:rPr>
        <w:t>用于保障机构正常运行、开展日常工作</w:t>
      </w:r>
      <w:r>
        <w:rPr>
          <w:rFonts w:hint="eastAsia" w:ascii="仿宋_GB2312" w:eastAsia="仿宋_GB2312"/>
          <w:sz w:val="32"/>
          <w:szCs w:val="32"/>
        </w:rPr>
        <w:t>的基本支出。</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10.一般公共服务商业服务业（类）商业流通事务（款）其他商业流通事务（项）：指</w:t>
      </w:r>
      <w:r>
        <w:rPr>
          <w:rFonts w:hint="eastAsia" w:ascii="仿宋_GB2312" w:eastAsia="仿宋_GB2312"/>
          <w:sz w:val="32"/>
          <w:szCs w:val="32"/>
        </w:rPr>
        <w:t>其他用于商业流通事务方面的支出。</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11.一般公共服务商业服务业（类）商业流通事务（款）民贸民品贷款贴息（项）：指对从事民贸民品生产销售企业贷款贴息。</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12.社会保障和就业（类）行政事业单位离退休（款）机关事业单位基本养老保险缴费（项）：</w:t>
      </w:r>
      <w:r>
        <w:rPr>
          <w:rFonts w:hint="eastAsia" w:ascii="仿宋_GB2312" w:eastAsia="仿宋_GB2312"/>
          <w:sz w:val="32"/>
          <w:szCs w:val="32"/>
        </w:rPr>
        <w:t xml:space="preserve">指部门实施养老保险制度由单位缴纳的养老保险费的支出。 </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13.社会保障和就业（类）行政事业单位离退休（款）机关事业单位职业年金缴费（项）：指</w:t>
      </w:r>
      <w:r>
        <w:rPr>
          <w:rFonts w:hint="eastAsia" w:ascii="仿宋_GB2312" w:eastAsia="仿宋_GB2312"/>
          <w:sz w:val="32"/>
          <w:szCs w:val="32"/>
        </w:rPr>
        <w:t xml:space="preserve">部门实施养老保险制度由单位缴纳的职业年金的支出。 </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14.医疗卫生与计划生育（类）行政事业单位医疗（款）行政单位医疗（项）：指</w:t>
      </w:r>
      <w:r>
        <w:rPr>
          <w:rFonts w:hint="eastAsia" w:ascii="仿宋_GB2312" w:eastAsia="仿宋_GB2312"/>
          <w:sz w:val="32"/>
          <w:szCs w:val="32"/>
        </w:rPr>
        <w:t xml:space="preserve">厅机关及参公管理事业单位用于缴纳单位基本医疗保险支出。 </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15.住房保障支出（类）住房公积金（款）住房公积金（项）：指</w:t>
      </w:r>
      <w:r>
        <w:rPr>
          <w:rFonts w:hint="eastAsia" w:ascii="仿宋_GB2312" w:eastAsia="仿宋_GB2312"/>
          <w:sz w:val="32"/>
          <w:szCs w:val="32"/>
        </w:rPr>
        <w:t>行政事业单位按规定为职工缴纳的住房公积金</w:t>
      </w:r>
      <w:r>
        <w:rPr>
          <w:rFonts w:hint="eastAsia" w:ascii="仿宋_GB2312" w:eastAsia="仿宋_GB2312"/>
          <w:sz w:val="32"/>
          <w:szCs w:val="32"/>
          <w:lang w:eastAsia="zh-CN"/>
        </w:rPr>
        <w:t>。</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16.住房保障支出（类）住房改革支出（款）住房公积住房改革支出（款）购房补贴（项）：指</w:t>
      </w:r>
      <w:r>
        <w:rPr>
          <w:rFonts w:hint="eastAsia" w:ascii="仿宋_GB2312" w:eastAsia="仿宋_GB2312"/>
          <w:sz w:val="32"/>
          <w:szCs w:val="32"/>
        </w:rPr>
        <w:t>行政事业单位按规定为职工</w:t>
      </w:r>
      <w:r>
        <w:rPr>
          <w:rFonts w:hint="eastAsia" w:ascii="仿宋_GB2312" w:eastAsia="仿宋_GB2312"/>
          <w:sz w:val="32"/>
          <w:szCs w:val="32"/>
          <w:lang w:eastAsia="zh-CN"/>
        </w:rPr>
        <w:t>支付的购房补贴。</w:t>
      </w:r>
    </w:p>
    <w:p>
      <w:pPr>
        <w:pStyle w:val="22"/>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17.农林水支出（类）农业（款）农业生产支持补贴（项）：指</w:t>
      </w:r>
      <w:r>
        <w:rPr>
          <w:rFonts w:hint="eastAsia" w:ascii="仿宋_GB2312" w:eastAsia="仿宋_GB2312"/>
          <w:sz w:val="32"/>
          <w:szCs w:val="32"/>
        </w:rPr>
        <w:t>反映对种粮农民直接补贴，对农业生产资料补贴、技术物化补贴，推广先进适用农机农艺技术等方面支出。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18.农林水支出（类）农业（款）其他农业支出（项）：指</w:t>
      </w:r>
      <w:r>
        <w:rPr>
          <w:rFonts w:hint="eastAsia" w:ascii="仿宋_GB2312" w:eastAsia="仿宋_GB2312"/>
          <w:sz w:val="32"/>
          <w:szCs w:val="32"/>
        </w:rPr>
        <w:t>反映其他用于农业方面的支出。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供销社</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3"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茂县供销合作社联合社内办公室、计财审计股、社务指导.业务发展.物业管理.安全法制综合股。</w:t>
      </w:r>
    </w:p>
    <w:p>
      <w:pPr>
        <w:widowControl/>
        <w:numPr>
          <w:ilvl w:val="0"/>
          <w:numId w:val="0"/>
        </w:numPr>
        <w:adjustRightInd w:val="0"/>
        <w:snapToGrid w:val="0"/>
        <w:spacing w:line="580" w:lineRule="exact"/>
        <w:ind w:firstLine="643"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宣传贯彻党中央、国务院、省委、省政府和州委、州政府及县委、县政府有关农业、农村经济工作和社会发展方针政策，维护全县供销社的合法权益；研究和制定全县供销合作社发展规划，指导全县供销合作社的企业改革和发展；对重要农业生产资料、农副产品经营进行组织、储备、调运工作，负责烟花爆竹和废旧物资再生资源的经营及社办工业的指导；协调同政府有关部门、社会组织的关系，研究供销合作经济运行中的重大问题，组织全县供销系统参与和推进农业产业化经营，加强农产品市场调查研究，培育农产品市场，组织发展专业合作社消费合作社等中介服务组织；指导农村社会化服务体系建设；积极参与供销合作经济对外交流活动；承担县政府交办的其他事项。</w:t>
      </w:r>
    </w:p>
    <w:p>
      <w:pPr>
        <w:widowControl/>
        <w:numPr>
          <w:ilvl w:val="0"/>
          <w:numId w:val="0"/>
        </w:numPr>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（三）人员概况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供销社机关事业编制12人，实有在职职工1</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人，退休</w:t>
      </w:r>
      <w:r>
        <w:rPr>
          <w:rFonts w:hint="default" w:ascii="仿宋_GB2312" w:hAnsi="宋体" w:eastAsia="仿宋_GB2312" w:cs="宋体"/>
          <w:color w:val="000000"/>
          <w:kern w:val="0"/>
          <w:sz w:val="32"/>
          <w:szCs w:val="32"/>
          <w:shd w:val="clear" w:color="auto" w:fill="FFFFFF"/>
          <w:lang w:val="en-US"/>
        </w:rPr>
        <w:t>5</w:t>
      </w:r>
      <w:r>
        <w:rPr>
          <w:rFonts w:hint="eastAsia" w:ascii="仿宋_GB2312" w:hAnsi="宋体" w:eastAsia="仿宋_GB2312" w:cs="宋体"/>
          <w:color w:val="000000"/>
          <w:kern w:val="0"/>
          <w:sz w:val="32"/>
          <w:szCs w:val="32"/>
          <w:shd w:val="clear" w:color="auto" w:fill="FFFFFF"/>
          <w:lang w:val="zh-CN"/>
        </w:rPr>
        <w:t>人，离休1人。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2019</w:t>
      </w:r>
      <w:r>
        <w:rPr>
          <w:rFonts w:hint="eastAsia" w:ascii="仿宋_GB2312" w:hAnsi="宋体" w:eastAsia="仿宋_GB2312" w:cs="宋体"/>
          <w:color w:val="000000"/>
          <w:kern w:val="0"/>
          <w:sz w:val="32"/>
          <w:szCs w:val="32"/>
          <w:shd w:val="clear" w:color="auto" w:fill="FFFFFF"/>
          <w:lang w:val="zh-CN"/>
        </w:rPr>
        <w:t>年度一般公共预算财政拨款年初结转和结余</w:t>
      </w:r>
      <w:r>
        <w:rPr>
          <w:rFonts w:hint="eastAsia" w:ascii="仿宋_GB2312" w:hAnsi="宋体" w:eastAsia="仿宋_GB2312" w:cs="宋体"/>
          <w:color w:val="000000"/>
          <w:kern w:val="0"/>
          <w:sz w:val="32"/>
          <w:szCs w:val="32"/>
          <w:shd w:val="clear" w:color="auto" w:fill="FFFFFF"/>
          <w:lang w:val="en-US" w:eastAsia="zh-CN"/>
        </w:rPr>
        <w:t>4.97万元，</w:t>
      </w:r>
      <w:r>
        <w:rPr>
          <w:rFonts w:hint="eastAsia" w:ascii="仿宋_GB2312" w:hAnsi="宋体" w:eastAsia="仿宋_GB2312" w:cs="宋体"/>
          <w:color w:val="000000"/>
          <w:kern w:val="0"/>
          <w:sz w:val="32"/>
          <w:szCs w:val="32"/>
          <w:shd w:val="clear" w:color="auto" w:fill="FFFFFF"/>
          <w:lang w:val="zh-CN"/>
        </w:rPr>
        <w:t>本年度收入</w:t>
      </w:r>
      <w:r>
        <w:rPr>
          <w:rFonts w:hint="eastAsia" w:ascii="仿宋_GB2312" w:hAnsi="宋体" w:eastAsia="仿宋_GB2312" w:cs="宋体"/>
          <w:color w:val="000000"/>
          <w:kern w:val="0"/>
          <w:sz w:val="32"/>
          <w:szCs w:val="32"/>
          <w:shd w:val="clear" w:color="auto" w:fill="FFFFFF"/>
          <w:lang w:val="en-US" w:eastAsia="zh-CN"/>
        </w:rPr>
        <w:t>516.88万元，2019年度收入合计521.85万元。</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（二）部门财政资金支出情况</w:t>
      </w:r>
    </w:p>
    <w:p>
      <w:pPr>
        <w:widowControl/>
        <w:spacing w:line="576" w:lineRule="exact"/>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供销社</w:t>
      </w:r>
      <w:r>
        <w:rPr>
          <w:rFonts w:hint="eastAsia" w:ascii="仿宋_GB2312" w:hAnsi="仿宋" w:eastAsia="仿宋_GB2312"/>
          <w:color w:val="000000"/>
          <w:sz w:val="32"/>
          <w:szCs w:val="32"/>
          <w:lang w:val="en-US" w:eastAsia="zh-CN"/>
        </w:rPr>
        <w:t>2019</w:t>
      </w:r>
      <w:r>
        <w:rPr>
          <w:rFonts w:hint="eastAsia" w:ascii="仿宋_GB2312" w:hAnsi="仿宋" w:eastAsia="仿宋_GB2312"/>
          <w:color w:val="000000"/>
          <w:sz w:val="32"/>
          <w:szCs w:val="32"/>
        </w:rPr>
        <w:t>年度支出决算总额为</w:t>
      </w:r>
      <w:r>
        <w:rPr>
          <w:rFonts w:hint="eastAsia" w:ascii="仿宋_GB2312" w:hAnsi="仿宋" w:eastAsia="仿宋_GB2312"/>
          <w:color w:val="000000"/>
          <w:sz w:val="32"/>
          <w:szCs w:val="32"/>
          <w:lang w:val="en-US" w:eastAsia="zh-CN"/>
        </w:rPr>
        <w:t>521.85</w:t>
      </w:r>
      <w:r>
        <w:rPr>
          <w:rFonts w:hint="eastAsia" w:ascii="仿宋_GB2312" w:hAnsi="仿宋" w:eastAsia="仿宋_GB2312"/>
          <w:color w:val="000000"/>
          <w:sz w:val="32"/>
          <w:szCs w:val="32"/>
        </w:rPr>
        <w:t>万元，</w:t>
      </w:r>
      <w:r>
        <w:rPr>
          <w:rFonts w:hint="eastAsia" w:ascii="仿宋_GB2312" w:hAnsi="仿宋" w:eastAsia="仿宋_GB2312" w:cs="仿宋"/>
          <w:color w:val="000000"/>
          <w:kern w:val="0"/>
          <w:sz w:val="32"/>
          <w:szCs w:val="32"/>
          <w:lang w:bidi="ar"/>
        </w:rPr>
        <w:t xml:space="preserve">其中按功能分类，一般公共服务支出 </w:t>
      </w:r>
      <w:r>
        <w:rPr>
          <w:rFonts w:hint="eastAsia" w:ascii="仿宋_GB2312" w:hAnsi="仿宋" w:eastAsia="仿宋_GB2312" w:cs="仿宋"/>
          <w:color w:val="000000"/>
          <w:kern w:val="0"/>
          <w:sz w:val="32"/>
          <w:szCs w:val="32"/>
          <w:lang w:val="en-US" w:eastAsia="zh-CN" w:bidi="ar"/>
        </w:rPr>
        <w:t>432.4</w:t>
      </w:r>
      <w:r>
        <w:rPr>
          <w:rFonts w:hint="eastAsia" w:ascii="仿宋_GB2312" w:hAnsi="仿宋" w:eastAsia="仿宋_GB2312" w:cs="仿宋"/>
          <w:color w:val="000000"/>
          <w:kern w:val="0"/>
          <w:sz w:val="32"/>
          <w:szCs w:val="32"/>
          <w:lang w:bidi="ar"/>
        </w:rPr>
        <w:t>万元、社会保障和就业支出</w:t>
      </w:r>
      <w:r>
        <w:rPr>
          <w:rFonts w:hint="eastAsia" w:ascii="仿宋_GB2312" w:hAnsi="仿宋" w:eastAsia="仿宋_GB2312" w:cs="仿宋"/>
          <w:color w:val="000000"/>
          <w:kern w:val="0"/>
          <w:sz w:val="32"/>
          <w:szCs w:val="32"/>
          <w:lang w:val="en-US" w:eastAsia="zh-CN" w:bidi="ar"/>
        </w:rPr>
        <w:t>23.04</w:t>
      </w:r>
      <w:r>
        <w:rPr>
          <w:rFonts w:hint="eastAsia" w:ascii="仿宋_GB2312" w:hAnsi="仿宋" w:eastAsia="仿宋_GB2312" w:cs="仿宋"/>
          <w:color w:val="000000"/>
          <w:kern w:val="0"/>
          <w:sz w:val="32"/>
          <w:szCs w:val="32"/>
          <w:lang w:bidi="ar"/>
        </w:rPr>
        <w:t xml:space="preserve"> 万元、医疗卫生与计划生育支出</w:t>
      </w:r>
      <w:r>
        <w:rPr>
          <w:rFonts w:hint="eastAsia" w:ascii="仿宋_GB2312" w:hAnsi="仿宋" w:eastAsia="仿宋_GB2312" w:cs="仿宋"/>
          <w:color w:val="000000"/>
          <w:kern w:val="0"/>
          <w:sz w:val="32"/>
          <w:szCs w:val="32"/>
          <w:lang w:val="en-US" w:eastAsia="zh-CN" w:bidi="ar"/>
        </w:rPr>
        <w:t>12.47</w:t>
      </w:r>
      <w:r>
        <w:rPr>
          <w:rFonts w:hint="eastAsia" w:ascii="仿宋_GB2312" w:hAnsi="仿宋" w:eastAsia="仿宋_GB2312" w:cs="仿宋"/>
          <w:color w:val="000000"/>
          <w:kern w:val="0"/>
          <w:sz w:val="32"/>
          <w:szCs w:val="32"/>
          <w:lang w:bidi="ar"/>
        </w:rPr>
        <w:t>万元、住房保障支出</w:t>
      </w:r>
      <w:r>
        <w:rPr>
          <w:rFonts w:hint="eastAsia" w:ascii="仿宋_GB2312" w:hAnsi="仿宋" w:eastAsia="仿宋_GB2312" w:cs="仿宋"/>
          <w:color w:val="000000"/>
          <w:kern w:val="0"/>
          <w:sz w:val="32"/>
          <w:szCs w:val="32"/>
          <w:lang w:val="en-US" w:eastAsia="zh-CN" w:bidi="ar"/>
        </w:rPr>
        <w:t>14.5</w:t>
      </w:r>
      <w:r>
        <w:rPr>
          <w:rFonts w:hint="eastAsia" w:ascii="仿宋_GB2312" w:hAnsi="仿宋" w:eastAsia="仿宋_GB2312" w:cs="仿宋"/>
          <w:color w:val="000000"/>
          <w:kern w:val="0"/>
          <w:sz w:val="32"/>
          <w:szCs w:val="32"/>
          <w:lang w:bidi="ar"/>
        </w:rPr>
        <w:t>万元、农林水支出</w:t>
      </w:r>
      <w:r>
        <w:rPr>
          <w:rFonts w:hint="eastAsia" w:ascii="仿宋_GB2312" w:hAnsi="仿宋" w:eastAsia="仿宋_GB2312" w:cs="仿宋"/>
          <w:color w:val="000000"/>
          <w:kern w:val="0"/>
          <w:sz w:val="32"/>
          <w:szCs w:val="32"/>
          <w:lang w:val="en-US" w:eastAsia="zh-CN" w:bidi="ar"/>
        </w:rPr>
        <w:t>39.44</w:t>
      </w:r>
      <w:r>
        <w:rPr>
          <w:rFonts w:hint="eastAsia" w:ascii="仿宋_GB2312" w:hAnsi="仿宋" w:eastAsia="仿宋_GB2312" w:cs="仿宋"/>
          <w:color w:val="000000"/>
          <w:kern w:val="0"/>
          <w:sz w:val="32"/>
          <w:szCs w:val="32"/>
          <w:lang w:bidi="ar"/>
        </w:rPr>
        <w:t>万元。</w:t>
      </w:r>
    </w:p>
    <w:p>
      <w:pPr>
        <w:widowControl/>
        <w:numPr>
          <w:ilvl w:val="0"/>
          <w:numId w:val="2"/>
        </w:numPr>
        <w:adjustRightInd w:val="0"/>
        <w:snapToGrid w:val="0"/>
        <w:spacing w:line="580" w:lineRule="exact"/>
        <w:ind w:left="1360" w:leftChars="0" w:hanging="720" w:firstLineChars="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部门整体预算绩效管理情况</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（一）部门预算管理</w:t>
      </w:r>
    </w:p>
    <w:p>
      <w:pPr>
        <w:widowControl/>
        <w:spacing w:line="576" w:lineRule="exact"/>
        <w:ind w:firstLine="640" w:firstLineChars="200"/>
        <w:jc w:val="both"/>
        <w:rPr>
          <w:rFonts w:hint="eastAsia" w:ascii="仿宋_GB2312" w:hAnsi="仿宋" w:eastAsia="仿宋_GB2312" w:cs="仿宋"/>
          <w:color w:val="000000"/>
          <w:kern w:val="0"/>
          <w:sz w:val="32"/>
          <w:szCs w:val="32"/>
          <w:lang w:val="zh-CN" w:bidi="ar"/>
        </w:rPr>
      </w:pPr>
      <w:r>
        <w:rPr>
          <w:rFonts w:hint="eastAsia" w:ascii="仿宋_GB2312" w:hAnsi="仿宋" w:eastAsia="仿宋_GB2312" w:cs="仿宋"/>
          <w:color w:val="000000"/>
          <w:kern w:val="0"/>
          <w:sz w:val="32"/>
          <w:szCs w:val="32"/>
          <w:lang w:val="zh-CN" w:bidi="ar"/>
        </w:rPr>
        <w:t>茂县供销社单位机构性质是参照公务员管理的事业</w:t>
      </w:r>
      <w:r>
        <w:rPr>
          <w:rFonts w:hint="eastAsia" w:ascii="仿宋_GB2312" w:hAnsi="仿宋" w:eastAsia="仿宋_GB2312" w:cs="仿宋"/>
          <w:color w:val="000000"/>
          <w:kern w:val="0"/>
          <w:sz w:val="32"/>
          <w:szCs w:val="32"/>
          <w:lang w:val="en-US" w:eastAsia="zh-CN" w:bidi="ar"/>
        </w:rPr>
        <w:t>单</w:t>
      </w:r>
      <w:r>
        <w:rPr>
          <w:rFonts w:hint="eastAsia" w:ascii="仿宋_GB2312" w:hAnsi="仿宋" w:eastAsia="仿宋_GB2312" w:cs="仿宋"/>
          <w:color w:val="000000"/>
          <w:kern w:val="0"/>
          <w:sz w:val="32"/>
          <w:szCs w:val="32"/>
          <w:lang w:val="zh-CN" w:bidi="ar"/>
        </w:rPr>
        <w:t>位，</w:t>
      </w:r>
      <w:r>
        <w:rPr>
          <w:rFonts w:hint="eastAsia" w:ascii="仿宋_GB2312" w:hAnsi="仿宋" w:eastAsia="仿宋_GB2312" w:cs="仿宋"/>
          <w:color w:val="000000"/>
          <w:kern w:val="0"/>
          <w:sz w:val="32"/>
          <w:szCs w:val="32"/>
          <w:lang w:bidi="ar"/>
        </w:rPr>
        <w:t>201</w:t>
      </w:r>
      <w:r>
        <w:rPr>
          <w:rFonts w:hint="eastAsia" w:ascii="仿宋_GB2312" w:hAnsi="仿宋" w:eastAsia="仿宋_GB2312" w:cs="仿宋"/>
          <w:color w:val="000000"/>
          <w:kern w:val="0"/>
          <w:sz w:val="32"/>
          <w:szCs w:val="32"/>
          <w:lang w:val="en-US" w:eastAsia="zh-CN" w:bidi="ar"/>
        </w:rPr>
        <w:t>9</w:t>
      </w:r>
      <w:r>
        <w:rPr>
          <w:rFonts w:hint="eastAsia" w:ascii="仿宋_GB2312" w:hAnsi="仿宋" w:eastAsia="仿宋_GB2312" w:cs="仿宋"/>
          <w:color w:val="000000"/>
          <w:kern w:val="0"/>
          <w:sz w:val="32"/>
          <w:szCs w:val="32"/>
          <w:lang w:bidi="ar"/>
        </w:rPr>
        <w:t>年收入总额为</w:t>
      </w:r>
      <w:r>
        <w:rPr>
          <w:rFonts w:hint="eastAsia" w:ascii="仿宋_GB2312" w:hAnsi="仿宋" w:eastAsia="仿宋_GB2312" w:cs="仿宋"/>
          <w:color w:val="000000"/>
          <w:kern w:val="0"/>
          <w:sz w:val="32"/>
          <w:szCs w:val="32"/>
          <w:lang w:val="en-US" w:eastAsia="zh-CN" w:bidi="ar"/>
        </w:rPr>
        <w:t>516.88万</w:t>
      </w:r>
      <w:r>
        <w:rPr>
          <w:rFonts w:hint="eastAsia" w:ascii="仿宋_GB2312" w:hAnsi="仿宋" w:eastAsia="仿宋_GB2312" w:cs="仿宋"/>
          <w:color w:val="000000"/>
          <w:kern w:val="0"/>
          <w:sz w:val="32"/>
          <w:szCs w:val="32"/>
          <w:lang w:bidi="ar"/>
        </w:rPr>
        <w:t>元；</w:t>
      </w:r>
      <w:r>
        <w:rPr>
          <w:rFonts w:hint="eastAsia" w:ascii="仿宋_GB2312" w:hAnsi="仿宋" w:eastAsia="仿宋_GB2312" w:cs="仿宋"/>
          <w:color w:val="000000"/>
          <w:kern w:val="0"/>
          <w:sz w:val="32"/>
          <w:szCs w:val="32"/>
          <w:lang w:val="zh-CN" w:bidi="ar"/>
        </w:rPr>
        <w:t>201</w:t>
      </w:r>
      <w:r>
        <w:rPr>
          <w:rFonts w:hint="eastAsia" w:ascii="仿宋_GB2312" w:hAnsi="仿宋" w:eastAsia="仿宋_GB2312" w:cs="仿宋"/>
          <w:color w:val="000000"/>
          <w:kern w:val="0"/>
          <w:sz w:val="32"/>
          <w:szCs w:val="32"/>
          <w:lang w:val="en-US" w:eastAsia="zh-CN" w:bidi="ar"/>
        </w:rPr>
        <w:t>9</w:t>
      </w:r>
      <w:r>
        <w:rPr>
          <w:rFonts w:hint="eastAsia" w:ascii="仿宋_GB2312" w:hAnsi="仿宋" w:eastAsia="仿宋_GB2312" w:cs="仿宋"/>
          <w:color w:val="000000"/>
          <w:kern w:val="0"/>
          <w:sz w:val="32"/>
          <w:szCs w:val="32"/>
          <w:lang w:val="zh-CN" w:bidi="ar"/>
        </w:rPr>
        <w:t>年度供销社财政拨款收入决算数为</w:t>
      </w:r>
      <w:r>
        <w:rPr>
          <w:rFonts w:hint="eastAsia" w:ascii="仿宋_GB2312" w:hAnsi="仿宋" w:eastAsia="仿宋_GB2312" w:cs="仿宋"/>
          <w:color w:val="000000"/>
          <w:kern w:val="0"/>
          <w:sz w:val="32"/>
          <w:szCs w:val="32"/>
          <w:lang w:val="en-US" w:eastAsia="zh-CN" w:bidi="ar"/>
        </w:rPr>
        <w:t>516.88万</w:t>
      </w:r>
      <w:r>
        <w:rPr>
          <w:rFonts w:hint="eastAsia" w:ascii="仿宋_GB2312" w:hAnsi="仿宋" w:eastAsia="仿宋_GB2312" w:cs="仿宋"/>
          <w:color w:val="000000"/>
          <w:kern w:val="0"/>
          <w:sz w:val="32"/>
          <w:szCs w:val="32"/>
          <w:lang w:val="zh-CN" w:bidi="ar"/>
        </w:rPr>
        <w:t>元，支出决算数为</w:t>
      </w:r>
      <w:r>
        <w:rPr>
          <w:rFonts w:hint="eastAsia" w:ascii="仿宋_GB2312" w:hAnsi="仿宋" w:eastAsia="仿宋_GB2312" w:cs="仿宋"/>
          <w:color w:val="000000"/>
          <w:kern w:val="0"/>
          <w:sz w:val="32"/>
          <w:szCs w:val="32"/>
          <w:lang w:val="en-US" w:eastAsia="zh-CN" w:bidi="ar"/>
        </w:rPr>
        <w:t>521.85万</w:t>
      </w:r>
      <w:r>
        <w:rPr>
          <w:rFonts w:hint="eastAsia" w:ascii="仿宋_GB2312" w:hAnsi="仿宋" w:eastAsia="仿宋_GB2312" w:cs="仿宋"/>
          <w:color w:val="000000"/>
          <w:kern w:val="0"/>
          <w:sz w:val="32"/>
          <w:szCs w:val="32"/>
          <w:lang w:val="zh-CN" w:bidi="ar"/>
        </w:rPr>
        <w:t>元。</w:t>
      </w:r>
    </w:p>
    <w:p>
      <w:pPr>
        <w:widowControl/>
        <w:spacing w:line="576" w:lineRule="exact"/>
        <w:ind w:firstLine="640" w:firstLineChars="200"/>
        <w:jc w:val="both"/>
        <w:rPr>
          <w:rFonts w:hint="eastAsia" w:ascii="仿宋_GB2312" w:hAnsi="宋体" w:cs="宋体"/>
          <w:color w:val="000000"/>
          <w:kern w:val="0"/>
          <w:szCs w:val="32"/>
          <w:shd w:val="clear" w:color="auto" w:fill="FFFFFF"/>
          <w:lang w:val="zh-CN"/>
        </w:rPr>
      </w:pPr>
      <w:r>
        <w:rPr>
          <w:rFonts w:hint="eastAsia" w:ascii="仿宋_GB2312" w:hAnsi="仿宋" w:eastAsia="仿宋_GB2312" w:cs="仿宋"/>
          <w:color w:val="000000"/>
          <w:kern w:val="0"/>
          <w:sz w:val="32"/>
          <w:szCs w:val="32"/>
          <w:lang w:val="en-US" w:eastAsia="zh-CN" w:bidi="ar"/>
        </w:rPr>
        <w:t>本</w:t>
      </w:r>
      <w:r>
        <w:rPr>
          <w:rFonts w:hint="eastAsia" w:ascii="仿宋_GB2312" w:hAnsi="仿宋" w:eastAsia="仿宋_GB2312" w:cs="仿宋"/>
          <w:color w:val="000000"/>
          <w:kern w:val="0"/>
          <w:sz w:val="32"/>
          <w:szCs w:val="32"/>
          <w:lang w:val="zh-CN" w:bidi="ar"/>
        </w:rPr>
        <w:t>单位</w:t>
      </w:r>
      <w:r>
        <w:rPr>
          <w:rFonts w:hint="eastAsia" w:ascii="仿宋_GB2312" w:hAnsi="仿宋" w:eastAsia="仿宋_GB2312" w:cs="仿宋"/>
          <w:color w:val="000000"/>
          <w:kern w:val="0"/>
          <w:sz w:val="32"/>
          <w:szCs w:val="32"/>
          <w:lang w:bidi="ar"/>
        </w:rPr>
        <w:t>201</w:t>
      </w:r>
      <w:r>
        <w:rPr>
          <w:rFonts w:hint="eastAsia" w:ascii="仿宋_GB2312" w:hAnsi="仿宋" w:eastAsia="仿宋_GB2312" w:cs="仿宋"/>
          <w:color w:val="000000"/>
          <w:kern w:val="0"/>
          <w:sz w:val="32"/>
          <w:szCs w:val="32"/>
          <w:lang w:val="en-US" w:eastAsia="zh-CN" w:bidi="ar"/>
        </w:rPr>
        <w:t>9</w:t>
      </w:r>
      <w:r>
        <w:rPr>
          <w:rFonts w:hint="eastAsia" w:ascii="仿宋_GB2312" w:hAnsi="仿宋" w:eastAsia="仿宋_GB2312" w:cs="仿宋"/>
          <w:color w:val="000000"/>
          <w:kern w:val="0"/>
          <w:sz w:val="32"/>
          <w:szCs w:val="32"/>
          <w:lang w:bidi="ar"/>
        </w:rPr>
        <w:t>年度</w:t>
      </w:r>
      <w:r>
        <w:rPr>
          <w:rFonts w:hint="eastAsia" w:ascii="仿宋_GB2312" w:hAnsi="仿宋" w:eastAsia="仿宋_GB2312" w:cs="仿宋"/>
          <w:color w:val="000000"/>
          <w:kern w:val="0"/>
          <w:sz w:val="32"/>
          <w:szCs w:val="32"/>
          <w:lang w:val="zh-CN" w:bidi="ar"/>
        </w:rPr>
        <w:t>“三公”经费支付总额为</w:t>
      </w:r>
      <w:r>
        <w:rPr>
          <w:rFonts w:hint="eastAsia" w:ascii="仿宋_GB2312" w:hAnsi="仿宋" w:eastAsia="仿宋_GB2312" w:cs="仿宋"/>
          <w:color w:val="000000"/>
          <w:kern w:val="0"/>
          <w:sz w:val="32"/>
          <w:szCs w:val="32"/>
          <w:lang w:bidi="ar"/>
        </w:rPr>
        <w:t>0</w:t>
      </w:r>
      <w:r>
        <w:rPr>
          <w:rFonts w:hint="eastAsia" w:ascii="仿宋_GB2312" w:hAnsi="仿宋" w:eastAsia="仿宋_GB2312" w:cs="仿宋"/>
          <w:color w:val="000000"/>
          <w:kern w:val="0"/>
          <w:sz w:val="32"/>
          <w:szCs w:val="32"/>
          <w:lang w:eastAsia="zh-CN" w:bidi="ar"/>
        </w:rPr>
        <w:t>万</w:t>
      </w:r>
      <w:r>
        <w:rPr>
          <w:rFonts w:hint="eastAsia" w:ascii="仿宋_GB2312" w:hAnsi="仿宋" w:eastAsia="仿宋_GB2312" w:cs="仿宋"/>
          <w:color w:val="000000"/>
          <w:kern w:val="0"/>
          <w:sz w:val="32"/>
          <w:szCs w:val="32"/>
          <w:lang w:bidi="ar"/>
        </w:rPr>
        <w:t>元，主要是节约资金开支。各项收支</w:t>
      </w:r>
      <w:r>
        <w:rPr>
          <w:rFonts w:hint="eastAsia" w:ascii="仿宋_GB2312" w:hAnsi="仿宋" w:eastAsia="仿宋_GB2312" w:cs="仿宋"/>
          <w:color w:val="000000"/>
          <w:kern w:val="0"/>
          <w:sz w:val="32"/>
          <w:szCs w:val="32"/>
          <w:lang w:val="zh-CN" w:bidi="ar"/>
        </w:rPr>
        <w:t>数据是真实、准确、完整并及时上报，不存在上报数据与财务账不一致等问题。</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（二）结果应用情况</w:t>
      </w:r>
    </w:p>
    <w:p>
      <w:pPr>
        <w:widowControl/>
        <w:adjustRightInd w:val="0"/>
        <w:snapToGrid w:val="0"/>
        <w:spacing w:line="580" w:lineRule="exact"/>
        <w:ind w:firstLine="640" w:firstLineChars="200"/>
        <w:contextualSpacing/>
        <w:jc w:val="left"/>
        <w:rPr>
          <w:rFonts w:hint="eastAsia" w:ascii="仿宋_GB2312" w:eastAsia="仿宋_GB2312"/>
          <w:sz w:val="32"/>
          <w:szCs w:val="32"/>
        </w:rPr>
      </w:pPr>
      <w:r>
        <w:rPr>
          <w:rFonts w:hint="eastAsia" w:ascii="仿宋_GB2312" w:hAnsi="仿宋" w:eastAsia="仿宋_GB2312" w:cs="仿宋"/>
          <w:color w:val="000000"/>
          <w:kern w:val="0"/>
          <w:sz w:val="32"/>
          <w:szCs w:val="32"/>
          <w:lang w:val="en-US" w:eastAsia="zh-CN"/>
        </w:rPr>
        <w:t>本单位</w:t>
      </w:r>
      <w:r>
        <w:rPr>
          <w:rFonts w:hint="eastAsia" w:ascii="仿宋_GB2312" w:hAnsi="仿宋" w:eastAsia="仿宋_GB2312" w:cs="仿宋"/>
          <w:color w:val="000000"/>
          <w:kern w:val="0"/>
          <w:sz w:val="32"/>
          <w:szCs w:val="32"/>
          <w:lang w:val="zh-CN"/>
        </w:rPr>
        <w:t>严格按照政府和财政的规定执行政策采购</w:t>
      </w:r>
      <w:r>
        <w:rPr>
          <w:rFonts w:hint="eastAsia" w:ascii="仿宋_GB2312" w:hAnsi="仿宋" w:eastAsia="仿宋_GB2312" w:cs="仿宋"/>
          <w:color w:val="000000"/>
          <w:kern w:val="0"/>
          <w:sz w:val="32"/>
          <w:szCs w:val="32"/>
          <w:lang w:bidi="ar"/>
        </w:rPr>
        <w:t xml:space="preserve">不断强化绩效理念，对部门预算绩效管理工作开展情况认真进行了自查自评。将评价结果作为预算安排的重要依据，保障重点支出，调整支出结构，优化财政资金配置，推动部门整体绩效管理水平不断提升。 </w:t>
      </w:r>
    </w:p>
    <w:p>
      <w:pPr>
        <w:widowControl/>
        <w:numPr>
          <w:ilvl w:val="0"/>
          <w:numId w:val="2"/>
        </w:numPr>
        <w:adjustRightInd w:val="0"/>
        <w:snapToGrid w:val="0"/>
        <w:spacing w:line="580" w:lineRule="exact"/>
        <w:ind w:left="1360" w:leftChars="0" w:hanging="720" w:firstLineChars="0"/>
        <w:contextualSpacing/>
        <w:jc w:val="left"/>
        <w:rPr>
          <w:rFonts w:hint="eastAsia" w:ascii="黑体" w:hAnsi="宋体" w:eastAsia="黑体" w:cs="宋体"/>
          <w:color w:val="000000"/>
          <w:kern w:val="0"/>
          <w:sz w:val="32"/>
          <w:szCs w:val="32"/>
          <w:shd w:val="clear" w:color="auto" w:fill="FFFFFF"/>
          <w:lang w:val="en-US" w:eastAsia="zh-CN"/>
        </w:rPr>
      </w:pPr>
      <w:r>
        <w:rPr>
          <w:rFonts w:hint="eastAsia" w:ascii="黑体" w:hAnsi="宋体" w:eastAsia="黑体" w:cs="宋体"/>
          <w:color w:val="000000"/>
          <w:kern w:val="0"/>
          <w:sz w:val="32"/>
          <w:szCs w:val="32"/>
          <w:shd w:val="clear" w:color="auto" w:fill="FFFFFF"/>
          <w:lang w:val="en-US" w:eastAsia="zh-CN"/>
        </w:rPr>
        <w:t>评价结论及建议</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（一）评价结论</w:t>
      </w:r>
    </w:p>
    <w:p>
      <w:pPr>
        <w:pStyle w:val="3"/>
        <w:spacing w:line="576" w:lineRule="exact"/>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rPr>
        <w:t>供销社坚持为“三农”服务办社宗旨，提升为农服务功能；坚持以市场经济为导向，提升企业市场竞争力；坚持稳中求进的工作基调，推进供销社综合改革发展，取得了较好的成效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kern w:val="0"/>
          <w:sz w:val="32"/>
          <w:szCs w:val="32"/>
          <w:lang w:bidi="ar"/>
        </w:rPr>
        <w:t>201</w:t>
      </w:r>
      <w:r>
        <w:rPr>
          <w:rFonts w:hint="eastAsia" w:ascii="仿宋_GB2312" w:hAnsi="仿宋_GB2312" w:eastAsia="仿宋_GB2312" w:cs="仿宋_GB2312"/>
          <w:b w:val="0"/>
          <w:bCs w:val="0"/>
          <w:color w:val="000000"/>
          <w:kern w:val="0"/>
          <w:sz w:val="32"/>
          <w:szCs w:val="32"/>
          <w:lang w:val="en-US" w:eastAsia="zh-CN" w:bidi="ar"/>
        </w:rPr>
        <w:t>9</w:t>
      </w:r>
      <w:r>
        <w:rPr>
          <w:rFonts w:hint="eastAsia" w:ascii="仿宋_GB2312" w:hAnsi="仿宋_GB2312" w:eastAsia="仿宋_GB2312" w:cs="仿宋_GB2312"/>
          <w:b w:val="0"/>
          <w:bCs w:val="0"/>
          <w:color w:val="000000"/>
          <w:kern w:val="0"/>
          <w:sz w:val="32"/>
          <w:szCs w:val="32"/>
          <w:lang w:bidi="ar"/>
        </w:rPr>
        <w:t>年茂县供销社整体支出绩效评价自查自评结果良好，全年基本支出保证了部门的正常运行和日常工作正常开展，项目支出保障了重点工作的开展，达到预期绩效目标</w:t>
      </w:r>
      <w:r>
        <w:rPr>
          <w:rFonts w:hint="eastAsia" w:ascii="仿宋_GB2312" w:hAnsi="仿宋_GB2312" w:eastAsia="仿宋_GB2312" w:cs="仿宋_GB2312"/>
          <w:b w:val="0"/>
          <w:bCs w:val="0"/>
          <w:color w:val="000000"/>
          <w:kern w:val="0"/>
          <w:sz w:val="32"/>
          <w:szCs w:val="32"/>
          <w:lang w:eastAsia="zh-CN" w:bidi="ar"/>
        </w:rPr>
        <w:t>，得分</w:t>
      </w:r>
      <w:r>
        <w:rPr>
          <w:rFonts w:hint="eastAsia" w:ascii="仿宋_GB2312" w:hAnsi="仿宋_GB2312" w:eastAsia="仿宋_GB2312" w:cs="仿宋_GB2312"/>
          <w:b w:val="0"/>
          <w:bCs w:val="0"/>
          <w:color w:val="000000"/>
          <w:kern w:val="0"/>
          <w:sz w:val="32"/>
          <w:szCs w:val="32"/>
          <w:lang w:val="en-US" w:eastAsia="zh-CN" w:bidi="ar"/>
        </w:rPr>
        <w:t>95.5分。</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（二）存在问题</w:t>
      </w:r>
    </w:p>
    <w:p>
      <w:pPr>
        <w:widowControl/>
        <w:spacing w:line="576"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内控制度是单位重要部分，我单位内控制度还有待完善和提高</w:t>
      </w:r>
      <w:r>
        <w:rPr>
          <w:rFonts w:hint="eastAsia" w:ascii="仿宋_GB2312" w:hAnsi="仿宋_GB2312" w:eastAsia="仿宋_GB2312" w:cs="仿宋_GB2312"/>
          <w:color w:val="000000"/>
          <w:sz w:val="32"/>
          <w:szCs w:val="32"/>
        </w:rPr>
        <w:t>。</w:t>
      </w:r>
    </w:p>
    <w:tbl>
      <w:tblPr>
        <w:tblStyle w:val="12"/>
        <w:tblW w:w="0" w:type="auto"/>
        <w:tblInd w:w="95" w:type="dxa"/>
        <w:tblLayout w:type="fixed"/>
        <w:tblCellMar>
          <w:top w:w="0" w:type="dxa"/>
          <w:left w:w="0" w:type="dxa"/>
          <w:bottom w:w="0" w:type="dxa"/>
          <w:right w:w="0" w:type="dxa"/>
        </w:tblCellMar>
      </w:tblPr>
      <w:tblGrid>
        <w:gridCol w:w="520"/>
        <w:gridCol w:w="520"/>
        <w:gridCol w:w="939"/>
        <w:gridCol w:w="2414"/>
        <w:gridCol w:w="240"/>
        <w:gridCol w:w="466"/>
        <w:gridCol w:w="3478"/>
      </w:tblGrid>
      <w:tr>
        <w:tblPrEx>
          <w:tblCellMar>
            <w:top w:w="0" w:type="dxa"/>
            <w:left w:w="0" w:type="dxa"/>
            <w:bottom w:w="0" w:type="dxa"/>
            <w:right w:w="0" w:type="dxa"/>
          </w:tblCellMar>
        </w:tblPrEx>
        <w:trPr>
          <w:trHeight w:val="90" w:hRule="atLeast"/>
        </w:trPr>
        <w:tc>
          <w:tcPr>
            <w:tcW w:w="8577" w:type="dxa"/>
            <w:gridSpan w:val="7"/>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8"/>
                <w:szCs w:val="28"/>
              </w:rPr>
            </w:pPr>
            <w:r>
              <w:rPr>
                <w:rFonts w:hint="eastAsia" w:ascii="宋体" w:hAnsi="宋体" w:eastAsia="宋体" w:cs="宋体"/>
                <w:b/>
                <w:color w:val="000000"/>
                <w:kern w:val="0"/>
                <w:sz w:val="28"/>
                <w:szCs w:val="28"/>
                <w:lang w:val="en-US" w:eastAsia="zh-CN" w:bidi="ar"/>
              </w:rPr>
              <w:t>201</w:t>
            </w:r>
            <w:r>
              <w:rPr>
                <w:rFonts w:hint="eastAsia" w:ascii="宋体" w:hAnsi="宋体" w:cs="宋体"/>
                <w:b/>
                <w:color w:val="000000"/>
                <w:kern w:val="0"/>
                <w:sz w:val="28"/>
                <w:szCs w:val="28"/>
                <w:lang w:val="en-US" w:eastAsia="zh-CN" w:bidi="ar"/>
              </w:rPr>
              <w:t>9</w:t>
            </w:r>
            <w:r>
              <w:rPr>
                <w:rFonts w:hint="eastAsia" w:ascii="宋体" w:hAnsi="宋体" w:eastAsia="宋体" w:cs="宋体"/>
                <w:b/>
                <w:color w:val="000000"/>
                <w:kern w:val="0"/>
                <w:sz w:val="28"/>
                <w:szCs w:val="28"/>
                <w:lang w:val="en-US" w:eastAsia="zh-CN" w:bidi="ar"/>
              </w:rPr>
              <w:t>年县级部门整体支出绩效评价指标体系</w:t>
            </w:r>
          </w:p>
        </w:tc>
      </w:tr>
      <w:tr>
        <w:tblPrEx>
          <w:tblCellMar>
            <w:top w:w="0" w:type="dxa"/>
            <w:left w:w="0" w:type="dxa"/>
            <w:bottom w:w="0" w:type="dxa"/>
            <w:right w:w="0" w:type="dxa"/>
          </w:tblCellMar>
        </w:tblPrEx>
        <w:trPr>
          <w:trHeight w:val="28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一级指标</w:t>
            </w:r>
          </w:p>
        </w:tc>
        <w:tc>
          <w:tcPr>
            <w:tcW w:w="520"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二级指标</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三级指标</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指标解释</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扣分</w:t>
            </w: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扣分理由</w:t>
            </w: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计分标准（备注）</w:t>
            </w:r>
          </w:p>
        </w:tc>
      </w:tr>
      <w:tr>
        <w:tblPrEx>
          <w:tblCellMar>
            <w:top w:w="0" w:type="dxa"/>
            <w:left w:w="0" w:type="dxa"/>
            <w:bottom w:w="0" w:type="dxa"/>
            <w:right w:w="0" w:type="dxa"/>
          </w:tblCellMar>
        </w:tblPrEx>
        <w:trPr>
          <w:trHeight w:val="1184" w:hRule="atLeast"/>
        </w:trPr>
        <w:tc>
          <w:tcPr>
            <w:tcW w:w="520" w:type="dxa"/>
            <w:vMerge w:val="restart"/>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预算编制</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（10分）</w:t>
            </w:r>
          </w:p>
        </w:tc>
        <w:tc>
          <w:tcPr>
            <w:tcW w:w="520"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报送时效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基础信息更新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部门是否按照县级部门预算编制通知和有关要求，按时完成基础库、项目库报送工作</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超过规定5个工作日扣0.5分，10个工作日扣1分，以此类推，直至扣完</w:t>
            </w:r>
          </w:p>
        </w:tc>
      </w:tr>
      <w:tr>
        <w:tblPrEx>
          <w:tblCellMar>
            <w:top w:w="0" w:type="dxa"/>
            <w:left w:w="0" w:type="dxa"/>
            <w:bottom w:w="0" w:type="dxa"/>
            <w:right w:w="0" w:type="dxa"/>
          </w:tblCellMar>
        </w:tblPrEx>
        <w:trPr>
          <w:trHeight w:val="1385" w:hRule="atLeast"/>
        </w:trPr>
        <w:tc>
          <w:tcPr>
            <w:tcW w:w="520" w:type="dxa"/>
            <w:vMerge w:val="continue"/>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编制质量</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预算编制准确</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（预算资金总来源-中期评估调整取消资金-预算结余注销资金）÷预算资金总来源*指标分值</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其中：预算资金总来源是指县级年初预算与执行中追加预算（不含当年专款）总和</w:t>
            </w:r>
          </w:p>
        </w:tc>
      </w:tr>
      <w:tr>
        <w:tblPrEx>
          <w:tblCellMar>
            <w:top w:w="0" w:type="dxa"/>
            <w:left w:w="0" w:type="dxa"/>
            <w:bottom w:w="0" w:type="dxa"/>
            <w:right w:w="0" w:type="dxa"/>
          </w:tblCellMar>
        </w:tblPrEx>
        <w:trPr>
          <w:trHeight w:val="817" w:hRule="atLeast"/>
        </w:trPr>
        <w:tc>
          <w:tcPr>
            <w:tcW w:w="520" w:type="dxa"/>
            <w:vMerge w:val="continue"/>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部门预算审查</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根据县人大财经委对预算草案审查结果进行考核</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对财经委审查后提出并确需修改的问题，每个问题扣0.02分，直至扣完</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绩效目标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（5分）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部门整体绩效目标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部门整体绩效目标编制完整、合理</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部门整体绩效目标能完整、合理反映部门年度职责履行情况的得分，否则不得分</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nil"/>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重点项目绩效目标</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项目绩效目标编制明确、量化</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项目支出绩效目标编制不明确和量化的发现一个扣0.5分，直至扣完</w:t>
            </w:r>
          </w:p>
        </w:tc>
      </w:tr>
      <w:tr>
        <w:tblPrEx>
          <w:tblCellMar>
            <w:top w:w="0" w:type="dxa"/>
            <w:left w:w="0" w:type="dxa"/>
            <w:bottom w:w="0" w:type="dxa"/>
            <w:right w:w="0" w:type="dxa"/>
          </w:tblCellMar>
        </w:tblPrEx>
        <w:trPr>
          <w:trHeight w:val="72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预算执行</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（20分）</w:t>
            </w: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执行进度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财力专项预算分配时限（4分）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按规定及时分配财力专项预算</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按《预算法》规定时限完成分配的考核得分，否则不得分</w:t>
            </w:r>
          </w:p>
        </w:tc>
      </w:tr>
      <w:tr>
        <w:tblPrEx>
          <w:tblCellMar>
            <w:top w:w="0" w:type="dxa"/>
            <w:left w:w="0" w:type="dxa"/>
            <w:bottom w:w="0" w:type="dxa"/>
            <w:right w:w="0"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部门预算执行进度</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部门按要求严格预算执行管理</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kern w:val="2"/>
                <w:sz w:val="20"/>
                <w:szCs w:val="20"/>
                <w:lang w:val="en-US" w:eastAsia="zh-CN"/>
              </w:rPr>
            </w:pPr>
            <w:r>
              <w:rPr>
                <w:rFonts w:hint="eastAsia" w:ascii="宋体" w:hAnsi="宋体" w:eastAsia="宋体" w:cs="宋体"/>
                <w:color w:val="000000"/>
                <w:kern w:val="2"/>
                <w:sz w:val="20"/>
                <w:szCs w:val="20"/>
                <w:lang w:val="en-US" w:eastAsia="zh-CN"/>
              </w:rPr>
              <w:t>0.5</w:t>
            </w: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部门预算实际列支数÷部门预算总额*指标分值</w:t>
            </w:r>
          </w:p>
        </w:tc>
      </w:tr>
      <w:tr>
        <w:tblPrEx>
          <w:tblCellMar>
            <w:top w:w="0" w:type="dxa"/>
            <w:left w:w="0" w:type="dxa"/>
            <w:bottom w:w="0" w:type="dxa"/>
            <w:right w:w="0"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预算调整</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执行中期评估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部门中期评估调整取消资金÷(中期评估调整取消资金+预算结余注销资金）*指标分值</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当中期评估调整取消资金与结余注销资金之和为零时，得满分</w:t>
            </w:r>
          </w:p>
        </w:tc>
      </w:tr>
      <w:tr>
        <w:tblPrEx>
          <w:tblCellMar>
            <w:top w:w="0" w:type="dxa"/>
            <w:left w:w="0" w:type="dxa"/>
            <w:bottom w:w="0" w:type="dxa"/>
            <w:right w:w="0"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行政成本</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三公经费</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严格执行“三公经费”预算</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部门“三公”经费决算数一项超预算扣1分，两项超预算扣2分，以此类推，直至扣完</w:t>
            </w:r>
          </w:p>
        </w:tc>
      </w:tr>
      <w:tr>
        <w:tblPrEx>
          <w:tblCellMar>
            <w:top w:w="0" w:type="dxa"/>
            <w:left w:w="0" w:type="dxa"/>
            <w:bottom w:w="0" w:type="dxa"/>
            <w:right w:w="0" w:type="dxa"/>
          </w:tblCellMar>
        </w:tblPrEx>
        <w:trPr>
          <w:trHeight w:val="720" w:hRule="atLeast"/>
        </w:trPr>
        <w:tc>
          <w:tcPr>
            <w:tcW w:w="520"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综合管理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（40分）</w:t>
            </w: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政府采购</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实施计划</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政府采购实施计划编制（2）</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实施计划与政府采购预算的一致性</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（1-调整或细化资金/政府采购预算资金）*分值</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政府采购实施计划的执行（2）</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执行的实施计划与备案的实施计划的一致性</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（1-实施计划备案后的调整或细化资金/实施计划备案后的资金）*分值</w:t>
            </w:r>
          </w:p>
        </w:tc>
      </w:tr>
      <w:tr>
        <w:tblPrEx>
          <w:tblCellMar>
            <w:top w:w="0" w:type="dxa"/>
            <w:left w:w="0" w:type="dxa"/>
            <w:bottom w:w="0" w:type="dxa"/>
            <w:right w:w="0"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资产管理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资产管理信息系统建设情况（2分）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考核部门和单位将国有资产纳入资产信息系统管理情况</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①未将所属单位国有资产纳入系统管理，每少一个单位扣1分。②未将资产变动情况及时录入系统，每次扣0.5分。③未落实人员负责管理系统，扣1分。</w:t>
            </w:r>
          </w:p>
        </w:tc>
      </w:tr>
      <w:tr>
        <w:tblPrEx>
          <w:tblCellMar>
            <w:top w:w="0" w:type="dxa"/>
            <w:left w:w="0" w:type="dxa"/>
            <w:bottom w:w="0" w:type="dxa"/>
            <w:right w:w="0" w:type="dxa"/>
          </w:tblCellMar>
        </w:tblPrEx>
        <w:trPr>
          <w:trHeight w:val="1977"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行政事业单位资产清查开展情况（2分）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考核行政事业单位按要求及时、准确、全面开展资产清查工作情况</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r>
      <w:tr>
        <w:tblPrEx>
          <w:tblCellMar>
            <w:top w:w="0" w:type="dxa"/>
            <w:left w:w="0" w:type="dxa"/>
            <w:bottom w:w="0" w:type="dxa"/>
            <w:right w:w="0" w:type="dxa"/>
          </w:tblCellMar>
        </w:tblPrEx>
        <w:trPr>
          <w:trHeight w:val="120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行政事业单位资产报表上报情况（2分）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考核行政事业单位上报国有资产报表数据的真实性、准确性、全面性</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①未落实专人负责资产报表，未及时上报资产报表扣1分。②报表填报不规范，内容不完整，数据不真实，扣1分。③未提交分析报告，对资产变动情况未作分析说明，扣1分。</w:t>
            </w:r>
          </w:p>
        </w:tc>
      </w:tr>
      <w:tr>
        <w:tblPrEx>
          <w:tblCellMar>
            <w:top w:w="0" w:type="dxa"/>
            <w:left w:w="0" w:type="dxa"/>
            <w:bottom w:w="0" w:type="dxa"/>
            <w:right w:w="0"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tcBorders>
              <w:top w:val="single" w:color="000000" w:sz="4" w:space="0"/>
              <w:left w:val="nil"/>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内控制</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度管理</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（4分）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内部控制度健全完整（4分）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考核部门内部控制制度的设置和执行情况</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2</w:t>
            </w: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制度还需进一步完善</w:t>
            </w: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内部控制制度健全完整并执行良好的得分，否则不得分。在本年度内因内控制度不健全或执行不到位，造成单位出现廉政风险或发生重大责任事故的不得分。</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信息公开</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预算公开（4分）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除涉密信息外，各部门要在财政部门批复后二十日内向社会公开本部门预算（含所有财政资金安排的“三公”经费、机关运行经费的安排、使用情况等）</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按县财政通知要求公开预算，未按要求公开的，发现一处扣0.5分，直至扣完</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决算公开（4分）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除涉密信息外，各部门要在财政部门批复二十日内向社会公开本部门决算（含所有财政资金安排的“三公”经费、机关运行经费的安排、使用情况等）</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未按要求公开的，发现一处问题0.5分，直至扣完</w:t>
            </w:r>
          </w:p>
        </w:tc>
      </w:tr>
      <w:tr>
        <w:tblPrEx>
          <w:tblCellMar>
            <w:top w:w="0" w:type="dxa"/>
            <w:left w:w="0" w:type="dxa"/>
            <w:bottom w:w="0" w:type="dxa"/>
            <w:right w:w="0"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绩效信息公开（2分）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按要求公开部门整体支出绩效自评报告及其他按要求应公开的绩效信息</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未按要求公开的，发现一处问题0.5分，直至扣完</w:t>
            </w:r>
          </w:p>
        </w:tc>
      </w:tr>
      <w:tr>
        <w:tblPrEx>
          <w:tblCellMar>
            <w:top w:w="0" w:type="dxa"/>
            <w:left w:w="0" w:type="dxa"/>
            <w:bottom w:w="0" w:type="dxa"/>
            <w:right w:w="0" w:type="dxa"/>
          </w:tblCellMar>
        </w:tblPrEx>
        <w:trPr>
          <w:trHeight w:val="72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绩效评价</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（10分）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评价项目覆盖率（2分）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部门实施绩效评价项目数量占部门管理专项预算项目数量的比重，部门申报绩效目标项目数量的比重，用以反映和考核部门实施绩效评价项目资金覆盖情况</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评价覆盖率=实施绩效评价项目数量/部门管理专项预算项目数量×100%</w:t>
            </w:r>
          </w:p>
        </w:tc>
      </w:tr>
      <w:tr>
        <w:tblPrEx>
          <w:tblCellMar>
            <w:top w:w="0" w:type="dxa"/>
            <w:left w:w="0" w:type="dxa"/>
            <w:bottom w:w="0" w:type="dxa"/>
            <w:right w:w="0"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评价层次（2分）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部门（单位）是否对单位内部股室开展整体绩效评价</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对单位内部实施评价的得分，否则不得分</w:t>
            </w:r>
          </w:p>
        </w:tc>
      </w:tr>
      <w:tr>
        <w:tblPrEx>
          <w:tblCellMar>
            <w:top w:w="0" w:type="dxa"/>
            <w:left w:w="0" w:type="dxa"/>
            <w:bottom w:w="0" w:type="dxa"/>
            <w:right w:w="0"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评价结果报告（2分）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部门是否按要求向财政部门报告自评报告等相关绩效信息</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未按要求报送的，发现一处扣0.5分，直至扣完。</w:t>
            </w:r>
          </w:p>
        </w:tc>
      </w:tr>
      <w:tr>
        <w:tblPrEx>
          <w:tblCellMar>
            <w:top w:w="0" w:type="dxa"/>
            <w:left w:w="0" w:type="dxa"/>
            <w:bottom w:w="0" w:type="dxa"/>
            <w:right w:w="0" w:type="dxa"/>
          </w:tblCellMar>
        </w:tblPrEx>
        <w:trPr>
          <w:trHeight w:val="48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整改完成率（4分）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部门是否按要求针对绩效评价发现问题制定整改措施，并整改落实到位</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完成率=应制定整改措施的项目数量/部门实际制定整改措施项目数量×100%。</w:t>
            </w:r>
          </w:p>
        </w:tc>
      </w:tr>
      <w:tr>
        <w:tblPrEx>
          <w:tblCellMar>
            <w:top w:w="0" w:type="dxa"/>
            <w:left w:w="0" w:type="dxa"/>
            <w:bottom w:w="0" w:type="dxa"/>
            <w:right w:w="0" w:type="dxa"/>
          </w:tblCellMar>
        </w:tblPrEx>
        <w:trPr>
          <w:trHeight w:val="120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依法接受</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财政监督</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（6分）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是否按要求开展自查自纠（2分）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根据相关自查自纠报告、报表报送时效和质量进行考核</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未在规定时间内报送自查自纠相关材料（包括：纸质和电子版）的，扣0.5分；报告内容不完整，扣1分；报表质量差（如：数据、逻辑、勾稽关系错误）等扣0.5分；直至扣完</w:t>
            </w:r>
          </w:p>
        </w:tc>
      </w:tr>
      <w:tr>
        <w:tblPrEx>
          <w:tblCellMar>
            <w:top w:w="0" w:type="dxa"/>
            <w:left w:w="0" w:type="dxa"/>
            <w:bottom w:w="0" w:type="dxa"/>
            <w:right w:w="0"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重点检查发现违规违纪问题（2分）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根据检查组提供的工作底稿、检查报告等资料进行考核</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专项检查发现的违纪违规问题，每个问题扣0.5分，直至扣完</w:t>
            </w:r>
          </w:p>
        </w:tc>
      </w:tr>
      <w:tr>
        <w:tblPrEx>
          <w:tblCellMar>
            <w:top w:w="0" w:type="dxa"/>
            <w:left w:w="0" w:type="dxa"/>
            <w:bottom w:w="0" w:type="dxa"/>
            <w:right w:w="0" w:type="dxa"/>
          </w:tblCellMar>
        </w:tblPrEx>
        <w:trPr>
          <w:trHeight w:val="960"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存在问题整改是否到位（2分）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根据相关整改报告、凭证依据等相关证明材料进行考核</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rPr>
            </w:pP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未在规定时间内完成整改，并提供相关证明材料的，每个问题0.5分，直至扣完</w:t>
            </w:r>
          </w:p>
        </w:tc>
      </w:tr>
      <w:tr>
        <w:tblPrEx>
          <w:tblCellMar>
            <w:top w:w="0" w:type="dxa"/>
            <w:left w:w="0" w:type="dxa"/>
            <w:bottom w:w="0" w:type="dxa"/>
            <w:right w:w="0" w:type="dxa"/>
          </w:tblCellMar>
        </w:tblPrEx>
        <w:trPr>
          <w:trHeight w:val="960" w:hRule="atLeast"/>
        </w:trPr>
        <w:tc>
          <w:tcPr>
            <w:tcW w:w="520"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整体效益</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（30分）</w:t>
            </w:r>
          </w:p>
        </w:tc>
        <w:tc>
          <w:tcPr>
            <w:tcW w:w="520"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部门整</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体绩效</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（30分）</w:t>
            </w:r>
          </w:p>
        </w:tc>
        <w:tc>
          <w:tcPr>
            <w:tcW w:w="939"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重点项目绩效评价结果（10分）</w:t>
            </w:r>
          </w:p>
        </w:tc>
        <w:tc>
          <w:tcPr>
            <w:tcW w:w="2414"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部门实施重大项目的经济、社会效益</w:t>
            </w:r>
          </w:p>
        </w:tc>
        <w:tc>
          <w:tcPr>
            <w:tcW w:w="24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1</w:t>
            </w:r>
          </w:p>
        </w:tc>
        <w:tc>
          <w:tcPr>
            <w:tcW w:w="46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lang w:eastAsia="zh-CN"/>
              </w:rPr>
            </w:pPr>
            <w:r>
              <w:rPr>
                <w:rFonts w:hint="eastAsia" w:ascii="宋体" w:hAnsi="宋体" w:cs="宋体"/>
                <w:color w:val="000000"/>
                <w:kern w:val="2"/>
                <w:sz w:val="20"/>
                <w:szCs w:val="20"/>
                <w:lang w:eastAsia="zh-CN"/>
              </w:rPr>
              <w:t>加强项目实施</w:t>
            </w:r>
          </w:p>
        </w:tc>
        <w:tc>
          <w:tcPr>
            <w:tcW w:w="347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根据县财政组织实施项目绩效评价结果换算</w:t>
            </w:r>
          </w:p>
        </w:tc>
      </w:tr>
      <w:tr>
        <w:tblPrEx>
          <w:tblCellMar>
            <w:top w:w="0" w:type="dxa"/>
            <w:left w:w="0" w:type="dxa"/>
            <w:bottom w:w="0" w:type="dxa"/>
            <w:right w:w="0" w:type="dxa"/>
          </w:tblCellMar>
        </w:tblPrEx>
        <w:trPr>
          <w:trHeight w:val="315"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部门职能完成情况特性指标（20分）</w:t>
            </w:r>
          </w:p>
        </w:tc>
        <w:tc>
          <w:tcPr>
            <w:tcW w:w="2414"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根据部门职能职责、州级主管部门和县委县政府安排的各项专项工作任务及其他年度重点工作任务等，汇总梳理形成能够量化衡量且全面反映部门职能工作完成情况的若干指标。</w:t>
            </w:r>
          </w:p>
        </w:tc>
        <w:tc>
          <w:tcPr>
            <w:tcW w:w="24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1</w:t>
            </w:r>
          </w:p>
        </w:tc>
        <w:tc>
          <w:tcPr>
            <w:tcW w:w="466"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职能有待提升</w:t>
            </w:r>
          </w:p>
        </w:tc>
        <w:tc>
          <w:tcPr>
            <w:tcW w:w="347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部门和评价组根据部门实际设置</w:t>
            </w:r>
          </w:p>
        </w:tc>
      </w:tr>
      <w:tr>
        <w:tblPrEx>
          <w:tblCellMar>
            <w:top w:w="0" w:type="dxa"/>
            <w:left w:w="0" w:type="dxa"/>
            <w:bottom w:w="0" w:type="dxa"/>
            <w:right w:w="0" w:type="dxa"/>
          </w:tblCellMar>
        </w:tblPrEx>
        <w:trPr>
          <w:trHeight w:val="1581" w:hRule="atLeast"/>
        </w:trPr>
        <w:tc>
          <w:tcPr>
            <w:tcW w:w="520"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520"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939"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2414"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rPr>
                <w:rFonts w:hint="default" w:ascii="Times New Roman" w:hAnsi="Times New Roman" w:cs="Times New Roman"/>
                <w:sz w:val="20"/>
                <w:szCs w:val="20"/>
              </w:rPr>
            </w:pPr>
          </w:p>
        </w:tc>
        <w:tc>
          <w:tcPr>
            <w:tcW w:w="24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466"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cs="Times New Roman"/>
                <w:sz w:val="20"/>
                <w:szCs w:val="20"/>
              </w:rPr>
            </w:pPr>
          </w:p>
        </w:tc>
        <w:tc>
          <w:tcPr>
            <w:tcW w:w="347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r>
      <w:tr>
        <w:tblPrEx>
          <w:tblCellMar>
            <w:top w:w="0" w:type="dxa"/>
            <w:left w:w="0" w:type="dxa"/>
            <w:bottom w:w="0" w:type="dxa"/>
            <w:right w:w="0" w:type="dxa"/>
          </w:tblCellMar>
        </w:tblPrEx>
        <w:trPr>
          <w:trHeight w:val="940" w:hRule="atLeast"/>
        </w:trPr>
        <w:tc>
          <w:tcPr>
            <w:tcW w:w="8577" w:type="dxa"/>
            <w:gridSpan w:val="7"/>
            <w:tcBorders>
              <w:top w:val="single" w:color="000000" w:sz="4" w:space="0"/>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000000"/>
                <w:kern w:val="2"/>
                <w:sz w:val="20"/>
                <w:szCs w:val="20"/>
              </w:rPr>
            </w:pPr>
            <w:r>
              <w:rPr>
                <w:rFonts w:hint="eastAsia" w:ascii="宋体" w:hAnsi="宋体" w:eastAsia="宋体" w:cs="宋体"/>
                <w:b/>
                <w:color w:val="000000"/>
                <w:kern w:val="0"/>
                <w:sz w:val="20"/>
                <w:szCs w:val="20"/>
                <w:lang w:val="en-US" w:eastAsia="zh-CN" w:bidi="ar"/>
              </w:rPr>
              <w:t>注：若某部门不存在某项评价内容或评价指标，则该评价内容或评价指标不计入该部门考核评价范围，即该部门评价总分＝不含该评价内容或指标的评价总分/（100-该评价内容或指标所占分值）*100。</w:t>
            </w:r>
          </w:p>
        </w:tc>
      </w:tr>
    </w:tbl>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both"/>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6EC95"/>
    <w:multiLevelType w:val="singleLevel"/>
    <w:tmpl w:val="8806EC95"/>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F4466"/>
    <w:rsid w:val="029A5E91"/>
    <w:rsid w:val="02D243C4"/>
    <w:rsid w:val="03CA59E3"/>
    <w:rsid w:val="054D206B"/>
    <w:rsid w:val="066B7A24"/>
    <w:rsid w:val="06F46336"/>
    <w:rsid w:val="07235273"/>
    <w:rsid w:val="073E7283"/>
    <w:rsid w:val="07D70D4B"/>
    <w:rsid w:val="088E55C6"/>
    <w:rsid w:val="08DA2DF4"/>
    <w:rsid w:val="0917509B"/>
    <w:rsid w:val="09D86670"/>
    <w:rsid w:val="09F40056"/>
    <w:rsid w:val="09FC3CF5"/>
    <w:rsid w:val="0BDC31ED"/>
    <w:rsid w:val="10C055FF"/>
    <w:rsid w:val="12691BB7"/>
    <w:rsid w:val="126A2E23"/>
    <w:rsid w:val="136F049E"/>
    <w:rsid w:val="16BB723D"/>
    <w:rsid w:val="17024EC7"/>
    <w:rsid w:val="182A534E"/>
    <w:rsid w:val="19151A88"/>
    <w:rsid w:val="1AF33058"/>
    <w:rsid w:val="1F7F145C"/>
    <w:rsid w:val="1FF62D87"/>
    <w:rsid w:val="20D35118"/>
    <w:rsid w:val="22D40080"/>
    <w:rsid w:val="22F5059E"/>
    <w:rsid w:val="240371BF"/>
    <w:rsid w:val="2773093D"/>
    <w:rsid w:val="28D42CF2"/>
    <w:rsid w:val="291965C1"/>
    <w:rsid w:val="29FD04D3"/>
    <w:rsid w:val="30EC7F07"/>
    <w:rsid w:val="319F7F4E"/>
    <w:rsid w:val="365A12FF"/>
    <w:rsid w:val="38FC57A3"/>
    <w:rsid w:val="39585E95"/>
    <w:rsid w:val="39C95316"/>
    <w:rsid w:val="3ADE3A78"/>
    <w:rsid w:val="3CA77E17"/>
    <w:rsid w:val="3D162962"/>
    <w:rsid w:val="3E521801"/>
    <w:rsid w:val="3E9B5BAF"/>
    <w:rsid w:val="4004170E"/>
    <w:rsid w:val="42031A4A"/>
    <w:rsid w:val="43FB0F28"/>
    <w:rsid w:val="4ABF2FF3"/>
    <w:rsid w:val="4C9915C6"/>
    <w:rsid w:val="4ECE2238"/>
    <w:rsid w:val="4F1C4E1B"/>
    <w:rsid w:val="4F275C7C"/>
    <w:rsid w:val="500E03AC"/>
    <w:rsid w:val="5111149A"/>
    <w:rsid w:val="515D79FD"/>
    <w:rsid w:val="5516118F"/>
    <w:rsid w:val="57F824F3"/>
    <w:rsid w:val="58BF2E0A"/>
    <w:rsid w:val="5AF54CE7"/>
    <w:rsid w:val="5BEF1F1F"/>
    <w:rsid w:val="5FEC0FFD"/>
    <w:rsid w:val="62C56D41"/>
    <w:rsid w:val="63126946"/>
    <w:rsid w:val="68EE664B"/>
    <w:rsid w:val="69BB446C"/>
    <w:rsid w:val="6B7C174E"/>
    <w:rsid w:val="6B922ACC"/>
    <w:rsid w:val="6BA750CA"/>
    <w:rsid w:val="6F060A52"/>
    <w:rsid w:val="71FE1905"/>
    <w:rsid w:val="725E57FA"/>
    <w:rsid w:val="72734D90"/>
    <w:rsid w:val="753B50FB"/>
    <w:rsid w:val="77176718"/>
    <w:rsid w:val="79080ED1"/>
    <w:rsid w:val="7C901FF7"/>
    <w:rsid w:val="7D89278A"/>
    <w:rsid w:val="7E9969F0"/>
    <w:rsid w:val="7FE87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 Char Char5"/>
    <w:basedOn w:val="13"/>
    <w:link w:val="3"/>
    <w:qFormat/>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收入支出表</a:t>
            </a:r>
          </a:p>
        </c:rich>
      </c:tx>
      <c:layout/>
      <c:overlay val="0"/>
      <c:spPr>
        <a:noFill/>
        <a:ln>
          <a:noFill/>
        </a:ln>
        <a:effectLst/>
      </c:spPr>
    </c:title>
    <c:autoTitleDeleted val="0"/>
    <c:plotArea>
      <c:layout/>
      <c:barChart>
        <c:barDir val="col"/>
        <c:grouping val="clustered"/>
        <c:varyColors val="0"/>
        <c:ser>
          <c:idx val="0"/>
          <c:order val="0"/>
          <c:tx>
            <c:strRef>
              <c:f>[工作簿1]Sheet1!$L$2</c:f>
              <c:strCache>
                <c:ptCount val="1"/>
                <c:pt idx="0">
                  <c:v>2018年度</c:v>
                </c:pt>
              </c:strCache>
            </c:strRef>
          </c:tx>
          <c:spPr>
            <a:solidFill>
              <a:schemeClr val="accent1"/>
            </a:solidFill>
            <a:ln>
              <a:noFill/>
            </a:ln>
            <a:effectLst/>
          </c:spPr>
          <c:invertIfNegative val="0"/>
          <c:dLbls>
            <c:delete val="1"/>
          </c:dLbls>
          <c:cat>
            <c:strRef>
              <c:f>[工作簿1]Sheet1!$M$1:$N$1</c:f>
              <c:strCache>
                <c:ptCount val="2"/>
                <c:pt idx="0">
                  <c:v>支出</c:v>
                </c:pt>
                <c:pt idx="1">
                  <c:v>收入</c:v>
                </c:pt>
              </c:strCache>
            </c:strRef>
          </c:cat>
          <c:val>
            <c:numRef>
              <c:f>[工作簿1]Sheet1!$M$2:$N$2</c:f>
              <c:numCache>
                <c:formatCode>General</c:formatCode>
                <c:ptCount val="2"/>
                <c:pt idx="0">
                  <c:v>245.57</c:v>
                </c:pt>
                <c:pt idx="1">
                  <c:v>245.57</c:v>
                </c:pt>
              </c:numCache>
            </c:numRef>
          </c:val>
        </c:ser>
        <c:ser>
          <c:idx val="1"/>
          <c:order val="1"/>
          <c:tx>
            <c:strRef>
              <c:f>[工作簿1]Sheet1!$L$3</c:f>
              <c:strCache>
                <c:ptCount val="1"/>
                <c:pt idx="0">
                  <c:v>2019年度</c:v>
                </c:pt>
              </c:strCache>
            </c:strRef>
          </c:tx>
          <c:spPr>
            <a:solidFill>
              <a:schemeClr val="accent2"/>
            </a:solidFill>
            <a:ln>
              <a:noFill/>
            </a:ln>
            <a:effectLst/>
          </c:spPr>
          <c:invertIfNegative val="0"/>
          <c:dLbls>
            <c:delete val="1"/>
          </c:dLbls>
          <c:cat>
            <c:strRef>
              <c:f>[工作簿1]Sheet1!$M$1:$N$1</c:f>
              <c:strCache>
                <c:ptCount val="2"/>
                <c:pt idx="0">
                  <c:v>支出</c:v>
                </c:pt>
                <c:pt idx="1">
                  <c:v>收入</c:v>
                </c:pt>
              </c:strCache>
            </c:strRef>
          </c:cat>
          <c:val>
            <c:numRef>
              <c:f>[工作簿1]Sheet1!$M$3:$N$3</c:f>
              <c:numCache>
                <c:formatCode>General</c:formatCode>
                <c:ptCount val="2"/>
                <c:pt idx="0">
                  <c:v>521.85</c:v>
                </c:pt>
                <c:pt idx="1">
                  <c:v>521.85</c:v>
                </c:pt>
              </c:numCache>
            </c:numRef>
          </c:val>
        </c:ser>
        <c:dLbls>
          <c:showLegendKey val="0"/>
          <c:showVal val="0"/>
          <c:showCatName val="0"/>
          <c:showSerName val="0"/>
          <c:showPercent val="0"/>
          <c:showBubbleSize val="0"/>
        </c:dLbls>
        <c:gapWidth val="150"/>
        <c:overlap val="0"/>
        <c:axId val="146787569"/>
        <c:axId val="979099858"/>
      </c:barChart>
      <c:catAx>
        <c:axId val="146787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9099858"/>
        <c:crosses val="autoZero"/>
        <c:auto val="1"/>
        <c:lblAlgn val="ctr"/>
        <c:lblOffset val="100"/>
        <c:noMultiLvlLbl val="0"/>
      </c:catAx>
      <c:valAx>
        <c:axId val="979099858"/>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8756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[工作簿1]Sheet1!$B$10</c:f>
              <c:strCache>
                <c:ptCount val="1"/>
                <c:pt idx="0">
                  <c:v>2019年度收入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[工作簿1]Sheet1!$A$11:$A$17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[工作簿1]Sheet1!$B$11:$B$17</c:f>
              <c:numCache>
                <c:formatCode>General</c:formatCode>
                <c:ptCount val="7"/>
                <c:pt idx="0">
                  <c:v>516.88</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[工作簿1]Sheet1!$B$10</c:f>
              <c:strCache>
                <c:ptCount val="1"/>
                <c:pt idx="0">
                  <c:v>2019年度支出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[工作簿1]Sheet1!$A$11:$A$15</c:f>
              <c:strCache>
                <c:ptCount val="5"/>
                <c:pt idx="0">
                  <c:v>基本支出</c:v>
                </c:pt>
                <c:pt idx="1">
                  <c:v>项目支出</c:v>
                </c:pt>
                <c:pt idx="2">
                  <c:v>上缴上级支出</c:v>
                </c:pt>
                <c:pt idx="3">
                  <c:v>经营支出</c:v>
                </c:pt>
                <c:pt idx="4">
                  <c:v>对附属单位补助支出</c:v>
                </c:pt>
              </c:strCache>
            </c:strRef>
          </c:cat>
          <c:val>
            <c:numRef>
              <c:f>[工作簿1]Sheet1!$B$11:$B$15</c:f>
              <c:numCache>
                <c:formatCode>General</c:formatCode>
                <c:ptCount val="5"/>
                <c:pt idx="0">
                  <c:v>220.44</c:v>
                </c:pt>
                <c:pt idx="1">
                  <c:v>301.41</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财政拨款收入支出表</a:t>
            </a:r>
          </a:p>
        </c:rich>
      </c:tx>
      <c:layout/>
      <c:overlay val="0"/>
      <c:spPr>
        <a:noFill/>
        <a:ln>
          <a:noFill/>
        </a:ln>
        <a:effectLst/>
      </c:spPr>
    </c:title>
    <c:autoTitleDeleted val="0"/>
    <c:plotArea>
      <c:layout/>
      <c:barChart>
        <c:barDir val="col"/>
        <c:grouping val="clustered"/>
        <c:varyColors val="0"/>
        <c:ser>
          <c:idx val="0"/>
          <c:order val="0"/>
          <c:tx>
            <c:strRef>
              <c:f>[工作簿1]Sheet1!$L$2</c:f>
              <c:strCache>
                <c:ptCount val="1"/>
                <c:pt idx="0">
                  <c:v>2018年度</c:v>
                </c:pt>
              </c:strCache>
            </c:strRef>
          </c:tx>
          <c:spPr>
            <a:solidFill>
              <a:schemeClr val="accent1"/>
            </a:solidFill>
            <a:ln>
              <a:noFill/>
            </a:ln>
            <a:effectLst/>
          </c:spPr>
          <c:invertIfNegative val="0"/>
          <c:dLbls>
            <c:delete val="1"/>
          </c:dLbls>
          <c:cat>
            <c:strRef>
              <c:f>[工作簿1]Sheet1!$M$1:$N$1</c:f>
              <c:strCache>
                <c:ptCount val="2"/>
                <c:pt idx="0">
                  <c:v>财政拨款支出</c:v>
                </c:pt>
                <c:pt idx="1">
                  <c:v>财政拨款收入</c:v>
                </c:pt>
              </c:strCache>
            </c:strRef>
          </c:cat>
          <c:val>
            <c:numRef>
              <c:f>[工作簿1]Sheet1!$M$2:$N$2</c:f>
              <c:numCache>
                <c:formatCode>General</c:formatCode>
                <c:ptCount val="2"/>
                <c:pt idx="0">
                  <c:v>245.57</c:v>
                </c:pt>
                <c:pt idx="1">
                  <c:v>245.57</c:v>
                </c:pt>
              </c:numCache>
            </c:numRef>
          </c:val>
        </c:ser>
        <c:ser>
          <c:idx val="1"/>
          <c:order val="1"/>
          <c:tx>
            <c:strRef>
              <c:f>[工作簿1]Sheet1!$L$3</c:f>
              <c:strCache>
                <c:ptCount val="1"/>
                <c:pt idx="0">
                  <c:v>2019年度</c:v>
                </c:pt>
              </c:strCache>
            </c:strRef>
          </c:tx>
          <c:spPr>
            <a:solidFill>
              <a:schemeClr val="accent2"/>
            </a:solidFill>
            <a:ln>
              <a:noFill/>
            </a:ln>
            <a:effectLst/>
          </c:spPr>
          <c:invertIfNegative val="0"/>
          <c:dLbls>
            <c:delete val="1"/>
          </c:dLbls>
          <c:cat>
            <c:strRef>
              <c:f>[工作簿1]Sheet1!$M$1:$N$1</c:f>
              <c:strCache>
                <c:ptCount val="2"/>
                <c:pt idx="0">
                  <c:v>财政拨款支出</c:v>
                </c:pt>
                <c:pt idx="1">
                  <c:v>财政拨款收入</c:v>
                </c:pt>
              </c:strCache>
            </c:strRef>
          </c:cat>
          <c:val>
            <c:numRef>
              <c:f>[工作簿1]Sheet1!$M$3:$N$3</c:f>
              <c:numCache>
                <c:formatCode>General</c:formatCode>
                <c:ptCount val="2"/>
                <c:pt idx="0">
                  <c:v>521.85</c:v>
                </c:pt>
                <c:pt idx="1">
                  <c:v>521.85</c:v>
                </c:pt>
              </c:numCache>
            </c:numRef>
          </c:val>
        </c:ser>
        <c:dLbls>
          <c:showLegendKey val="0"/>
          <c:showVal val="0"/>
          <c:showCatName val="0"/>
          <c:showSerName val="0"/>
          <c:showPercent val="0"/>
          <c:showBubbleSize val="0"/>
        </c:dLbls>
        <c:gapWidth val="150"/>
        <c:overlap val="0"/>
        <c:axId val="146787569"/>
        <c:axId val="979099858"/>
      </c:barChart>
      <c:catAx>
        <c:axId val="146787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9099858"/>
        <c:crosses val="autoZero"/>
        <c:auto val="1"/>
        <c:lblAlgn val="ctr"/>
        <c:lblOffset val="100"/>
        <c:noMultiLvlLbl val="0"/>
      </c:catAx>
      <c:valAx>
        <c:axId val="979099858"/>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8756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一般公共预算财政拨款支出表</a:t>
            </a:r>
          </a:p>
        </c:rich>
      </c:tx>
      <c:layout/>
      <c:overlay val="0"/>
      <c:spPr>
        <a:noFill/>
        <a:ln>
          <a:noFill/>
        </a:ln>
        <a:effectLst/>
      </c:spPr>
    </c:title>
    <c:autoTitleDeleted val="0"/>
    <c:plotArea>
      <c:layout/>
      <c:barChart>
        <c:barDir val="col"/>
        <c:grouping val="clustered"/>
        <c:varyColors val="0"/>
        <c:ser>
          <c:idx val="0"/>
          <c:order val="0"/>
          <c:tx>
            <c:strRef>
              <c:f>[工作簿1]Sheet1!$L$2</c:f>
              <c:strCache>
                <c:ptCount val="1"/>
                <c:pt idx="0">
                  <c:v>2018年度</c:v>
                </c:pt>
              </c:strCache>
            </c:strRef>
          </c:tx>
          <c:spPr>
            <a:solidFill>
              <a:schemeClr val="accent1"/>
            </a:solidFill>
            <a:ln>
              <a:noFill/>
            </a:ln>
            <a:effectLst/>
          </c:spPr>
          <c:invertIfNegative val="0"/>
          <c:dLbls>
            <c:delete val="1"/>
          </c:dLbls>
          <c:cat>
            <c:strRef>
              <c:f>[工作簿1]Sheet1!$M$1:$N$1</c:f>
              <c:strCache>
                <c:ptCount val="2"/>
                <c:pt idx="0">
                  <c:v>一般公共预算财政拨款支出</c:v>
                </c:pt>
              </c:strCache>
            </c:strRef>
          </c:cat>
          <c:val>
            <c:numRef>
              <c:f>[工作簿1]Sheet1!$M$2:$N$2</c:f>
              <c:numCache>
                <c:formatCode>General</c:formatCode>
                <c:ptCount val="2"/>
                <c:pt idx="0">
                  <c:v>245.57</c:v>
                </c:pt>
              </c:numCache>
            </c:numRef>
          </c:val>
        </c:ser>
        <c:ser>
          <c:idx val="1"/>
          <c:order val="1"/>
          <c:tx>
            <c:strRef>
              <c:f>[工作簿1]Sheet1!$L$3</c:f>
              <c:strCache>
                <c:ptCount val="1"/>
                <c:pt idx="0">
                  <c:v>2019年度</c:v>
                </c:pt>
              </c:strCache>
            </c:strRef>
          </c:tx>
          <c:spPr>
            <a:solidFill>
              <a:schemeClr val="accent2"/>
            </a:solidFill>
            <a:ln>
              <a:noFill/>
            </a:ln>
            <a:effectLst/>
          </c:spPr>
          <c:invertIfNegative val="0"/>
          <c:dLbls>
            <c:delete val="1"/>
          </c:dLbls>
          <c:cat>
            <c:strRef>
              <c:f>[工作簿1]Sheet1!$M$1:$N$1</c:f>
              <c:strCache>
                <c:ptCount val="2"/>
                <c:pt idx="0">
                  <c:v>一般公共预算财政拨款支出</c:v>
                </c:pt>
              </c:strCache>
            </c:strRef>
          </c:cat>
          <c:val>
            <c:numRef>
              <c:f>[工作簿1]Sheet1!$M$3:$N$3</c:f>
              <c:numCache>
                <c:formatCode>General</c:formatCode>
                <c:ptCount val="2"/>
                <c:pt idx="0">
                  <c:v>521.85</c:v>
                </c:pt>
              </c:numCache>
            </c:numRef>
          </c:val>
        </c:ser>
        <c:dLbls>
          <c:showLegendKey val="0"/>
          <c:showVal val="0"/>
          <c:showCatName val="0"/>
          <c:showSerName val="0"/>
          <c:showPercent val="0"/>
          <c:showBubbleSize val="0"/>
        </c:dLbls>
        <c:gapWidth val="150"/>
        <c:overlap val="0"/>
        <c:axId val="146787569"/>
        <c:axId val="979099858"/>
      </c:barChart>
      <c:catAx>
        <c:axId val="146787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9099858"/>
        <c:crosses val="autoZero"/>
        <c:auto val="1"/>
        <c:lblAlgn val="ctr"/>
        <c:lblOffset val="100"/>
        <c:noMultiLvlLbl val="0"/>
      </c:catAx>
      <c:valAx>
        <c:axId val="979099858"/>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78756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8055555555556"/>
          <c:y val="0.92730404823428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[工作簿1]Sheet1!$B$10</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[工作簿1]Sheet1!$A$11:$A$18</c:f>
              <c:strCache>
                <c:ptCount val="8"/>
                <c:pt idx="0">
                  <c:v>一般公共服务（类）支出</c:v>
                </c:pt>
                <c:pt idx="1">
                  <c:v>教育支出（类）</c:v>
                </c:pt>
                <c:pt idx="2">
                  <c:v>科学技术（类）支出</c:v>
                </c:pt>
                <c:pt idx="3">
                  <c:v>文化旅游体育与传媒（类）支出</c:v>
                </c:pt>
                <c:pt idx="4">
                  <c:v>社会保障和就业（类）支出</c:v>
                </c:pt>
                <c:pt idx="5">
                  <c:v>卫生健康支出</c:v>
                </c:pt>
                <c:pt idx="6">
                  <c:v>住房保障支出</c:v>
                </c:pt>
                <c:pt idx="7">
                  <c:v>农林水（类）支出</c:v>
                </c:pt>
              </c:strCache>
            </c:strRef>
          </c:cat>
          <c:val>
            <c:numRef>
              <c:f>[工作簿1]Sheet1!$B$11:$B$18</c:f>
              <c:numCache>
                <c:formatCode>General</c:formatCode>
                <c:ptCount val="8"/>
                <c:pt idx="0">
                  <c:v>432.4</c:v>
                </c:pt>
                <c:pt idx="1">
                  <c:v>0</c:v>
                </c:pt>
                <c:pt idx="2">
                  <c:v>0</c:v>
                </c:pt>
                <c:pt idx="3">
                  <c:v>0</c:v>
                </c:pt>
                <c:pt idx="4">
                  <c:v>23.04</c:v>
                </c:pt>
                <c:pt idx="5">
                  <c:v>12.47</c:v>
                </c:pt>
                <c:pt idx="6">
                  <c:v>14.5</c:v>
                </c:pt>
                <c:pt idx="7">
                  <c:v>39.44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10</TotalTime>
  <ScaleCrop>false</ScaleCrop>
  <LinksUpToDate>false</LinksUpToDate>
  <CharactersWithSpaces>8587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袁永前</cp:lastModifiedBy>
  <cp:lastPrinted>2020-09-24T03:45:00Z</cp:lastPrinted>
  <dcterms:modified xsi:type="dcterms:W3CDTF">2020-09-27T03:48:56Z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