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597"/>
      <w:bookmarkStart w:id="2" w:name="_Toc15377425"/>
      <w:bookmarkStart w:id="3" w:name="_Toc15396475"/>
      <w:bookmarkStart w:id="4" w:name="_Toc15377193"/>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eastAsia="方正小标宋简体"/>
          <w:sz w:val="72"/>
          <w:szCs w:val="72"/>
          <w:lang w:eastAsia="zh-CN"/>
        </w:rPr>
      </w:pPr>
      <w:bookmarkStart w:id="6" w:name="_Toc15377426"/>
      <w:bookmarkStart w:id="7" w:name="_Toc15377194"/>
      <w:bookmarkStart w:id="8" w:name="_Toc15396598"/>
      <w:bookmarkStart w:id="9" w:name="_Toc15378442"/>
      <w:bookmarkStart w:id="10" w:name="_Toc1539647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供销社</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保密审查情况：</w:t>
      </w:r>
    </w:p>
    <w:p>
      <w:pPr>
        <w:autoSpaceDE w:val="0"/>
        <w:autoSpaceDN w:val="0"/>
        <w:adjustRightInd w:val="0"/>
        <w:ind w:left="420"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hint="eastAsia" w:ascii="方正小标宋简体" w:hAnsi="方正小标宋简体" w:eastAsia="方正小标宋简体" w:cs="方正小标宋简体"/>
          <w:color w:val="000000"/>
          <w:sz w:val="44"/>
          <w:szCs w:val="44"/>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color w:val="000000"/>
          <w:sz w:val="44"/>
          <w:szCs w:val="44"/>
        </w:rPr>
        <w:t>目录</w:t>
      </w:r>
    </w:p>
    <w:p>
      <w:pPr>
        <w:pStyle w:val="13"/>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公开时间：2021年 月 日</w:t>
      </w:r>
    </w:p>
    <w:p>
      <w:pPr>
        <w:pStyle w:val="13"/>
        <w:tabs>
          <w:tab w:val="right" w:leader="dot" w:pos="8296"/>
        </w:tabs>
        <w:rPr>
          <w:rFonts w:hint="eastAsia" w:ascii="仿宋_GB2312" w:hAnsi="仿宋_GB2312" w:eastAsia="仿宋_GB2312" w:cs="仿宋_GB2312"/>
          <w:b w:val="0"/>
          <w:bCs w:val="0"/>
          <w:caps w:val="0"/>
          <w:smallCaps/>
          <w:sz w:val="24"/>
          <w:szCs w:val="24"/>
        </w:rPr>
      </w:pPr>
      <w:r>
        <w:rPr>
          <w:rFonts w:hint="eastAsia" w:ascii="仿宋_GB2312" w:hAnsi="仿宋_GB2312" w:eastAsia="仿宋_GB2312" w:cs="仿宋_GB2312"/>
          <w:b w:val="0"/>
          <w:bCs w:val="0"/>
          <w:caps w:val="0"/>
          <w:smallCaps/>
          <w:sz w:val="24"/>
          <w:szCs w:val="24"/>
        </w:rPr>
        <w:fldChar w:fldCharType="begin"/>
      </w:r>
      <w:r>
        <w:rPr>
          <w:rFonts w:hint="eastAsia" w:ascii="仿宋_GB2312" w:hAnsi="仿宋_GB2312" w:eastAsia="仿宋_GB2312" w:cs="仿宋_GB2312"/>
          <w:b w:val="0"/>
          <w:bCs w:val="0"/>
          <w:caps w:val="0"/>
          <w:smallCaps/>
          <w:sz w:val="24"/>
          <w:szCs w:val="24"/>
        </w:rPr>
        <w:instrText xml:space="preserve"> TOC \o \u </w:instrText>
      </w:r>
      <w:r>
        <w:rPr>
          <w:rFonts w:hint="eastAsia" w:ascii="仿宋_GB2312" w:hAnsi="仿宋_GB2312" w:eastAsia="仿宋_GB2312" w:cs="仿宋_GB2312"/>
          <w:b w:val="0"/>
          <w:bCs w:val="0"/>
          <w:caps w:val="0"/>
          <w:smallCaps/>
          <w:sz w:val="24"/>
          <w:szCs w:val="24"/>
        </w:rPr>
        <w:fldChar w:fldCharType="separate"/>
      </w:r>
      <w:r>
        <w:rPr>
          <w:rFonts w:hint="eastAsia" w:ascii="仿宋_GB2312" w:hAnsi="仿宋_GB2312" w:eastAsia="仿宋_GB2312" w:cs="仿宋_GB2312"/>
          <w:b w:val="0"/>
          <w:bCs w:val="0"/>
          <w:caps w:val="0"/>
          <w:smallCaps/>
          <w:sz w:val="24"/>
          <w:szCs w:val="24"/>
        </w:rPr>
        <w:t>第一部分 部门概况</w:t>
      </w:r>
      <w:r>
        <w:rPr>
          <w:rFonts w:hint="eastAsia" w:ascii="仿宋_GB2312" w:hAnsi="仿宋_GB2312" w:eastAsia="仿宋_GB2312" w:cs="仿宋_GB2312"/>
          <w:b w:val="0"/>
          <w:bCs w:val="0"/>
          <w:caps w:val="0"/>
          <w:smallCaps/>
          <w:sz w:val="24"/>
          <w:szCs w:val="24"/>
        </w:rPr>
        <w:tab/>
      </w:r>
      <w:r>
        <w:rPr>
          <w:rFonts w:hint="eastAsia" w:ascii="仿宋_GB2312" w:hAnsi="仿宋_GB2312" w:eastAsia="仿宋_GB2312" w:cs="仿宋_GB2312"/>
          <w:b w:val="0"/>
          <w:bCs w:val="0"/>
          <w:caps w:val="0"/>
          <w:smallCaps/>
          <w:sz w:val="24"/>
          <w:szCs w:val="24"/>
        </w:rPr>
        <w:fldChar w:fldCharType="begin"/>
      </w:r>
      <w:r>
        <w:rPr>
          <w:rFonts w:hint="eastAsia" w:ascii="仿宋_GB2312" w:hAnsi="仿宋_GB2312" w:eastAsia="仿宋_GB2312" w:cs="仿宋_GB2312"/>
          <w:b w:val="0"/>
          <w:bCs w:val="0"/>
          <w:caps w:val="0"/>
          <w:smallCaps/>
          <w:sz w:val="24"/>
          <w:szCs w:val="24"/>
        </w:rPr>
        <w:instrText xml:space="preserve"> PAGEREF _Toc79163851 \h </w:instrText>
      </w:r>
      <w:r>
        <w:rPr>
          <w:rFonts w:hint="eastAsia" w:ascii="仿宋_GB2312" w:hAnsi="仿宋_GB2312" w:eastAsia="仿宋_GB2312" w:cs="仿宋_GB2312"/>
          <w:b w:val="0"/>
          <w:bCs w:val="0"/>
          <w:caps w:val="0"/>
          <w:smallCaps/>
          <w:sz w:val="24"/>
          <w:szCs w:val="24"/>
        </w:rPr>
        <w:fldChar w:fldCharType="separate"/>
      </w:r>
      <w:r>
        <w:rPr>
          <w:rFonts w:hint="eastAsia" w:ascii="仿宋_GB2312" w:hAnsi="仿宋_GB2312" w:eastAsia="仿宋_GB2312" w:cs="仿宋_GB2312"/>
          <w:b w:val="0"/>
          <w:bCs w:val="0"/>
          <w:caps w:val="0"/>
          <w:smallCaps/>
          <w:sz w:val="24"/>
          <w:szCs w:val="24"/>
        </w:rPr>
        <w:t>4</w:t>
      </w:r>
      <w:r>
        <w:rPr>
          <w:rFonts w:hint="eastAsia" w:ascii="仿宋_GB2312" w:hAnsi="仿宋_GB2312" w:eastAsia="仿宋_GB2312" w:cs="仿宋_GB2312"/>
          <w:b w:val="0"/>
          <w:bCs w:val="0"/>
          <w:caps w:val="0"/>
          <w:smallCaps/>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一、基本职能及主要工作</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_Toc79163852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（一）主要职能</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_Toc79163853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4</w:t>
      </w:r>
      <w:r>
        <w:rPr>
          <w:rFonts w:hint="eastAsia" w:ascii="仿宋_GB2312" w:hAnsi="仿宋_GB2312" w:eastAsia="仿宋_GB2312" w:cs="仿宋_GB2312"/>
          <w:i w:val="0"/>
          <w:iCs w:val="0"/>
          <w:smallCaps/>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（二）2020年重点工作完成情况</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_Toc79163854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4</w:t>
      </w:r>
      <w:r>
        <w:rPr>
          <w:rFonts w:hint="eastAsia" w:ascii="仿宋_GB2312" w:hAnsi="仿宋_GB2312" w:eastAsia="仿宋_GB2312" w:cs="仿宋_GB2312"/>
          <w:i w:val="0"/>
          <w:iCs w:val="0"/>
          <w:smallCaps/>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二、机构设置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_Toc79163855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p>
    <w:p>
      <w:pPr>
        <w:pStyle w:val="13"/>
        <w:tabs>
          <w:tab w:val="right" w:leader="dot" w:pos="8296"/>
        </w:tabs>
        <w:rPr>
          <w:rFonts w:hint="eastAsia" w:ascii="仿宋_GB2312" w:hAnsi="仿宋_GB2312" w:eastAsia="仿宋_GB2312" w:cs="仿宋_GB2312"/>
          <w:b w:val="0"/>
          <w:bCs w:val="0"/>
          <w:caps w:val="0"/>
          <w:smallCaps/>
          <w:sz w:val="24"/>
          <w:szCs w:val="24"/>
        </w:rPr>
      </w:pPr>
      <w:r>
        <w:rPr>
          <w:rFonts w:hint="eastAsia" w:ascii="仿宋_GB2312" w:hAnsi="仿宋_GB2312" w:eastAsia="仿宋_GB2312" w:cs="仿宋_GB2312"/>
          <w:b w:val="0"/>
          <w:bCs w:val="0"/>
          <w:caps w:val="0"/>
          <w:smallCaps/>
          <w:sz w:val="24"/>
          <w:szCs w:val="24"/>
        </w:rPr>
        <w:t>第二部分 2020年度部门决算情况说明</w:t>
      </w:r>
      <w:r>
        <w:rPr>
          <w:rFonts w:hint="eastAsia" w:ascii="仿宋_GB2312" w:hAnsi="仿宋_GB2312" w:eastAsia="仿宋_GB2312" w:cs="仿宋_GB2312"/>
          <w:b w:val="0"/>
          <w:bCs w:val="0"/>
          <w:caps w:val="0"/>
          <w:smallCaps/>
          <w:sz w:val="24"/>
          <w:szCs w:val="24"/>
        </w:rPr>
        <w:tab/>
      </w:r>
      <w:r>
        <w:rPr>
          <w:rFonts w:hint="eastAsia" w:ascii="仿宋_GB2312" w:hAnsi="仿宋_GB2312" w:eastAsia="仿宋_GB2312" w:cs="仿宋_GB2312"/>
          <w:b w:val="0"/>
          <w:bCs w:val="0"/>
          <w:caps w:val="0"/>
          <w:smallCaps/>
          <w:sz w:val="24"/>
          <w:szCs w:val="24"/>
        </w:rPr>
        <w:fldChar w:fldCharType="begin"/>
      </w:r>
      <w:r>
        <w:rPr>
          <w:rFonts w:hint="eastAsia" w:ascii="仿宋_GB2312" w:hAnsi="仿宋_GB2312" w:eastAsia="仿宋_GB2312" w:cs="仿宋_GB2312"/>
          <w:b w:val="0"/>
          <w:bCs w:val="0"/>
          <w:caps w:val="0"/>
          <w:smallCaps/>
          <w:sz w:val="24"/>
          <w:szCs w:val="24"/>
        </w:rPr>
        <w:instrText xml:space="preserve"> PAGEREF _Toc79163859 \h </w:instrText>
      </w:r>
      <w:r>
        <w:rPr>
          <w:rFonts w:hint="eastAsia" w:ascii="仿宋_GB2312" w:hAnsi="仿宋_GB2312" w:eastAsia="仿宋_GB2312" w:cs="仿宋_GB2312"/>
          <w:b w:val="0"/>
          <w:bCs w:val="0"/>
          <w:caps w:val="0"/>
          <w:smallCaps/>
          <w:sz w:val="24"/>
          <w:szCs w:val="24"/>
        </w:rPr>
        <w:fldChar w:fldCharType="separate"/>
      </w:r>
      <w:r>
        <w:rPr>
          <w:rFonts w:hint="eastAsia" w:ascii="仿宋_GB2312" w:hAnsi="仿宋_GB2312" w:eastAsia="仿宋_GB2312" w:cs="仿宋_GB2312"/>
          <w:b w:val="0"/>
          <w:bCs w:val="0"/>
          <w:caps w:val="0"/>
          <w:smallCaps/>
          <w:sz w:val="24"/>
          <w:szCs w:val="24"/>
        </w:rPr>
        <w:t>6</w:t>
      </w:r>
      <w:r>
        <w:rPr>
          <w:rFonts w:hint="eastAsia" w:ascii="仿宋_GB2312" w:hAnsi="仿宋_GB2312" w:eastAsia="仿宋_GB2312" w:cs="仿宋_GB2312"/>
          <w:b w:val="0"/>
          <w:bCs w:val="0"/>
          <w:caps w:val="0"/>
          <w:smallCaps/>
          <w:sz w:val="24"/>
          <w:szCs w:val="24"/>
        </w:rPr>
        <w:fldChar w:fldCharType="end"/>
      </w:r>
    </w:p>
    <w:p>
      <w:pPr>
        <w:pStyle w:val="16"/>
        <w:tabs>
          <w:tab w:val="left" w:pos="840"/>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_Toc79163860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p>
    <w:p>
      <w:pPr>
        <w:pStyle w:val="16"/>
        <w:tabs>
          <w:tab w:val="left" w:pos="840"/>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收入决算情况说明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_Toc79163861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p>
    <w:p>
      <w:pPr>
        <w:pStyle w:val="16"/>
        <w:tabs>
          <w:tab w:val="left" w:pos="840"/>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_Toc79163862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四、财政拨款收入支出决算总体情况说明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_Toc79163863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五、一般公共预算财政拨款支出决算情况说明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_Toc79163864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（一）一般公共预算财政拨款支出决算总体情况</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_Toc79163865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8</w:t>
      </w:r>
      <w:r>
        <w:rPr>
          <w:rFonts w:hint="eastAsia" w:ascii="仿宋_GB2312" w:hAnsi="仿宋_GB2312" w:eastAsia="仿宋_GB2312" w:cs="仿宋_GB2312"/>
          <w:i w:val="0"/>
          <w:iCs w:val="0"/>
          <w:smallCaps/>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（二）一般公共预算财政拨款支出决算结构情况</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_Toc79163866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8</w:t>
      </w:r>
      <w:r>
        <w:rPr>
          <w:rFonts w:hint="eastAsia" w:ascii="仿宋_GB2312" w:hAnsi="仿宋_GB2312" w:eastAsia="仿宋_GB2312" w:cs="仿宋_GB2312"/>
          <w:i w:val="0"/>
          <w:iCs w:val="0"/>
          <w:smallCaps/>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（三）一般公共预算财政拨款支出决算具体情况</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_Toc79163867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9</w:t>
      </w:r>
      <w:r>
        <w:rPr>
          <w:rFonts w:hint="eastAsia" w:ascii="仿宋_GB2312" w:hAnsi="仿宋_GB2312" w:eastAsia="仿宋_GB2312" w:cs="仿宋_GB2312"/>
          <w:i w:val="0"/>
          <w:iCs w:val="0"/>
          <w:smallCaps/>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六、一般公共预算财政拨款基本支出决算情况说明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_Toc79163868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七、“三公”经费财政拨款支出决算情况说明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_Toc79163869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（一）“三公”经费财政拨款支出决算总体情况说明</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_Toc79163870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11</w:t>
      </w:r>
      <w:r>
        <w:rPr>
          <w:rFonts w:hint="eastAsia" w:ascii="仿宋_GB2312" w:hAnsi="仿宋_GB2312" w:eastAsia="仿宋_GB2312" w:cs="仿宋_GB2312"/>
          <w:i w:val="0"/>
          <w:iCs w:val="0"/>
          <w:smallCaps/>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（二）“三公”经费财政拨款支出决算具体情况说明</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_Toc79163871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11</w:t>
      </w:r>
      <w:r>
        <w:rPr>
          <w:rFonts w:hint="eastAsia" w:ascii="仿宋_GB2312" w:hAnsi="仿宋_GB2312" w:eastAsia="仿宋_GB2312" w:cs="仿宋_GB2312"/>
          <w:i w:val="0"/>
          <w:iCs w:val="0"/>
          <w:smallCaps/>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八、政府性基金预算支出决算情况说明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_Toc79163872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 国有资本经营预算支出决算情况说明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_Toc79163873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十、其他重要事项的情况说明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_Toc79163874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（一）机关运行经费支出情况</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_Toc79163875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12</w:t>
      </w:r>
      <w:r>
        <w:rPr>
          <w:rFonts w:hint="eastAsia" w:ascii="仿宋_GB2312" w:hAnsi="仿宋_GB2312" w:eastAsia="仿宋_GB2312" w:cs="仿宋_GB2312"/>
          <w:i w:val="0"/>
          <w:iCs w:val="0"/>
          <w:smallCaps/>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（二）政府采购支出情况</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_Toc79163876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12</w:t>
      </w:r>
      <w:r>
        <w:rPr>
          <w:rFonts w:hint="eastAsia" w:ascii="仿宋_GB2312" w:hAnsi="仿宋_GB2312" w:eastAsia="仿宋_GB2312" w:cs="仿宋_GB2312"/>
          <w:i w:val="0"/>
          <w:iCs w:val="0"/>
          <w:smallCaps/>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（三）国有资产占有使用情况</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_Toc79163877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12</w:t>
      </w:r>
      <w:r>
        <w:rPr>
          <w:rFonts w:hint="eastAsia" w:ascii="仿宋_GB2312" w:hAnsi="仿宋_GB2312" w:eastAsia="仿宋_GB2312" w:cs="仿宋_GB2312"/>
          <w:i w:val="0"/>
          <w:iCs w:val="0"/>
          <w:smallCaps/>
          <w:sz w:val="24"/>
          <w:szCs w:val="24"/>
        </w:rPr>
        <w:fldChar w:fldCharType="end"/>
      </w:r>
    </w:p>
    <w:p>
      <w:pPr>
        <w:pStyle w:val="8"/>
        <w:tabs>
          <w:tab w:val="right" w:leader="dot" w:pos="8296"/>
        </w:tabs>
        <w:rPr>
          <w:rFonts w:hint="eastAsia" w:ascii="仿宋_GB2312" w:hAnsi="仿宋_GB2312" w:eastAsia="仿宋_GB2312" w:cs="仿宋_GB2312"/>
          <w:i w:val="0"/>
          <w:iCs w:val="0"/>
          <w:smallCaps/>
          <w:sz w:val="24"/>
          <w:szCs w:val="24"/>
        </w:rPr>
      </w:pPr>
      <w:r>
        <w:rPr>
          <w:rFonts w:hint="eastAsia" w:ascii="仿宋_GB2312" w:hAnsi="仿宋_GB2312" w:eastAsia="仿宋_GB2312" w:cs="仿宋_GB2312"/>
          <w:i w:val="0"/>
          <w:iCs w:val="0"/>
          <w:smallCaps/>
          <w:sz w:val="24"/>
          <w:szCs w:val="24"/>
        </w:rPr>
        <w:t>（四）预算绩效管理情况</w:t>
      </w:r>
      <w:r>
        <w:rPr>
          <w:rFonts w:hint="eastAsia" w:ascii="仿宋_GB2312" w:hAnsi="仿宋_GB2312" w:eastAsia="仿宋_GB2312" w:cs="仿宋_GB2312"/>
          <w:i w:val="0"/>
          <w:iCs w:val="0"/>
          <w:smallCaps/>
          <w:sz w:val="24"/>
          <w:szCs w:val="24"/>
        </w:rPr>
        <w:tab/>
      </w:r>
      <w:r>
        <w:rPr>
          <w:rFonts w:hint="eastAsia" w:ascii="仿宋_GB2312" w:hAnsi="仿宋_GB2312" w:eastAsia="仿宋_GB2312" w:cs="仿宋_GB2312"/>
          <w:i w:val="0"/>
          <w:iCs w:val="0"/>
          <w:smallCaps/>
          <w:sz w:val="24"/>
          <w:szCs w:val="24"/>
        </w:rPr>
        <w:fldChar w:fldCharType="begin"/>
      </w:r>
      <w:r>
        <w:rPr>
          <w:rFonts w:hint="eastAsia" w:ascii="仿宋_GB2312" w:hAnsi="仿宋_GB2312" w:eastAsia="仿宋_GB2312" w:cs="仿宋_GB2312"/>
          <w:i w:val="0"/>
          <w:iCs w:val="0"/>
          <w:smallCaps/>
          <w:sz w:val="24"/>
          <w:szCs w:val="24"/>
        </w:rPr>
        <w:instrText xml:space="preserve"> PAGEREF _Toc79163878 \h </w:instrText>
      </w:r>
      <w:r>
        <w:rPr>
          <w:rFonts w:hint="eastAsia" w:ascii="仿宋_GB2312" w:hAnsi="仿宋_GB2312" w:eastAsia="仿宋_GB2312" w:cs="仿宋_GB2312"/>
          <w:i w:val="0"/>
          <w:iCs w:val="0"/>
          <w:smallCaps/>
          <w:sz w:val="24"/>
          <w:szCs w:val="24"/>
        </w:rPr>
        <w:fldChar w:fldCharType="separate"/>
      </w:r>
      <w:r>
        <w:rPr>
          <w:rFonts w:hint="eastAsia" w:ascii="仿宋_GB2312" w:hAnsi="仿宋_GB2312" w:eastAsia="仿宋_GB2312" w:cs="仿宋_GB2312"/>
          <w:i w:val="0"/>
          <w:iCs w:val="0"/>
          <w:smallCaps/>
          <w:sz w:val="24"/>
          <w:szCs w:val="24"/>
        </w:rPr>
        <w:t>12</w:t>
      </w:r>
      <w:r>
        <w:rPr>
          <w:rFonts w:hint="eastAsia" w:ascii="仿宋_GB2312" w:hAnsi="仿宋_GB2312" w:eastAsia="仿宋_GB2312" w:cs="仿宋_GB2312"/>
          <w:i w:val="0"/>
          <w:iCs w:val="0"/>
          <w:smallCaps/>
          <w:sz w:val="24"/>
          <w:szCs w:val="24"/>
        </w:rPr>
        <w:fldChar w:fldCharType="end"/>
      </w:r>
    </w:p>
    <w:p>
      <w:pPr>
        <w:pStyle w:val="13"/>
        <w:tabs>
          <w:tab w:val="right" w:leader="dot" w:pos="8296"/>
        </w:tabs>
        <w:rPr>
          <w:rFonts w:hint="eastAsia" w:ascii="仿宋_GB2312" w:hAnsi="仿宋_GB2312" w:eastAsia="仿宋_GB2312" w:cs="仿宋_GB2312"/>
          <w:b w:val="0"/>
          <w:bCs w:val="0"/>
          <w:caps w:val="0"/>
          <w:smallCaps/>
          <w:sz w:val="24"/>
          <w:szCs w:val="24"/>
        </w:rPr>
      </w:pPr>
      <w:r>
        <w:rPr>
          <w:rFonts w:hint="eastAsia" w:ascii="仿宋_GB2312" w:hAnsi="仿宋_GB2312" w:eastAsia="仿宋_GB2312" w:cs="仿宋_GB2312"/>
          <w:b w:val="0"/>
          <w:bCs w:val="0"/>
          <w:caps w:val="0"/>
          <w:smallCaps/>
          <w:sz w:val="24"/>
          <w:szCs w:val="24"/>
        </w:rPr>
        <w:t>第三部分 名词解释</w:t>
      </w:r>
      <w:r>
        <w:rPr>
          <w:rFonts w:hint="eastAsia" w:ascii="仿宋_GB2312" w:hAnsi="仿宋_GB2312" w:eastAsia="仿宋_GB2312" w:cs="仿宋_GB2312"/>
          <w:b w:val="0"/>
          <w:bCs w:val="0"/>
          <w:caps w:val="0"/>
          <w:smallCaps/>
          <w:sz w:val="24"/>
          <w:szCs w:val="24"/>
        </w:rPr>
        <w:tab/>
      </w:r>
      <w:r>
        <w:rPr>
          <w:rFonts w:hint="eastAsia" w:ascii="仿宋_GB2312" w:hAnsi="仿宋_GB2312" w:eastAsia="仿宋_GB2312" w:cs="仿宋_GB2312"/>
          <w:b w:val="0"/>
          <w:bCs w:val="0"/>
          <w:caps w:val="0"/>
          <w:smallCaps/>
          <w:sz w:val="24"/>
          <w:szCs w:val="24"/>
        </w:rPr>
        <w:fldChar w:fldCharType="begin"/>
      </w:r>
      <w:r>
        <w:rPr>
          <w:rFonts w:hint="eastAsia" w:ascii="仿宋_GB2312" w:hAnsi="仿宋_GB2312" w:eastAsia="仿宋_GB2312" w:cs="仿宋_GB2312"/>
          <w:b w:val="0"/>
          <w:bCs w:val="0"/>
          <w:caps w:val="0"/>
          <w:smallCaps/>
          <w:sz w:val="24"/>
          <w:szCs w:val="24"/>
        </w:rPr>
        <w:instrText xml:space="preserve"> PAGEREF _Toc79163879 \h </w:instrText>
      </w:r>
      <w:r>
        <w:rPr>
          <w:rFonts w:hint="eastAsia" w:ascii="仿宋_GB2312" w:hAnsi="仿宋_GB2312" w:eastAsia="仿宋_GB2312" w:cs="仿宋_GB2312"/>
          <w:b w:val="0"/>
          <w:bCs w:val="0"/>
          <w:caps w:val="0"/>
          <w:smallCaps/>
          <w:sz w:val="24"/>
          <w:szCs w:val="24"/>
        </w:rPr>
        <w:fldChar w:fldCharType="separate"/>
      </w:r>
      <w:r>
        <w:rPr>
          <w:rFonts w:hint="eastAsia" w:ascii="仿宋_GB2312" w:hAnsi="仿宋_GB2312" w:eastAsia="仿宋_GB2312" w:cs="仿宋_GB2312"/>
          <w:b w:val="0"/>
          <w:bCs w:val="0"/>
          <w:caps w:val="0"/>
          <w:smallCaps/>
          <w:sz w:val="24"/>
          <w:szCs w:val="24"/>
        </w:rPr>
        <w:t>15</w:t>
      </w:r>
      <w:r>
        <w:rPr>
          <w:rFonts w:hint="eastAsia" w:ascii="仿宋_GB2312" w:hAnsi="仿宋_GB2312" w:eastAsia="仿宋_GB2312" w:cs="仿宋_GB2312"/>
          <w:b w:val="0"/>
          <w:bCs w:val="0"/>
          <w:caps w:val="0"/>
          <w:smallCaps/>
          <w:sz w:val="24"/>
          <w:szCs w:val="24"/>
        </w:rPr>
        <w:fldChar w:fldCharType="end"/>
      </w:r>
    </w:p>
    <w:p>
      <w:pPr>
        <w:pStyle w:val="13"/>
        <w:tabs>
          <w:tab w:val="right" w:leader="dot" w:pos="8296"/>
        </w:tabs>
        <w:rPr>
          <w:rFonts w:hint="eastAsia" w:ascii="仿宋_GB2312" w:hAnsi="仿宋_GB2312" w:eastAsia="仿宋_GB2312" w:cs="仿宋_GB2312"/>
          <w:b w:val="0"/>
          <w:bCs w:val="0"/>
          <w:caps w:val="0"/>
          <w:smallCaps/>
          <w:sz w:val="24"/>
          <w:szCs w:val="24"/>
        </w:rPr>
      </w:pPr>
      <w:r>
        <w:rPr>
          <w:rFonts w:hint="eastAsia" w:ascii="仿宋_GB2312" w:hAnsi="仿宋_GB2312" w:eastAsia="仿宋_GB2312" w:cs="仿宋_GB2312"/>
          <w:b w:val="0"/>
          <w:bCs w:val="0"/>
          <w:caps w:val="0"/>
          <w:smallCaps/>
          <w:sz w:val="24"/>
          <w:szCs w:val="24"/>
        </w:rPr>
        <w:t>第四部分 附件</w:t>
      </w:r>
      <w:r>
        <w:rPr>
          <w:rFonts w:hint="eastAsia" w:ascii="仿宋_GB2312" w:hAnsi="仿宋_GB2312" w:eastAsia="仿宋_GB2312" w:cs="仿宋_GB2312"/>
          <w:b w:val="0"/>
          <w:bCs w:val="0"/>
          <w:caps w:val="0"/>
          <w:smallCaps/>
          <w:sz w:val="24"/>
          <w:szCs w:val="24"/>
        </w:rPr>
        <w:tab/>
      </w:r>
      <w:r>
        <w:rPr>
          <w:rFonts w:hint="eastAsia" w:ascii="仿宋_GB2312" w:hAnsi="仿宋_GB2312" w:eastAsia="仿宋_GB2312" w:cs="仿宋_GB2312"/>
          <w:b w:val="0"/>
          <w:bCs w:val="0"/>
          <w:caps w:val="0"/>
          <w:smallCaps/>
          <w:sz w:val="24"/>
          <w:szCs w:val="24"/>
        </w:rPr>
        <w:fldChar w:fldCharType="begin"/>
      </w:r>
      <w:r>
        <w:rPr>
          <w:rFonts w:hint="eastAsia" w:ascii="仿宋_GB2312" w:hAnsi="仿宋_GB2312" w:eastAsia="仿宋_GB2312" w:cs="仿宋_GB2312"/>
          <w:b w:val="0"/>
          <w:bCs w:val="0"/>
          <w:caps w:val="0"/>
          <w:smallCaps/>
          <w:sz w:val="24"/>
          <w:szCs w:val="24"/>
        </w:rPr>
        <w:instrText xml:space="preserve"> PAGEREF _Toc79163880 \h </w:instrText>
      </w:r>
      <w:r>
        <w:rPr>
          <w:rFonts w:hint="eastAsia" w:ascii="仿宋_GB2312" w:hAnsi="仿宋_GB2312" w:eastAsia="仿宋_GB2312" w:cs="仿宋_GB2312"/>
          <w:b w:val="0"/>
          <w:bCs w:val="0"/>
          <w:caps w:val="0"/>
          <w:smallCaps/>
          <w:sz w:val="24"/>
          <w:szCs w:val="24"/>
        </w:rPr>
        <w:fldChar w:fldCharType="separate"/>
      </w:r>
      <w:r>
        <w:rPr>
          <w:rFonts w:hint="eastAsia" w:ascii="仿宋_GB2312" w:hAnsi="仿宋_GB2312" w:eastAsia="仿宋_GB2312" w:cs="仿宋_GB2312"/>
          <w:b w:val="0"/>
          <w:bCs w:val="0"/>
          <w:caps w:val="0"/>
          <w:smallCaps/>
          <w:sz w:val="24"/>
          <w:szCs w:val="24"/>
        </w:rPr>
        <w:t>18</w:t>
      </w:r>
      <w:r>
        <w:rPr>
          <w:rFonts w:hint="eastAsia" w:ascii="仿宋_GB2312" w:hAnsi="仿宋_GB2312" w:eastAsia="仿宋_GB2312" w:cs="仿宋_GB2312"/>
          <w:b w:val="0"/>
          <w:bCs w:val="0"/>
          <w:caps w:val="0"/>
          <w:smallCaps/>
          <w:sz w:val="24"/>
          <w:szCs w:val="24"/>
        </w:rPr>
        <w:fldChar w:fldCharType="end"/>
      </w:r>
    </w:p>
    <w:p>
      <w:pPr>
        <w:pStyle w:val="13"/>
        <w:tabs>
          <w:tab w:val="right" w:leader="dot" w:pos="8296"/>
        </w:tabs>
        <w:rPr>
          <w:rFonts w:hint="eastAsia" w:ascii="仿宋_GB2312" w:hAnsi="仿宋_GB2312" w:eastAsia="仿宋_GB2312" w:cs="仿宋_GB2312"/>
          <w:b w:val="0"/>
          <w:bCs w:val="0"/>
          <w:caps w:val="0"/>
          <w:smallCaps/>
          <w:sz w:val="24"/>
          <w:szCs w:val="24"/>
        </w:rPr>
      </w:pPr>
      <w:r>
        <w:rPr>
          <w:rFonts w:hint="eastAsia" w:ascii="仿宋_GB2312" w:hAnsi="仿宋_GB2312" w:eastAsia="仿宋_GB2312" w:cs="仿宋_GB2312"/>
          <w:b w:val="0"/>
          <w:bCs w:val="0"/>
          <w:caps w:val="0"/>
          <w:smallCaps/>
          <w:sz w:val="24"/>
          <w:szCs w:val="24"/>
        </w:rPr>
        <w:t>附件1</w:t>
      </w:r>
      <w:r>
        <w:rPr>
          <w:rFonts w:hint="eastAsia" w:ascii="仿宋_GB2312" w:hAnsi="仿宋_GB2312" w:eastAsia="仿宋_GB2312" w:cs="仿宋_GB2312"/>
          <w:b w:val="0"/>
          <w:bCs w:val="0"/>
          <w:caps w:val="0"/>
          <w:smallCaps/>
          <w:sz w:val="24"/>
          <w:szCs w:val="24"/>
        </w:rPr>
        <w:tab/>
      </w:r>
      <w:r>
        <w:rPr>
          <w:rFonts w:hint="eastAsia" w:ascii="仿宋_GB2312" w:hAnsi="仿宋_GB2312" w:eastAsia="仿宋_GB2312" w:cs="仿宋_GB2312"/>
          <w:b w:val="0"/>
          <w:bCs w:val="0"/>
          <w:caps w:val="0"/>
          <w:smallCaps/>
          <w:sz w:val="24"/>
          <w:szCs w:val="24"/>
        </w:rPr>
        <w:fldChar w:fldCharType="begin"/>
      </w:r>
      <w:r>
        <w:rPr>
          <w:rFonts w:hint="eastAsia" w:ascii="仿宋_GB2312" w:hAnsi="仿宋_GB2312" w:eastAsia="仿宋_GB2312" w:cs="仿宋_GB2312"/>
          <w:b w:val="0"/>
          <w:bCs w:val="0"/>
          <w:caps w:val="0"/>
          <w:smallCaps/>
          <w:sz w:val="24"/>
          <w:szCs w:val="24"/>
        </w:rPr>
        <w:instrText xml:space="preserve"> PAGEREF _Toc79163881 \h </w:instrText>
      </w:r>
      <w:r>
        <w:rPr>
          <w:rFonts w:hint="eastAsia" w:ascii="仿宋_GB2312" w:hAnsi="仿宋_GB2312" w:eastAsia="仿宋_GB2312" w:cs="仿宋_GB2312"/>
          <w:b w:val="0"/>
          <w:bCs w:val="0"/>
          <w:caps w:val="0"/>
          <w:smallCaps/>
          <w:sz w:val="24"/>
          <w:szCs w:val="24"/>
        </w:rPr>
        <w:fldChar w:fldCharType="separate"/>
      </w:r>
      <w:r>
        <w:rPr>
          <w:rFonts w:hint="eastAsia" w:ascii="仿宋_GB2312" w:hAnsi="仿宋_GB2312" w:eastAsia="仿宋_GB2312" w:cs="仿宋_GB2312"/>
          <w:b w:val="0"/>
          <w:bCs w:val="0"/>
          <w:caps w:val="0"/>
          <w:smallCaps/>
          <w:sz w:val="24"/>
          <w:szCs w:val="24"/>
        </w:rPr>
        <w:t>18</w:t>
      </w:r>
      <w:r>
        <w:rPr>
          <w:rFonts w:hint="eastAsia" w:ascii="仿宋_GB2312" w:hAnsi="仿宋_GB2312" w:eastAsia="仿宋_GB2312" w:cs="仿宋_GB2312"/>
          <w:b w:val="0"/>
          <w:bCs w:val="0"/>
          <w:caps w:val="0"/>
          <w:smallCaps/>
          <w:sz w:val="24"/>
          <w:szCs w:val="24"/>
        </w:rPr>
        <w:fldChar w:fldCharType="end"/>
      </w:r>
    </w:p>
    <w:p>
      <w:pPr>
        <w:pStyle w:val="13"/>
        <w:tabs>
          <w:tab w:val="right" w:leader="dot" w:pos="8296"/>
        </w:tabs>
        <w:rPr>
          <w:rFonts w:hint="eastAsia" w:ascii="仿宋_GB2312" w:hAnsi="仿宋_GB2312" w:eastAsia="仿宋_GB2312" w:cs="仿宋_GB2312"/>
          <w:b w:val="0"/>
          <w:bCs w:val="0"/>
          <w:caps w:val="0"/>
          <w:smallCaps/>
          <w:sz w:val="24"/>
          <w:szCs w:val="24"/>
          <w:lang w:val="en-US" w:eastAsia="zh-CN"/>
        </w:rPr>
      </w:pPr>
      <w:r>
        <w:rPr>
          <w:rFonts w:hint="eastAsia" w:ascii="仿宋_GB2312" w:hAnsi="仿宋_GB2312" w:eastAsia="仿宋_GB2312" w:cs="仿宋_GB2312"/>
          <w:b w:val="0"/>
          <w:bCs w:val="0"/>
          <w:caps w:val="0"/>
          <w:smallCaps/>
          <w:sz w:val="24"/>
          <w:szCs w:val="24"/>
          <w:lang w:eastAsia="zh-CN"/>
        </w:rPr>
        <w:t>茂县供销社</w:t>
      </w:r>
      <w:r>
        <w:rPr>
          <w:rFonts w:hint="eastAsia" w:ascii="仿宋_GB2312" w:hAnsi="仿宋_GB2312" w:eastAsia="仿宋_GB2312" w:cs="仿宋_GB2312"/>
          <w:b w:val="0"/>
          <w:bCs w:val="0"/>
          <w:caps w:val="0"/>
          <w:smallCaps/>
          <w:sz w:val="24"/>
          <w:szCs w:val="24"/>
        </w:rPr>
        <w:t>2020年部门整体支出绩效评价报告</w:t>
      </w:r>
      <w:r>
        <w:rPr>
          <w:rFonts w:hint="eastAsia" w:ascii="仿宋_GB2312" w:hAnsi="仿宋_GB2312" w:eastAsia="仿宋_GB2312" w:cs="仿宋_GB2312"/>
          <w:b w:val="0"/>
          <w:bCs w:val="0"/>
          <w:caps w:val="0"/>
          <w:smallCaps/>
          <w:sz w:val="24"/>
          <w:szCs w:val="24"/>
        </w:rPr>
        <w:tab/>
      </w:r>
      <w:r>
        <w:rPr>
          <w:rFonts w:hint="eastAsia" w:ascii="仿宋_GB2312" w:hAnsi="仿宋_GB2312" w:eastAsia="仿宋_GB2312" w:cs="仿宋_GB2312"/>
          <w:b w:val="0"/>
          <w:bCs w:val="0"/>
          <w:caps w:val="0"/>
          <w:smallCaps/>
          <w:sz w:val="24"/>
          <w:szCs w:val="24"/>
          <w:lang w:val="en-US" w:eastAsia="zh-CN"/>
        </w:rPr>
        <w:t>18</w:t>
      </w:r>
    </w:p>
    <w:p>
      <w:pPr>
        <w:pStyle w:val="13"/>
        <w:tabs>
          <w:tab w:val="right" w:leader="dot" w:pos="8296"/>
        </w:tabs>
        <w:rPr>
          <w:rFonts w:hint="eastAsia" w:ascii="仿宋_GB2312" w:hAnsi="仿宋_GB2312" w:eastAsia="仿宋_GB2312" w:cs="仿宋_GB2312"/>
          <w:b w:val="0"/>
          <w:bCs w:val="0"/>
          <w:caps w:val="0"/>
          <w:smallCaps/>
          <w:sz w:val="24"/>
          <w:szCs w:val="24"/>
        </w:rPr>
      </w:pPr>
      <w:r>
        <w:rPr>
          <w:rFonts w:hint="eastAsia" w:ascii="仿宋_GB2312" w:hAnsi="仿宋_GB2312" w:eastAsia="仿宋_GB2312" w:cs="仿宋_GB2312"/>
          <w:b w:val="0"/>
          <w:bCs w:val="0"/>
          <w:caps w:val="0"/>
          <w:smallCaps/>
          <w:sz w:val="24"/>
          <w:szCs w:val="24"/>
        </w:rPr>
        <w:t>第五部分 附表</w:t>
      </w:r>
      <w:r>
        <w:rPr>
          <w:rFonts w:hint="eastAsia" w:ascii="仿宋_GB2312" w:hAnsi="仿宋_GB2312" w:eastAsia="仿宋_GB2312" w:cs="仿宋_GB2312"/>
          <w:b w:val="0"/>
          <w:bCs w:val="0"/>
          <w:caps w:val="0"/>
          <w:smallCaps/>
          <w:sz w:val="24"/>
          <w:szCs w:val="24"/>
        </w:rPr>
        <w:tab/>
      </w:r>
      <w:r>
        <w:rPr>
          <w:rFonts w:hint="eastAsia" w:ascii="仿宋_GB2312" w:hAnsi="仿宋_GB2312" w:eastAsia="仿宋_GB2312" w:cs="仿宋_GB2312"/>
          <w:b w:val="0"/>
          <w:bCs w:val="0"/>
          <w:caps w:val="0"/>
          <w:smallCaps/>
          <w:sz w:val="24"/>
          <w:szCs w:val="24"/>
        </w:rPr>
        <w:fldChar w:fldCharType="begin"/>
      </w:r>
      <w:r>
        <w:rPr>
          <w:rFonts w:hint="eastAsia" w:ascii="仿宋_GB2312" w:hAnsi="仿宋_GB2312" w:eastAsia="仿宋_GB2312" w:cs="仿宋_GB2312"/>
          <w:b w:val="0"/>
          <w:bCs w:val="0"/>
          <w:caps w:val="0"/>
          <w:smallCaps/>
          <w:sz w:val="24"/>
          <w:szCs w:val="24"/>
        </w:rPr>
        <w:instrText xml:space="preserve"> PAGEREF _Toc79163885 \h </w:instrText>
      </w:r>
      <w:r>
        <w:rPr>
          <w:rFonts w:hint="eastAsia" w:ascii="仿宋_GB2312" w:hAnsi="仿宋_GB2312" w:eastAsia="仿宋_GB2312" w:cs="仿宋_GB2312"/>
          <w:b w:val="0"/>
          <w:bCs w:val="0"/>
          <w:caps w:val="0"/>
          <w:smallCaps/>
          <w:sz w:val="24"/>
          <w:szCs w:val="24"/>
        </w:rPr>
        <w:fldChar w:fldCharType="separate"/>
      </w:r>
      <w:r>
        <w:rPr>
          <w:rFonts w:hint="eastAsia" w:ascii="仿宋_GB2312" w:hAnsi="仿宋_GB2312" w:eastAsia="仿宋_GB2312" w:cs="仿宋_GB2312"/>
          <w:b w:val="0"/>
          <w:bCs w:val="0"/>
          <w:caps w:val="0"/>
          <w:smallCaps/>
          <w:sz w:val="24"/>
          <w:szCs w:val="24"/>
        </w:rPr>
        <w:t>21</w:t>
      </w:r>
      <w:r>
        <w:rPr>
          <w:rFonts w:hint="eastAsia" w:ascii="仿宋_GB2312" w:hAnsi="仿宋_GB2312" w:eastAsia="仿宋_GB2312" w:cs="仿宋_GB2312"/>
          <w:b w:val="0"/>
          <w:bCs w:val="0"/>
          <w:caps w:val="0"/>
          <w:smallCaps/>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_Toc79163886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二、收入决算表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_Toc79163887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_Toc79163888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四、财政拨款收入支出决算总表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_Toc79163889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六、一般公共预算财政拨款支出决算表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七、一般公共预算财政拨款支出决算明细表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八、一般公共预算财政拨款基本支出决算表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九、一般公共预算财政拨款项目支出决算表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十、一般公共预算财政拨款“三公”经费支出决算表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十一、政府性基金预算财政拨款收入支出决算表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十二、政府性基金预算财政拨款“三公”经费支出决算表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十三、国有资本经营预算财政拨款</w:t>
      </w:r>
      <w:r>
        <w:rPr>
          <w:rFonts w:hint="eastAsia" w:ascii="仿宋_GB2312" w:hAnsi="仿宋_GB2312" w:eastAsia="仿宋_GB2312" w:cs="仿宋_GB2312"/>
          <w:sz w:val="24"/>
          <w:szCs w:val="24"/>
          <w:lang w:eastAsia="zh-CN"/>
        </w:rPr>
        <w:t>收入</w:t>
      </w:r>
      <w:r>
        <w:rPr>
          <w:rFonts w:hint="eastAsia" w:ascii="仿宋_GB2312" w:hAnsi="仿宋_GB2312" w:eastAsia="仿宋_GB2312" w:cs="仿宋_GB2312"/>
          <w:sz w:val="24"/>
          <w:szCs w:val="24"/>
        </w:rPr>
        <w:t>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pStyle w:val="16"/>
        <w:tabs>
          <w:tab w:val="right" w:leader="dot"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十四、国有资本经营预算财政拨款支出决算表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_Toc79163899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p>
    <w:p>
      <w:pPr>
        <w:widowControl/>
        <w:spacing w:line="440" w:lineRule="exact"/>
        <w:jc w:val="left"/>
        <w:rPr>
          <w:rFonts w:hint="eastAsia" w:ascii="仿宋_GB2312" w:hAnsi="仿宋_GB2312" w:eastAsia="仿宋_GB2312" w:cs="仿宋_GB2312"/>
          <w:smallCaps/>
          <w:sz w:val="24"/>
          <w:szCs w:val="24"/>
        </w:rPr>
      </w:pPr>
      <w:r>
        <w:rPr>
          <w:rFonts w:hint="eastAsia" w:ascii="仿宋_GB2312" w:hAnsi="仿宋_GB2312" w:eastAsia="仿宋_GB2312" w:cs="仿宋_GB2312"/>
          <w:smallCaps/>
          <w:sz w:val="24"/>
          <w:szCs w:val="24"/>
        </w:rPr>
        <w:fldChar w:fldCharType="end"/>
      </w:r>
      <w:bookmarkStart w:id="12" w:name="_Toc15396599"/>
      <w:bookmarkStart w:id="13" w:name="_Toc15377196"/>
    </w:p>
    <w:p>
      <w:pPr>
        <w:widowControl/>
        <w:spacing w:line="440" w:lineRule="exact"/>
        <w:jc w:val="left"/>
        <w:rPr>
          <w:rFonts w:hint="eastAsia" w:ascii="仿宋_GB2312" w:hAnsi="仿宋_GB2312" w:eastAsia="仿宋_GB2312" w:cs="仿宋_GB2312"/>
          <w:smallCaps/>
          <w:sz w:val="24"/>
          <w:szCs w:val="24"/>
        </w:rPr>
      </w:pPr>
    </w:p>
    <w:p>
      <w:pPr>
        <w:widowControl/>
        <w:spacing w:line="440" w:lineRule="exact"/>
        <w:jc w:val="left"/>
        <w:rPr>
          <w:rFonts w:hint="eastAsia" w:ascii="仿宋_GB2312" w:hAnsi="仿宋_GB2312" w:eastAsia="仿宋_GB2312" w:cs="仿宋_GB2312"/>
          <w:smallCaps/>
          <w:sz w:val="24"/>
          <w:szCs w:val="24"/>
        </w:rPr>
      </w:pPr>
    </w:p>
    <w:p>
      <w:pPr>
        <w:widowControl/>
        <w:spacing w:line="440" w:lineRule="exact"/>
        <w:jc w:val="left"/>
        <w:rPr>
          <w:rFonts w:hint="eastAsia" w:ascii="仿宋_GB2312" w:hAnsi="仿宋_GB2312" w:eastAsia="仿宋_GB2312" w:cs="仿宋_GB2312"/>
          <w:smallCaps/>
          <w:sz w:val="24"/>
          <w:szCs w:val="24"/>
        </w:rPr>
      </w:pPr>
    </w:p>
    <w:p>
      <w:pPr>
        <w:widowControl/>
        <w:spacing w:line="440" w:lineRule="exact"/>
        <w:jc w:val="left"/>
        <w:rPr>
          <w:rFonts w:hint="eastAsia" w:ascii="仿宋_GB2312" w:hAnsi="仿宋_GB2312" w:eastAsia="仿宋_GB2312" w:cs="仿宋_GB2312"/>
          <w:smallCaps/>
          <w:sz w:val="24"/>
          <w:szCs w:val="24"/>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30"/>
          <w:szCs w:val="3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hint="eastAsia" w:ascii="仿宋_GB2312" w:hAnsi="仿宋_GB2312" w:eastAsia="仿宋_GB2312" w:cs="仿宋_GB2312"/>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pStyle w:val="2"/>
        <w:pageBreakBefore w:val="0"/>
        <w:kinsoku/>
        <w:wordWrap/>
        <w:overflowPunct/>
        <w:topLinePunct w:val="0"/>
        <w:bidi w:val="0"/>
        <w:spacing w:line="576" w:lineRule="exact"/>
        <w:jc w:val="center"/>
        <w:rPr>
          <w:rFonts w:hint="eastAsia" w:ascii="黑体" w:hAnsi="黑体" w:eastAsia="黑体"/>
          <w:b w:val="0"/>
          <w:color w:val="000000"/>
        </w:rPr>
      </w:pPr>
      <w:bookmarkStart w:id="14" w:name="_Toc79163601"/>
      <w:bookmarkStart w:id="15" w:name="_Toc79163851"/>
      <w:r>
        <w:rPr>
          <w:rFonts w:hint="eastAsia" w:ascii="方正小标宋简体" w:hAnsi="方正小标宋简体" w:eastAsia="方正小标宋简体" w:cs="方正小标宋简体"/>
          <w:b w:val="0"/>
        </w:rPr>
        <w:t xml:space="preserve">第一部分 </w:t>
      </w:r>
      <w:r>
        <w:rPr>
          <w:rStyle w:val="22"/>
          <w:rFonts w:hint="eastAsia" w:ascii="方正小标宋简体" w:hAnsi="方正小标宋简体" w:eastAsia="方正小标宋简体" w:cs="方正小标宋简体"/>
          <w:b w:val="0"/>
          <w:bCs w:val="0"/>
        </w:rPr>
        <w:t>部门概况</w:t>
      </w:r>
      <w:bookmarkEnd w:id="12"/>
      <w:bookmarkEnd w:id="13"/>
      <w:bookmarkEnd w:id="14"/>
      <w:bookmarkEnd w:id="15"/>
      <w:bookmarkStart w:id="16" w:name="_Toc15377197"/>
      <w:bookmarkStart w:id="17" w:name="_Toc79163852"/>
      <w:bookmarkStart w:id="18" w:name="_Toc15396600"/>
      <w:bookmarkStart w:id="19" w:name="_Toc79163602"/>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一、基本职能及主要工作</w:t>
      </w:r>
      <w:bookmarkEnd w:id="16"/>
      <w:bookmarkEnd w:id="17"/>
      <w:bookmarkEnd w:id="18"/>
      <w:bookmarkEnd w:id="19"/>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bookmarkStart w:id="20" w:name="_Toc79163603"/>
      <w:bookmarkStart w:id="21" w:name="_Toc79163853"/>
      <w:bookmarkStart w:id="22" w:name="_Toc15377198"/>
      <w:bookmarkStart w:id="23" w:name="_Toc15378445"/>
      <w:r>
        <w:rPr>
          <w:rFonts w:hint="eastAsia" w:ascii="楷体_GB2312" w:hAnsi="楷体_GB2312" w:eastAsia="楷体_GB2312" w:cs="楷体_GB2312"/>
          <w:b/>
          <w:bCs/>
          <w:sz w:val="32"/>
          <w:szCs w:val="32"/>
        </w:rPr>
        <w:t>（一）主要职能</w:t>
      </w:r>
      <w:bookmarkEnd w:id="20"/>
      <w:bookmarkEnd w:id="21"/>
    </w:p>
    <w:bookmarkEnd w:id="22"/>
    <w:bookmarkEnd w:id="23"/>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24" w:name="_Toc15378446"/>
      <w:bookmarkStart w:id="25" w:name="_Toc79163854"/>
      <w:bookmarkStart w:id="26" w:name="_Toc15377199"/>
      <w:bookmarkStart w:id="27" w:name="_Toc79163604"/>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宣传贯彻党中央、国务院、省委、省政府和州委、</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政府及县委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县政府有关农业、农村经济工作和社会发展方针政策，维护全县供销社的合法权益</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2.研究和制定全县供销合作社发展规划，指导全县供销合作社的企业改革和发展。</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3.受政府委托，对重要农业生产资料、农副产品经营进行组织、储备、调运工作，负责烟花爆竹和废旧物资再生资源的经营及社办工业的指导。</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4.负责对政策性商品经营资格审定、质量监督和行业管理及有关救灾物资的组织、储备、调运工作。</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5.协调同政府有关部门、社会组织的关系，研究供销合作经济运行中的重大问题，维护合作经济组织的合法权益。</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6.组织全县供销系统参与和推进农业产业化经营，加强农产品市场调查研究，培育农产品市场，组织发展专业合作社、消费合作社等中介服务组织，培育龙头企业，加强商品供求市场、信息服务体系建设。</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7.指导农村社会化服务体系建设，推进建立现代流通体系和现代营销方式，发展社区性、综合性、便民性社区综合服务社，满足农牧民生产、生活等社会化服务的需要。</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8.监督和管理社有资产，确保社有资产的保值、增值，对直属企业行使出资人的职权，依法享有资产受益、重大决策和选择经营管理者等权利。</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9.积极参与供销合作经济对外交流活动；承担县政府交办的其他事项。</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（二）2020年重点工作完成情况</w:t>
      </w:r>
      <w:bookmarkEnd w:id="24"/>
      <w:bookmarkEnd w:id="25"/>
      <w:bookmarkEnd w:id="26"/>
      <w:bookmarkEnd w:id="27"/>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以来，我社在县委、县政府的正确领导和州供销社的精心指导下，全面贯彻落实党的十九大及十九届二中、三中、四中全会精神，以习近平新时代中国特色社会主义思想为指导，紧紧围绕县委、县政府关于全面深化供销社综合改革和全面从严治党等统一部署，创新发展，坚持为“三农”服务办社宗旨，提升为农服务功能；坚持以市场经济为导向，提升企业市场竞争力。在新冠肺炎疫情不利影响下，坚持稳中求进的工作基调，取得了较好的成效。</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做好农资储备和供应，确保农业生产所需；2.产业扶贫项目工作有序推进；3.全力抓好安全生产各项工作；4.严格落实疫情防控各项工作；5.发挥部门工作职能，助推脱贫攻坚；6.支持专业合作社发展，实现产业发展新途径；7.用活乡村产业扶持基金，壮大村级集体经济；8.强化党建引领，进一步提高党建工作水平；9.加强党风廉政建设；10.推进法治建设，依法治社成效显著；11.加强意识形态管理。</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bookmarkStart w:id="28" w:name="_Toc79163605"/>
      <w:bookmarkStart w:id="29" w:name="_Toc15396601"/>
      <w:bookmarkStart w:id="30" w:name="_Toc79163855"/>
      <w:bookmarkStart w:id="31" w:name="_Toc15377200"/>
      <w:r>
        <w:rPr>
          <w:rFonts w:hint="eastAsia" w:ascii="黑体" w:hAnsi="黑体" w:eastAsia="黑体" w:cs="黑体"/>
          <w:sz w:val="32"/>
          <w:szCs w:val="32"/>
        </w:rPr>
        <w:t>二、机构设置</w:t>
      </w:r>
      <w:bookmarkEnd w:id="28"/>
      <w:bookmarkEnd w:id="29"/>
      <w:bookmarkEnd w:id="30"/>
      <w:bookmarkEnd w:id="31"/>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茂县供销社</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2"/>
        <w:pageBreakBefore w:val="0"/>
        <w:kinsoku/>
        <w:wordWrap/>
        <w:overflowPunct/>
        <w:topLinePunct w:val="0"/>
        <w:bidi w:val="0"/>
        <w:spacing w:line="576" w:lineRule="exact"/>
        <w:ind w:right="440"/>
        <w:jc w:val="right"/>
      </w:pPr>
      <w:bookmarkStart w:id="32" w:name="_Toc79163609"/>
      <w:bookmarkStart w:id="33" w:name="_Toc15377204"/>
      <w:bookmarkStart w:id="34" w:name="_Toc79163859"/>
      <w:bookmarkStart w:id="35" w:name="_Toc15396602"/>
      <w:r>
        <w:rPr>
          <w:rFonts w:hint="eastAsia" w:ascii="方正小标宋简体" w:hAnsi="方正小标宋简体" w:eastAsia="方正小标宋简体" w:cs="方正小标宋简体"/>
          <w:b w:val="0"/>
          <w:color w:val="000000"/>
        </w:rPr>
        <w:t>第二部分</w:t>
      </w:r>
      <w:r>
        <w:rPr>
          <w:rFonts w:hint="eastAsia" w:ascii="方正小标宋简体" w:hAnsi="方正小标宋简体" w:eastAsia="方正小标宋简体" w:cs="方正小标宋简体"/>
          <w:color w:val="000000"/>
        </w:rPr>
        <w:t xml:space="preserve"> </w:t>
      </w:r>
      <w:r>
        <w:rPr>
          <w:rStyle w:val="22"/>
          <w:rFonts w:hint="eastAsia" w:ascii="方正小标宋简体" w:hAnsi="方正小标宋简体" w:eastAsia="方正小标宋简体" w:cs="方正小标宋简体"/>
          <w:b w:val="0"/>
          <w:bCs w:val="0"/>
        </w:rPr>
        <w:t>2020年度部门决算情况说明</w:t>
      </w:r>
      <w:bookmarkEnd w:id="32"/>
      <w:bookmarkEnd w:id="33"/>
      <w:bookmarkEnd w:id="34"/>
      <w:bookmarkEnd w:id="35"/>
    </w:p>
    <w:p>
      <w:pPr>
        <w:pStyle w:val="33"/>
        <w:pageBreakBefore w:val="0"/>
        <w:numPr>
          <w:ilvl w:val="0"/>
          <w:numId w:val="0"/>
        </w:numPr>
        <w:kinsoku/>
        <w:wordWrap/>
        <w:overflowPunct/>
        <w:topLinePunct w:val="0"/>
        <w:bidi w:val="0"/>
        <w:spacing w:line="576" w:lineRule="exact"/>
        <w:ind w:left="640" w:leftChars="0"/>
        <w:outlineLvl w:val="1"/>
        <w:rPr>
          <w:rStyle w:val="23"/>
          <w:rFonts w:hint="eastAsia" w:ascii="黑体" w:hAnsi="黑体" w:eastAsia="黑体" w:cs="黑体"/>
          <w:b w:val="0"/>
        </w:rPr>
      </w:pPr>
      <w:bookmarkStart w:id="36" w:name="_Toc79163610"/>
      <w:bookmarkStart w:id="37" w:name="_Toc15377205"/>
      <w:bookmarkStart w:id="38" w:name="_Toc79163860"/>
      <w:bookmarkStart w:id="39" w:name="_Toc15396603"/>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收</w:t>
      </w:r>
      <w:r>
        <w:rPr>
          <w:rStyle w:val="23"/>
          <w:rFonts w:hint="eastAsia" w:ascii="黑体" w:hAnsi="黑体" w:eastAsia="黑体" w:cs="黑体"/>
          <w:b w:val="0"/>
        </w:rPr>
        <w:t>入支出决算总体情况说明</w:t>
      </w:r>
      <w:bookmarkEnd w:id="36"/>
      <w:bookmarkEnd w:id="37"/>
      <w:bookmarkEnd w:id="38"/>
      <w:bookmarkEnd w:id="39"/>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2020年度收、支总计</w:t>
      </w:r>
      <w:r>
        <w:rPr>
          <w:rFonts w:hint="eastAsia" w:ascii="仿宋_GB2312" w:hAnsi="仿宋_GB2312" w:eastAsia="仿宋_GB2312" w:cs="仿宋_GB2312"/>
          <w:sz w:val="32"/>
          <w:szCs w:val="32"/>
          <w:lang w:val="en-US" w:eastAsia="zh-CN"/>
        </w:rPr>
        <w:t>305.89</w:t>
      </w:r>
      <w:r>
        <w:rPr>
          <w:rFonts w:hint="eastAsia" w:ascii="仿宋_GB2312" w:hAnsi="仿宋_GB2312" w:eastAsia="仿宋_GB2312" w:cs="仿宋_GB2312"/>
          <w:sz w:val="32"/>
          <w:szCs w:val="32"/>
          <w:lang w:eastAsia="zh-CN"/>
        </w:rPr>
        <w:t>万元。与2019年相比，收、支总计各减少</w:t>
      </w:r>
      <w:r>
        <w:rPr>
          <w:rFonts w:hint="eastAsia" w:ascii="仿宋_GB2312" w:hAnsi="仿宋_GB2312" w:eastAsia="仿宋_GB2312" w:cs="仿宋_GB2312"/>
          <w:sz w:val="32"/>
          <w:szCs w:val="32"/>
          <w:lang w:val="en-US" w:eastAsia="zh-CN"/>
        </w:rPr>
        <w:t>215.96</w:t>
      </w:r>
      <w:r>
        <w:rPr>
          <w:rFonts w:hint="eastAsia" w:ascii="仿宋_GB2312" w:hAnsi="仿宋_GB2312" w:eastAsia="仿宋_GB2312" w:cs="仿宋_GB2312"/>
          <w:sz w:val="32"/>
          <w:szCs w:val="32"/>
          <w:lang w:eastAsia="zh-CN"/>
        </w:rPr>
        <w:t>万元，下降</w:t>
      </w:r>
      <w:r>
        <w:rPr>
          <w:rFonts w:hint="eastAsia" w:ascii="仿宋_GB2312" w:hAnsi="仿宋_GB2312" w:eastAsia="仿宋_GB2312" w:cs="仿宋_GB2312"/>
          <w:sz w:val="32"/>
          <w:szCs w:val="32"/>
          <w:lang w:val="en-US" w:eastAsia="zh-CN"/>
        </w:rPr>
        <w:t>41.38</w:t>
      </w:r>
      <w:r>
        <w:rPr>
          <w:rFonts w:hint="eastAsia" w:ascii="仿宋_GB2312" w:hAnsi="仿宋_GB2312" w:eastAsia="仿宋_GB2312" w:cs="仿宋_GB2312"/>
          <w:sz w:val="32"/>
          <w:szCs w:val="32"/>
          <w:lang w:eastAsia="zh-CN"/>
        </w:rPr>
        <w:t>%。主要变动原因是项目减少。</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drawing>
          <wp:anchor distT="0" distB="0" distL="114300" distR="114300" simplePos="0" relativeHeight="251660288" behindDoc="0" locked="0" layoutInCell="1" allowOverlap="1">
            <wp:simplePos x="0" y="0"/>
            <wp:positionH relativeFrom="column">
              <wp:posOffset>290195</wp:posOffset>
            </wp:positionH>
            <wp:positionV relativeFrom="paragraph">
              <wp:posOffset>633095</wp:posOffset>
            </wp:positionV>
            <wp:extent cx="4674870" cy="2444750"/>
            <wp:effectExtent l="4445" t="4445" r="6985" b="825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仿宋_GB2312" w:eastAsia="仿宋_GB2312" w:cs="仿宋_GB2312"/>
          <w:sz w:val="32"/>
          <w:szCs w:val="32"/>
          <w:lang w:eastAsia="zh-CN"/>
        </w:rPr>
        <w:t>（图1：收、支决算总计变动情况图）（柱状图）</w:t>
      </w:r>
    </w:p>
    <w:p>
      <w:pPr>
        <w:pStyle w:val="33"/>
        <w:pageBreakBefore w:val="0"/>
        <w:numPr>
          <w:ilvl w:val="0"/>
          <w:numId w:val="0"/>
        </w:numPr>
        <w:kinsoku/>
        <w:wordWrap/>
        <w:overflowPunct/>
        <w:topLinePunct w:val="0"/>
        <w:bidi w:val="0"/>
        <w:spacing w:line="576" w:lineRule="exact"/>
        <w:ind w:left="640" w:leftChars="0"/>
        <w:outlineLvl w:val="1"/>
        <w:rPr>
          <w:rStyle w:val="23"/>
          <w:rFonts w:hint="eastAsia" w:ascii="黑体" w:hAnsi="黑体" w:eastAsia="黑体" w:cs="黑体"/>
          <w:b w:val="0"/>
        </w:rPr>
      </w:pPr>
      <w:bookmarkStart w:id="40" w:name="_Toc15377206"/>
      <w:bookmarkStart w:id="41" w:name="_Toc15396604"/>
      <w:bookmarkStart w:id="42" w:name="_Toc79163861"/>
      <w:bookmarkStart w:id="43" w:name="_Toc79163611"/>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收</w:t>
      </w:r>
      <w:r>
        <w:rPr>
          <w:rStyle w:val="23"/>
          <w:rFonts w:hint="eastAsia" w:ascii="黑体" w:hAnsi="黑体" w:eastAsia="黑体" w:cs="黑体"/>
          <w:b w:val="0"/>
        </w:rPr>
        <w:t>入决算情况说明</w:t>
      </w:r>
      <w:bookmarkEnd w:id="40"/>
      <w:bookmarkEnd w:id="41"/>
      <w:bookmarkEnd w:id="42"/>
      <w:bookmarkEnd w:id="43"/>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2020年本年收入合计</w:t>
      </w:r>
      <w:r>
        <w:rPr>
          <w:rFonts w:hint="eastAsia" w:ascii="仿宋_GB2312" w:hAnsi="仿宋_GB2312" w:eastAsia="仿宋_GB2312" w:cs="仿宋_GB2312"/>
          <w:sz w:val="32"/>
          <w:szCs w:val="32"/>
          <w:lang w:val="en-US" w:eastAsia="zh-CN"/>
        </w:rPr>
        <w:t>305.89</w:t>
      </w:r>
      <w:r>
        <w:rPr>
          <w:rFonts w:hint="eastAsia" w:ascii="仿宋_GB2312" w:hAnsi="仿宋_GB2312" w:eastAsia="仿宋_GB2312" w:cs="仿宋_GB2312"/>
          <w:sz w:val="32"/>
          <w:szCs w:val="32"/>
          <w:lang w:eastAsia="zh-CN"/>
        </w:rPr>
        <w:t>万元，其中：一般公共预算财政拨款收入</w:t>
      </w:r>
      <w:r>
        <w:rPr>
          <w:rFonts w:hint="eastAsia" w:ascii="仿宋_GB2312" w:hAnsi="仿宋_GB2312" w:eastAsia="仿宋_GB2312" w:cs="仿宋_GB2312"/>
          <w:sz w:val="32"/>
          <w:szCs w:val="32"/>
          <w:lang w:val="en-US" w:eastAsia="zh-CN"/>
        </w:rPr>
        <w:t>305.89</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eastAsia="仿宋_GB2312"/>
          <w:color w:val="FF0000"/>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234315</wp:posOffset>
            </wp:positionH>
            <wp:positionV relativeFrom="paragraph">
              <wp:posOffset>478155</wp:posOffset>
            </wp:positionV>
            <wp:extent cx="4987290" cy="1894205"/>
            <wp:effectExtent l="4445" t="4445" r="18415" b="635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_GB2312" w:eastAsia="仿宋_GB2312" w:cs="仿宋_GB2312"/>
          <w:sz w:val="32"/>
          <w:szCs w:val="32"/>
          <w:lang w:eastAsia="zh-CN"/>
        </w:rPr>
        <w:t>（图2：收入决算结构图）（饼状图）</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Style w:val="23"/>
          <w:rFonts w:ascii="黑体" w:hAnsi="黑体" w:eastAsia="黑体"/>
          <w:b w:val="0"/>
        </w:rPr>
      </w:pPr>
      <w:bookmarkStart w:id="44" w:name="_Toc79163862"/>
      <w:bookmarkStart w:id="45" w:name="_Toc15377207"/>
      <w:bookmarkStart w:id="46" w:name="_Toc15396605"/>
      <w:bookmarkStart w:id="47" w:name="_Toc79163612"/>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3"/>
          <w:rFonts w:hint="eastAsia" w:ascii="黑体" w:hAnsi="黑体" w:eastAsia="黑体"/>
          <w:b w:val="0"/>
        </w:rPr>
        <w:t>出决算情况说明</w:t>
      </w:r>
      <w:bookmarkEnd w:id="44"/>
      <w:bookmarkEnd w:id="45"/>
      <w:bookmarkEnd w:id="46"/>
      <w:bookmarkEnd w:id="47"/>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2020年本年支出合计</w:t>
      </w:r>
      <w:r>
        <w:rPr>
          <w:rFonts w:hint="eastAsia" w:ascii="仿宋_GB2312" w:hAnsi="仿宋_GB2312" w:eastAsia="仿宋_GB2312" w:cs="仿宋_GB2312"/>
          <w:sz w:val="32"/>
          <w:szCs w:val="32"/>
          <w:lang w:val="en-US" w:eastAsia="zh-CN"/>
        </w:rPr>
        <w:t>305.89</w:t>
      </w:r>
      <w:r>
        <w:rPr>
          <w:rFonts w:hint="eastAsia" w:ascii="仿宋_GB2312" w:hAnsi="仿宋_GB2312" w:eastAsia="仿宋_GB2312" w:cs="仿宋_GB2312"/>
          <w:sz w:val="32"/>
          <w:szCs w:val="32"/>
          <w:lang w:eastAsia="zh-CN"/>
        </w:rPr>
        <w:t>万元，其中：基本支出</w:t>
      </w:r>
      <w:r>
        <w:rPr>
          <w:rFonts w:hint="eastAsia" w:ascii="仿宋_GB2312" w:hAnsi="仿宋_GB2312" w:eastAsia="仿宋_GB2312" w:cs="仿宋_GB2312"/>
          <w:sz w:val="32"/>
          <w:szCs w:val="32"/>
          <w:lang w:val="en-US" w:eastAsia="zh-CN"/>
        </w:rPr>
        <w:t>243.26</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79.52</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62.63</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20.47</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（图3：支出决算结构图）（饼状图）</w:t>
      </w:r>
    </w:p>
    <w:p>
      <w:pPr>
        <w:pageBreakBefore w:val="0"/>
        <w:kinsoku/>
        <w:wordWrap/>
        <w:overflowPunct/>
        <w:topLinePunct w:val="0"/>
        <w:bidi w:val="0"/>
        <w:spacing w:line="576" w:lineRule="exact"/>
        <w:rPr>
          <w:rFonts w:hint="eastAsia" w:ascii="黑体" w:hAnsi="黑体" w:eastAsia="黑体"/>
          <w:color w:val="000000"/>
          <w:sz w:val="32"/>
          <w:szCs w:val="32"/>
        </w:rPr>
      </w:pPr>
      <w:bookmarkStart w:id="48" w:name="_Toc15377208"/>
      <w:bookmarkStart w:id="49" w:name="_Toc15396606"/>
      <w:bookmarkStart w:id="50" w:name="_Toc79163613"/>
      <w:bookmarkStart w:id="51" w:name="_Toc79163863"/>
      <w:r>
        <w:rPr>
          <w:rFonts w:hint="eastAsia" w:ascii="黑体" w:hAnsi="黑体" w:eastAsia="黑体"/>
          <w:color w:val="000000"/>
          <w:sz w:val="32"/>
          <w:szCs w:val="32"/>
          <w:lang w:eastAsia="zh-CN"/>
        </w:rPr>
        <w:drawing>
          <wp:anchor distT="0" distB="0" distL="114300" distR="114300" simplePos="0" relativeHeight="251661312" behindDoc="1" locked="0" layoutInCell="1" allowOverlap="1">
            <wp:simplePos x="0" y="0"/>
            <wp:positionH relativeFrom="column">
              <wp:posOffset>264160</wp:posOffset>
            </wp:positionH>
            <wp:positionV relativeFrom="paragraph">
              <wp:posOffset>75565</wp:posOffset>
            </wp:positionV>
            <wp:extent cx="5080000" cy="2886075"/>
            <wp:effectExtent l="4445" t="4445" r="20955" b="43180"/>
            <wp:wrapTight wrapText="bothSides">
              <wp:wrapPolygon>
                <wp:start x="-19" y="-33"/>
                <wp:lineTo x="-19" y="21495"/>
                <wp:lineTo x="21527" y="21495"/>
                <wp:lineTo x="21527" y="-33"/>
                <wp:lineTo x="-19" y="-33"/>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kinsoku/>
        <w:wordWrap/>
        <w:overflowPunct/>
        <w:topLinePunct w:val="0"/>
        <w:bidi w:val="0"/>
        <w:spacing w:line="576" w:lineRule="exact"/>
        <w:ind w:firstLine="640" w:firstLineChars="200"/>
        <w:outlineLvl w:val="1"/>
        <w:rPr>
          <w:rStyle w:val="23"/>
          <w:rFonts w:ascii="黑体" w:hAnsi="黑体" w:eastAsia="黑体"/>
          <w:b w:val="0"/>
        </w:rPr>
      </w:pPr>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48"/>
      <w:bookmarkEnd w:id="49"/>
      <w:bookmarkEnd w:id="50"/>
      <w:bookmarkEnd w:id="51"/>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 w:hAnsi="仿宋" w:eastAsia="仿宋"/>
          <w:color w:val="000000"/>
          <w:sz w:val="32"/>
          <w:szCs w:val="32"/>
        </w:rPr>
      </w:pPr>
      <w:r>
        <w:rPr>
          <w:rFonts w:hint="eastAsia" w:ascii="仿宋_GB2312" w:hAnsi="仿宋_GB2312" w:eastAsia="仿宋_GB2312" w:cs="仿宋_GB2312"/>
          <w:sz w:val="32"/>
          <w:szCs w:val="32"/>
          <w:lang w:eastAsia="zh-CN"/>
        </w:rPr>
        <w:t>2020年财政拨款收、支总计</w:t>
      </w:r>
      <w:r>
        <w:rPr>
          <w:rFonts w:hint="eastAsia" w:ascii="仿宋_GB2312" w:hAnsi="仿宋_GB2312" w:eastAsia="仿宋_GB2312" w:cs="仿宋_GB2312"/>
          <w:sz w:val="32"/>
          <w:szCs w:val="32"/>
          <w:lang w:val="en-US" w:eastAsia="zh-CN"/>
        </w:rPr>
        <w:t>305.89</w:t>
      </w:r>
      <w:r>
        <w:rPr>
          <w:rFonts w:hint="eastAsia" w:ascii="仿宋_GB2312" w:hAnsi="仿宋_GB2312" w:eastAsia="仿宋_GB2312" w:cs="仿宋_GB2312"/>
          <w:sz w:val="32"/>
          <w:szCs w:val="32"/>
          <w:lang w:eastAsia="zh-CN"/>
        </w:rPr>
        <w:t>万元。与2019年相比，财政拨款收、支总计减少</w:t>
      </w:r>
      <w:r>
        <w:rPr>
          <w:rFonts w:hint="eastAsia" w:ascii="仿宋_GB2312" w:hAnsi="仿宋_GB2312" w:eastAsia="仿宋_GB2312" w:cs="仿宋_GB2312"/>
          <w:sz w:val="32"/>
          <w:szCs w:val="32"/>
          <w:lang w:val="en-US" w:eastAsia="zh-CN"/>
        </w:rPr>
        <w:t>215.96</w:t>
      </w:r>
      <w:r>
        <w:rPr>
          <w:rFonts w:hint="eastAsia" w:ascii="仿宋_GB2312" w:hAnsi="仿宋_GB2312" w:eastAsia="仿宋_GB2312" w:cs="仿宋_GB2312"/>
          <w:sz w:val="32"/>
          <w:szCs w:val="32"/>
          <w:lang w:eastAsia="zh-CN"/>
        </w:rPr>
        <w:t>万元，下降</w:t>
      </w:r>
      <w:r>
        <w:rPr>
          <w:rFonts w:hint="eastAsia" w:ascii="仿宋_GB2312" w:hAnsi="仿宋_GB2312" w:eastAsia="仿宋_GB2312" w:cs="仿宋_GB2312"/>
          <w:sz w:val="32"/>
          <w:szCs w:val="32"/>
          <w:lang w:val="en-US" w:eastAsia="zh-CN"/>
        </w:rPr>
        <w:t>41.38</w:t>
      </w:r>
      <w:r>
        <w:rPr>
          <w:rFonts w:hint="eastAsia" w:ascii="仿宋_GB2312" w:hAnsi="仿宋_GB2312" w:eastAsia="仿宋_GB2312" w:cs="仿宋_GB2312"/>
          <w:sz w:val="32"/>
          <w:szCs w:val="32"/>
          <w:lang w:eastAsia="zh-CN"/>
        </w:rPr>
        <w:t>%。主要变动原因是项目减少。</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color w:val="000000"/>
          <w:sz w:val="32"/>
          <w:szCs w:val="32"/>
          <w:lang w:eastAsia="zh-CN"/>
        </w:rPr>
        <w:drawing>
          <wp:anchor distT="0" distB="0" distL="114300" distR="114300" simplePos="0" relativeHeight="251662336" behindDoc="0" locked="0" layoutInCell="1" allowOverlap="1">
            <wp:simplePos x="0" y="0"/>
            <wp:positionH relativeFrom="column">
              <wp:posOffset>145415</wp:posOffset>
            </wp:positionH>
            <wp:positionV relativeFrom="paragraph">
              <wp:posOffset>548640</wp:posOffset>
            </wp:positionV>
            <wp:extent cx="4942840" cy="2355215"/>
            <wp:effectExtent l="4445" t="4445" r="5715" b="2159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sz w:val="32"/>
          <w:szCs w:val="32"/>
          <w:lang w:eastAsia="zh-CN"/>
        </w:rPr>
        <w:t>（图4：财政拨款收、支决算总计变动情况）（柱状图）</w:t>
      </w:r>
    </w:p>
    <w:p>
      <w:pPr>
        <w:pageBreakBefore w:val="0"/>
        <w:kinsoku/>
        <w:wordWrap/>
        <w:overflowPunct/>
        <w:topLinePunct w:val="0"/>
        <w:bidi w:val="0"/>
        <w:spacing w:line="576" w:lineRule="exact"/>
        <w:outlineLvl w:val="1"/>
        <w:rPr>
          <w:rFonts w:hint="eastAsia" w:ascii="黑体" w:hAnsi="黑体" w:eastAsia="黑体"/>
          <w:color w:val="000000"/>
          <w:sz w:val="32"/>
          <w:szCs w:val="32"/>
        </w:rPr>
      </w:pPr>
      <w:bookmarkStart w:id="52" w:name="_Toc79163864"/>
      <w:bookmarkStart w:id="53" w:name="_Toc79163614"/>
      <w:bookmarkStart w:id="54" w:name="_Toc15396607"/>
      <w:bookmarkStart w:id="55" w:name="_Toc15377209"/>
    </w:p>
    <w:p>
      <w:pPr>
        <w:pageBreakBefore w:val="0"/>
        <w:kinsoku/>
        <w:wordWrap/>
        <w:overflowPunct/>
        <w:topLinePunct w:val="0"/>
        <w:bidi w:val="0"/>
        <w:spacing w:line="576" w:lineRule="exact"/>
        <w:ind w:firstLine="640" w:firstLineChars="200"/>
        <w:outlineLvl w:val="1"/>
        <w:rPr>
          <w:rStyle w:val="23"/>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52"/>
      <w:bookmarkEnd w:id="53"/>
      <w:bookmarkEnd w:id="54"/>
      <w:bookmarkEnd w:id="55"/>
    </w:p>
    <w:p>
      <w:pPr>
        <w:pageBreakBefore w:val="0"/>
        <w:kinsoku/>
        <w:wordWrap/>
        <w:overflowPunct/>
        <w:topLinePunct w:val="0"/>
        <w:bidi w:val="0"/>
        <w:spacing w:line="576" w:lineRule="exact"/>
        <w:ind w:firstLine="643" w:firstLineChars="200"/>
        <w:outlineLvl w:val="2"/>
        <w:rPr>
          <w:rFonts w:ascii="仿宋" w:hAnsi="仿宋" w:eastAsia="仿宋"/>
          <w:b/>
          <w:color w:val="000000"/>
          <w:sz w:val="32"/>
          <w:szCs w:val="32"/>
        </w:rPr>
      </w:pPr>
      <w:bookmarkStart w:id="56" w:name="_Toc15377210"/>
      <w:bookmarkStart w:id="57" w:name="_Toc79163615"/>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2020年一般公共预算财政拨款支出</w:t>
      </w:r>
      <w:r>
        <w:rPr>
          <w:rFonts w:hint="eastAsia" w:ascii="仿宋_GB2312" w:hAnsi="仿宋_GB2312" w:eastAsia="仿宋_GB2312" w:cs="仿宋_GB2312"/>
          <w:sz w:val="32"/>
          <w:szCs w:val="32"/>
          <w:lang w:val="en-US" w:eastAsia="zh-CN"/>
        </w:rPr>
        <w:t>305.89</w:t>
      </w:r>
      <w:r>
        <w:rPr>
          <w:rFonts w:hint="eastAsia" w:ascii="仿宋_GB2312" w:hAnsi="仿宋_GB2312" w:eastAsia="仿宋_GB2312" w:cs="仿宋_GB2312"/>
          <w:sz w:val="32"/>
          <w:szCs w:val="32"/>
          <w:lang w:eastAsia="zh-CN"/>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%。与2019年相比，一般公共预算财政拨款减少</w:t>
      </w:r>
      <w:r>
        <w:rPr>
          <w:rFonts w:hint="eastAsia" w:ascii="仿宋_GB2312" w:hAnsi="仿宋_GB2312" w:eastAsia="仿宋_GB2312" w:cs="仿宋_GB2312"/>
          <w:sz w:val="32"/>
          <w:szCs w:val="32"/>
          <w:lang w:val="en-US" w:eastAsia="zh-CN"/>
        </w:rPr>
        <w:t>215.96</w:t>
      </w:r>
      <w:r>
        <w:rPr>
          <w:rFonts w:hint="eastAsia" w:ascii="仿宋_GB2312" w:hAnsi="仿宋_GB2312" w:eastAsia="仿宋_GB2312" w:cs="仿宋_GB2312"/>
          <w:sz w:val="32"/>
          <w:szCs w:val="32"/>
          <w:lang w:eastAsia="zh-CN"/>
        </w:rPr>
        <w:t>万元，下降</w:t>
      </w:r>
      <w:r>
        <w:rPr>
          <w:rFonts w:hint="eastAsia" w:ascii="仿宋_GB2312" w:hAnsi="仿宋_GB2312" w:eastAsia="仿宋_GB2312" w:cs="仿宋_GB2312"/>
          <w:sz w:val="32"/>
          <w:szCs w:val="32"/>
          <w:lang w:val="en-US" w:eastAsia="zh-CN"/>
        </w:rPr>
        <w:t>41.38</w:t>
      </w:r>
      <w:r>
        <w:rPr>
          <w:rFonts w:hint="eastAsia" w:ascii="仿宋_GB2312" w:hAnsi="仿宋_GB2312" w:eastAsia="仿宋_GB2312" w:cs="仿宋_GB2312"/>
          <w:sz w:val="32"/>
          <w:szCs w:val="32"/>
          <w:lang w:eastAsia="zh-CN"/>
        </w:rPr>
        <w:t>%。主要变动原因是项目减少。</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（图5：一般公共预算财政拨款支出决算变动情况）（柱状图）</w:t>
      </w:r>
    </w:p>
    <w:p>
      <w:pPr>
        <w:pageBreakBefore w:val="0"/>
        <w:kinsoku/>
        <w:wordWrap/>
        <w:overflowPunct/>
        <w:topLinePunct w:val="0"/>
        <w:bidi w:val="0"/>
        <w:spacing w:line="576" w:lineRule="exact"/>
        <w:ind w:firstLine="640" w:firstLineChars="200"/>
        <w:rPr>
          <w:rFonts w:ascii="仿宋" w:hAnsi="仿宋" w:eastAsia="仿宋"/>
          <w:color w:val="000000"/>
          <w:sz w:val="32"/>
          <w:szCs w:val="32"/>
        </w:rPr>
      </w:pPr>
      <w:r>
        <w:rPr>
          <w:rFonts w:hint="eastAsia" w:ascii="仿宋_GB2312" w:eastAsia="仿宋_GB2312"/>
          <w:color w:val="000000"/>
          <w:sz w:val="32"/>
          <w:szCs w:val="32"/>
          <w:lang w:eastAsia="zh-CN"/>
        </w:rPr>
        <w:drawing>
          <wp:anchor distT="0" distB="0" distL="114300" distR="114300" simplePos="0" relativeHeight="251663360" behindDoc="0" locked="0" layoutInCell="1" allowOverlap="1">
            <wp:simplePos x="0" y="0"/>
            <wp:positionH relativeFrom="column">
              <wp:posOffset>433705</wp:posOffset>
            </wp:positionH>
            <wp:positionV relativeFrom="paragraph">
              <wp:posOffset>362585</wp:posOffset>
            </wp:positionV>
            <wp:extent cx="4674870" cy="3539490"/>
            <wp:effectExtent l="5080" t="4445" r="6350" b="1841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76" w:lineRule="exact"/>
        <w:ind w:firstLine="643" w:firstLineChars="200"/>
        <w:outlineLvl w:val="2"/>
        <w:rPr>
          <w:rFonts w:ascii="仿宋" w:hAnsi="仿宋" w:eastAsia="仿宋"/>
          <w:b/>
          <w:color w:val="000000"/>
          <w:sz w:val="32"/>
          <w:szCs w:val="32"/>
        </w:rPr>
      </w:pPr>
      <w:bookmarkStart w:id="59" w:name="_Toc79163866"/>
      <w:bookmarkStart w:id="60" w:name="_Toc79163616"/>
      <w:bookmarkStart w:id="61" w:name="_Toc15377211"/>
      <w:r>
        <w:rPr>
          <w:rFonts w:hint="eastAsia" w:ascii="仿宋" w:hAnsi="仿宋" w:eastAsia="仿宋"/>
          <w:b/>
          <w:color w:val="000000"/>
          <w:sz w:val="32"/>
          <w:szCs w:val="32"/>
        </w:rPr>
        <w:t>（二）一般公共预算财政拨款支出决算结构情况</w:t>
      </w:r>
      <w:bookmarkEnd w:id="59"/>
      <w:bookmarkEnd w:id="60"/>
      <w:bookmarkEnd w:id="61"/>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2020年一般公共预算财政拨款支出</w:t>
      </w:r>
      <w:r>
        <w:rPr>
          <w:rFonts w:hint="eastAsia" w:ascii="仿宋_GB2312" w:hAnsi="仿宋_GB2312" w:eastAsia="仿宋_GB2312" w:cs="仿宋_GB2312"/>
          <w:sz w:val="32"/>
          <w:szCs w:val="32"/>
          <w:lang w:val="en-US" w:eastAsia="zh-CN"/>
        </w:rPr>
        <w:t>305.89</w:t>
      </w:r>
      <w:r>
        <w:rPr>
          <w:rFonts w:hint="eastAsia" w:ascii="仿宋_GB2312" w:hAnsi="仿宋_GB2312" w:eastAsia="仿宋_GB2312" w:cs="仿宋_GB2312"/>
          <w:sz w:val="32"/>
          <w:szCs w:val="32"/>
          <w:lang w:eastAsia="zh-CN"/>
        </w:rPr>
        <w:t>万元，主要用于以下方面:社会保障和就业（类）支出</w:t>
      </w:r>
      <w:r>
        <w:rPr>
          <w:rFonts w:hint="eastAsia" w:ascii="仿宋_GB2312" w:hAnsi="仿宋_GB2312" w:eastAsia="仿宋_GB2312" w:cs="仿宋_GB2312"/>
          <w:sz w:val="32"/>
          <w:szCs w:val="32"/>
          <w:lang w:val="en-US" w:eastAsia="zh-CN"/>
        </w:rPr>
        <w:t>21.51</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%；农林水（类）支出</w:t>
      </w:r>
      <w:r>
        <w:rPr>
          <w:rFonts w:hint="eastAsia" w:ascii="仿宋_GB2312" w:hAnsi="仿宋_GB2312" w:eastAsia="仿宋_GB2312" w:cs="仿宋_GB2312"/>
          <w:sz w:val="32"/>
          <w:szCs w:val="32"/>
          <w:lang w:val="en-US" w:eastAsia="zh-CN"/>
        </w:rPr>
        <w:t>32.99</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10.79%</w:t>
      </w:r>
      <w:r>
        <w:rPr>
          <w:rFonts w:hint="eastAsia" w:ascii="仿宋_GB2312" w:hAnsi="仿宋_GB2312" w:eastAsia="仿宋_GB2312" w:cs="仿宋_GB2312"/>
          <w:sz w:val="32"/>
          <w:szCs w:val="32"/>
          <w:lang w:eastAsia="zh-CN"/>
        </w:rPr>
        <w:t>；商业服务业（类）支出</w:t>
      </w:r>
      <w:r>
        <w:rPr>
          <w:rFonts w:hint="eastAsia" w:ascii="仿宋_GB2312" w:hAnsi="仿宋_GB2312" w:eastAsia="仿宋_GB2312" w:cs="仿宋_GB2312"/>
          <w:sz w:val="32"/>
          <w:szCs w:val="32"/>
          <w:lang w:val="en-US" w:eastAsia="zh-CN"/>
        </w:rPr>
        <w:t>218.46</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71.43%</w:t>
      </w:r>
      <w:r>
        <w:rPr>
          <w:rFonts w:hint="eastAsia" w:ascii="仿宋_GB2312" w:hAnsi="仿宋_GB2312" w:eastAsia="仿宋_GB2312" w:cs="仿宋_GB2312"/>
          <w:sz w:val="32"/>
          <w:szCs w:val="32"/>
          <w:lang w:eastAsia="zh-CN"/>
        </w:rPr>
        <w:t>；住房保障（类）支出</w:t>
      </w:r>
      <w:r>
        <w:rPr>
          <w:rFonts w:hint="eastAsia" w:ascii="仿宋_GB2312" w:hAnsi="仿宋_GB2312" w:eastAsia="仿宋_GB2312" w:cs="仿宋_GB2312"/>
          <w:sz w:val="32"/>
          <w:szCs w:val="32"/>
          <w:lang w:val="en-US" w:eastAsia="zh-CN"/>
        </w:rPr>
        <w:t>16.14</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5.29</w:t>
      </w:r>
      <w:r>
        <w:rPr>
          <w:rFonts w:hint="eastAsia" w:ascii="仿宋_GB2312" w:hAnsi="仿宋_GB2312" w:eastAsia="仿宋_GB2312" w:cs="仿宋_GB2312"/>
          <w:sz w:val="32"/>
          <w:szCs w:val="32"/>
          <w:lang w:eastAsia="zh-CN"/>
        </w:rPr>
        <w:t>%；卫生健康（类）支出</w:t>
      </w:r>
      <w:r>
        <w:rPr>
          <w:rFonts w:hint="eastAsia" w:ascii="仿宋_GB2312" w:hAnsi="仿宋_GB2312" w:eastAsia="仿宋_GB2312" w:cs="仿宋_GB2312"/>
          <w:sz w:val="32"/>
          <w:szCs w:val="32"/>
          <w:lang w:val="en-US" w:eastAsia="zh-CN"/>
        </w:rPr>
        <w:t>16.79</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5.49%</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（图6：一般公共预算财政拨款支出决算结构）（饼状图）</w:t>
      </w:r>
    </w:p>
    <w:p>
      <w:pPr>
        <w:pageBreakBefore w:val="0"/>
        <w:kinsoku/>
        <w:wordWrap/>
        <w:overflowPunct/>
        <w:topLinePunct w:val="0"/>
        <w:bidi w:val="0"/>
        <w:spacing w:line="576"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4384" behindDoc="1" locked="0" layoutInCell="1" allowOverlap="1">
            <wp:simplePos x="0" y="0"/>
            <wp:positionH relativeFrom="column">
              <wp:posOffset>338455</wp:posOffset>
            </wp:positionH>
            <wp:positionV relativeFrom="paragraph">
              <wp:posOffset>213995</wp:posOffset>
            </wp:positionV>
            <wp:extent cx="5080000" cy="2797175"/>
            <wp:effectExtent l="4445" t="4445" r="20955" b="55880"/>
            <wp:wrapTight wrapText="bothSides">
              <wp:wrapPolygon>
                <wp:start x="-19" y="-34"/>
                <wp:lineTo x="-19" y="21443"/>
                <wp:lineTo x="21527" y="21443"/>
                <wp:lineTo x="21527" y="-34"/>
                <wp:lineTo x="-19" y="-34"/>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bookmarkStart w:id="62" w:name="_Toc79163867"/>
      <w:bookmarkStart w:id="63" w:name="_Toc79163617"/>
      <w:bookmarkStart w:id="64" w:name="_Toc15377212"/>
      <w:r>
        <w:rPr>
          <w:rFonts w:hint="eastAsia" w:ascii="楷体_GB2312" w:hAnsi="楷体_GB2312" w:eastAsia="楷体_GB2312" w:cs="楷体_GB2312"/>
          <w:b/>
          <w:bCs/>
          <w:sz w:val="32"/>
          <w:szCs w:val="32"/>
          <w:lang w:eastAsia="zh-CN"/>
        </w:rPr>
        <w:t>（三）一般公共预算财政拨款支出决算具体情况</w:t>
      </w:r>
      <w:bookmarkEnd w:id="62"/>
      <w:bookmarkEnd w:id="63"/>
      <w:bookmarkEnd w:id="64"/>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65" w:name="_Toc15378460"/>
      <w:bookmarkStart w:id="66" w:name="_Toc15377213"/>
      <w:bookmarkStart w:id="67" w:name="_Toc15377444"/>
      <w:r>
        <w:rPr>
          <w:rFonts w:hint="eastAsia" w:ascii="仿宋_GB2312" w:hAnsi="仿宋_GB2312" w:eastAsia="仿宋_GB2312" w:cs="仿宋_GB2312"/>
          <w:sz w:val="32"/>
          <w:szCs w:val="32"/>
          <w:lang w:eastAsia="zh-CN"/>
        </w:rPr>
        <w:t>2020年一般公共预算支出决算数为</w:t>
      </w:r>
      <w:r>
        <w:rPr>
          <w:rFonts w:hint="eastAsia" w:ascii="仿宋_GB2312" w:hAnsi="仿宋_GB2312" w:eastAsia="仿宋_GB2312" w:cs="仿宋_GB2312"/>
          <w:sz w:val="32"/>
          <w:szCs w:val="32"/>
          <w:lang w:val="en-US" w:eastAsia="zh-CN"/>
        </w:rPr>
        <w:t>305.89</w:t>
      </w:r>
      <w:r>
        <w:rPr>
          <w:rFonts w:hint="eastAsia" w:ascii="仿宋_GB2312" w:hAnsi="仿宋_GB2312" w:eastAsia="仿宋_GB2312" w:cs="仿宋_GB2312"/>
          <w:sz w:val="32"/>
          <w:szCs w:val="32"/>
          <w:lang w:eastAsia="zh-CN"/>
        </w:rPr>
        <w:t>，完成预算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%。其中：</w:t>
      </w:r>
      <w:bookmarkEnd w:id="65"/>
      <w:bookmarkEnd w:id="66"/>
      <w:bookmarkEnd w:id="67"/>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1.社会保障和就业（类）行政事业单位养老支出（款）机关事业单位职业年金缴费支出（项）: 支出决算为</w:t>
      </w:r>
      <w:r>
        <w:rPr>
          <w:rFonts w:hint="eastAsia" w:ascii="仿宋_GB2312" w:hAnsi="仿宋_GB2312" w:eastAsia="仿宋_GB2312" w:cs="仿宋_GB2312"/>
          <w:sz w:val="32"/>
          <w:szCs w:val="32"/>
          <w:lang w:val="en-US" w:eastAsia="zh-CN"/>
        </w:rPr>
        <w:t>7.17</w:t>
      </w:r>
      <w:r>
        <w:rPr>
          <w:rFonts w:hint="eastAsia" w:ascii="仿宋_GB2312" w:hAnsi="仿宋_GB2312" w:eastAsia="仿宋_GB2312" w:cs="仿宋_GB2312"/>
          <w:sz w:val="32"/>
          <w:szCs w:val="32"/>
          <w:lang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2.农林水支出（类）农业农村（款）农业生产发展（项）: 支出决算为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3.农林水支出（类）扶贫（款）其他扶贫支出（项）: 支出决算为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lang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4.商业服务业等支出（类）商业流通事务（款）行政运行（项）: 支出决算为</w:t>
      </w:r>
      <w:r>
        <w:rPr>
          <w:rFonts w:hint="eastAsia" w:ascii="仿宋_GB2312" w:hAnsi="仿宋_GB2312" w:eastAsia="仿宋_GB2312" w:cs="仿宋_GB2312"/>
          <w:sz w:val="32"/>
          <w:szCs w:val="32"/>
          <w:lang w:val="en-US" w:eastAsia="zh-CN"/>
        </w:rPr>
        <w:t>188.83</w:t>
      </w:r>
      <w:r>
        <w:rPr>
          <w:rFonts w:hint="eastAsia" w:ascii="仿宋_GB2312" w:hAnsi="仿宋_GB2312" w:eastAsia="仿宋_GB2312" w:cs="仿宋_GB2312"/>
          <w:sz w:val="32"/>
          <w:szCs w:val="32"/>
          <w:lang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5.社会保障和就业（类）行政事业单位养老支出（款）机关事业单位基本养老保险支出（项）: 支出决算为</w:t>
      </w:r>
      <w:r>
        <w:rPr>
          <w:rFonts w:hint="eastAsia" w:ascii="仿宋_GB2312" w:hAnsi="仿宋_GB2312" w:eastAsia="仿宋_GB2312" w:cs="仿宋_GB2312"/>
          <w:sz w:val="32"/>
          <w:szCs w:val="32"/>
          <w:lang w:val="en-US" w:eastAsia="zh-CN"/>
        </w:rPr>
        <w:t>14.34</w:t>
      </w:r>
      <w:r>
        <w:rPr>
          <w:rFonts w:hint="eastAsia" w:ascii="仿宋_GB2312" w:hAnsi="仿宋_GB2312" w:eastAsia="仿宋_GB2312" w:cs="仿宋_GB2312"/>
          <w:sz w:val="32"/>
          <w:szCs w:val="32"/>
          <w:lang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商业服务业等支出（类）商业流通事务（款）民贸民品贷款贴息（项）: 支出决算为</w:t>
      </w:r>
      <w:r>
        <w:rPr>
          <w:rFonts w:hint="eastAsia" w:ascii="仿宋_GB2312" w:hAnsi="仿宋_GB2312" w:eastAsia="仿宋_GB2312" w:cs="仿宋_GB2312"/>
          <w:sz w:val="32"/>
          <w:szCs w:val="32"/>
          <w:lang w:val="en-US" w:eastAsia="zh-CN"/>
        </w:rPr>
        <w:t>29.64</w:t>
      </w:r>
      <w:r>
        <w:rPr>
          <w:rFonts w:hint="eastAsia" w:ascii="仿宋_GB2312" w:hAnsi="仿宋_GB2312" w:eastAsia="仿宋_GB2312" w:cs="仿宋_GB2312"/>
          <w:sz w:val="32"/>
          <w:szCs w:val="32"/>
          <w:lang w:eastAsia="zh-CN"/>
        </w:rPr>
        <w:t>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卫生健康（类）行政事业单位医疗（款）行政单位医疗（项）:支出决算为</w:t>
      </w:r>
      <w:r>
        <w:rPr>
          <w:rFonts w:hint="eastAsia" w:ascii="仿宋_GB2312" w:hAnsi="仿宋_GB2312" w:eastAsia="仿宋_GB2312" w:cs="仿宋_GB2312"/>
          <w:sz w:val="32"/>
          <w:szCs w:val="32"/>
          <w:lang w:val="en-US" w:eastAsia="zh-CN"/>
        </w:rPr>
        <w:t>16.79</w:t>
      </w:r>
      <w:r>
        <w:rPr>
          <w:rFonts w:hint="eastAsia" w:ascii="仿宋_GB2312" w:hAnsi="仿宋_GB2312" w:eastAsia="仿宋_GB2312" w:cs="仿宋_GB2312"/>
          <w:sz w:val="32"/>
          <w:szCs w:val="32"/>
          <w:lang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住房保障支出（类）住房改革支出（款）住房公积金（项）:支出决算为</w:t>
      </w:r>
      <w:r>
        <w:rPr>
          <w:rFonts w:hint="eastAsia" w:ascii="仿宋_GB2312" w:hAnsi="仿宋_GB2312" w:eastAsia="仿宋_GB2312" w:cs="仿宋_GB2312"/>
          <w:sz w:val="32"/>
          <w:szCs w:val="32"/>
          <w:lang w:val="en-US" w:eastAsia="zh-CN"/>
        </w:rPr>
        <w:t>15.12</w:t>
      </w:r>
      <w:r>
        <w:rPr>
          <w:rFonts w:hint="eastAsia" w:ascii="仿宋_GB2312" w:hAnsi="仿宋_GB2312" w:eastAsia="仿宋_GB2312" w:cs="仿宋_GB2312"/>
          <w:sz w:val="32"/>
          <w:szCs w:val="32"/>
          <w:lang w:eastAsia="zh-CN"/>
        </w:rPr>
        <w:t>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住房保障支出（类）住房改革支出（款）购房补贴（项）:支出决算为</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lang w:eastAsia="zh-CN"/>
        </w:rPr>
        <w:t>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%，决算数与预算数持平。</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bookmarkStart w:id="68" w:name="_Toc79163868"/>
      <w:bookmarkStart w:id="69" w:name="_Toc15377214"/>
      <w:bookmarkStart w:id="70" w:name="_Toc15396608"/>
      <w:bookmarkStart w:id="71" w:name="_Toc79163618"/>
      <w:r>
        <w:rPr>
          <w:rFonts w:hint="eastAsia" w:ascii="黑体" w:hAnsi="黑体" w:eastAsia="黑体" w:cs="黑体"/>
          <w:sz w:val="32"/>
          <w:szCs w:val="32"/>
          <w:lang w:val="en-US" w:eastAsia="zh-CN"/>
        </w:rPr>
        <w:t>六、一般公共预算财政拨款基本支出决算情况说明</w:t>
      </w:r>
      <w:bookmarkEnd w:id="68"/>
      <w:bookmarkEnd w:id="69"/>
      <w:bookmarkEnd w:id="70"/>
      <w:bookmarkEnd w:id="71"/>
      <w:r>
        <w:rPr>
          <w:rFonts w:hint="eastAsia" w:ascii="黑体" w:hAnsi="黑体" w:eastAsia="黑体" w:cs="黑体"/>
          <w:sz w:val="32"/>
          <w:szCs w:val="32"/>
          <w:lang w:val="en-US" w:eastAsia="zh-CN"/>
        </w:rPr>
        <w:tab/>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2020年一般公共预算财政拨款基本支出</w:t>
      </w:r>
      <w:r>
        <w:rPr>
          <w:rFonts w:hint="eastAsia" w:ascii="仿宋_GB2312" w:hAnsi="仿宋_GB2312" w:eastAsia="仿宋_GB2312" w:cs="仿宋_GB2312"/>
          <w:sz w:val="32"/>
          <w:szCs w:val="32"/>
          <w:lang w:val="en-US" w:eastAsia="zh-CN"/>
        </w:rPr>
        <w:t>243.26</w:t>
      </w:r>
      <w:r>
        <w:rPr>
          <w:rFonts w:hint="eastAsia" w:ascii="仿宋_GB2312" w:hAnsi="仿宋_GB2312" w:eastAsia="仿宋_GB2312" w:cs="仿宋_GB2312"/>
          <w:sz w:val="32"/>
          <w:szCs w:val="32"/>
          <w:lang w:eastAsia="zh-CN"/>
        </w:rPr>
        <w:t>万元，其中：</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人员经费</w:t>
      </w:r>
      <w:r>
        <w:rPr>
          <w:rFonts w:hint="eastAsia" w:ascii="仿宋_GB2312" w:hAnsi="仿宋_GB2312" w:eastAsia="仿宋_GB2312" w:cs="仿宋_GB2312"/>
          <w:sz w:val="32"/>
          <w:szCs w:val="32"/>
          <w:lang w:val="en-US" w:eastAsia="zh-CN"/>
        </w:rPr>
        <w:t>236.26</w:t>
      </w:r>
      <w:r>
        <w:rPr>
          <w:rFonts w:hint="eastAsia" w:ascii="仿宋_GB2312" w:hAnsi="仿宋_GB2312" w:eastAsia="仿宋_GB2312" w:cs="仿宋_GB2312"/>
          <w:sz w:val="32"/>
          <w:szCs w:val="32"/>
          <w:lang w:eastAsia="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日常公用经费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bookmarkStart w:id="72" w:name="_Toc15396609"/>
      <w:bookmarkStart w:id="73" w:name="_Toc79163869"/>
      <w:bookmarkStart w:id="74" w:name="_Toc79163619"/>
      <w:bookmarkStart w:id="75" w:name="_Toc15377215"/>
      <w:r>
        <w:rPr>
          <w:rFonts w:hint="eastAsia" w:ascii="黑体" w:hAnsi="黑体" w:eastAsia="黑体" w:cs="黑体"/>
          <w:sz w:val="32"/>
          <w:szCs w:val="32"/>
          <w:lang w:val="en-US" w:eastAsia="zh-CN"/>
        </w:rPr>
        <w:t>七、“三公”经费财政拨款支出决算情况说明</w:t>
      </w:r>
      <w:bookmarkEnd w:id="72"/>
      <w:bookmarkEnd w:id="73"/>
      <w:bookmarkEnd w:id="74"/>
      <w:bookmarkEnd w:id="75"/>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76" w:name="_Toc15377216"/>
      <w:bookmarkStart w:id="77" w:name="_Toc79163870"/>
      <w:bookmarkStart w:id="78" w:name="_Toc79163620"/>
      <w:r>
        <w:rPr>
          <w:rFonts w:hint="eastAsia" w:ascii="仿宋_GB2312" w:hAnsi="仿宋_GB2312" w:eastAsia="仿宋_GB2312" w:cs="仿宋_GB2312"/>
          <w:sz w:val="32"/>
          <w:szCs w:val="32"/>
          <w:lang w:eastAsia="zh-CN"/>
        </w:rPr>
        <w:t>（一）“三公”经费财政拨款支出决算总体情况说明</w:t>
      </w:r>
      <w:bookmarkEnd w:id="76"/>
      <w:bookmarkEnd w:id="77"/>
      <w:bookmarkEnd w:id="78"/>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79" w:name="_Toc15377217"/>
      <w:bookmarkStart w:id="80" w:name="_Toc79163871"/>
      <w:bookmarkStart w:id="81" w:name="_Toc79163621"/>
      <w:r>
        <w:rPr>
          <w:rFonts w:hint="eastAsia" w:ascii="仿宋_GB2312" w:hAnsi="仿宋_GB2312" w:eastAsia="仿宋_GB2312" w:cs="仿宋_GB2312"/>
          <w:sz w:val="32"/>
          <w:szCs w:val="32"/>
          <w:lang w:eastAsia="zh-CN"/>
        </w:rPr>
        <w:t>（二）“三公”经费财政拨款支出决算具体情况说明</w:t>
      </w:r>
      <w:bookmarkEnd w:id="79"/>
      <w:bookmarkEnd w:id="80"/>
      <w:bookmarkEnd w:id="81"/>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万元。具体情况如下：</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3.公务接待费支出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bookmarkStart w:id="82" w:name="_Toc15396610"/>
      <w:bookmarkStart w:id="83" w:name="_Toc79163622"/>
      <w:bookmarkStart w:id="84" w:name="_Toc79163872"/>
      <w:bookmarkStart w:id="85" w:name="_Toc15377218"/>
      <w:r>
        <w:rPr>
          <w:rFonts w:hint="eastAsia" w:ascii="黑体" w:hAnsi="黑体" w:eastAsia="黑体" w:cs="黑体"/>
          <w:sz w:val="32"/>
          <w:szCs w:val="32"/>
          <w:lang w:val="en-US" w:eastAsia="zh-CN"/>
        </w:rPr>
        <w:t>八、政府性基金预算支出决算情况说明</w:t>
      </w:r>
      <w:bookmarkEnd w:id="82"/>
      <w:bookmarkEnd w:id="83"/>
      <w:bookmarkEnd w:id="84"/>
      <w:bookmarkEnd w:id="85"/>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2020年政府性基金预算拨款支出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bookmarkStart w:id="86" w:name="_Toc15377219"/>
      <w:bookmarkStart w:id="87" w:name="_Toc79163873"/>
      <w:bookmarkStart w:id="88" w:name="_Toc15396611"/>
      <w:bookmarkStart w:id="89" w:name="_Toc79163623"/>
      <w:r>
        <w:rPr>
          <w:rFonts w:hint="eastAsia" w:ascii="黑体" w:hAnsi="黑体" w:eastAsia="黑体" w:cs="黑体"/>
          <w:sz w:val="32"/>
          <w:szCs w:val="32"/>
          <w:lang w:val="en-US" w:eastAsia="zh-CN"/>
        </w:rPr>
        <w:t>九、国有资本经营预算支出决算情况说明</w:t>
      </w:r>
      <w:bookmarkEnd w:id="86"/>
      <w:bookmarkEnd w:id="87"/>
      <w:bookmarkEnd w:id="88"/>
      <w:bookmarkEnd w:id="89"/>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2020年国有资本经营预算拨款支出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bookmarkStart w:id="90" w:name="_Toc79163624"/>
      <w:bookmarkStart w:id="91" w:name="_Toc15377221"/>
      <w:bookmarkStart w:id="92" w:name="_Toc15396612"/>
      <w:bookmarkStart w:id="93" w:name="_Toc79163874"/>
      <w:r>
        <w:rPr>
          <w:rFonts w:hint="eastAsia" w:ascii="黑体" w:hAnsi="黑体" w:eastAsia="黑体" w:cs="黑体"/>
          <w:sz w:val="32"/>
          <w:szCs w:val="32"/>
          <w:lang w:val="en-US" w:eastAsia="zh-CN"/>
        </w:rPr>
        <w:t>十、其他重要事项的情况说明</w:t>
      </w:r>
      <w:bookmarkEnd w:id="90"/>
      <w:bookmarkEnd w:id="91"/>
      <w:bookmarkEnd w:id="92"/>
      <w:bookmarkEnd w:id="93"/>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bookmarkStart w:id="94" w:name="_Toc79163625"/>
      <w:bookmarkStart w:id="95" w:name="_Toc79163875"/>
      <w:bookmarkStart w:id="96" w:name="_Toc15377222"/>
      <w:r>
        <w:rPr>
          <w:rFonts w:hint="eastAsia" w:ascii="楷体_GB2312" w:hAnsi="楷体_GB2312" w:eastAsia="楷体_GB2312" w:cs="楷体_GB2312"/>
          <w:b/>
          <w:bCs/>
          <w:sz w:val="32"/>
          <w:szCs w:val="32"/>
          <w:lang w:eastAsia="zh-CN"/>
        </w:rPr>
        <w:t>（一）机关运行经费支出情况</w:t>
      </w:r>
      <w:bookmarkEnd w:id="94"/>
      <w:bookmarkEnd w:id="95"/>
      <w:bookmarkEnd w:id="96"/>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2020年，茂县供销社机关运行经费支出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万元，比2019年减少</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sz w:val="32"/>
          <w:szCs w:val="32"/>
          <w:lang w:eastAsia="zh-CN"/>
        </w:rPr>
        <w:t>万元，下降</w:t>
      </w:r>
      <w:r>
        <w:rPr>
          <w:rFonts w:hint="eastAsia" w:ascii="仿宋_GB2312" w:hAnsi="仿宋_GB2312" w:eastAsia="仿宋_GB2312" w:cs="仿宋_GB2312"/>
          <w:sz w:val="32"/>
          <w:szCs w:val="32"/>
          <w:lang w:val="en-US" w:eastAsia="zh-CN"/>
        </w:rPr>
        <w:t>48.67</w:t>
      </w:r>
      <w:r>
        <w:rPr>
          <w:rFonts w:hint="eastAsia" w:ascii="仿宋_GB2312" w:hAnsi="仿宋_GB2312" w:eastAsia="仿宋_GB2312" w:cs="仿宋_GB2312"/>
          <w:sz w:val="32"/>
          <w:szCs w:val="32"/>
          <w:lang w:eastAsia="zh-CN"/>
        </w:rPr>
        <w:t>%。主要原因是差旅费减少。</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bookmarkStart w:id="97" w:name="_Toc15377223"/>
      <w:bookmarkStart w:id="98" w:name="_Toc79163876"/>
      <w:bookmarkStart w:id="99" w:name="_Toc79163626"/>
      <w:r>
        <w:rPr>
          <w:rFonts w:hint="eastAsia" w:ascii="楷体_GB2312" w:hAnsi="楷体_GB2312" w:eastAsia="楷体_GB2312" w:cs="楷体_GB2312"/>
          <w:b/>
          <w:bCs/>
          <w:sz w:val="32"/>
          <w:szCs w:val="32"/>
          <w:lang w:eastAsia="zh-CN"/>
        </w:rPr>
        <w:t>（二）政府采购支出情况</w:t>
      </w:r>
      <w:bookmarkEnd w:id="97"/>
      <w:bookmarkEnd w:id="98"/>
      <w:bookmarkEnd w:id="99"/>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2020年，茂县供销社政府采购支出总额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bookmarkStart w:id="100" w:name="_Toc79163877"/>
      <w:bookmarkStart w:id="101" w:name="_Toc79163627"/>
      <w:bookmarkStart w:id="102" w:name="_Toc15377224"/>
      <w:r>
        <w:rPr>
          <w:rFonts w:hint="eastAsia" w:ascii="楷体_GB2312" w:hAnsi="楷体_GB2312" w:eastAsia="楷体_GB2312" w:cs="楷体_GB2312"/>
          <w:b/>
          <w:bCs/>
          <w:sz w:val="32"/>
          <w:szCs w:val="32"/>
          <w:lang w:eastAsia="zh-CN"/>
        </w:rPr>
        <w:t>（三）国有资产占有使用情况</w:t>
      </w:r>
      <w:bookmarkEnd w:id="100"/>
      <w:bookmarkEnd w:id="101"/>
      <w:bookmarkEnd w:id="102"/>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截至2020年12月31日，茂县供销社共有车辆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辆。</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eastAsia="zh-CN"/>
        </w:rPr>
      </w:pPr>
      <w:bookmarkStart w:id="103" w:name="_Toc79163878"/>
      <w:bookmarkStart w:id="104" w:name="_Toc79163628"/>
      <w:r>
        <w:rPr>
          <w:rFonts w:hint="eastAsia" w:ascii="楷体_GB2312" w:hAnsi="楷体_GB2312" w:eastAsia="楷体_GB2312" w:cs="楷体_GB2312"/>
          <w:b/>
          <w:bCs/>
          <w:sz w:val="32"/>
          <w:szCs w:val="32"/>
          <w:lang w:eastAsia="zh-CN"/>
        </w:rPr>
        <w:t>（四）预算绩效管理情况</w:t>
      </w:r>
      <w:bookmarkEnd w:id="103"/>
      <w:bookmarkEnd w:id="104"/>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根据预算绩效管理要求，本部门（单位）在年初预算编制阶段，组织对</w:t>
      </w:r>
      <w:r>
        <w:rPr>
          <w:rFonts w:hint="eastAsia" w:ascii="仿宋_GB2312" w:hAnsi="仿宋_GB2312" w:eastAsia="仿宋_GB2312" w:cs="仿宋_GB2312"/>
          <w:sz w:val="32"/>
          <w:szCs w:val="32"/>
          <w:lang w:val="en-US" w:eastAsia="zh-CN"/>
        </w:rPr>
        <w:t>2020年州级农资补贴</w:t>
      </w:r>
      <w:r>
        <w:rPr>
          <w:rFonts w:hint="eastAsia" w:ascii="仿宋_GB2312" w:hAnsi="仿宋_GB2312" w:eastAsia="仿宋_GB2312" w:cs="仿宋_GB2312"/>
          <w:sz w:val="32"/>
          <w:szCs w:val="32"/>
          <w:lang w:eastAsia="zh-CN"/>
        </w:rPr>
        <w:t>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个项目开展了绩效目标完成情况自评。</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本部门按要求对2020年部门整体支出开展绩效自评，从评价情况来看，</w:t>
      </w:r>
      <w:r>
        <w:rPr>
          <w:rFonts w:hint="eastAsia" w:ascii="仿宋_GB2312" w:hAnsi="仿宋_GB2312" w:eastAsia="仿宋_GB2312" w:cs="仿宋_GB2312"/>
          <w:sz w:val="32"/>
          <w:szCs w:val="32"/>
          <w:lang w:val="zh-CN" w:eastAsia="zh-CN"/>
        </w:rPr>
        <w:t>整体支出绩效评价自查自评结果良好，基本支出保证了部门的正常运行和日常工作正常开展，项目支出保障了重点工作的开展，达到预期绩效目标。</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本部门无专项预算项目，因此未组织开展项目支出绩效评价。</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1.项目绩效目标完成情况</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本部门在2019年度部门决算中反映“农业生产支持补贴”“民贸民品优惠贴息”“其他扶贫支出”等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个项目绩效目标实际完成情况。</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（1）农业生产支持补贴项目绩效目标完成情况综述。项目全年预算数</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万元，执行数为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%。通过项目实施，减轻了农民的负担。</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（2）民贸民品优惠贴息项目绩效目标完成情况综述。项目全年预算数</w:t>
      </w:r>
      <w:r>
        <w:rPr>
          <w:rFonts w:hint="eastAsia" w:ascii="仿宋_GB2312" w:hAnsi="仿宋_GB2312" w:eastAsia="仿宋_GB2312" w:cs="仿宋_GB2312"/>
          <w:sz w:val="32"/>
          <w:szCs w:val="32"/>
          <w:lang w:val="en-US" w:eastAsia="zh-CN"/>
        </w:rPr>
        <w:t>29.64</w:t>
      </w:r>
      <w:r>
        <w:rPr>
          <w:rFonts w:hint="eastAsia" w:ascii="仿宋_GB2312" w:hAnsi="仿宋_GB2312" w:eastAsia="仿宋_GB2312" w:cs="仿宋_GB2312"/>
          <w:sz w:val="32"/>
          <w:szCs w:val="32"/>
          <w:lang w:eastAsia="zh-CN"/>
        </w:rPr>
        <w:t>万元，执行数为</w:t>
      </w:r>
      <w:r>
        <w:rPr>
          <w:rFonts w:hint="eastAsia" w:ascii="仿宋_GB2312" w:hAnsi="仿宋_GB2312" w:eastAsia="仿宋_GB2312" w:cs="仿宋_GB2312"/>
          <w:sz w:val="32"/>
          <w:szCs w:val="32"/>
          <w:lang w:val="en-US" w:eastAsia="zh-CN"/>
        </w:rPr>
        <w:t>29.64</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%。通过项目实施，支持为农行业的发展，减轻企业的负担。</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）其他扶贫支出项目绩效目标完成情况综述。项目全年预算数</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lang w:eastAsia="zh-CN"/>
        </w:rPr>
        <w:t>万元，执行数为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%。通过项目实施，支持了脱贫攻坚工作。</w:t>
      </w:r>
    </w:p>
    <w:tbl>
      <w:tblPr>
        <w:tblStyle w:val="18"/>
        <w:tblpPr w:leftFromText="180" w:rightFromText="180" w:vertAnchor="text" w:horzAnchor="page" w:tblpX="1395" w:tblpY="80"/>
        <w:tblOverlap w:val="never"/>
        <w:tblW w:w="9103" w:type="dxa"/>
        <w:tblInd w:w="0" w:type="dxa"/>
        <w:tblLayout w:type="fixed"/>
        <w:tblCellMar>
          <w:top w:w="0" w:type="dxa"/>
          <w:left w:w="0" w:type="dxa"/>
          <w:bottom w:w="0" w:type="dxa"/>
          <w:right w:w="0" w:type="dxa"/>
        </w:tblCellMar>
      </w:tblPr>
      <w:tblGrid>
        <w:gridCol w:w="763"/>
        <w:gridCol w:w="1422"/>
        <w:gridCol w:w="1065"/>
        <w:gridCol w:w="1924"/>
        <w:gridCol w:w="2043"/>
        <w:gridCol w:w="1886"/>
      </w:tblGrid>
      <w:tr>
        <w:tblPrEx>
          <w:tblCellMar>
            <w:top w:w="0" w:type="dxa"/>
            <w:left w:w="0" w:type="dxa"/>
            <w:bottom w:w="0" w:type="dxa"/>
            <w:right w:w="0" w:type="dxa"/>
          </w:tblCellMar>
        </w:tblPrEx>
        <w:trPr>
          <w:trHeight w:val="1034" w:hRule="atLeast"/>
        </w:trPr>
        <w:tc>
          <w:tcPr>
            <w:tcW w:w="9103" w:type="dxa"/>
            <w:gridSpan w:val="6"/>
            <w:noWrap w:val="0"/>
            <w:tcMar>
              <w:top w:w="15" w:type="dxa"/>
              <w:left w:w="15" w:type="dxa"/>
              <w:bottom w:w="0" w:type="dxa"/>
              <w:right w:w="15" w:type="dxa"/>
            </w:tcMar>
            <w:vAlign w:val="center"/>
          </w:tcPr>
          <w:p>
            <w:pPr>
              <w:pStyle w:val="37"/>
              <w:pageBreakBefore w:val="0"/>
              <w:widowControl/>
              <w:kinsoku/>
              <w:wordWrap/>
              <w:overflowPunct/>
              <w:topLinePunct w:val="0"/>
              <w:bidi w:val="0"/>
              <w:spacing w:line="576" w:lineRule="exac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37"/>
              <w:pageBreakBefore w:val="0"/>
              <w:widowControl/>
              <w:kinsoku/>
              <w:wordWrap/>
              <w:overflowPunct/>
              <w:topLinePunct w:val="0"/>
              <w:bidi w:val="0"/>
              <w:spacing w:line="576" w:lineRule="exact"/>
              <w:ind w:firstLine="0" w:firstLineChars="0"/>
              <w:jc w:val="center"/>
              <w:textAlignment w:val="center"/>
              <w:rPr>
                <w:rFonts w:ascii="宋体"/>
                <w:color w:val="000000"/>
                <w:sz w:val="36"/>
                <w:szCs w:val="36"/>
              </w:rPr>
            </w:pPr>
            <w:r>
              <w:rPr>
                <w:rFonts w:ascii="宋体" w:hAnsi="宋体" w:cs="宋体"/>
                <w:color w:val="000000"/>
                <w:kern w:val="0"/>
                <w:sz w:val="36"/>
                <w:szCs w:val="36"/>
              </w:rPr>
              <w:t>(2</w:t>
            </w:r>
            <w:r>
              <w:rPr>
                <w:rFonts w:hint="eastAsia" w:ascii="宋体" w:hAnsi="宋体" w:cs="宋体"/>
                <w:color w:val="000000"/>
                <w:kern w:val="0"/>
                <w:sz w:val="36"/>
                <w:szCs w:val="36"/>
                <w:lang w:val="en-US" w:eastAsia="zh-CN"/>
              </w:rPr>
              <w:t>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32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项目名称</w:t>
            </w:r>
          </w:p>
        </w:tc>
        <w:tc>
          <w:tcPr>
            <w:tcW w:w="58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农业生产支持补贴</w:t>
            </w:r>
          </w:p>
        </w:tc>
      </w:tr>
      <w:tr>
        <w:tblPrEx>
          <w:tblCellMar>
            <w:top w:w="0" w:type="dxa"/>
            <w:left w:w="0" w:type="dxa"/>
            <w:bottom w:w="0" w:type="dxa"/>
            <w:right w:w="0" w:type="dxa"/>
          </w:tblCellMar>
        </w:tblPrEx>
        <w:trPr>
          <w:trHeight w:val="276" w:hRule="atLeast"/>
        </w:trPr>
        <w:tc>
          <w:tcPr>
            <w:tcW w:w="32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预算单位</w:t>
            </w:r>
          </w:p>
        </w:tc>
        <w:tc>
          <w:tcPr>
            <w:tcW w:w="58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茂县供销社</w:t>
            </w:r>
          </w:p>
        </w:tc>
      </w:tr>
      <w:tr>
        <w:tblPrEx>
          <w:tblCellMar>
            <w:top w:w="0" w:type="dxa"/>
            <w:left w:w="0" w:type="dxa"/>
            <w:bottom w:w="0" w:type="dxa"/>
            <w:right w:w="0" w:type="dxa"/>
          </w:tblCellMar>
        </w:tblPrEx>
        <w:trPr>
          <w:trHeight w:val="276"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预</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算</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执</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行</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情</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况</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(万元)</w:t>
            </w:r>
          </w:p>
        </w:tc>
        <w:tc>
          <w:tcPr>
            <w:tcW w:w="24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预算数:</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32</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执行数:</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32</w:t>
            </w:r>
          </w:p>
        </w:tc>
      </w:tr>
      <w:tr>
        <w:tblPrEx>
          <w:tblCellMar>
            <w:top w:w="0" w:type="dxa"/>
            <w:left w:w="0" w:type="dxa"/>
            <w:bottom w:w="0" w:type="dxa"/>
            <w:right w:w="0" w:type="dxa"/>
          </w:tblCellMar>
        </w:tblPrEx>
        <w:trPr>
          <w:trHeight w:val="276"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p>
        </w:tc>
        <w:tc>
          <w:tcPr>
            <w:tcW w:w="24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其中-财政拨款:</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32</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其中-财政</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拨款:</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32</w:t>
            </w:r>
          </w:p>
        </w:tc>
      </w:tr>
      <w:tr>
        <w:tblPrEx>
          <w:tblCellMar>
            <w:top w:w="0" w:type="dxa"/>
            <w:left w:w="0" w:type="dxa"/>
            <w:bottom w:w="0" w:type="dxa"/>
            <w:right w:w="0" w:type="dxa"/>
          </w:tblCellMar>
        </w:tblPrEx>
        <w:trPr>
          <w:trHeight w:val="1468"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p>
        </w:tc>
        <w:tc>
          <w:tcPr>
            <w:tcW w:w="24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其它资金:</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0</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其它资金:</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0</w:t>
            </w:r>
          </w:p>
        </w:tc>
      </w:tr>
      <w:tr>
        <w:tblPrEx>
          <w:tblCellMar>
            <w:top w:w="0" w:type="dxa"/>
            <w:left w:w="0" w:type="dxa"/>
            <w:bottom w:w="0" w:type="dxa"/>
            <w:right w:w="0" w:type="dxa"/>
          </w:tblCellMar>
        </w:tblPrEx>
        <w:trPr>
          <w:trHeight w:val="276"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年</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度</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目</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标</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完</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成</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情</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况</w:t>
            </w:r>
          </w:p>
        </w:tc>
        <w:tc>
          <w:tcPr>
            <w:tcW w:w="44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预期目标</w:t>
            </w:r>
          </w:p>
        </w:tc>
        <w:tc>
          <w:tcPr>
            <w:tcW w:w="3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实际完成目标</w:t>
            </w:r>
          </w:p>
        </w:tc>
      </w:tr>
      <w:tr>
        <w:tblPrEx>
          <w:tblCellMar>
            <w:top w:w="0" w:type="dxa"/>
            <w:left w:w="0" w:type="dxa"/>
            <w:bottom w:w="0" w:type="dxa"/>
            <w:right w:w="0" w:type="dxa"/>
          </w:tblCellMar>
        </w:tblPrEx>
        <w:trPr>
          <w:trHeight w:val="2701"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p>
        </w:tc>
        <w:tc>
          <w:tcPr>
            <w:tcW w:w="44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减轻农民的负担</w:t>
            </w:r>
          </w:p>
        </w:tc>
        <w:tc>
          <w:tcPr>
            <w:tcW w:w="3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通过对项目的实施，减轻了农民的负担</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p>
        </w:tc>
      </w:tr>
      <w:tr>
        <w:tblPrEx>
          <w:tblCellMar>
            <w:top w:w="0" w:type="dxa"/>
            <w:left w:w="0" w:type="dxa"/>
            <w:bottom w:w="0" w:type="dxa"/>
            <w:right w:w="0" w:type="dxa"/>
          </w:tblCellMar>
        </w:tblPrEx>
        <w:trPr>
          <w:trHeight w:val="1311"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绩</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效</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指</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标</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完</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成</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情</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况</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一级指标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二级指标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三级指标</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预期指标值(包含数字及文字描述)</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实际完成指标值(包含数字及文字描述)</w:t>
            </w:r>
          </w:p>
        </w:tc>
      </w:tr>
      <w:tr>
        <w:tblPrEx>
          <w:tblCellMar>
            <w:top w:w="0" w:type="dxa"/>
            <w:left w:w="0" w:type="dxa"/>
            <w:bottom w:w="0" w:type="dxa"/>
            <w:right w:w="0" w:type="dxa"/>
          </w:tblCellMar>
        </w:tblPrEx>
        <w:trPr>
          <w:trHeight w:val="813"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项目</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完成</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质量指标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发放次数</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&gt;2次</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一次性发放</w:t>
            </w:r>
          </w:p>
        </w:tc>
      </w:tr>
      <w:tr>
        <w:tblPrEx>
          <w:tblCellMar>
            <w:top w:w="0" w:type="dxa"/>
            <w:left w:w="0" w:type="dxa"/>
            <w:bottom w:w="0" w:type="dxa"/>
            <w:right w:w="0" w:type="dxa"/>
          </w:tblCellMar>
        </w:tblPrEx>
        <w:trPr>
          <w:trHeight w:val="88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项目</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完成</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时效指标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发放时间</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2020年</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按时足额兑现</w:t>
            </w:r>
          </w:p>
        </w:tc>
      </w:tr>
      <w:tr>
        <w:tblPrEx>
          <w:tblCellMar>
            <w:top w:w="0" w:type="dxa"/>
            <w:left w:w="0" w:type="dxa"/>
            <w:bottom w:w="0" w:type="dxa"/>
            <w:right w:w="0" w:type="dxa"/>
          </w:tblCellMar>
        </w:tblPrEx>
        <w:trPr>
          <w:trHeight w:val="1042"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效益指标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社会效益指标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拟达指标</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减轻农民的负担</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通过对项目的实施，减轻了农民的负担</w:t>
            </w:r>
          </w:p>
        </w:tc>
      </w:tr>
      <w:tr>
        <w:tblPrEx>
          <w:tblCellMar>
            <w:top w:w="0" w:type="dxa"/>
            <w:left w:w="0" w:type="dxa"/>
            <w:bottom w:w="0" w:type="dxa"/>
            <w:right w:w="0" w:type="dxa"/>
          </w:tblCellMar>
        </w:tblPrEx>
        <w:trPr>
          <w:trHeight w:val="105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满意度</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满意度</w:t>
            </w:r>
          </w:p>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用户满意度</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&gt;90%</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ageBreakBefore w:val="0"/>
              <w:widowControl/>
              <w:kinsoku/>
              <w:wordWrap/>
              <w:overflowPunct/>
              <w:topLinePunct w:val="0"/>
              <w:bidi w:val="0"/>
              <w:spacing w:line="576" w:lineRule="exact"/>
              <w:ind w:left="420" w:leftChars="200"/>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用户满意度100%</w:t>
            </w:r>
          </w:p>
        </w:tc>
      </w:tr>
    </w:tbl>
    <w:p>
      <w:pPr>
        <w:pageBreakBefore w:val="0"/>
        <w:kinsoku/>
        <w:wordWrap/>
        <w:overflowPunct/>
        <w:topLinePunct w:val="0"/>
        <w:bidi w:val="0"/>
        <w:spacing w:line="576" w:lineRule="exact"/>
        <w:rPr>
          <w:rFonts w:ascii="仿宋_GB2312" w:hAnsi="仿宋_GB2312" w:eastAsia="仿宋_GB2312" w:cs="仿宋_GB2312"/>
          <w:sz w:val="28"/>
          <w:szCs w:val="28"/>
        </w:rPr>
      </w:pP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lang w:eastAsia="zh-CN"/>
        </w:rPr>
      </w:pPr>
      <w:bookmarkStart w:id="159" w:name="_GoBack"/>
      <w:r>
        <w:rPr>
          <w:rFonts w:hint="eastAsia" w:ascii="仿宋_GB2312" w:hAnsi="仿宋_GB2312" w:eastAsia="仿宋_GB2312" w:cs="仿宋_GB2312"/>
          <w:b/>
          <w:bCs/>
          <w:sz w:val="32"/>
          <w:szCs w:val="32"/>
          <w:lang w:eastAsia="zh-CN"/>
        </w:rPr>
        <w:t>2.部门绩效评价结果</w:t>
      </w:r>
    </w:p>
    <w:bookmarkEnd w:id="159"/>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本部门按要求对2020年部门整体支出绩效评价情况开展自评，《茂县供销社2020年部门整体支出绩效评价报告》见附件（附件1）。</w:t>
      </w:r>
    </w:p>
    <w:p>
      <w:pPr>
        <w:pageBreakBefore w:val="0"/>
        <w:numPr>
          <w:ilvl w:val="0"/>
          <w:numId w:val="1"/>
        </w:numPr>
        <w:kinsoku/>
        <w:wordWrap/>
        <w:overflowPunct/>
        <w:topLinePunct w:val="0"/>
        <w:bidi w:val="0"/>
        <w:spacing w:line="576" w:lineRule="exact"/>
        <w:ind w:firstLine="660" w:firstLineChars="150"/>
        <w:jc w:val="center"/>
        <w:outlineLvl w:val="0"/>
        <w:rPr>
          <w:rStyle w:val="22"/>
          <w:rFonts w:hint="eastAsia" w:ascii="方正小标宋简体" w:hAnsi="方正小标宋简体" w:eastAsia="方正小标宋简体" w:cs="方正小标宋简体"/>
          <w:b w:val="0"/>
        </w:rPr>
      </w:pPr>
      <w:bookmarkStart w:id="105" w:name="_Toc79163629"/>
      <w:bookmarkStart w:id="106" w:name="_Toc15377225"/>
      <w:bookmarkStart w:id="107" w:name="_Toc79163879"/>
      <w:bookmarkStart w:id="108" w:name="_Toc15396613"/>
      <w:r>
        <w:rPr>
          <w:rFonts w:hint="eastAsia" w:ascii="方正小标宋简体" w:hAnsi="方正小标宋简体" w:eastAsia="方正小标宋简体" w:cs="方正小标宋简体"/>
          <w:color w:val="000000"/>
          <w:sz w:val="44"/>
          <w:szCs w:val="44"/>
        </w:rPr>
        <w:t>名</w:t>
      </w:r>
      <w:r>
        <w:rPr>
          <w:rStyle w:val="22"/>
          <w:rFonts w:hint="eastAsia" w:ascii="方正小标宋简体" w:hAnsi="方正小标宋简体" w:eastAsia="方正小标宋简体" w:cs="方正小标宋简体"/>
          <w:b w:val="0"/>
        </w:rPr>
        <w:t>词解释</w:t>
      </w:r>
      <w:bookmarkEnd w:id="105"/>
      <w:bookmarkEnd w:id="106"/>
      <w:bookmarkEnd w:id="107"/>
      <w:bookmarkEnd w:id="108"/>
    </w:p>
    <w:p>
      <w:pPr>
        <w:pageBreakBefore w:val="0"/>
        <w:kinsoku/>
        <w:wordWrap/>
        <w:overflowPunct/>
        <w:topLinePunct w:val="0"/>
        <w:bidi w:val="0"/>
        <w:spacing w:line="576" w:lineRule="exact"/>
        <w:jc w:val="left"/>
        <w:rPr>
          <w:rFonts w:ascii="宋体"/>
          <w:b/>
          <w:color w:val="000000"/>
          <w:sz w:val="44"/>
          <w:szCs w:val="44"/>
        </w:rPr>
      </w:pP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1.财政拨款收入：指单位从同级财政部门取得的财政预算资金。</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2.事业收入：指事业单位开展专业业务活动及辅助活动取得的收入。</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3.经营收入：指事业单位在专业业务活动及其辅助活动之外开展非独立核算经营活动取得的收入。</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4.其他收入：指单位取得的除上述收入以外的各项收入。</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5.使用非财政拨款结余：指事业单位使用以前年度积累的非财政拨款结余弥补当年收支差额的金额。 </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6.年初结转和结余：指以前年度尚未完成、结转到本年按有关规定继续使用的资金。 </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7.结余分配：指事业单位按照会计制度规定缴纳的所得税、提取的专用结余以及转入非财政拨款结余的金额等。</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8、年末结转和结余：指单位按有关规定结转到下年或以后年度继续使用的资金。</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9.一般公共服务商业服务业（类）商业流通事务（款）行政运行（项）：指</w:t>
      </w:r>
      <w:r>
        <w:rPr>
          <w:rFonts w:hint="eastAsia" w:ascii="仿宋_GB2312" w:hAnsi="仿宋_GB2312" w:eastAsia="仿宋_GB2312" w:cs="仿宋_GB2312"/>
          <w:sz w:val="32"/>
          <w:szCs w:val="32"/>
          <w:lang w:eastAsia="zh-CN"/>
        </w:rPr>
        <w:t>用于保障机构正常运行、开展日常工作的基本支出。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10.一般公共服务商业服务业（类）商业流通事务（款）其他商业流通事务（项）：指</w:t>
      </w:r>
      <w:r>
        <w:rPr>
          <w:rFonts w:hint="eastAsia" w:ascii="仿宋_GB2312" w:hAnsi="仿宋_GB2312" w:eastAsia="仿宋_GB2312" w:cs="仿宋_GB2312"/>
          <w:sz w:val="32"/>
          <w:szCs w:val="32"/>
          <w:lang w:eastAsia="zh-CN"/>
        </w:rPr>
        <w:t>其他用于商业流通事务方面的支出。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11.一般公共服务商业服务业（类）商业流通事务（款）民贸民品贷款贴息（项）：指对从事民贸民品生产销售企业贷款贴息。</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12.社会保障和就业（类）行政事业单位离退休（款）机关事业单位基本养老保险缴费（项）：</w:t>
      </w:r>
      <w:r>
        <w:rPr>
          <w:rFonts w:hint="eastAsia" w:ascii="仿宋_GB2312" w:hAnsi="仿宋_GB2312" w:eastAsia="仿宋_GB2312" w:cs="仿宋_GB2312"/>
          <w:sz w:val="32"/>
          <w:szCs w:val="32"/>
          <w:lang w:eastAsia="zh-CN"/>
        </w:rPr>
        <w:t xml:space="preserve">指部门实施养老保险制度由单位缴纳的养老保险费的支出。 </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13.社会保障和就业（类）行政事业单位离退休（款）机关事业单位职业年金缴费（项）：指</w:t>
      </w:r>
      <w:r>
        <w:rPr>
          <w:rFonts w:hint="eastAsia" w:ascii="仿宋_GB2312" w:hAnsi="仿宋_GB2312" w:eastAsia="仿宋_GB2312" w:cs="仿宋_GB2312"/>
          <w:sz w:val="32"/>
          <w:szCs w:val="32"/>
          <w:lang w:eastAsia="zh-CN"/>
        </w:rPr>
        <w:t xml:space="preserve">部门实施养老保险制度由单位缴纳的职业年金的支出。 </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14.医疗卫生与计划生育（类）行政事业单位医疗（款）行政单位医疗（项）：指</w:t>
      </w:r>
      <w:r>
        <w:rPr>
          <w:rFonts w:hint="eastAsia" w:ascii="仿宋_GB2312" w:hAnsi="仿宋_GB2312" w:eastAsia="仿宋_GB2312" w:cs="仿宋_GB2312"/>
          <w:sz w:val="32"/>
          <w:szCs w:val="32"/>
          <w:lang w:eastAsia="zh-CN"/>
        </w:rPr>
        <w:t xml:space="preserve">厅机关及参公管理事业单位用于缴纳单位基本医疗保险支出。 </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15.住房保障支出（类）住房公积金（款）住房公积金（项）：指</w:t>
      </w:r>
      <w:r>
        <w:rPr>
          <w:rFonts w:hint="eastAsia" w:ascii="仿宋_GB2312" w:hAnsi="仿宋_GB2312" w:eastAsia="仿宋_GB2312" w:cs="仿宋_GB2312"/>
          <w:sz w:val="32"/>
          <w:szCs w:val="32"/>
          <w:lang w:eastAsia="zh-CN"/>
        </w:rPr>
        <w:t>行政事业单位按规定为职工缴纳的住房公积金。</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16.住房保障支出（类）住房改革支出（款）住房公积住房改革支出（款）购房补贴（项）：指</w:t>
      </w:r>
      <w:r>
        <w:rPr>
          <w:rFonts w:hint="eastAsia" w:ascii="仿宋_GB2312" w:hAnsi="仿宋_GB2312" w:eastAsia="仿宋_GB2312" w:cs="仿宋_GB2312"/>
          <w:sz w:val="32"/>
          <w:szCs w:val="32"/>
          <w:lang w:eastAsia="zh-CN"/>
        </w:rPr>
        <w:t>行政事业单位按规定为职工支付的购房补贴。</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17.农林水支出（类）农业（款）农业生产支持补贴（项）：指</w:t>
      </w:r>
      <w:r>
        <w:rPr>
          <w:rFonts w:hint="eastAsia" w:ascii="仿宋_GB2312" w:hAnsi="仿宋_GB2312" w:eastAsia="仿宋_GB2312" w:cs="仿宋_GB2312"/>
          <w:sz w:val="32"/>
          <w:szCs w:val="32"/>
          <w:lang w:eastAsia="zh-CN"/>
        </w:rPr>
        <w:t>反映对种粮农民直接补贴，对农业生产资料补贴、技术物化补贴，推广先进适用农机农艺技术等方面支出。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18.农林水支出（类）农业（款）其他农业支出（项）：指</w:t>
      </w:r>
      <w:r>
        <w:rPr>
          <w:rFonts w:hint="eastAsia" w:ascii="仿宋_GB2312" w:hAnsi="仿宋_GB2312" w:eastAsia="仿宋_GB2312" w:cs="仿宋_GB2312"/>
          <w:sz w:val="32"/>
          <w:szCs w:val="32"/>
          <w:lang w:eastAsia="zh-CN"/>
        </w:rPr>
        <w:t>反映其他用于农业方面的支出。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.基本支出：指为保障机构正常运转、完成日常工作任务而发生的人员支出和公用支出。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 xml:space="preserve">.项目支出：指在基本支出之外为完成特定行政任务和事业发展目标所发生的支出。 </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.经营支出：指事业单位在专业业务活动及其辅助活动之外开展非独立核算经营活动发生的支出。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bookmarkStart w:id="109" w:name="_Toc79163630"/>
      <w:bookmarkStart w:id="110" w:name="_Toc79163880"/>
      <w:bookmarkStart w:id="111" w:name="_Toc15396614"/>
      <w:bookmarkStart w:id="112" w:name="_Toc15377226"/>
    </w:p>
    <w:p>
      <w:pPr>
        <w:pageBreakBefore w:val="0"/>
        <w:kinsoku/>
        <w:wordWrap/>
        <w:overflowPunct/>
        <w:topLinePunct w:val="0"/>
        <w:bidi w:val="0"/>
        <w:spacing w:line="576" w:lineRule="exact"/>
        <w:jc w:val="center"/>
        <w:outlineLvl w:val="0"/>
        <w:rPr>
          <w:rStyle w:val="22"/>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color w:val="000000"/>
          <w:sz w:val="44"/>
          <w:szCs w:val="44"/>
        </w:rPr>
        <w:t>第</w:t>
      </w:r>
      <w:r>
        <w:rPr>
          <w:rStyle w:val="22"/>
          <w:rFonts w:hint="eastAsia" w:ascii="方正小标宋简体" w:hAnsi="方正小标宋简体" w:eastAsia="方正小标宋简体" w:cs="方正小标宋简体"/>
          <w:b w:val="0"/>
          <w:sz w:val="44"/>
          <w:szCs w:val="44"/>
        </w:rPr>
        <w:t>四部分 附件</w:t>
      </w:r>
      <w:bookmarkEnd w:id="109"/>
      <w:bookmarkEnd w:id="110"/>
      <w:bookmarkEnd w:id="111"/>
    </w:p>
    <w:p>
      <w:pPr>
        <w:pageBreakBefore w:val="0"/>
        <w:kinsoku/>
        <w:wordWrap/>
        <w:overflowPunct/>
        <w:topLinePunct w:val="0"/>
        <w:bidi w:val="0"/>
        <w:spacing w:line="576" w:lineRule="exact"/>
        <w:jc w:val="left"/>
        <w:outlineLvl w:val="0"/>
        <w:rPr>
          <w:rFonts w:hint="eastAsia" w:ascii="仿宋_GB2312" w:hAnsi="仿宋_GB2312" w:eastAsia="仿宋_GB2312" w:cs="仿宋_GB2312"/>
          <w:sz w:val="32"/>
          <w:szCs w:val="32"/>
        </w:rPr>
      </w:pPr>
      <w:bookmarkStart w:id="113" w:name="_Toc79163881"/>
      <w:bookmarkStart w:id="114" w:name="_Toc79163631"/>
      <w:r>
        <w:rPr>
          <w:rFonts w:hint="eastAsia" w:ascii="仿宋_GB2312" w:hAnsi="仿宋_GB2312" w:eastAsia="仿宋_GB2312" w:cs="仿宋_GB2312"/>
          <w:sz w:val="32"/>
          <w:szCs w:val="32"/>
        </w:rPr>
        <w:t>附件1</w:t>
      </w:r>
      <w:bookmarkEnd w:id="113"/>
      <w:bookmarkEnd w:id="114"/>
    </w:p>
    <w:p>
      <w:pPr>
        <w:pageBreakBefore w:val="0"/>
        <w:kinsoku/>
        <w:wordWrap/>
        <w:overflowPunct/>
        <w:topLinePunct w:val="0"/>
        <w:bidi w:val="0"/>
        <w:spacing w:line="576" w:lineRule="exact"/>
        <w:jc w:val="center"/>
        <w:rPr>
          <w:rFonts w:ascii="方正小标宋简体" w:hAnsi="方正小标宋简体" w:eastAsia="方正小标宋简体" w:cs="方正小标宋简体"/>
          <w:sz w:val="44"/>
          <w:szCs w:val="44"/>
        </w:rPr>
      </w:pPr>
    </w:p>
    <w:p>
      <w:pPr>
        <w:pageBreakBefore w:val="0"/>
        <w:widowControl/>
        <w:kinsoku/>
        <w:wordWrap/>
        <w:overflowPunct/>
        <w:topLinePunct w:val="0"/>
        <w:bidi w:val="0"/>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茂县供销社</w:t>
      </w:r>
    </w:p>
    <w:p>
      <w:pPr>
        <w:pageBreakBefore w:val="0"/>
        <w:widowControl/>
        <w:kinsoku/>
        <w:wordWrap/>
        <w:overflowPunct/>
        <w:topLinePunct w:val="0"/>
        <w:bidi w:val="0"/>
        <w:spacing w:line="576" w:lineRule="exact"/>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2020</w:t>
      </w:r>
      <w:r>
        <w:rPr>
          <w:rFonts w:hint="eastAsia" w:ascii="方正小标宋简体" w:hAnsi="宋体" w:eastAsia="方正小标宋简体"/>
          <w:sz w:val="44"/>
          <w:szCs w:val="44"/>
          <w:shd w:val="clear" w:color="auto" w:fill="FFFFFF"/>
        </w:rPr>
        <w:t>年整体支出绩效自评报告</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宋体" w:eastAsia="黑体" w:cs="宋体"/>
          <w:color w:val="000000"/>
          <w:kern w:val="0"/>
          <w:sz w:val="32"/>
          <w:szCs w:val="32"/>
          <w:shd w:val="clear" w:color="auto" w:fill="FFFFFF"/>
        </w:rPr>
      </w:pP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eastAsia="zh-CN"/>
        </w:rPr>
        <w:t>部门概况</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（一）机构组成</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茂县供销合作社联合社内设办公室、计财审计股、社务指导.业务发展.物业管理.安全法制综合股。</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（二）机构职能</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宣传贯彻党中央、国务院、省委、省政府和州委、州政府及县委、县政府有关农业、农村经济工作和社会发展方针政策，维护全县供销社的合法权益；研究和制定全县供销合作社发展规划，指导全县供销合作社的企业改革和发展；对重要农业生产资料、农副产品经营进行组织、储备、调运工作，负责烟花爆竹和废旧物资再生资源的经营及社办工业的指导；协调同政府有关部门、社会组织的关系，研究供销合作经济运行中的重大问题，组织全县供销系统参与和推进农业产业化经营，加强农产品市场调查研究，培育农产品市场，组织发展专业合作社消费合作社等中介服务组织；指导农村社会化服务体系建设；积极参与供销合作经济对外交流活动；承担县政府交办的其他事项。</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（三）人员概况</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供销社机关事业编制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人，实有在职职工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eastAsia="zh-CN"/>
        </w:rPr>
        <w:t>人，退休</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val="zh-CN" w:eastAsia="zh-CN"/>
        </w:rPr>
        <w:t>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二、部门财政资金收支情况</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（一）部门财政资金收入情况</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eastAsia="zh-CN"/>
        </w:rPr>
        <w:t>年度财政资金收入合计</w:t>
      </w:r>
      <w:r>
        <w:rPr>
          <w:rFonts w:hint="eastAsia" w:ascii="仿宋_GB2312" w:hAnsi="仿宋_GB2312" w:eastAsia="仿宋_GB2312" w:cs="仿宋_GB2312"/>
          <w:sz w:val="32"/>
          <w:szCs w:val="32"/>
          <w:lang w:val="en-US" w:eastAsia="zh-CN"/>
        </w:rPr>
        <w:t>305.89万元.</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（二）部门财政资金支出情况</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eastAsia="zh-CN"/>
        </w:rPr>
        <w:t>年度供销社财政资金支出共计</w:t>
      </w:r>
      <w:r>
        <w:rPr>
          <w:rFonts w:hint="eastAsia" w:ascii="仿宋_GB2312" w:hAnsi="仿宋_GB2312" w:eastAsia="仿宋_GB2312" w:cs="仿宋_GB2312"/>
          <w:sz w:val="32"/>
          <w:szCs w:val="32"/>
          <w:lang w:val="en-US" w:eastAsia="zh-CN"/>
        </w:rPr>
        <w:t>305.89万</w:t>
      </w:r>
      <w:r>
        <w:rPr>
          <w:rFonts w:hint="eastAsia" w:ascii="仿宋_GB2312" w:hAnsi="仿宋_GB2312" w:eastAsia="仿宋_GB2312" w:cs="仿宋_GB2312"/>
          <w:sz w:val="32"/>
          <w:szCs w:val="32"/>
          <w:lang w:val="zh-CN" w:eastAsia="zh-CN"/>
        </w:rPr>
        <w:t>元。</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三、部门整体预算绩效管理情况</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（一）部门预算管理</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茂县供销社单位机构性质是参照公务员管理的事业</w:t>
      </w:r>
      <w:r>
        <w:rPr>
          <w:rFonts w:hint="eastAsia" w:ascii="仿宋_GB2312" w:hAnsi="仿宋_GB2312" w:eastAsia="仿宋_GB2312" w:cs="仿宋_GB2312"/>
          <w:sz w:val="32"/>
          <w:szCs w:val="32"/>
          <w:lang w:val="en-US" w:eastAsia="zh-CN"/>
        </w:rPr>
        <w:t>单</w:t>
      </w:r>
      <w:r>
        <w:rPr>
          <w:rFonts w:hint="eastAsia" w:ascii="仿宋_GB2312" w:hAnsi="仿宋_GB2312" w:eastAsia="仿宋_GB2312" w:cs="仿宋_GB2312"/>
          <w:sz w:val="32"/>
          <w:szCs w:val="32"/>
          <w:lang w:val="zh-CN" w:eastAsia="zh-CN"/>
        </w:rPr>
        <w:t>位，</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eastAsia="zh-CN"/>
        </w:rPr>
        <w:t>年收入总额为</w:t>
      </w:r>
      <w:r>
        <w:rPr>
          <w:rFonts w:hint="eastAsia" w:ascii="仿宋_GB2312" w:hAnsi="仿宋_GB2312" w:eastAsia="仿宋_GB2312" w:cs="仿宋_GB2312"/>
          <w:sz w:val="32"/>
          <w:szCs w:val="32"/>
          <w:lang w:val="en-US" w:eastAsia="zh-CN"/>
        </w:rPr>
        <w:t>305.89万</w:t>
      </w:r>
      <w:r>
        <w:rPr>
          <w:rFonts w:hint="eastAsia" w:ascii="仿宋_GB2312" w:hAnsi="仿宋_GB2312" w:eastAsia="仿宋_GB2312" w:cs="仿宋_GB2312"/>
          <w:sz w:val="32"/>
          <w:szCs w:val="32"/>
          <w:lang w:val="zh-CN" w:eastAsia="zh-CN"/>
        </w:rPr>
        <w:t>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eastAsia="zh-CN"/>
        </w:rPr>
        <w:t>年度供销社财政拨款收入决算数为</w:t>
      </w:r>
      <w:r>
        <w:rPr>
          <w:rFonts w:hint="eastAsia" w:ascii="仿宋_GB2312" w:hAnsi="仿宋_GB2312" w:eastAsia="仿宋_GB2312" w:cs="仿宋_GB2312"/>
          <w:sz w:val="32"/>
          <w:szCs w:val="32"/>
          <w:lang w:val="en-US" w:eastAsia="zh-CN"/>
        </w:rPr>
        <w:t>305.89万</w:t>
      </w:r>
      <w:r>
        <w:rPr>
          <w:rFonts w:hint="eastAsia" w:ascii="仿宋_GB2312" w:hAnsi="仿宋_GB2312" w:eastAsia="仿宋_GB2312" w:cs="仿宋_GB2312"/>
          <w:sz w:val="32"/>
          <w:szCs w:val="32"/>
          <w:lang w:val="zh-CN" w:eastAsia="zh-CN"/>
        </w:rPr>
        <w:t>元，支出决算数为</w:t>
      </w:r>
      <w:r>
        <w:rPr>
          <w:rFonts w:hint="eastAsia" w:ascii="仿宋_GB2312" w:hAnsi="仿宋_GB2312" w:eastAsia="仿宋_GB2312" w:cs="仿宋_GB2312"/>
          <w:sz w:val="32"/>
          <w:szCs w:val="32"/>
          <w:lang w:val="en-US" w:eastAsia="zh-CN"/>
        </w:rPr>
        <w:t>305.89万</w:t>
      </w:r>
      <w:r>
        <w:rPr>
          <w:rFonts w:hint="eastAsia" w:ascii="仿宋_GB2312" w:hAnsi="仿宋_GB2312" w:eastAsia="仿宋_GB2312" w:cs="仿宋_GB2312"/>
          <w:sz w:val="32"/>
          <w:szCs w:val="32"/>
          <w:lang w:val="zh-CN" w:eastAsia="zh-CN"/>
        </w:rPr>
        <w:t>元。</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zh-CN" w:eastAsia="zh-CN"/>
        </w:rPr>
        <w:t>单位2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lang w:val="zh-CN" w:eastAsia="zh-CN"/>
        </w:rPr>
        <w:t>年度“三公”经费支付总额为0万元。</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（二）结果应用情况</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严格按照预决算管理制度和财务会计制度编制预决算，严格按照有关规定使用“三公”经费，数据是真实、准确、完整并及时上报，不存在上报数据与财务账不一致等问题。我社严格按照政府和财政的规定执行政策采购、认真做好资产管理、内控制度管理，及时做好预决算信息公开，绩效评价及依法接受财政监督情况等。</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四、评价结论及建议</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（一）评价结论</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zh-CN" w:eastAsia="zh-CN"/>
        </w:rPr>
        <w:t>供销社坚持为“三农”服务办社宗旨，提升为农服务功能；坚持以市场经济为导向，提升企业市场竞争力；坚持稳中求进的工作基调，推进供销社综合改革发展，取得了较好良好，基本支出保证了部门的正常运行和日常工作正常开展，项目支出保障了重点工作的开展，达到预期绩效目标，得分</w:t>
      </w:r>
      <w:r>
        <w:rPr>
          <w:rFonts w:hint="eastAsia" w:ascii="仿宋_GB2312" w:hAnsi="仿宋_GB2312" w:eastAsia="仿宋_GB2312" w:cs="仿宋_GB2312"/>
          <w:sz w:val="32"/>
          <w:szCs w:val="32"/>
          <w:lang w:val="en-US" w:eastAsia="zh-CN"/>
        </w:rPr>
        <w:t>86分。</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（二）存在问题</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部门预算执行情况较缓慢。</w:t>
      </w:r>
    </w:p>
    <w:p>
      <w:pPr>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（三）改进建议</w:t>
      </w:r>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加快部门预算执行进度。</w:t>
      </w: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bookmarkStart w:id="115" w:name="_Toc79163635"/>
      <w:bookmarkStart w:id="116" w:name="_Toc15396618"/>
      <w:bookmarkStart w:id="117" w:name="_Toc79163885"/>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color w:val="000000"/>
          <w:sz w:val="44"/>
          <w:szCs w:val="44"/>
        </w:rPr>
      </w:pPr>
    </w:p>
    <w:p>
      <w:pPr>
        <w:pageBreakBefore w:val="0"/>
        <w:kinsoku/>
        <w:wordWrap/>
        <w:overflowPunct/>
        <w:topLinePunct w:val="0"/>
        <w:bidi w:val="0"/>
        <w:spacing w:line="576" w:lineRule="exact"/>
        <w:jc w:val="center"/>
        <w:outlineLvl w:val="0"/>
        <w:rPr>
          <w:rStyle w:val="22"/>
          <w:rFonts w:ascii="黑体" w:hAnsi="黑体" w:eastAsia="黑体"/>
          <w:b w:val="0"/>
        </w:rPr>
      </w:pPr>
      <w:r>
        <w:rPr>
          <w:rFonts w:hint="eastAsia" w:ascii="黑体" w:hAnsi="黑体" w:eastAsia="黑体"/>
          <w:color w:val="000000"/>
          <w:sz w:val="44"/>
          <w:szCs w:val="44"/>
        </w:rPr>
        <w:t>第</w:t>
      </w:r>
      <w:r>
        <w:rPr>
          <w:rStyle w:val="22"/>
          <w:rFonts w:hint="eastAsia" w:ascii="黑体" w:hAnsi="黑体" w:eastAsia="黑体"/>
          <w:b w:val="0"/>
        </w:rPr>
        <w:t>五部分</w:t>
      </w:r>
      <w:r>
        <w:rPr>
          <w:rStyle w:val="22"/>
          <w:rFonts w:ascii="黑体" w:hAnsi="黑体" w:eastAsia="黑体"/>
          <w:b w:val="0"/>
        </w:rPr>
        <w:t xml:space="preserve"> </w:t>
      </w:r>
      <w:r>
        <w:rPr>
          <w:rStyle w:val="22"/>
          <w:rFonts w:hint="eastAsia" w:ascii="黑体" w:hAnsi="黑体" w:eastAsia="黑体"/>
          <w:b w:val="0"/>
        </w:rPr>
        <w:t>附表</w:t>
      </w:r>
      <w:bookmarkEnd w:id="112"/>
      <w:bookmarkEnd w:id="115"/>
      <w:bookmarkEnd w:id="116"/>
      <w:bookmarkEnd w:id="117"/>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18" w:name="_Toc79163886"/>
      <w:bookmarkStart w:id="119" w:name="_Toc79163636"/>
      <w:bookmarkStart w:id="120" w:name="_Toc15396619"/>
      <w:r>
        <w:rPr>
          <w:rFonts w:hint="eastAsia" w:ascii="仿宋_GB2312" w:hAnsi="仿宋_GB2312" w:eastAsia="仿宋_GB2312" w:cs="仿宋_GB2312"/>
          <w:sz w:val="32"/>
          <w:szCs w:val="32"/>
          <w:lang w:eastAsia="zh-CN"/>
        </w:rPr>
        <w:t>一、收入支出决算总表</w:t>
      </w:r>
      <w:bookmarkEnd w:id="118"/>
      <w:bookmarkEnd w:id="119"/>
      <w:bookmarkEnd w:id="120"/>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21" w:name="_Toc79163637"/>
      <w:bookmarkStart w:id="122" w:name="_Toc15396620"/>
      <w:bookmarkStart w:id="123" w:name="_Toc79163887"/>
      <w:r>
        <w:rPr>
          <w:rFonts w:hint="eastAsia" w:ascii="仿宋_GB2312" w:hAnsi="仿宋_GB2312" w:eastAsia="仿宋_GB2312" w:cs="仿宋_GB2312"/>
          <w:sz w:val="32"/>
          <w:szCs w:val="32"/>
          <w:lang w:eastAsia="zh-CN"/>
        </w:rPr>
        <w:t>二、收入决算表</w:t>
      </w:r>
      <w:bookmarkEnd w:id="121"/>
      <w:bookmarkEnd w:id="122"/>
      <w:bookmarkEnd w:id="123"/>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24" w:name="_Toc15396621"/>
      <w:bookmarkStart w:id="125" w:name="_Toc79163888"/>
      <w:bookmarkStart w:id="126" w:name="_Toc79163638"/>
      <w:r>
        <w:rPr>
          <w:rFonts w:hint="eastAsia" w:ascii="仿宋_GB2312" w:hAnsi="仿宋_GB2312" w:eastAsia="仿宋_GB2312" w:cs="仿宋_GB2312"/>
          <w:sz w:val="32"/>
          <w:szCs w:val="32"/>
          <w:lang w:eastAsia="zh-CN"/>
        </w:rPr>
        <w:t>三、支出决算表</w:t>
      </w:r>
      <w:bookmarkEnd w:id="124"/>
      <w:bookmarkEnd w:id="125"/>
      <w:bookmarkEnd w:id="126"/>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27" w:name="_Toc15396622"/>
      <w:bookmarkStart w:id="128" w:name="_Toc79163889"/>
      <w:bookmarkStart w:id="129" w:name="_Toc79163639"/>
      <w:r>
        <w:rPr>
          <w:rFonts w:hint="eastAsia" w:ascii="仿宋_GB2312" w:hAnsi="仿宋_GB2312" w:eastAsia="仿宋_GB2312" w:cs="仿宋_GB2312"/>
          <w:sz w:val="32"/>
          <w:szCs w:val="32"/>
          <w:lang w:eastAsia="zh-CN"/>
        </w:rPr>
        <w:t>四、财政拨款收入支出决算总表</w:t>
      </w:r>
      <w:bookmarkEnd w:id="127"/>
      <w:bookmarkEnd w:id="128"/>
      <w:bookmarkEnd w:id="129"/>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30" w:name="_Toc15396623"/>
      <w:bookmarkStart w:id="131" w:name="_Toc79163890"/>
      <w:bookmarkStart w:id="132" w:name="_Toc79163640"/>
      <w:r>
        <w:rPr>
          <w:rFonts w:hint="eastAsia" w:ascii="仿宋_GB2312" w:hAnsi="仿宋_GB2312" w:eastAsia="仿宋_GB2312" w:cs="仿宋_GB2312"/>
          <w:sz w:val="32"/>
          <w:szCs w:val="32"/>
          <w:lang w:eastAsia="zh-CN"/>
        </w:rPr>
        <w:t>五、财政拨款支出决算明细表</w:t>
      </w:r>
      <w:bookmarkEnd w:id="130"/>
      <w:bookmarkEnd w:id="131"/>
      <w:bookmarkEnd w:id="132"/>
      <w:bookmarkStart w:id="133" w:name="_Toc15396624"/>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34" w:name="_Toc79163891"/>
      <w:bookmarkStart w:id="135" w:name="_Toc79163641"/>
      <w:r>
        <w:rPr>
          <w:rFonts w:hint="eastAsia" w:ascii="仿宋_GB2312" w:hAnsi="仿宋_GB2312" w:eastAsia="仿宋_GB2312" w:cs="仿宋_GB2312"/>
          <w:sz w:val="32"/>
          <w:szCs w:val="32"/>
          <w:lang w:eastAsia="zh-CN"/>
        </w:rPr>
        <w:t>六、一般公共预算财政拨款支出决算表</w:t>
      </w:r>
      <w:bookmarkEnd w:id="133"/>
      <w:bookmarkEnd w:id="134"/>
      <w:bookmarkEnd w:id="135"/>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36" w:name="_Toc15396625"/>
      <w:bookmarkStart w:id="137" w:name="_Toc79163892"/>
      <w:bookmarkStart w:id="138" w:name="_Toc79163642"/>
      <w:r>
        <w:rPr>
          <w:rFonts w:hint="eastAsia" w:ascii="仿宋_GB2312" w:hAnsi="仿宋_GB2312" w:eastAsia="仿宋_GB2312" w:cs="仿宋_GB2312"/>
          <w:sz w:val="32"/>
          <w:szCs w:val="32"/>
          <w:lang w:eastAsia="zh-CN"/>
        </w:rPr>
        <w:t>七、一般公共预算财政拨款支出决算明细表</w:t>
      </w:r>
      <w:bookmarkEnd w:id="136"/>
      <w:bookmarkEnd w:id="137"/>
      <w:bookmarkEnd w:id="138"/>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39" w:name="_Toc15396626"/>
      <w:bookmarkStart w:id="140" w:name="_Toc79163643"/>
      <w:bookmarkStart w:id="141" w:name="_Toc79163893"/>
      <w:r>
        <w:rPr>
          <w:rFonts w:hint="eastAsia" w:ascii="仿宋_GB2312" w:hAnsi="仿宋_GB2312" w:eastAsia="仿宋_GB2312" w:cs="仿宋_GB2312"/>
          <w:sz w:val="32"/>
          <w:szCs w:val="32"/>
          <w:lang w:eastAsia="zh-CN"/>
        </w:rPr>
        <w:t>八、一般公共预算财政拨款基本支出决算表</w:t>
      </w:r>
      <w:bookmarkEnd w:id="139"/>
      <w:bookmarkEnd w:id="140"/>
      <w:bookmarkEnd w:id="141"/>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42" w:name="_Toc15396627"/>
      <w:bookmarkStart w:id="143" w:name="_Toc79163644"/>
      <w:bookmarkStart w:id="144" w:name="_Toc79163894"/>
      <w:r>
        <w:rPr>
          <w:rFonts w:hint="eastAsia" w:ascii="仿宋_GB2312" w:hAnsi="仿宋_GB2312" w:eastAsia="仿宋_GB2312" w:cs="仿宋_GB2312"/>
          <w:sz w:val="32"/>
          <w:szCs w:val="32"/>
          <w:lang w:eastAsia="zh-CN"/>
        </w:rPr>
        <w:t>九、一般公共预算财政拨款项目支出决算表</w:t>
      </w:r>
      <w:bookmarkEnd w:id="142"/>
      <w:bookmarkEnd w:id="143"/>
      <w:bookmarkEnd w:id="144"/>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45" w:name="_Toc79163645"/>
      <w:bookmarkStart w:id="146" w:name="_Toc15396628"/>
      <w:bookmarkStart w:id="147" w:name="_Toc79163895"/>
      <w:r>
        <w:rPr>
          <w:rFonts w:hint="eastAsia" w:ascii="仿宋_GB2312" w:hAnsi="仿宋_GB2312" w:eastAsia="仿宋_GB2312" w:cs="仿宋_GB2312"/>
          <w:sz w:val="32"/>
          <w:szCs w:val="32"/>
          <w:lang w:eastAsia="zh-CN"/>
        </w:rPr>
        <w:t>十、一般公共预算财政拨款“三公”经费支出决算表</w:t>
      </w:r>
      <w:bookmarkEnd w:id="145"/>
      <w:bookmarkEnd w:id="146"/>
      <w:bookmarkEnd w:id="147"/>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48" w:name="_Toc15396629"/>
      <w:bookmarkStart w:id="149" w:name="_Toc79163646"/>
      <w:bookmarkStart w:id="150" w:name="_Toc79163896"/>
      <w:r>
        <w:rPr>
          <w:rFonts w:hint="eastAsia" w:ascii="仿宋_GB2312" w:hAnsi="仿宋_GB2312" w:eastAsia="仿宋_GB2312" w:cs="仿宋_GB2312"/>
          <w:sz w:val="32"/>
          <w:szCs w:val="32"/>
          <w:lang w:eastAsia="zh-CN"/>
        </w:rPr>
        <w:t>十一、政府性基金预算财政拨款收入支出决算表</w:t>
      </w:r>
      <w:bookmarkEnd w:id="148"/>
      <w:bookmarkEnd w:id="149"/>
      <w:bookmarkEnd w:id="150"/>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51" w:name="_Toc79163647"/>
      <w:bookmarkStart w:id="152" w:name="_Toc79163897"/>
      <w:bookmarkStart w:id="153" w:name="_Toc15396630"/>
      <w:r>
        <w:rPr>
          <w:rFonts w:hint="eastAsia" w:ascii="仿宋_GB2312" w:hAnsi="仿宋_GB2312" w:eastAsia="仿宋_GB2312" w:cs="仿宋_GB2312"/>
          <w:sz w:val="32"/>
          <w:szCs w:val="32"/>
          <w:lang w:eastAsia="zh-CN"/>
        </w:rPr>
        <w:t>十二、政府性基金预算财政拨款“三公”经费支出决算表</w:t>
      </w:r>
      <w:bookmarkEnd w:id="151"/>
      <w:bookmarkEnd w:id="152"/>
      <w:bookmarkEnd w:id="153"/>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54" w:name="_Toc79163648"/>
      <w:bookmarkStart w:id="155" w:name="_Toc79163898"/>
      <w:bookmarkStart w:id="156" w:name="_Toc15396631"/>
      <w:r>
        <w:rPr>
          <w:rFonts w:hint="eastAsia" w:ascii="仿宋_GB2312" w:hAnsi="仿宋_GB2312" w:eastAsia="仿宋_GB2312" w:cs="仿宋_GB2312"/>
          <w:sz w:val="32"/>
          <w:szCs w:val="32"/>
          <w:lang w:eastAsia="zh-CN"/>
        </w:rPr>
        <w:t>十三、国有资本经营预算财政拨款支出决算表</w:t>
      </w:r>
      <w:bookmarkEnd w:id="154"/>
      <w:bookmarkEnd w:id="155"/>
      <w:bookmarkEnd w:id="156"/>
    </w:p>
    <w:p>
      <w:pPr>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bookmarkStart w:id="157" w:name="_Toc79163649"/>
      <w:bookmarkStart w:id="158" w:name="_Toc79163899"/>
      <w:r>
        <w:rPr>
          <w:rFonts w:hint="eastAsia" w:ascii="仿宋_GB2312" w:hAnsi="仿宋_GB2312" w:eastAsia="仿宋_GB2312" w:cs="仿宋_GB2312"/>
          <w:sz w:val="32"/>
          <w:szCs w:val="32"/>
          <w:lang w:eastAsia="zh-CN"/>
        </w:rPr>
        <w:t>十四、国有资本经营预算财政拨款支出决算表</w:t>
      </w:r>
      <w:bookmarkEnd w:id="157"/>
      <w:bookmarkEnd w:id="15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A2032A3"/>
    <w:rsid w:val="10323500"/>
    <w:rsid w:val="10C055FF"/>
    <w:rsid w:val="118107EC"/>
    <w:rsid w:val="16BB723D"/>
    <w:rsid w:val="1B355F99"/>
    <w:rsid w:val="1D155CEE"/>
    <w:rsid w:val="21F568A6"/>
    <w:rsid w:val="240371BF"/>
    <w:rsid w:val="24D42622"/>
    <w:rsid w:val="25496216"/>
    <w:rsid w:val="281453CB"/>
    <w:rsid w:val="29FD04D3"/>
    <w:rsid w:val="2B095BA0"/>
    <w:rsid w:val="319F7F4E"/>
    <w:rsid w:val="3BC54849"/>
    <w:rsid w:val="3CCD349B"/>
    <w:rsid w:val="4ACD5375"/>
    <w:rsid w:val="4BD55BDF"/>
    <w:rsid w:val="4ECE2238"/>
    <w:rsid w:val="553F2DD5"/>
    <w:rsid w:val="55AF0824"/>
    <w:rsid w:val="570F43AE"/>
    <w:rsid w:val="5D333022"/>
    <w:rsid w:val="5FBC4ADE"/>
    <w:rsid w:val="62EE14A0"/>
    <w:rsid w:val="63C22316"/>
    <w:rsid w:val="6424383C"/>
    <w:rsid w:val="67BB5E6B"/>
    <w:rsid w:val="6C4A05C8"/>
    <w:rsid w:val="72734D90"/>
    <w:rsid w:val="73F26271"/>
    <w:rsid w:val="74D477FC"/>
    <w:rsid w:val="7D27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1"/>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6"/>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2">
    <w:name w:val="标题 1 Char"/>
    <w:basedOn w:val="19"/>
    <w:link w:val="2"/>
    <w:qFormat/>
    <w:locked/>
    <w:uiPriority w:val="9"/>
    <w:rPr>
      <w:rFonts w:ascii="Times New Roman" w:hAnsi="Times New Roman" w:cs="Times New Roman"/>
      <w:b/>
      <w:bCs/>
      <w:kern w:val="44"/>
      <w:sz w:val="44"/>
      <w:szCs w:val="44"/>
    </w:rPr>
  </w:style>
  <w:style w:type="character" w:customStyle="1" w:styleId="23">
    <w:name w:val="标题 2 Char"/>
    <w:basedOn w:val="19"/>
    <w:link w:val="3"/>
    <w:qFormat/>
    <w:locked/>
    <w:uiPriority w:val="9"/>
    <w:rPr>
      <w:rFonts w:ascii="Cambria" w:hAnsi="Cambria" w:eastAsia="宋体" w:cs="Times New Roman"/>
      <w:b/>
      <w:bCs/>
      <w:kern w:val="2"/>
      <w:sz w:val="32"/>
      <w:szCs w:val="32"/>
    </w:rPr>
  </w:style>
  <w:style w:type="character" w:customStyle="1" w:styleId="24">
    <w:name w:val="标题 3 Char"/>
    <w:basedOn w:val="19"/>
    <w:link w:val="4"/>
    <w:qFormat/>
    <w:locked/>
    <w:uiPriority w:val="9"/>
    <w:rPr>
      <w:rFonts w:ascii="Times New Roman" w:hAnsi="Times New Roman" w:cs="Times New Roman"/>
      <w:b/>
      <w:bCs/>
      <w:kern w:val="2"/>
      <w:sz w:val="32"/>
      <w:szCs w:val="32"/>
    </w:rPr>
  </w:style>
  <w:style w:type="character" w:customStyle="1" w:styleId="25">
    <w:name w:val="Body Text Char"/>
    <w:basedOn w:val="19"/>
    <w:semiHidden/>
    <w:qFormat/>
    <w:uiPriority w:val="99"/>
    <w:rPr>
      <w:rFonts w:ascii="Times New Roman" w:hAnsi="Times New Roman" w:cs="Times New Roman"/>
      <w:sz w:val="24"/>
      <w:szCs w:val="24"/>
    </w:rPr>
  </w:style>
  <w:style w:type="character" w:customStyle="1" w:styleId="26">
    <w:name w:val="批注框文本 Char"/>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semiHidden/>
    <w:qFormat/>
    <w:uiPriority w:val="99"/>
    <w:rPr>
      <w:rFonts w:ascii="Times New Roman" w:hAnsi="Times New Roman" w:cs="Times New Roman"/>
      <w:sz w:val="18"/>
      <w:szCs w:val="18"/>
    </w:rPr>
  </w:style>
  <w:style w:type="character" w:customStyle="1" w:styleId="28">
    <w:name w:val="Header Char"/>
    <w:basedOn w:val="19"/>
    <w:semiHidden/>
    <w:qFormat/>
    <w:uiPriority w:val="99"/>
    <w:rPr>
      <w:rFonts w:ascii="Times New Roman" w:hAnsi="Times New Roman" w:cs="Times New Roman"/>
      <w:sz w:val="18"/>
      <w:szCs w:val="18"/>
    </w:rPr>
  </w:style>
  <w:style w:type="character" w:customStyle="1" w:styleId="29">
    <w:name w:val="页眉 Char"/>
    <w:link w:val="12"/>
    <w:semiHidden/>
    <w:qFormat/>
    <w:locked/>
    <w:uiPriority w:val="99"/>
    <w:rPr>
      <w:sz w:val="18"/>
    </w:rPr>
  </w:style>
  <w:style w:type="character" w:customStyle="1" w:styleId="30">
    <w:name w:val="页脚 Char"/>
    <w:link w:val="11"/>
    <w:qFormat/>
    <w:locked/>
    <w:uiPriority w:val="99"/>
    <w:rPr>
      <w:sz w:val="18"/>
    </w:rPr>
  </w:style>
  <w:style w:type="character" w:customStyle="1" w:styleId="31">
    <w:name w:val="正文文本 Char"/>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521.85</c:v>
                </c:pt>
                <c:pt idx="1">
                  <c:v>521.85</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305.89</c:v>
                </c:pt>
                <c:pt idx="1">
                  <c:v>305.89</c:v>
                </c:pt>
              </c:numCache>
            </c:numRef>
          </c:val>
        </c:ser>
        <c:dLbls>
          <c:showLegendKey val="0"/>
          <c:showVal val="0"/>
          <c:showCatName val="0"/>
          <c:showSerName val="0"/>
          <c:showPercent val="0"/>
          <c:showBubbleSize val="0"/>
        </c:dLbls>
        <c:gapWidth val="219"/>
        <c:overlap val="-27"/>
        <c:axId val="235051410"/>
        <c:axId val="583076232"/>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350514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076232"/>
        <c:crosses val="autoZero"/>
        <c:auto val="1"/>
        <c:lblAlgn val="ctr"/>
        <c:lblOffset val="100"/>
        <c:noMultiLvlLbl val="0"/>
      </c:catAx>
      <c:valAx>
        <c:axId val="583076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05141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379380603096985"/>
          <c:y val="0.9210869565217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20</a:t>
            </a:r>
            <a:r>
              <a:t>年度收入</a:t>
            </a:r>
          </a:p>
        </c:rich>
      </c:tx>
      <c:layout/>
      <c:overlay val="0"/>
      <c:spPr>
        <a:noFill/>
        <a:ln>
          <a:noFill/>
        </a:ln>
        <a:effectLst/>
      </c:spPr>
    </c:title>
    <c:autoTitleDeleted val="0"/>
    <c:plotArea>
      <c:layout/>
      <c:pieChart>
        <c:varyColors val="1"/>
        <c:ser>
          <c:idx val="0"/>
          <c:order val="0"/>
          <c:tx>
            <c:strRef>
              <c:f>[工作簿1]Sheet1!$B$10</c:f>
              <c:strCache>
                <c:ptCount val="1"/>
                <c:pt idx="0">
                  <c:v>2019年度收入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25"/>
          <c:y val="0.13483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支出明细</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243.26</c:v>
                </c:pt>
                <c:pt idx="1">
                  <c:v>62.63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a:t>
            </a:r>
          </a:p>
        </c:rich>
      </c:tx>
      <c:layout>
        <c:manualLayout>
          <c:xMode val="edge"/>
          <c:yMode val="edge"/>
          <c:x val="0.352757402879652"/>
          <c:y val="0.0260136347326875"/>
        </c:manualLayout>
      </c:layout>
      <c:overlay val="0"/>
      <c:spPr>
        <a:noFill/>
        <a:ln>
          <a:noFill/>
        </a:ln>
        <a:effectLst/>
      </c:spPr>
    </c:title>
    <c:autoTitleDeleted val="0"/>
    <c:plotArea>
      <c:layout>
        <c:manualLayout>
          <c:layoutTarget val="inner"/>
          <c:xMode val="edge"/>
          <c:yMode val="edge"/>
          <c:x val="0.152186905732138"/>
          <c:y val="0.214391195145162"/>
          <c:w val="0.816571583808748"/>
          <c:h val="0.505260869565217"/>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521.85</c:v>
                </c:pt>
                <c:pt idx="1">
                  <c:v>521.85</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305.89</c:v>
                </c:pt>
                <c:pt idx="1">
                  <c:v>305.89</c:v>
                </c:pt>
              </c:numCache>
            </c:numRef>
          </c:val>
        </c:ser>
        <c:dLbls>
          <c:showLegendKey val="0"/>
          <c:showVal val="0"/>
          <c:showCatName val="0"/>
          <c:showSerName val="0"/>
          <c:showPercent val="0"/>
          <c:showBubbleSize val="0"/>
        </c:dLbls>
        <c:gapWidth val="219"/>
        <c:overlap val="-27"/>
        <c:axId val="235051410"/>
        <c:axId val="583076232"/>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350514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076232"/>
        <c:crosses val="autoZero"/>
        <c:auto val="1"/>
        <c:lblAlgn val="ctr"/>
        <c:lblOffset val="100"/>
        <c:noMultiLvlLbl val="0"/>
      </c:catAx>
      <c:valAx>
        <c:axId val="583076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05141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379380603096985"/>
          <c:y val="0.9210869565217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manualLayout>
          <c:xMode val="edge"/>
          <c:yMode val="edge"/>
          <c:x val="0.352757402879652"/>
          <c:y val="0.0260136347326875"/>
        </c:manualLayout>
      </c:layout>
      <c:overlay val="0"/>
      <c:spPr>
        <a:noFill/>
        <a:ln>
          <a:noFill/>
        </a:ln>
        <a:effectLst/>
      </c:spPr>
    </c:title>
    <c:autoTitleDeleted val="0"/>
    <c:plotArea>
      <c:layout>
        <c:manualLayout>
          <c:layoutTarget val="inner"/>
          <c:xMode val="edge"/>
          <c:yMode val="edge"/>
          <c:x val="0.152186905732138"/>
          <c:y val="0.214391195145162"/>
          <c:w val="0.816571583808748"/>
          <c:h val="0.505260869565217"/>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c:f>
              <c:strCache>
                <c:ptCount val="1"/>
                <c:pt idx="0">
                  <c:v>支出</c:v>
                </c:pt>
              </c:strCache>
            </c:strRef>
          </c:cat>
          <c:val>
            <c:numRef>
              <c:f>Sheet1!$B$2</c:f>
              <c:numCache>
                <c:formatCode>General</c:formatCode>
                <c:ptCount val="1"/>
                <c:pt idx="0">
                  <c:v>521.85</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支出</c:v>
                </c:pt>
              </c:strCache>
            </c:strRef>
          </c:cat>
          <c:val>
            <c:numRef>
              <c:f>Sheet1!$C$2</c:f>
              <c:numCache>
                <c:formatCode>General</c:formatCode>
                <c:ptCount val="1"/>
                <c:pt idx="0">
                  <c:v>305.89</c:v>
                </c:pt>
              </c:numCache>
            </c:numRef>
          </c:val>
        </c:ser>
        <c:dLbls>
          <c:showLegendKey val="0"/>
          <c:showVal val="0"/>
          <c:showCatName val="0"/>
          <c:showSerName val="0"/>
          <c:showPercent val="0"/>
          <c:showBubbleSize val="0"/>
        </c:dLbls>
        <c:gapWidth val="219"/>
        <c:overlap val="-27"/>
        <c:axId val="235051410"/>
        <c:axId val="583076232"/>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c15:sqref>
                        </c15:formulaRef>
                      </c:ext>
                    </c:extLst>
                    <c:strCache>
                      <c:ptCount val="1"/>
                      <c:pt idx="0">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350514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076232"/>
        <c:crosses val="autoZero"/>
        <c:auto val="1"/>
        <c:lblAlgn val="ctr"/>
        <c:lblOffset val="100"/>
        <c:noMultiLvlLbl val="0"/>
      </c:catAx>
      <c:valAx>
        <c:axId val="583076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05141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379380603096985"/>
          <c:y val="0.9210869565217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一般公共预算财政拨款收入</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社会保障和就业（类）支出</c:v>
                </c:pt>
                <c:pt idx="1">
                  <c:v>卫生健康（类）支出</c:v>
                </c:pt>
                <c:pt idx="2">
                  <c:v>农林水（类）支出</c:v>
                </c:pt>
                <c:pt idx="3">
                  <c:v>商业服务业（类）支出</c:v>
                </c:pt>
                <c:pt idx="4">
                  <c:v>住房保障（类）支出</c:v>
                </c:pt>
              </c:strCache>
            </c:strRef>
          </c:cat>
          <c:val>
            <c:numRef>
              <c:f>Sheet1!$B$2:$B$6</c:f>
              <c:numCache>
                <c:formatCode>General</c:formatCode>
                <c:ptCount val="5"/>
                <c:pt idx="0">
                  <c:v>21.51</c:v>
                </c:pt>
                <c:pt idx="1">
                  <c:v>16.79</c:v>
                </c:pt>
                <c:pt idx="2">
                  <c:v>32.99</c:v>
                </c:pt>
                <c:pt idx="3">
                  <c:v>218.46</c:v>
                </c:pt>
                <c:pt idx="4">
                  <c:v>16.14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ED9FE-9131-4785-936E-BACD3479C40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75</TotalTime>
  <ScaleCrop>false</ScaleCrop>
  <LinksUpToDate>false</LinksUpToDate>
  <CharactersWithSpaces>10535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wt</cp:lastModifiedBy>
  <cp:lastPrinted>2021-09-24T01:36:00Z</cp:lastPrinted>
  <dcterms:modified xsi:type="dcterms:W3CDTF">2021-09-24T02:53:28Z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4F84F99966184F6883981E633F10F680</vt:lpwstr>
  </property>
</Properties>
</file>