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3F041">
      <w:pPr>
        <w:spacing w:line="600" w:lineRule="exact"/>
        <w:outlineLvl w:val="0"/>
        <w:rPr>
          <w:rFonts w:ascii="方正小标宋简体" w:hAnsi="宋体" w:eastAsia="方正小标宋简体"/>
          <w:color w:val="000000"/>
          <w:sz w:val="72"/>
          <w:szCs w:val="72"/>
        </w:rPr>
      </w:pPr>
      <w:bookmarkStart w:id="0" w:name="_Toc15306267"/>
    </w:p>
    <w:p w14:paraId="50EBAAF4">
      <w:pPr>
        <w:jc w:val="center"/>
        <w:rPr>
          <w:rFonts w:ascii="黑体" w:hAnsi="黑体" w:eastAsia="黑体"/>
          <w:sz w:val="72"/>
          <w:szCs w:val="72"/>
        </w:rPr>
      </w:pPr>
      <w:bookmarkStart w:id="1" w:name="_Toc15378441"/>
      <w:bookmarkStart w:id="2" w:name="_Toc15377425"/>
      <w:bookmarkStart w:id="3" w:name="_Toc15396475"/>
      <w:bookmarkStart w:id="4" w:name="_Toc15377193"/>
      <w:bookmarkStart w:id="5" w:name="_Toc15396597"/>
      <w:r>
        <w:rPr>
          <w:rFonts w:hint="eastAsia" w:ascii="方正小标宋简体" w:eastAsia="方正小标宋简体"/>
          <w:sz w:val="72"/>
          <w:szCs w:val="72"/>
        </w:rPr>
        <w:t>2022年度</w:t>
      </w:r>
      <w:bookmarkEnd w:id="1"/>
      <w:bookmarkEnd w:id="2"/>
      <w:bookmarkEnd w:id="3"/>
      <w:bookmarkEnd w:id="4"/>
      <w:bookmarkEnd w:id="5"/>
      <w:bookmarkStart w:id="6" w:name="_Toc15377194"/>
      <w:bookmarkStart w:id="7" w:name="_Toc15396598"/>
      <w:bookmarkStart w:id="8" w:name="_Toc15377426"/>
      <w:bookmarkStart w:id="9" w:name="_Toc15378442"/>
      <w:bookmarkStart w:id="10" w:name="_Toc15396476"/>
      <w:r>
        <w:rPr>
          <w:rFonts w:hint="eastAsia" w:ascii="方正小标宋简体" w:eastAsia="方正小标宋简体"/>
          <w:sz w:val="72"/>
          <w:szCs w:val="72"/>
        </w:rPr>
        <w:t>阿坝州</w:t>
      </w:r>
    </w:p>
    <w:p w14:paraId="3D11F1F0">
      <w:pPr>
        <w:jc w:val="center"/>
        <w:rPr>
          <w:rFonts w:ascii="方正小标宋简体" w:eastAsia="方正小标宋简体"/>
          <w:sz w:val="72"/>
          <w:szCs w:val="72"/>
        </w:rPr>
      </w:pPr>
      <w:r>
        <w:rPr>
          <w:rFonts w:hint="eastAsia" w:ascii="方正小标宋简体" w:eastAsia="方正小标宋简体"/>
          <w:sz w:val="72"/>
          <w:szCs w:val="72"/>
        </w:rPr>
        <w:t>茂县</w:t>
      </w:r>
      <w:bookmarkEnd w:id="0"/>
      <w:bookmarkStart w:id="11" w:name="_Toc15306268"/>
      <w:r>
        <w:rPr>
          <w:rFonts w:hint="eastAsia" w:ascii="方正小标宋简体" w:eastAsia="方正小标宋简体"/>
          <w:sz w:val="72"/>
          <w:szCs w:val="72"/>
        </w:rPr>
        <w:t>供销合作社联合社</w:t>
      </w:r>
    </w:p>
    <w:p w14:paraId="0DDAF2D1">
      <w:pPr>
        <w:jc w:val="center"/>
        <w:rPr>
          <w:rFonts w:ascii="方正小标宋简体" w:eastAsia="方正小标宋简体"/>
          <w:sz w:val="72"/>
          <w:szCs w:val="72"/>
        </w:rPr>
      </w:pPr>
      <w:r>
        <w:rPr>
          <w:rFonts w:hint="eastAsia" w:ascii="方正小标宋简体" w:eastAsia="方正小标宋简体"/>
          <w:sz w:val="72"/>
          <w:szCs w:val="72"/>
        </w:rPr>
        <w:t>汇总部门决算</w:t>
      </w:r>
      <w:bookmarkEnd w:id="6"/>
      <w:bookmarkEnd w:id="7"/>
      <w:bookmarkEnd w:id="8"/>
      <w:bookmarkEnd w:id="9"/>
      <w:bookmarkEnd w:id="10"/>
      <w:bookmarkEnd w:id="11"/>
    </w:p>
    <w:p w14:paraId="7FF48B8D">
      <w:pPr>
        <w:widowControl/>
        <w:jc w:val="center"/>
        <w:rPr>
          <w:rFonts w:ascii="方正小标宋简体" w:hAnsi="宋体" w:eastAsia="方正小标宋简体"/>
          <w:color w:val="000000"/>
          <w:sz w:val="36"/>
          <w:szCs w:val="36"/>
        </w:rPr>
      </w:pPr>
    </w:p>
    <w:p w14:paraId="502A6364">
      <w:pPr>
        <w:rPr>
          <w:rFonts w:ascii="方正小标宋简体" w:hAnsi="宋体" w:eastAsia="方正小标宋简体"/>
          <w:sz w:val="36"/>
          <w:szCs w:val="36"/>
        </w:rPr>
      </w:pPr>
    </w:p>
    <w:p w14:paraId="0CD43D92">
      <w:pPr>
        <w:rPr>
          <w:rFonts w:ascii="方正小标宋简体" w:hAnsi="宋体" w:eastAsia="方正小标宋简体"/>
          <w:sz w:val="36"/>
          <w:szCs w:val="36"/>
        </w:rPr>
      </w:pPr>
    </w:p>
    <w:p w14:paraId="7C1D7F29">
      <w:pPr>
        <w:rPr>
          <w:rFonts w:ascii="方正小标宋简体" w:hAnsi="宋体" w:eastAsia="方正小标宋简体"/>
          <w:sz w:val="36"/>
          <w:szCs w:val="36"/>
        </w:rPr>
      </w:pPr>
    </w:p>
    <w:p w14:paraId="0464C561">
      <w:pPr>
        <w:rPr>
          <w:rFonts w:ascii="方正小标宋简体" w:hAnsi="宋体" w:eastAsia="方正小标宋简体"/>
          <w:sz w:val="36"/>
          <w:szCs w:val="36"/>
        </w:rPr>
      </w:pPr>
    </w:p>
    <w:p w14:paraId="6AAFF673">
      <w:pPr>
        <w:rPr>
          <w:rFonts w:ascii="方正小标宋简体" w:hAnsi="宋体" w:eastAsia="方正小标宋简体"/>
          <w:sz w:val="36"/>
          <w:szCs w:val="36"/>
        </w:rPr>
      </w:pPr>
    </w:p>
    <w:p w14:paraId="459732EB">
      <w:pPr>
        <w:rPr>
          <w:rFonts w:ascii="方正小标宋简体" w:hAnsi="宋体" w:eastAsia="方正小标宋简体"/>
          <w:sz w:val="36"/>
          <w:szCs w:val="36"/>
        </w:rPr>
      </w:pPr>
    </w:p>
    <w:p w14:paraId="169A2872">
      <w:pPr>
        <w:rPr>
          <w:rFonts w:ascii="方正小标宋简体" w:hAnsi="宋体" w:eastAsia="方正小标宋简体"/>
          <w:sz w:val="36"/>
          <w:szCs w:val="36"/>
        </w:rPr>
      </w:pPr>
    </w:p>
    <w:p w14:paraId="7C4A6D86">
      <w:pPr>
        <w:rPr>
          <w:rFonts w:ascii="方正小标宋简体" w:hAnsi="宋体" w:eastAsia="方正小标宋简体"/>
          <w:sz w:val="36"/>
          <w:szCs w:val="36"/>
        </w:rPr>
      </w:pPr>
    </w:p>
    <w:p w14:paraId="069B81EF">
      <w:pPr>
        <w:rPr>
          <w:rFonts w:ascii="方正小标宋简体" w:hAnsi="宋体" w:eastAsia="方正小标宋简体"/>
          <w:sz w:val="36"/>
          <w:szCs w:val="36"/>
        </w:rPr>
      </w:pPr>
    </w:p>
    <w:p w14:paraId="2423A5F1">
      <w:pPr>
        <w:autoSpaceDE w:val="0"/>
        <w:autoSpaceDN w:val="0"/>
        <w:adjustRightInd w:val="0"/>
        <w:spacing w:line="576" w:lineRule="exact"/>
        <w:ind w:left="420" w:leftChars="200" w:firstLine="320" w:firstLineChars="100"/>
        <w:jc w:val="left"/>
        <w:rPr>
          <w:rFonts w:ascii="宋体" w:cs="仿宋_GB2312"/>
          <w:sz w:val="32"/>
          <w:szCs w:val="32"/>
        </w:rPr>
      </w:pPr>
      <w:r>
        <w:rPr>
          <w:rFonts w:hint="eastAsia" w:ascii="宋体" w:cs="仿宋_GB2312"/>
          <w:sz w:val="32"/>
          <w:szCs w:val="32"/>
        </w:rPr>
        <w:t>已经保密审查、内容审定，同意对外公开</w:t>
      </w:r>
    </w:p>
    <w:p w14:paraId="7A936944">
      <w:pPr>
        <w:widowControl/>
        <w:jc w:val="center"/>
        <w:rPr>
          <w:rFonts w:ascii="方正小标宋简体" w:hAnsi="宋体" w:eastAsia="方正小标宋简体"/>
          <w:color w:val="000000"/>
          <w:sz w:val="36"/>
          <w:szCs w:val="36"/>
        </w:rPr>
      </w:pPr>
    </w:p>
    <w:p w14:paraId="31783C10">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14:paraId="1A8A8CC9">
      <w:pPr>
        <w:pStyle w:val="13"/>
        <w:jc w:val="center"/>
        <w:rPr>
          <w:rFonts w:ascii="仿宋_GB2312" w:eastAsia="仿宋_GB2312" w:hAnsiTheme="minorHAnsi"/>
          <w:b w:val="0"/>
          <w:bCs w:val="0"/>
          <w:sz w:val="24"/>
          <w:szCs w:val="24"/>
        </w:rPr>
      </w:pPr>
      <w:r>
        <w:rPr>
          <w:rFonts w:hint="eastAsia" w:ascii="仿宋_GB2312" w:eastAsia="仿宋_GB2312" w:hAnsiTheme="minorHAnsi"/>
          <w:b w:val="0"/>
          <w:bCs w:val="0"/>
          <w:sz w:val="24"/>
          <w:szCs w:val="24"/>
        </w:rPr>
        <w:t>公开时间：2023年9 月12 日</w:t>
      </w:r>
    </w:p>
    <w:p w14:paraId="016FB95A">
      <w:pPr>
        <w:pStyle w:val="13"/>
        <w:tabs>
          <w:tab w:val="right" w:leader="dot" w:pos="8296"/>
        </w:tabs>
        <w:rPr>
          <w:rFonts w:ascii="仿宋_GB2312" w:hAnsi="仿宋" w:eastAsia="仿宋_GB2312"/>
          <w:b w:val="0"/>
          <w:bCs w:val="0"/>
          <w:caps w:val="0"/>
          <w:smallCaps/>
        </w:rPr>
      </w:pPr>
      <w:r>
        <w:rPr>
          <w:rFonts w:hint="eastAsia" w:ascii="仿宋_GB2312" w:hAnsi="仿宋" w:eastAsia="仿宋_GB2312"/>
          <w:b w:val="0"/>
          <w:bCs w:val="0"/>
          <w:caps w:val="0"/>
          <w:smallCaps/>
        </w:rPr>
        <w:fldChar w:fldCharType="begin"/>
      </w:r>
      <w:r>
        <w:rPr>
          <w:rFonts w:hint="eastAsia" w:ascii="仿宋_GB2312" w:hAnsi="仿宋" w:eastAsia="仿宋_GB2312"/>
          <w:b w:val="0"/>
          <w:bCs w:val="0"/>
          <w:caps w:val="0"/>
          <w:smallCaps/>
        </w:rPr>
        <w:instrText xml:space="preserve"> TOC \o \u </w:instrText>
      </w:r>
      <w:r>
        <w:rPr>
          <w:rFonts w:hint="eastAsia" w:ascii="仿宋_GB2312" w:hAnsi="仿宋" w:eastAsia="仿宋_GB2312"/>
          <w:b w:val="0"/>
          <w:bCs w:val="0"/>
          <w:caps w:val="0"/>
          <w:smallCaps/>
        </w:rPr>
        <w:fldChar w:fldCharType="separate"/>
      </w:r>
      <w:r>
        <w:rPr>
          <w:rFonts w:hint="eastAsia" w:ascii="仿宋_GB2312" w:hAnsi="仿宋" w:eastAsia="仿宋_GB2312"/>
          <w:b w:val="0"/>
          <w:bCs w:val="0"/>
          <w:caps w:val="0"/>
          <w:smallCaps/>
        </w:rPr>
        <w:t>第一部分 部门概况</w:t>
      </w:r>
      <w:r>
        <w:rPr>
          <w:rFonts w:hint="eastAsia" w:ascii="仿宋_GB2312" w:hAnsi="仿宋" w:eastAsia="仿宋_GB2312"/>
          <w:b w:val="0"/>
          <w:bCs w:val="0"/>
          <w:caps w:val="0"/>
          <w:smallCaps/>
        </w:rPr>
        <w:tab/>
      </w:r>
      <w:r>
        <w:rPr>
          <w:rFonts w:hint="eastAsia" w:ascii="仿宋_GB2312" w:hAnsi="仿宋" w:eastAsia="仿宋_GB2312"/>
          <w:b w:val="0"/>
          <w:bCs w:val="0"/>
          <w:caps w:val="0"/>
          <w:smallCaps/>
        </w:rPr>
        <w:fldChar w:fldCharType="begin"/>
      </w:r>
      <w:r>
        <w:rPr>
          <w:rFonts w:hint="eastAsia" w:ascii="仿宋_GB2312" w:hAnsi="仿宋" w:eastAsia="仿宋_GB2312"/>
          <w:b w:val="0"/>
          <w:bCs w:val="0"/>
          <w:caps w:val="0"/>
          <w:smallCaps/>
        </w:rPr>
        <w:instrText xml:space="preserve"> PAGEREF _Toc79163851 \h </w:instrText>
      </w:r>
      <w:r>
        <w:rPr>
          <w:rFonts w:hint="eastAsia" w:ascii="仿宋_GB2312" w:hAnsi="仿宋" w:eastAsia="仿宋_GB2312"/>
          <w:b w:val="0"/>
          <w:bCs w:val="0"/>
          <w:caps w:val="0"/>
          <w:smallCaps/>
        </w:rPr>
        <w:fldChar w:fldCharType="separate"/>
      </w:r>
      <w:r>
        <w:rPr>
          <w:rFonts w:ascii="仿宋_GB2312" w:hAnsi="仿宋" w:eastAsia="仿宋_GB2312"/>
          <w:b w:val="0"/>
          <w:bCs w:val="0"/>
          <w:caps w:val="0"/>
          <w:smallCaps/>
        </w:rPr>
        <w:t>4</w:t>
      </w:r>
      <w:r>
        <w:rPr>
          <w:rFonts w:hint="eastAsia" w:ascii="仿宋_GB2312" w:hAnsi="仿宋" w:eastAsia="仿宋_GB2312"/>
          <w:b w:val="0"/>
          <w:bCs w:val="0"/>
          <w:caps w:val="0"/>
          <w:smallCaps/>
        </w:rPr>
        <w:fldChar w:fldCharType="end"/>
      </w:r>
    </w:p>
    <w:p w14:paraId="261BAD9F">
      <w:pPr>
        <w:pStyle w:val="17"/>
        <w:tabs>
          <w:tab w:val="right" w:leader="dot" w:pos="8296"/>
        </w:tabs>
        <w:rPr>
          <w:rFonts w:ascii="仿宋_GB2312" w:hAnsi="仿宋" w:eastAsia="仿宋_GB2312"/>
        </w:rPr>
      </w:pPr>
      <w:r>
        <w:rPr>
          <w:rFonts w:hint="eastAsia" w:ascii="仿宋_GB2312" w:hAnsi="仿宋" w:eastAsia="仿宋_GB2312"/>
        </w:rPr>
        <w:t>一、基本职能及主要工作</w:t>
      </w:r>
      <w:r>
        <w:rPr>
          <w:rFonts w:hint="eastAsia" w:ascii="仿宋_GB2312" w:hAnsi="仿宋" w:eastAsia="仿宋_GB2312"/>
        </w:rPr>
        <w:tab/>
      </w:r>
      <w:r>
        <w:rPr>
          <w:rFonts w:hint="eastAsia" w:ascii="仿宋_GB2312" w:hAnsi="仿宋" w:eastAsia="仿宋_GB2312"/>
        </w:rPr>
        <w:fldChar w:fldCharType="begin"/>
      </w:r>
      <w:r>
        <w:rPr>
          <w:rFonts w:hint="eastAsia" w:ascii="仿宋_GB2312" w:hAnsi="仿宋" w:eastAsia="仿宋_GB2312"/>
        </w:rPr>
        <w:instrText xml:space="preserve"> PAGEREF _Toc79163852 \h </w:instrText>
      </w:r>
      <w:r>
        <w:rPr>
          <w:rFonts w:hint="eastAsia" w:ascii="仿宋_GB2312" w:hAnsi="仿宋" w:eastAsia="仿宋_GB2312"/>
        </w:rPr>
        <w:fldChar w:fldCharType="separate"/>
      </w:r>
      <w:r>
        <w:rPr>
          <w:rFonts w:ascii="仿宋_GB2312" w:hAnsi="仿宋" w:eastAsia="仿宋_GB2312"/>
        </w:rPr>
        <w:t>4</w:t>
      </w:r>
      <w:r>
        <w:rPr>
          <w:rFonts w:hint="eastAsia" w:ascii="仿宋_GB2312" w:hAnsi="仿宋" w:eastAsia="仿宋_GB2312"/>
        </w:rPr>
        <w:fldChar w:fldCharType="end"/>
      </w:r>
    </w:p>
    <w:p w14:paraId="0F2D09F5">
      <w:pPr>
        <w:pStyle w:val="8"/>
        <w:tabs>
          <w:tab w:val="right" w:leader="dot" w:pos="8296"/>
        </w:tabs>
        <w:rPr>
          <w:rFonts w:ascii="仿宋_GB2312" w:hAnsi="仿宋" w:eastAsia="仿宋_GB2312"/>
          <w:i w:val="0"/>
          <w:iCs w:val="0"/>
          <w:smallCaps/>
        </w:rPr>
      </w:pPr>
      <w:r>
        <w:rPr>
          <w:rFonts w:hint="eastAsia" w:ascii="仿宋_GB2312" w:hAnsi="仿宋" w:eastAsia="仿宋_GB2312"/>
          <w:i w:val="0"/>
          <w:iCs w:val="0"/>
          <w:smallCaps/>
        </w:rPr>
        <w:t>（一）主要职能。</w:t>
      </w:r>
      <w:r>
        <w:rPr>
          <w:rFonts w:hint="eastAsia" w:ascii="仿宋_GB2312" w:hAnsi="仿宋" w:eastAsia="仿宋_GB2312"/>
          <w:i w:val="0"/>
          <w:iCs w:val="0"/>
          <w:smallCaps/>
        </w:rPr>
        <w:tab/>
      </w:r>
      <w:r>
        <w:rPr>
          <w:rFonts w:hint="eastAsia" w:ascii="仿宋_GB2312" w:hAnsi="仿宋" w:eastAsia="仿宋_GB2312"/>
          <w:i w:val="0"/>
          <w:iCs w:val="0"/>
          <w:smallCaps/>
        </w:rPr>
        <w:fldChar w:fldCharType="begin"/>
      </w:r>
      <w:r>
        <w:rPr>
          <w:rFonts w:hint="eastAsia" w:ascii="仿宋_GB2312" w:hAnsi="仿宋" w:eastAsia="仿宋_GB2312"/>
          <w:i w:val="0"/>
          <w:iCs w:val="0"/>
          <w:smallCaps/>
        </w:rPr>
        <w:instrText xml:space="preserve"> PAGEREF _Toc79163853 \h </w:instrText>
      </w:r>
      <w:r>
        <w:rPr>
          <w:rFonts w:hint="eastAsia" w:ascii="仿宋_GB2312" w:hAnsi="仿宋" w:eastAsia="仿宋_GB2312"/>
          <w:i w:val="0"/>
          <w:iCs w:val="0"/>
          <w:smallCaps/>
        </w:rPr>
        <w:fldChar w:fldCharType="separate"/>
      </w:r>
      <w:r>
        <w:rPr>
          <w:rFonts w:ascii="仿宋_GB2312" w:hAnsi="仿宋" w:eastAsia="仿宋_GB2312"/>
          <w:i w:val="0"/>
          <w:iCs w:val="0"/>
          <w:smallCaps/>
        </w:rPr>
        <w:t>4</w:t>
      </w:r>
      <w:r>
        <w:rPr>
          <w:rFonts w:hint="eastAsia" w:ascii="仿宋_GB2312" w:hAnsi="仿宋" w:eastAsia="仿宋_GB2312"/>
          <w:i w:val="0"/>
          <w:iCs w:val="0"/>
          <w:smallCaps/>
        </w:rPr>
        <w:fldChar w:fldCharType="end"/>
      </w:r>
    </w:p>
    <w:p w14:paraId="4F4C536B">
      <w:pPr>
        <w:pStyle w:val="8"/>
        <w:tabs>
          <w:tab w:val="right" w:leader="dot" w:pos="8296"/>
        </w:tabs>
        <w:rPr>
          <w:rFonts w:ascii="仿宋_GB2312" w:hAnsi="仿宋" w:eastAsia="仿宋_GB2312"/>
          <w:i w:val="0"/>
          <w:iCs w:val="0"/>
          <w:smallCaps/>
        </w:rPr>
      </w:pPr>
      <w:r>
        <w:rPr>
          <w:rFonts w:hint="eastAsia" w:ascii="仿宋_GB2312" w:hAnsi="仿宋" w:eastAsia="仿宋_GB2312"/>
          <w:i w:val="0"/>
          <w:iCs w:val="0"/>
          <w:smallCaps/>
        </w:rPr>
        <w:t>（二）2022年重点工作完成情况</w:t>
      </w:r>
      <w:r>
        <w:rPr>
          <w:rFonts w:hint="eastAsia" w:ascii="仿宋_GB2312" w:hAnsi="仿宋" w:eastAsia="仿宋_GB2312"/>
          <w:i w:val="0"/>
          <w:iCs w:val="0"/>
          <w:smallCaps/>
        </w:rPr>
        <w:tab/>
      </w:r>
      <w:r>
        <w:rPr>
          <w:rFonts w:hint="eastAsia" w:ascii="仿宋_GB2312" w:hAnsi="仿宋" w:eastAsia="仿宋_GB2312"/>
          <w:i w:val="0"/>
          <w:iCs w:val="0"/>
          <w:smallCaps/>
        </w:rPr>
        <w:t>5</w:t>
      </w:r>
    </w:p>
    <w:p w14:paraId="792422D1">
      <w:pPr>
        <w:pStyle w:val="17"/>
        <w:tabs>
          <w:tab w:val="right" w:leader="dot" w:pos="8296"/>
        </w:tabs>
        <w:rPr>
          <w:rFonts w:ascii="仿宋_GB2312" w:hAnsi="仿宋" w:eastAsia="仿宋_GB2312"/>
        </w:rPr>
      </w:pPr>
      <w:r>
        <w:rPr>
          <w:rFonts w:hint="eastAsia" w:ascii="仿宋_GB2312" w:hAnsi="仿宋" w:eastAsia="仿宋_GB2312"/>
        </w:rPr>
        <w:t>二、机构设置</w:t>
      </w:r>
      <w:r>
        <w:rPr>
          <w:rFonts w:hint="eastAsia" w:ascii="仿宋_GB2312" w:hAnsi="仿宋" w:eastAsia="仿宋_GB2312"/>
        </w:rPr>
        <w:tab/>
      </w:r>
      <w:r>
        <w:rPr>
          <w:rFonts w:hint="eastAsia" w:ascii="仿宋_GB2312" w:hAnsi="仿宋" w:eastAsia="仿宋_GB2312"/>
        </w:rPr>
        <w:t>10</w:t>
      </w:r>
    </w:p>
    <w:p w14:paraId="181DA90D">
      <w:pPr>
        <w:pStyle w:val="13"/>
        <w:tabs>
          <w:tab w:val="right" w:leader="dot" w:pos="8296"/>
        </w:tabs>
        <w:rPr>
          <w:rFonts w:ascii="仿宋_GB2312" w:hAnsi="仿宋" w:eastAsia="仿宋_GB2312"/>
          <w:b w:val="0"/>
          <w:bCs w:val="0"/>
          <w:caps w:val="0"/>
          <w:smallCaps/>
        </w:rPr>
      </w:pPr>
      <w:r>
        <w:rPr>
          <w:rFonts w:hint="eastAsia" w:ascii="仿宋_GB2312" w:hAnsi="仿宋" w:eastAsia="仿宋_GB2312"/>
          <w:b w:val="0"/>
          <w:bCs w:val="0"/>
          <w:caps w:val="0"/>
          <w:smallCaps/>
        </w:rPr>
        <w:t>第二部分 2022年度部门决算情况说明</w:t>
      </w:r>
      <w:r>
        <w:rPr>
          <w:rFonts w:hint="eastAsia" w:ascii="仿宋_GB2312" w:hAnsi="仿宋" w:eastAsia="仿宋_GB2312"/>
          <w:b w:val="0"/>
          <w:bCs w:val="0"/>
          <w:caps w:val="0"/>
          <w:smallCaps/>
        </w:rPr>
        <w:tab/>
      </w:r>
      <w:r>
        <w:rPr>
          <w:rFonts w:hint="eastAsia" w:ascii="仿宋_GB2312" w:hAnsi="仿宋" w:eastAsia="仿宋_GB2312"/>
          <w:b w:val="0"/>
          <w:bCs w:val="0"/>
          <w:caps w:val="0"/>
          <w:smallCaps/>
        </w:rPr>
        <w:t>10</w:t>
      </w:r>
    </w:p>
    <w:p w14:paraId="02C398B6">
      <w:pPr>
        <w:pStyle w:val="17"/>
        <w:tabs>
          <w:tab w:val="left" w:pos="840"/>
          <w:tab w:val="right" w:leader="dot" w:pos="8296"/>
        </w:tabs>
        <w:rPr>
          <w:rFonts w:ascii="仿宋_GB2312" w:hAnsi="仿宋" w:eastAsia="仿宋_GB2312"/>
        </w:rPr>
      </w:pPr>
      <w:r>
        <w:rPr>
          <w:rFonts w:hint="eastAsia" w:ascii="仿宋_GB2312" w:hAnsi="仿宋" w:eastAsia="仿宋_GB2312"/>
        </w:rPr>
        <w:t>一、</w:t>
      </w:r>
      <w:r>
        <w:rPr>
          <w:rFonts w:hint="eastAsia" w:ascii="仿宋_GB2312" w:hAnsi="仿宋" w:eastAsia="仿宋_GB2312"/>
        </w:rPr>
        <w:tab/>
      </w:r>
      <w:r>
        <w:rPr>
          <w:rFonts w:hint="eastAsia" w:ascii="仿宋_GB2312" w:hAnsi="仿宋" w:eastAsia="仿宋_GB2312"/>
        </w:rPr>
        <w:t>收入支出决算总体情况说明</w:t>
      </w:r>
      <w:r>
        <w:rPr>
          <w:rFonts w:hint="eastAsia" w:ascii="仿宋_GB2312" w:hAnsi="仿宋" w:eastAsia="仿宋_GB2312"/>
        </w:rPr>
        <w:tab/>
      </w:r>
      <w:r>
        <w:rPr>
          <w:rFonts w:hint="eastAsia" w:ascii="仿宋_GB2312" w:hAnsi="仿宋" w:eastAsia="仿宋_GB2312"/>
        </w:rPr>
        <w:t>10</w:t>
      </w:r>
    </w:p>
    <w:p w14:paraId="69978F0B">
      <w:pPr>
        <w:pStyle w:val="17"/>
        <w:tabs>
          <w:tab w:val="left" w:pos="840"/>
          <w:tab w:val="right" w:leader="dot" w:pos="8296"/>
        </w:tabs>
        <w:rPr>
          <w:rFonts w:ascii="仿宋_GB2312" w:hAnsi="仿宋" w:eastAsia="仿宋_GB2312"/>
        </w:rPr>
      </w:pPr>
      <w:r>
        <w:rPr>
          <w:rFonts w:hint="eastAsia" w:ascii="仿宋_GB2312" w:hAnsi="仿宋" w:eastAsia="仿宋_GB2312"/>
        </w:rPr>
        <w:t>二、</w:t>
      </w:r>
      <w:r>
        <w:rPr>
          <w:rFonts w:hint="eastAsia" w:ascii="仿宋_GB2312" w:hAnsi="仿宋" w:eastAsia="仿宋_GB2312"/>
        </w:rPr>
        <w:tab/>
      </w:r>
      <w:r>
        <w:rPr>
          <w:rFonts w:hint="eastAsia" w:ascii="仿宋_GB2312" w:hAnsi="仿宋" w:eastAsia="仿宋_GB2312"/>
        </w:rPr>
        <w:t>收入决算情况说明</w:t>
      </w:r>
      <w:r>
        <w:rPr>
          <w:rFonts w:hint="eastAsia" w:ascii="仿宋_GB2312" w:hAnsi="仿宋" w:eastAsia="仿宋_GB2312"/>
        </w:rPr>
        <w:tab/>
      </w:r>
      <w:r>
        <w:rPr>
          <w:rFonts w:hint="eastAsia" w:ascii="仿宋_GB2312" w:hAnsi="仿宋" w:eastAsia="仿宋_GB2312"/>
        </w:rPr>
        <w:t>10</w:t>
      </w:r>
    </w:p>
    <w:p w14:paraId="2E809527">
      <w:pPr>
        <w:pStyle w:val="17"/>
        <w:tabs>
          <w:tab w:val="left" w:pos="840"/>
          <w:tab w:val="right" w:leader="dot" w:pos="8296"/>
        </w:tabs>
        <w:rPr>
          <w:rFonts w:ascii="仿宋_GB2312" w:hAnsi="仿宋" w:eastAsia="仿宋_GB2312"/>
        </w:rPr>
      </w:pPr>
      <w:r>
        <w:rPr>
          <w:rFonts w:hint="eastAsia" w:ascii="仿宋_GB2312" w:hAnsi="仿宋" w:eastAsia="仿宋_GB2312"/>
        </w:rPr>
        <w:t>三、</w:t>
      </w:r>
      <w:r>
        <w:rPr>
          <w:rFonts w:hint="eastAsia" w:ascii="仿宋_GB2312" w:hAnsi="仿宋" w:eastAsia="仿宋_GB2312"/>
        </w:rPr>
        <w:tab/>
      </w:r>
      <w:r>
        <w:rPr>
          <w:rFonts w:hint="eastAsia" w:ascii="仿宋_GB2312" w:hAnsi="仿宋" w:eastAsia="仿宋_GB2312"/>
        </w:rPr>
        <w:t>支出决算情况说明</w:t>
      </w:r>
      <w:r>
        <w:rPr>
          <w:rFonts w:hint="eastAsia" w:ascii="仿宋_GB2312" w:hAnsi="仿宋" w:eastAsia="仿宋_GB2312"/>
        </w:rPr>
        <w:tab/>
      </w:r>
      <w:r>
        <w:rPr>
          <w:rFonts w:hint="eastAsia" w:ascii="仿宋_GB2312" w:hAnsi="仿宋" w:eastAsia="仿宋_GB2312"/>
        </w:rPr>
        <w:t>11</w:t>
      </w:r>
    </w:p>
    <w:p w14:paraId="75BB5F85">
      <w:pPr>
        <w:pStyle w:val="17"/>
        <w:tabs>
          <w:tab w:val="right" w:leader="dot" w:pos="8296"/>
        </w:tabs>
        <w:rPr>
          <w:rFonts w:ascii="仿宋_GB2312" w:hAnsi="仿宋" w:eastAsia="仿宋_GB2312"/>
        </w:rPr>
      </w:pPr>
      <w:r>
        <w:rPr>
          <w:rFonts w:hint="eastAsia" w:ascii="仿宋_GB2312" w:hAnsi="仿宋" w:eastAsia="仿宋_GB2312"/>
        </w:rPr>
        <w:t>四、财政拨款收入支出决算总体情况说明</w:t>
      </w:r>
      <w:r>
        <w:rPr>
          <w:rFonts w:hint="eastAsia" w:ascii="仿宋_GB2312" w:hAnsi="仿宋" w:eastAsia="仿宋_GB2312"/>
        </w:rPr>
        <w:tab/>
      </w:r>
      <w:r>
        <w:rPr>
          <w:rFonts w:hint="eastAsia" w:ascii="仿宋_GB2312" w:hAnsi="仿宋" w:eastAsia="仿宋_GB2312"/>
        </w:rPr>
        <w:t>11</w:t>
      </w:r>
    </w:p>
    <w:p w14:paraId="2B0362C7">
      <w:pPr>
        <w:pStyle w:val="17"/>
        <w:tabs>
          <w:tab w:val="right" w:leader="dot" w:pos="8296"/>
        </w:tabs>
        <w:rPr>
          <w:rFonts w:ascii="仿宋_GB2312" w:hAnsi="仿宋" w:eastAsia="仿宋_GB2312"/>
        </w:rPr>
      </w:pPr>
      <w:r>
        <w:rPr>
          <w:rFonts w:hint="eastAsia" w:ascii="仿宋_GB2312" w:hAnsi="仿宋" w:eastAsia="仿宋_GB2312"/>
        </w:rPr>
        <w:t>五、一般公共预算财政拨款支出决算情况说明</w:t>
      </w:r>
      <w:r>
        <w:rPr>
          <w:rFonts w:hint="eastAsia" w:ascii="仿宋_GB2312" w:hAnsi="仿宋" w:eastAsia="仿宋_GB2312"/>
        </w:rPr>
        <w:tab/>
      </w:r>
      <w:r>
        <w:rPr>
          <w:rFonts w:hint="eastAsia" w:ascii="仿宋_GB2312" w:hAnsi="仿宋" w:eastAsia="仿宋_GB2312"/>
        </w:rPr>
        <w:t>12</w:t>
      </w:r>
    </w:p>
    <w:p w14:paraId="7E01C0E1">
      <w:pPr>
        <w:pStyle w:val="8"/>
        <w:tabs>
          <w:tab w:val="right" w:leader="dot" w:pos="8296"/>
        </w:tabs>
        <w:rPr>
          <w:rFonts w:ascii="仿宋_GB2312" w:hAnsi="仿宋" w:eastAsia="仿宋_GB2312"/>
          <w:i w:val="0"/>
          <w:iCs w:val="0"/>
          <w:smallCaps/>
        </w:rPr>
      </w:pPr>
      <w:r>
        <w:rPr>
          <w:rFonts w:hint="eastAsia" w:ascii="仿宋_GB2312" w:hAnsi="仿宋" w:eastAsia="仿宋_GB2312"/>
          <w:i w:val="0"/>
          <w:iCs w:val="0"/>
          <w:smallCaps/>
        </w:rPr>
        <w:t>（一）一般公共预算财政拨款支出决算总体情况</w:t>
      </w:r>
      <w:r>
        <w:rPr>
          <w:rFonts w:hint="eastAsia" w:ascii="仿宋_GB2312" w:hAnsi="仿宋" w:eastAsia="仿宋_GB2312"/>
          <w:i w:val="0"/>
          <w:iCs w:val="0"/>
          <w:smallCaps/>
        </w:rPr>
        <w:tab/>
      </w:r>
      <w:r>
        <w:rPr>
          <w:rFonts w:hint="eastAsia" w:ascii="仿宋_GB2312" w:hAnsi="仿宋" w:eastAsia="仿宋_GB2312"/>
          <w:i w:val="0"/>
          <w:iCs w:val="0"/>
          <w:smallCaps/>
        </w:rPr>
        <w:t>12</w:t>
      </w:r>
    </w:p>
    <w:p w14:paraId="4FFC9A65">
      <w:pPr>
        <w:pStyle w:val="8"/>
        <w:tabs>
          <w:tab w:val="right" w:leader="dot" w:pos="8296"/>
        </w:tabs>
        <w:rPr>
          <w:rFonts w:ascii="仿宋_GB2312" w:hAnsi="仿宋" w:eastAsia="仿宋_GB2312"/>
          <w:i w:val="0"/>
          <w:iCs w:val="0"/>
          <w:smallCaps/>
        </w:rPr>
      </w:pPr>
      <w:r>
        <w:rPr>
          <w:rFonts w:hint="eastAsia" w:ascii="仿宋_GB2312" w:hAnsi="仿宋" w:eastAsia="仿宋_GB2312"/>
          <w:i w:val="0"/>
          <w:iCs w:val="0"/>
          <w:smallCaps/>
        </w:rPr>
        <w:t>（二）一般公共预算财政拨款支出决算结构情况</w:t>
      </w:r>
      <w:r>
        <w:rPr>
          <w:rFonts w:hint="eastAsia" w:ascii="仿宋_GB2312" w:hAnsi="仿宋" w:eastAsia="仿宋_GB2312"/>
          <w:i w:val="0"/>
          <w:iCs w:val="0"/>
          <w:smallCaps/>
        </w:rPr>
        <w:tab/>
      </w:r>
      <w:r>
        <w:rPr>
          <w:rFonts w:hint="eastAsia" w:ascii="仿宋_GB2312" w:hAnsi="仿宋" w:eastAsia="仿宋_GB2312"/>
          <w:i w:val="0"/>
          <w:iCs w:val="0"/>
          <w:smallCaps/>
        </w:rPr>
        <w:t>13</w:t>
      </w:r>
    </w:p>
    <w:p w14:paraId="2CF5F895">
      <w:pPr>
        <w:pStyle w:val="8"/>
        <w:tabs>
          <w:tab w:val="right" w:leader="dot" w:pos="8296"/>
        </w:tabs>
        <w:rPr>
          <w:rFonts w:ascii="仿宋_GB2312" w:hAnsi="仿宋" w:eastAsia="仿宋_GB2312"/>
          <w:i w:val="0"/>
          <w:iCs w:val="0"/>
          <w:smallCaps/>
        </w:rPr>
      </w:pPr>
      <w:r>
        <w:rPr>
          <w:rFonts w:hint="eastAsia" w:ascii="仿宋_GB2312" w:hAnsi="仿宋" w:eastAsia="仿宋_GB2312"/>
          <w:i w:val="0"/>
          <w:iCs w:val="0"/>
          <w:smallCaps/>
        </w:rPr>
        <w:t>（三）一般公共预算财政拨款支出决算具体情况</w:t>
      </w:r>
      <w:r>
        <w:rPr>
          <w:rFonts w:hint="eastAsia" w:ascii="仿宋_GB2312" w:hAnsi="仿宋" w:eastAsia="仿宋_GB2312"/>
          <w:i w:val="0"/>
          <w:iCs w:val="0"/>
          <w:smallCaps/>
        </w:rPr>
        <w:tab/>
      </w:r>
      <w:r>
        <w:rPr>
          <w:rFonts w:hint="eastAsia" w:ascii="仿宋_GB2312" w:hAnsi="仿宋" w:eastAsia="仿宋_GB2312"/>
          <w:i w:val="0"/>
          <w:iCs w:val="0"/>
          <w:smallCaps/>
        </w:rPr>
        <w:t>14</w:t>
      </w:r>
    </w:p>
    <w:p w14:paraId="55A43173">
      <w:pPr>
        <w:pStyle w:val="17"/>
        <w:tabs>
          <w:tab w:val="right" w:leader="dot" w:pos="8296"/>
        </w:tabs>
        <w:rPr>
          <w:rFonts w:ascii="仿宋_GB2312" w:hAnsi="仿宋" w:eastAsia="仿宋_GB2312"/>
        </w:rPr>
      </w:pPr>
      <w:r>
        <w:rPr>
          <w:rFonts w:hint="eastAsia" w:ascii="仿宋_GB2312" w:hAnsi="仿宋" w:eastAsia="仿宋_GB2312"/>
        </w:rPr>
        <w:t>六、一般公共预算财政拨款基本支出决算情况说明</w:t>
      </w:r>
      <w:r>
        <w:rPr>
          <w:rFonts w:hint="eastAsia" w:ascii="仿宋_GB2312" w:hAnsi="仿宋" w:eastAsia="仿宋_GB2312"/>
        </w:rPr>
        <w:tab/>
      </w:r>
      <w:r>
        <w:rPr>
          <w:rFonts w:hint="eastAsia" w:ascii="仿宋_GB2312" w:hAnsi="仿宋" w:eastAsia="仿宋_GB2312"/>
        </w:rPr>
        <w:t>15</w:t>
      </w:r>
    </w:p>
    <w:p w14:paraId="0565A5AE">
      <w:pPr>
        <w:pStyle w:val="17"/>
        <w:tabs>
          <w:tab w:val="right" w:leader="dot" w:pos="8296"/>
        </w:tabs>
        <w:rPr>
          <w:rFonts w:ascii="仿宋_GB2312" w:hAnsi="仿宋" w:eastAsia="仿宋_GB2312"/>
        </w:rPr>
      </w:pPr>
      <w:r>
        <w:rPr>
          <w:rFonts w:hint="eastAsia" w:ascii="仿宋_GB2312" w:hAnsi="仿宋" w:eastAsia="仿宋_GB2312"/>
        </w:rPr>
        <w:t>七、“三公”经费财政拨款支出决算情况说明</w:t>
      </w:r>
      <w:r>
        <w:rPr>
          <w:rFonts w:hint="eastAsia" w:ascii="仿宋_GB2312" w:hAnsi="仿宋" w:eastAsia="仿宋_GB2312"/>
        </w:rPr>
        <w:tab/>
      </w:r>
      <w:r>
        <w:rPr>
          <w:rFonts w:hint="eastAsia" w:ascii="仿宋_GB2312" w:hAnsi="仿宋" w:eastAsia="仿宋_GB2312"/>
        </w:rPr>
        <w:t>16</w:t>
      </w:r>
    </w:p>
    <w:p w14:paraId="5CF468D9">
      <w:pPr>
        <w:pStyle w:val="8"/>
        <w:tabs>
          <w:tab w:val="right" w:leader="dot" w:pos="8296"/>
        </w:tabs>
        <w:rPr>
          <w:rFonts w:ascii="仿宋_GB2312" w:hAnsi="仿宋" w:eastAsia="仿宋_GB2312"/>
          <w:i w:val="0"/>
          <w:iCs w:val="0"/>
          <w:smallCaps/>
        </w:rPr>
      </w:pPr>
      <w:r>
        <w:rPr>
          <w:rFonts w:hint="eastAsia" w:ascii="仿宋_GB2312" w:hAnsi="仿宋" w:eastAsia="仿宋_GB2312"/>
          <w:i w:val="0"/>
          <w:iCs w:val="0"/>
          <w:smallCaps/>
        </w:rPr>
        <w:t>（一）“三公”经费财政拨款支出决算总体情况说明</w:t>
      </w:r>
      <w:r>
        <w:rPr>
          <w:rFonts w:hint="eastAsia" w:ascii="仿宋_GB2312" w:hAnsi="仿宋" w:eastAsia="仿宋_GB2312"/>
          <w:i w:val="0"/>
          <w:iCs w:val="0"/>
          <w:smallCaps/>
        </w:rPr>
        <w:tab/>
      </w:r>
      <w:r>
        <w:rPr>
          <w:rFonts w:hint="eastAsia" w:ascii="仿宋_GB2312" w:hAnsi="仿宋" w:eastAsia="仿宋_GB2312"/>
          <w:i w:val="0"/>
          <w:iCs w:val="0"/>
          <w:smallCaps/>
        </w:rPr>
        <w:t>16</w:t>
      </w:r>
    </w:p>
    <w:p w14:paraId="2A22FD96">
      <w:pPr>
        <w:pStyle w:val="8"/>
        <w:tabs>
          <w:tab w:val="right" w:leader="dot" w:pos="8296"/>
        </w:tabs>
        <w:rPr>
          <w:rFonts w:ascii="仿宋_GB2312" w:hAnsi="仿宋" w:eastAsia="仿宋_GB2312"/>
          <w:i w:val="0"/>
          <w:iCs w:val="0"/>
          <w:smallCaps/>
        </w:rPr>
      </w:pPr>
      <w:r>
        <w:rPr>
          <w:rFonts w:hint="eastAsia" w:ascii="仿宋_GB2312" w:hAnsi="仿宋" w:eastAsia="仿宋_GB2312"/>
          <w:i w:val="0"/>
          <w:iCs w:val="0"/>
          <w:smallCaps/>
        </w:rPr>
        <w:t>（二）“三公”经费财政拨款支出决算具体情况说明</w:t>
      </w:r>
      <w:r>
        <w:rPr>
          <w:rFonts w:hint="eastAsia" w:ascii="仿宋_GB2312" w:hAnsi="仿宋" w:eastAsia="仿宋_GB2312"/>
          <w:i w:val="0"/>
          <w:iCs w:val="0"/>
          <w:smallCaps/>
        </w:rPr>
        <w:tab/>
      </w:r>
      <w:r>
        <w:rPr>
          <w:rFonts w:hint="eastAsia" w:ascii="仿宋_GB2312" w:hAnsi="仿宋" w:eastAsia="仿宋_GB2312"/>
          <w:i w:val="0"/>
          <w:iCs w:val="0"/>
          <w:smallCaps/>
        </w:rPr>
        <w:fldChar w:fldCharType="begin"/>
      </w:r>
      <w:r>
        <w:rPr>
          <w:rFonts w:hint="eastAsia" w:ascii="仿宋_GB2312" w:hAnsi="仿宋" w:eastAsia="仿宋_GB2312"/>
          <w:i w:val="0"/>
          <w:iCs w:val="0"/>
          <w:smallCaps/>
        </w:rPr>
        <w:instrText xml:space="preserve"> PAGEREF _Toc79163871 \h </w:instrText>
      </w:r>
      <w:r>
        <w:rPr>
          <w:rFonts w:hint="eastAsia" w:ascii="仿宋_GB2312" w:hAnsi="仿宋" w:eastAsia="仿宋_GB2312"/>
          <w:i w:val="0"/>
          <w:iCs w:val="0"/>
          <w:smallCaps/>
        </w:rPr>
        <w:fldChar w:fldCharType="separate"/>
      </w:r>
      <w:r>
        <w:rPr>
          <w:rFonts w:ascii="仿宋_GB2312" w:hAnsi="仿宋" w:eastAsia="仿宋_GB2312"/>
          <w:i w:val="0"/>
          <w:iCs w:val="0"/>
          <w:smallCaps/>
        </w:rPr>
        <w:t>16</w:t>
      </w:r>
      <w:r>
        <w:rPr>
          <w:rFonts w:hint="eastAsia" w:ascii="仿宋_GB2312" w:hAnsi="仿宋" w:eastAsia="仿宋_GB2312"/>
          <w:i w:val="0"/>
          <w:iCs w:val="0"/>
          <w:smallCaps/>
        </w:rPr>
        <w:fldChar w:fldCharType="end"/>
      </w:r>
    </w:p>
    <w:p w14:paraId="108EF00B">
      <w:pPr>
        <w:pStyle w:val="17"/>
        <w:tabs>
          <w:tab w:val="right" w:leader="dot" w:pos="8296"/>
        </w:tabs>
        <w:rPr>
          <w:rFonts w:ascii="仿宋_GB2312" w:hAnsi="仿宋" w:eastAsia="仿宋_GB2312"/>
        </w:rPr>
      </w:pPr>
      <w:r>
        <w:rPr>
          <w:rFonts w:hint="eastAsia" w:ascii="仿宋_GB2312" w:hAnsi="仿宋" w:eastAsia="仿宋_GB2312"/>
        </w:rPr>
        <w:t>八、政府性基金预算支出决算情况说明</w:t>
      </w:r>
      <w:r>
        <w:rPr>
          <w:rFonts w:hint="eastAsia" w:ascii="仿宋_GB2312" w:hAnsi="仿宋" w:eastAsia="仿宋_GB2312"/>
        </w:rPr>
        <w:tab/>
      </w:r>
      <w:r>
        <w:rPr>
          <w:rFonts w:hint="eastAsia" w:ascii="仿宋_GB2312" w:hAnsi="仿宋" w:eastAsia="仿宋_GB2312"/>
        </w:rPr>
        <w:fldChar w:fldCharType="begin"/>
      </w:r>
      <w:r>
        <w:rPr>
          <w:rFonts w:hint="eastAsia" w:ascii="仿宋_GB2312" w:hAnsi="仿宋" w:eastAsia="仿宋_GB2312"/>
        </w:rPr>
        <w:instrText xml:space="preserve"> PAGEREF _Toc79163872 \h </w:instrText>
      </w:r>
      <w:r>
        <w:rPr>
          <w:rFonts w:hint="eastAsia" w:ascii="仿宋_GB2312" w:hAnsi="仿宋" w:eastAsia="仿宋_GB2312"/>
        </w:rPr>
        <w:fldChar w:fldCharType="separate"/>
      </w:r>
      <w:r>
        <w:rPr>
          <w:rFonts w:ascii="仿宋_GB2312" w:hAnsi="仿宋" w:eastAsia="仿宋_GB2312"/>
        </w:rPr>
        <w:t>17</w:t>
      </w:r>
      <w:r>
        <w:rPr>
          <w:rFonts w:hint="eastAsia" w:ascii="仿宋_GB2312" w:hAnsi="仿宋" w:eastAsia="仿宋_GB2312"/>
        </w:rPr>
        <w:fldChar w:fldCharType="end"/>
      </w:r>
    </w:p>
    <w:p w14:paraId="21F8BCF4">
      <w:pPr>
        <w:pStyle w:val="17"/>
        <w:tabs>
          <w:tab w:val="right" w:leader="dot" w:pos="8296"/>
        </w:tabs>
        <w:rPr>
          <w:rFonts w:ascii="仿宋_GB2312" w:hAnsi="仿宋" w:eastAsia="仿宋_GB2312"/>
        </w:rPr>
      </w:pPr>
      <w:r>
        <w:rPr>
          <w:rFonts w:hint="eastAsia" w:ascii="仿宋_GB2312" w:hAnsi="仿宋" w:eastAsia="仿宋_GB2312"/>
        </w:rPr>
        <w:t>九、 国有资本经营预算支出决算情况说明</w:t>
      </w:r>
      <w:r>
        <w:rPr>
          <w:rFonts w:hint="eastAsia" w:ascii="仿宋_GB2312" w:hAnsi="仿宋" w:eastAsia="仿宋_GB2312"/>
        </w:rPr>
        <w:tab/>
      </w:r>
      <w:r>
        <w:rPr>
          <w:rFonts w:hint="eastAsia" w:ascii="仿宋_GB2312" w:hAnsi="仿宋" w:eastAsia="仿宋_GB2312"/>
        </w:rPr>
        <w:t>17</w:t>
      </w:r>
    </w:p>
    <w:p w14:paraId="01E3B23E">
      <w:pPr>
        <w:pStyle w:val="17"/>
        <w:tabs>
          <w:tab w:val="right" w:leader="dot" w:pos="8296"/>
        </w:tabs>
        <w:rPr>
          <w:rFonts w:ascii="仿宋_GB2312" w:hAnsi="仿宋" w:eastAsia="仿宋_GB2312"/>
        </w:rPr>
      </w:pPr>
      <w:r>
        <w:rPr>
          <w:rFonts w:hint="eastAsia" w:ascii="仿宋_GB2312" w:hAnsi="仿宋" w:eastAsia="仿宋_GB2312"/>
        </w:rPr>
        <w:t>十、其他重要事项的情况说明</w:t>
      </w:r>
      <w:r>
        <w:rPr>
          <w:rFonts w:hint="eastAsia" w:ascii="仿宋_GB2312" w:hAnsi="仿宋" w:eastAsia="仿宋_GB2312"/>
        </w:rPr>
        <w:tab/>
      </w:r>
      <w:r>
        <w:rPr>
          <w:rFonts w:hint="eastAsia" w:ascii="仿宋_GB2312" w:hAnsi="仿宋" w:eastAsia="仿宋_GB2312"/>
        </w:rPr>
        <w:t>17</w:t>
      </w:r>
    </w:p>
    <w:p w14:paraId="3B053725">
      <w:pPr>
        <w:pStyle w:val="8"/>
        <w:tabs>
          <w:tab w:val="right" w:leader="dot" w:pos="8296"/>
        </w:tabs>
        <w:rPr>
          <w:rFonts w:ascii="仿宋_GB2312" w:hAnsi="仿宋" w:eastAsia="仿宋_GB2312"/>
          <w:i w:val="0"/>
          <w:iCs w:val="0"/>
          <w:smallCaps/>
        </w:rPr>
      </w:pPr>
      <w:r>
        <w:rPr>
          <w:rFonts w:hint="eastAsia" w:ascii="仿宋_GB2312" w:hAnsi="仿宋" w:eastAsia="仿宋_GB2312"/>
          <w:i w:val="0"/>
          <w:iCs w:val="0"/>
          <w:smallCaps/>
        </w:rPr>
        <w:t>（一）机关运行经费支出情况</w:t>
      </w:r>
      <w:r>
        <w:rPr>
          <w:rFonts w:hint="eastAsia" w:ascii="仿宋_GB2312" w:hAnsi="仿宋" w:eastAsia="仿宋_GB2312"/>
          <w:i w:val="0"/>
          <w:iCs w:val="0"/>
          <w:smallCaps/>
        </w:rPr>
        <w:tab/>
      </w:r>
      <w:r>
        <w:rPr>
          <w:rFonts w:hint="eastAsia" w:ascii="仿宋_GB2312" w:hAnsi="仿宋" w:eastAsia="仿宋_GB2312"/>
          <w:i w:val="0"/>
          <w:iCs w:val="0"/>
          <w:smallCaps/>
        </w:rPr>
        <w:t>17</w:t>
      </w:r>
    </w:p>
    <w:p w14:paraId="23D5740D">
      <w:pPr>
        <w:pStyle w:val="8"/>
        <w:tabs>
          <w:tab w:val="right" w:leader="dot" w:pos="8296"/>
        </w:tabs>
        <w:rPr>
          <w:rFonts w:ascii="仿宋_GB2312" w:hAnsi="仿宋" w:eastAsia="仿宋_GB2312"/>
          <w:i w:val="0"/>
          <w:iCs w:val="0"/>
          <w:smallCaps/>
        </w:rPr>
      </w:pPr>
      <w:r>
        <w:rPr>
          <w:rFonts w:hint="eastAsia" w:ascii="仿宋_GB2312" w:hAnsi="仿宋" w:eastAsia="仿宋_GB2312"/>
          <w:i w:val="0"/>
          <w:iCs w:val="0"/>
          <w:smallCaps/>
        </w:rPr>
        <w:t>（二）政府采购支出情况</w:t>
      </w:r>
      <w:r>
        <w:rPr>
          <w:rFonts w:hint="eastAsia" w:ascii="仿宋_GB2312" w:hAnsi="仿宋" w:eastAsia="仿宋_GB2312"/>
          <w:i w:val="0"/>
          <w:iCs w:val="0"/>
          <w:smallCaps/>
        </w:rPr>
        <w:tab/>
      </w:r>
      <w:r>
        <w:rPr>
          <w:rFonts w:hint="eastAsia" w:ascii="仿宋_GB2312" w:hAnsi="仿宋" w:eastAsia="仿宋_GB2312"/>
          <w:i w:val="0"/>
          <w:iCs w:val="0"/>
          <w:smallCaps/>
        </w:rPr>
        <w:t>17</w:t>
      </w:r>
    </w:p>
    <w:p w14:paraId="79C95E63">
      <w:pPr>
        <w:pStyle w:val="8"/>
        <w:tabs>
          <w:tab w:val="right" w:leader="dot" w:pos="8296"/>
        </w:tabs>
        <w:rPr>
          <w:rFonts w:ascii="仿宋_GB2312" w:hAnsi="仿宋" w:eastAsia="仿宋_GB2312"/>
          <w:i w:val="0"/>
          <w:iCs w:val="0"/>
          <w:smallCaps/>
        </w:rPr>
      </w:pPr>
      <w:r>
        <w:rPr>
          <w:rFonts w:hint="eastAsia" w:ascii="仿宋_GB2312" w:hAnsi="仿宋" w:eastAsia="仿宋_GB2312"/>
          <w:i w:val="0"/>
          <w:iCs w:val="0"/>
          <w:smallCaps/>
        </w:rPr>
        <w:t>（三）国有资产占有使用情况</w:t>
      </w:r>
      <w:r>
        <w:rPr>
          <w:rFonts w:hint="eastAsia" w:ascii="仿宋_GB2312" w:hAnsi="仿宋" w:eastAsia="仿宋_GB2312"/>
          <w:i w:val="0"/>
          <w:iCs w:val="0"/>
          <w:smallCaps/>
        </w:rPr>
        <w:tab/>
      </w:r>
      <w:r>
        <w:rPr>
          <w:rFonts w:hint="eastAsia" w:ascii="仿宋_GB2312" w:hAnsi="仿宋" w:eastAsia="仿宋_GB2312"/>
          <w:i w:val="0"/>
          <w:iCs w:val="0"/>
          <w:smallCaps/>
        </w:rPr>
        <w:t>18</w:t>
      </w:r>
    </w:p>
    <w:p w14:paraId="51F6070B">
      <w:pPr>
        <w:pStyle w:val="8"/>
        <w:tabs>
          <w:tab w:val="right" w:leader="dot" w:pos="8296"/>
        </w:tabs>
        <w:rPr>
          <w:rFonts w:ascii="仿宋_GB2312" w:hAnsi="仿宋" w:eastAsia="仿宋_GB2312"/>
          <w:i w:val="0"/>
          <w:iCs w:val="0"/>
          <w:smallCaps/>
        </w:rPr>
      </w:pPr>
      <w:r>
        <w:rPr>
          <w:rFonts w:hint="eastAsia" w:ascii="仿宋_GB2312" w:hAnsi="仿宋" w:eastAsia="仿宋_GB2312"/>
          <w:i w:val="0"/>
          <w:iCs w:val="0"/>
          <w:smallCaps/>
        </w:rPr>
        <w:t>（四）预算绩效管理情况</w:t>
      </w:r>
      <w:r>
        <w:rPr>
          <w:rFonts w:hint="eastAsia" w:ascii="仿宋_GB2312" w:hAnsi="仿宋" w:eastAsia="仿宋_GB2312"/>
          <w:i w:val="0"/>
          <w:iCs w:val="0"/>
          <w:smallCaps/>
        </w:rPr>
        <w:tab/>
      </w:r>
      <w:r>
        <w:rPr>
          <w:rFonts w:hint="eastAsia" w:ascii="仿宋_GB2312" w:hAnsi="仿宋" w:eastAsia="仿宋_GB2312"/>
          <w:i w:val="0"/>
          <w:iCs w:val="0"/>
          <w:smallCaps/>
        </w:rPr>
        <w:t>18</w:t>
      </w:r>
    </w:p>
    <w:p w14:paraId="73A3D087">
      <w:pPr>
        <w:pStyle w:val="13"/>
        <w:tabs>
          <w:tab w:val="right" w:leader="dot" w:pos="8296"/>
        </w:tabs>
        <w:rPr>
          <w:rFonts w:ascii="仿宋_GB2312" w:hAnsi="仿宋" w:eastAsia="仿宋_GB2312"/>
          <w:b w:val="0"/>
          <w:bCs w:val="0"/>
          <w:caps w:val="0"/>
          <w:smallCaps/>
        </w:rPr>
      </w:pPr>
      <w:r>
        <w:rPr>
          <w:rFonts w:hint="eastAsia" w:ascii="仿宋_GB2312" w:hAnsi="仿宋" w:eastAsia="仿宋_GB2312"/>
          <w:b w:val="0"/>
          <w:bCs w:val="0"/>
          <w:caps w:val="0"/>
          <w:smallCaps/>
        </w:rPr>
        <w:t>第三部分 名词解释</w:t>
      </w:r>
      <w:r>
        <w:rPr>
          <w:rFonts w:hint="eastAsia" w:ascii="仿宋_GB2312" w:hAnsi="仿宋" w:eastAsia="仿宋_GB2312"/>
          <w:b w:val="0"/>
          <w:bCs w:val="0"/>
          <w:caps w:val="0"/>
          <w:smallCaps/>
        </w:rPr>
        <w:tab/>
      </w:r>
      <w:r>
        <w:rPr>
          <w:rFonts w:hint="eastAsia" w:ascii="仿宋_GB2312" w:hAnsi="仿宋" w:eastAsia="仿宋_GB2312"/>
          <w:b w:val="0"/>
          <w:bCs w:val="0"/>
          <w:caps w:val="0"/>
          <w:smallCaps/>
        </w:rPr>
        <w:t>19</w:t>
      </w:r>
    </w:p>
    <w:p w14:paraId="176A38EE">
      <w:pPr>
        <w:pStyle w:val="13"/>
        <w:tabs>
          <w:tab w:val="right" w:leader="dot" w:pos="8296"/>
        </w:tabs>
        <w:rPr>
          <w:rFonts w:ascii="仿宋_GB2312" w:hAnsi="仿宋" w:eastAsia="仿宋_GB2312"/>
          <w:b w:val="0"/>
          <w:bCs w:val="0"/>
          <w:caps w:val="0"/>
          <w:smallCaps/>
        </w:rPr>
      </w:pPr>
      <w:r>
        <w:rPr>
          <w:rFonts w:hint="eastAsia" w:ascii="仿宋_GB2312" w:hAnsi="仿宋" w:eastAsia="仿宋_GB2312"/>
          <w:b w:val="0"/>
          <w:bCs w:val="0"/>
          <w:caps w:val="0"/>
          <w:smallCaps/>
        </w:rPr>
        <w:t>第四部分 附件</w:t>
      </w:r>
      <w:r>
        <w:rPr>
          <w:rFonts w:hint="eastAsia" w:ascii="仿宋_GB2312" w:hAnsi="仿宋" w:eastAsia="仿宋_GB2312"/>
          <w:b w:val="0"/>
          <w:bCs w:val="0"/>
          <w:caps w:val="0"/>
          <w:smallCaps/>
        </w:rPr>
        <w:tab/>
      </w:r>
      <w:r>
        <w:rPr>
          <w:rFonts w:hint="eastAsia" w:ascii="仿宋_GB2312" w:hAnsi="仿宋" w:eastAsia="仿宋_GB2312"/>
          <w:b w:val="0"/>
          <w:bCs w:val="0"/>
          <w:caps w:val="0"/>
          <w:smallCaps/>
        </w:rPr>
        <w:t>22</w:t>
      </w:r>
    </w:p>
    <w:p w14:paraId="77FCF84E">
      <w:pPr>
        <w:pStyle w:val="13"/>
        <w:tabs>
          <w:tab w:val="right" w:leader="dot" w:pos="8296"/>
        </w:tabs>
        <w:rPr>
          <w:rFonts w:ascii="仿宋_GB2312" w:hAnsi="仿宋" w:eastAsia="仿宋_GB2312"/>
          <w:b w:val="0"/>
          <w:bCs w:val="0"/>
          <w:caps w:val="0"/>
          <w:smallCaps/>
        </w:rPr>
      </w:pPr>
      <w:r>
        <w:rPr>
          <w:rFonts w:hint="eastAsia" w:ascii="仿宋_GB2312" w:hAnsi="仿宋" w:eastAsia="仿宋_GB2312"/>
          <w:b w:val="0"/>
          <w:bCs w:val="0"/>
          <w:caps w:val="0"/>
          <w:smallCaps/>
        </w:rPr>
        <w:t>附件1</w:t>
      </w:r>
      <w:r>
        <w:rPr>
          <w:rFonts w:hint="eastAsia" w:ascii="仿宋_GB2312" w:hAnsi="仿宋" w:eastAsia="仿宋_GB2312"/>
          <w:b w:val="0"/>
          <w:bCs w:val="0"/>
          <w:caps w:val="0"/>
          <w:smallCaps/>
        </w:rPr>
        <w:tab/>
      </w:r>
      <w:r>
        <w:rPr>
          <w:rFonts w:hint="eastAsia" w:ascii="仿宋_GB2312" w:hAnsi="仿宋" w:eastAsia="仿宋_GB2312"/>
          <w:b w:val="0"/>
          <w:bCs w:val="0"/>
          <w:caps w:val="0"/>
          <w:smallCaps/>
        </w:rPr>
        <w:t>22</w:t>
      </w:r>
    </w:p>
    <w:p w14:paraId="23A9A46A">
      <w:pPr>
        <w:pStyle w:val="13"/>
        <w:tabs>
          <w:tab w:val="right" w:leader="dot" w:pos="8296"/>
        </w:tabs>
        <w:rPr>
          <w:rFonts w:ascii="仿宋_GB2312" w:hAnsi="仿宋" w:eastAsia="仿宋_GB2312"/>
          <w:b w:val="0"/>
          <w:bCs w:val="0"/>
          <w:caps w:val="0"/>
          <w:smallCaps/>
        </w:rPr>
      </w:pPr>
      <w:r>
        <w:rPr>
          <w:rFonts w:hint="eastAsia" w:ascii="仿宋_GB2312" w:hAnsi="仿宋" w:eastAsia="仿宋_GB2312"/>
          <w:b w:val="0"/>
          <w:bCs w:val="0"/>
          <w:caps w:val="0"/>
          <w:smallCaps/>
        </w:rPr>
        <w:t>茂县供销合作社联合社2022年整体支出绩效自评报告</w:t>
      </w:r>
      <w:r>
        <w:rPr>
          <w:rFonts w:hint="eastAsia" w:ascii="仿宋_GB2312" w:hAnsi="仿宋" w:eastAsia="仿宋_GB2312"/>
          <w:b w:val="0"/>
          <w:bCs w:val="0"/>
          <w:caps w:val="0"/>
          <w:smallCaps/>
        </w:rPr>
        <w:tab/>
      </w:r>
      <w:r>
        <w:rPr>
          <w:rFonts w:hint="eastAsia" w:ascii="仿宋_GB2312" w:hAnsi="仿宋" w:eastAsia="仿宋_GB2312"/>
          <w:b w:val="0"/>
          <w:bCs w:val="0"/>
          <w:caps w:val="0"/>
          <w:smallCaps/>
        </w:rPr>
        <w:t>22</w:t>
      </w:r>
    </w:p>
    <w:p w14:paraId="7D077017">
      <w:pPr>
        <w:pStyle w:val="13"/>
        <w:tabs>
          <w:tab w:val="right" w:leader="dot" w:pos="8296"/>
        </w:tabs>
        <w:rPr>
          <w:rFonts w:ascii="仿宋_GB2312" w:hAnsi="仿宋" w:eastAsia="仿宋_GB2312"/>
          <w:b w:val="0"/>
          <w:bCs w:val="0"/>
          <w:caps w:val="0"/>
          <w:smallCaps/>
        </w:rPr>
      </w:pPr>
      <w:r>
        <w:rPr>
          <w:rFonts w:hint="eastAsia" w:ascii="仿宋_GB2312" w:hAnsi="仿宋" w:eastAsia="仿宋_GB2312"/>
          <w:b w:val="0"/>
          <w:bCs w:val="0"/>
          <w:caps w:val="0"/>
          <w:smallCaps/>
        </w:rPr>
        <w:t>附件2</w:t>
      </w:r>
      <w:r>
        <w:rPr>
          <w:rFonts w:hint="eastAsia" w:ascii="仿宋_GB2312" w:hAnsi="仿宋" w:eastAsia="仿宋_GB2312"/>
          <w:b w:val="0"/>
          <w:bCs w:val="0"/>
          <w:caps w:val="0"/>
          <w:smallCaps/>
        </w:rPr>
        <w:tab/>
      </w:r>
      <w:r>
        <w:rPr>
          <w:rFonts w:hint="eastAsia" w:ascii="仿宋_GB2312" w:hAnsi="仿宋" w:eastAsia="仿宋_GB2312"/>
          <w:b w:val="0"/>
          <w:bCs w:val="0"/>
          <w:caps w:val="0"/>
          <w:smallCaps/>
        </w:rPr>
        <w:t>26</w:t>
      </w:r>
    </w:p>
    <w:p w14:paraId="753C995D">
      <w:pPr>
        <w:pStyle w:val="13"/>
        <w:tabs>
          <w:tab w:val="right" w:leader="dot" w:pos="8296"/>
        </w:tabs>
        <w:rPr>
          <w:rFonts w:ascii="仿宋_GB2312" w:hAnsi="仿宋" w:eastAsia="仿宋_GB2312"/>
          <w:b w:val="0"/>
          <w:bCs w:val="0"/>
          <w:caps w:val="0"/>
          <w:smallCaps/>
        </w:rPr>
      </w:pPr>
      <w:r>
        <w:rPr>
          <w:rFonts w:hint="eastAsia" w:ascii="仿宋_GB2312" w:hAnsi="仿宋" w:eastAsia="仿宋_GB2312"/>
          <w:b w:val="0"/>
          <w:bCs w:val="0"/>
          <w:caps w:val="0"/>
          <w:smallCaps/>
        </w:rPr>
        <w:t>茂县供销合作社联合社2022年州级农资补贴绩效自评报告</w:t>
      </w:r>
      <w:r>
        <w:rPr>
          <w:rFonts w:hint="eastAsia" w:ascii="仿宋_GB2312" w:hAnsi="仿宋" w:eastAsia="仿宋_GB2312"/>
          <w:b w:val="0"/>
          <w:bCs w:val="0"/>
          <w:caps w:val="0"/>
          <w:smallCaps/>
        </w:rPr>
        <w:tab/>
      </w:r>
      <w:r>
        <w:rPr>
          <w:rFonts w:hint="eastAsia" w:ascii="仿宋_GB2312" w:hAnsi="仿宋" w:eastAsia="仿宋_GB2312"/>
          <w:b w:val="0"/>
          <w:bCs w:val="0"/>
          <w:caps w:val="0"/>
          <w:smallCaps/>
        </w:rPr>
        <w:t>26</w:t>
      </w:r>
    </w:p>
    <w:p w14:paraId="23D5EABE">
      <w:pPr>
        <w:pStyle w:val="13"/>
        <w:tabs>
          <w:tab w:val="right" w:leader="dot" w:pos="8296"/>
        </w:tabs>
        <w:rPr>
          <w:rFonts w:ascii="仿宋_GB2312" w:hAnsi="仿宋" w:eastAsia="仿宋_GB2312"/>
          <w:b w:val="0"/>
          <w:bCs w:val="0"/>
          <w:caps w:val="0"/>
          <w:smallCaps/>
        </w:rPr>
      </w:pPr>
      <w:r>
        <w:rPr>
          <w:rFonts w:hint="eastAsia" w:ascii="仿宋_GB2312" w:hAnsi="仿宋" w:eastAsia="仿宋_GB2312"/>
          <w:b w:val="0"/>
          <w:bCs w:val="0"/>
          <w:caps w:val="0"/>
          <w:smallCaps/>
        </w:rPr>
        <w:t>附件3</w:t>
      </w:r>
      <w:r>
        <w:rPr>
          <w:rFonts w:hint="eastAsia" w:ascii="仿宋_GB2312" w:hAnsi="仿宋" w:eastAsia="仿宋_GB2312"/>
          <w:b w:val="0"/>
          <w:bCs w:val="0"/>
          <w:caps w:val="0"/>
          <w:smallCaps/>
        </w:rPr>
        <w:tab/>
      </w:r>
      <w:r>
        <w:rPr>
          <w:rFonts w:hint="eastAsia" w:ascii="仿宋_GB2312" w:hAnsi="仿宋" w:eastAsia="仿宋_GB2312"/>
          <w:b w:val="0"/>
          <w:bCs w:val="0"/>
          <w:caps w:val="0"/>
          <w:smallCaps/>
        </w:rPr>
        <w:t>30</w:t>
      </w:r>
    </w:p>
    <w:p w14:paraId="05B5A1A9">
      <w:pPr>
        <w:pStyle w:val="13"/>
        <w:tabs>
          <w:tab w:val="right" w:leader="dot" w:pos="8296"/>
        </w:tabs>
        <w:rPr>
          <w:rFonts w:ascii="仿宋_GB2312" w:hAnsi="仿宋" w:eastAsia="仿宋_GB2312"/>
          <w:b w:val="0"/>
          <w:bCs w:val="0"/>
          <w:caps w:val="0"/>
          <w:smallCaps/>
        </w:rPr>
      </w:pPr>
      <w:r>
        <w:rPr>
          <w:rFonts w:hint="eastAsia" w:ascii="仿宋_GB2312" w:hAnsi="仿宋" w:eastAsia="仿宋_GB2312"/>
          <w:b w:val="0"/>
          <w:bCs w:val="0"/>
          <w:caps w:val="0"/>
          <w:smallCaps/>
        </w:rPr>
        <w:t>茂县供销合作社联合社2022年茂县“三社”融合发展试点补助资金绩效自评报告</w:t>
      </w:r>
      <w:r>
        <w:rPr>
          <w:rFonts w:hint="eastAsia" w:ascii="仿宋_GB2312" w:hAnsi="仿宋" w:eastAsia="仿宋_GB2312"/>
          <w:b w:val="0"/>
          <w:bCs w:val="0"/>
          <w:caps w:val="0"/>
          <w:smallCaps/>
        </w:rPr>
        <w:tab/>
      </w:r>
      <w:r>
        <w:rPr>
          <w:rFonts w:hint="eastAsia" w:ascii="仿宋_GB2312" w:hAnsi="仿宋" w:eastAsia="仿宋_GB2312"/>
          <w:b w:val="0"/>
          <w:bCs w:val="0"/>
          <w:caps w:val="0"/>
          <w:smallCaps/>
        </w:rPr>
        <w:t>30</w:t>
      </w:r>
    </w:p>
    <w:p w14:paraId="694CB37F">
      <w:pPr>
        <w:pStyle w:val="13"/>
        <w:tabs>
          <w:tab w:val="right" w:leader="dot" w:pos="8296"/>
        </w:tabs>
        <w:rPr>
          <w:rFonts w:ascii="仿宋_GB2312" w:hAnsi="仿宋" w:eastAsia="仿宋_GB2312"/>
          <w:b w:val="0"/>
          <w:bCs w:val="0"/>
          <w:caps w:val="0"/>
          <w:smallCaps/>
        </w:rPr>
      </w:pPr>
      <w:r>
        <w:rPr>
          <w:rFonts w:hint="eastAsia" w:ascii="仿宋_GB2312" w:hAnsi="仿宋" w:eastAsia="仿宋_GB2312"/>
          <w:b w:val="0"/>
          <w:bCs w:val="0"/>
          <w:caps w:val="0"/>
          <w:smallCaps/>
        </w:rPr>
        <w:t>附件4</w:t>
      </w:r>
      <w:r>
        <w:rPr>
          <w:rFonts w:hint="eastAsia" w:ascii="仿宋_GB2312" w:hAnsi="仿宋" w:eastAsia="仿宋_GB2312"/>
          <w:b w:val="0"/>
          <w:bCs w:val="0"/>
          <w:caps w:val="0"/>
          <w:smallCaps/>
        </w:rPr>
        <w:tab/>
      </w:r>
      <w:r>
        <w:rPr>
          <w:rFonts w:hint="eastAsia" w:ascii="仿宋_GB2312" w:hAnsi="仿宋" w:eastAsia="仿宋_GB2312"/>
          <w:b w:val="0"/>
          <w:bCs w:val="0"/>
          <w:caps w:val="0"/>
          <w:smallCaps/>
        </w:rPr>
        <w:t>35</w:t>
      </w:r>
    </w:p>
    <w:p w14:paraId="1CF07D3C">
      <w:pPr>
        <w:pStyle w:val="13"/>
        <w:tabs>
          <w:tab w:val="right" w:leader="dot" w:pos="8296"/>
        </w:tabs>
        <w:rPr>
          <w:rFonts w:ascii="仿宋_GB2312" w:hAnsi="仿宋" w:eastAsia="仿宋_GB2312"/>
          <w:b w:val="0"/>
          <w:bCs w:val="0"/>
          <w:caps w:val="0"/>
          <w:smallCaps/>
        </w:rPr>
      </w:pPr>
      <w:r>
        <w:rPr>
          <w:rFonts w:hint="eastAsia" w:ascii="仿宋_GB2312" w:hAnsi="仿宋" w:eastAsia="仿宋_GB2312"/>
          <w:b w:val="0"/>
          <w:bCs w:val="0"/>
          <w:caps w:val="0"/>
          <w:smallCaps/>
        </w:rPr>
        <w:t>茂县供销社合作社联合社2022年交流交往交融项目资金自评报告</w:t>
      </w:r>
      <w:r>
        <w:rPr>
          <w:rFonts w:hint="eastAsia" w:ascii="仿宋_GB2312" w:hAnsi="仿宋" w:eastAsia="仿宋_GB2312"/>
          <w:b w:val="0"/>
          <w:bCs w:val="0"/>
          <w:caps w:val="0"/>
          <w:smallCaps/>
        </w:rPr>
        <w:tab/>
      </w:r>
      <w:r>
        <w:rPr>
          <w:rFonts w:hint="eastAsia" w:ascii="仿宋_GB2312" w:hAnsi="仿宋" w:eastAsia="仿宋_GB2312"/>
          <w:b w:val="0"/>
          <w:bCs w:val="0"/>
          <w:caps w:val="0"/>
          <w:smallCaps/>
        </w:rPr>
        <w:t>35</w:t>
      </w:r>
    </w:p>
    <w:p w14:paraId="4F5547F9">
      <w:pPr>
        <w:pStyle w:val="13"/>
        <w:tabs>
          <w:tab w:val="right" w:leader="dot" w:pos="8296"/>
        </w:tabs>
        <w:rPr>
          <w:rFonts w:ascii="仿宋_GB2312" w:hAnsi="仿宋" w:eastAsia="仿宋_GB2312"/>
          <w:b w:val="0"/>
          <w:bCs w:val="0"/>
          <w:caps w:val="0"/>
          <w:smallCaps/>
        </w:rPr>
      </w:pPr>
      <w:r>
        <w:rPr>
          <w:rFonts w:hint="eastAsia" w:ascii="仿宋_GB2312" w:hAnsi="仿宋" w:eastAsia="仿宋_GB2312"/>
          <w:b w:val="0"/>
          <w:bCs w:val="0"/>
          <w:caps w:val="0"/>
          <w:smallCaps/>
        </w:rPr>
        <w:t>附件5</w:t>
      </w:r>
      <w:r>
        <w:rPr>
          <w:rFonts w:hint="eastAsia" w:ascii="仿宋_GB2312" w:hAnsi="仿宋" w:eastAsia="仿宋_GB2312"/>
          <w:b w:val="0"/>
          <w:bCs w:val="0"/>
          <w:caps w:val="0"/>
          <w:smallCaps/>
        </w:rPr>
        <w:tab/>
      </w:r>
      <w:r>
        <w:rPr>
          <w:rFonts w:hint="eastAsia" w:ascii="仿宋_GB2312" w:hAnsi="仿宋" w:eastAsia="仿宋_GB2312"/>
          <w:b w:val="0"/>
          <w:bCs w:val="0"/>
          <w:caps w:val="0"/>
          <w:smallCaps/>
        </w:rPr>
        <w:t>39</w:t>
      </w:r>
    </w:p>
    <w:p w14:paraId="64B08006">
      <w:pPr>
        <w:pStyle w:val="13"/>
        <w:tabs>
          <w:tab w:val="right" w:leader="dot" w:pos="8296"/>
        </w:tabs>
        <w:rPr>
          <w:rFonts w:ascii="仿宋_GB2312" w:hAnsi="仿宋" w:eastAsia="仿宋_GB2312"/>
          <w:b w:val="0"/>
          <w:bCs w:val="0"/>
          <w:caps w:val="0"/>
          <w:smallCaps/>
        </w:rPr>
      </w:pPr>
      <w:r>
        <w:rPr>
          <w:rFonts w:hint="eastAsia" w:ascii="仿宋_GB2312" w:hAnsi="仿宋" w:eastAsia="仿宋_GB2312"/>
          <w:b w:val="0"/>
          <w:bCs w:val="0"/>
          <w:caps w:val="0"/>
          <w:smallCaps/>
        </w:rPr>
        <w:t xml:space="preserve">茂县供销合作社联合社关于茂县数字农业服务平台建设项目自评报告. </w:t>
      </w:r>
      <w:r>
        <w:rPr>
          <w:rFonts w:hint="eastAsia" w:ascii="仿宋_GB2312" w:hAnsi="仿宋" w:eastAsia="仿宋_GB2312"/>
          <w:b w:val="0"/>
          <w:bCs w:val="0"/>
          <w:caps w:val="0"/>
          <w:smallCaps/>
        </w:rPr>
        <w:tab/>
      </w:r>
      <w:r>
        <w:rPr>
          <w:rFonts w:hint="eastAsia" w:ascii="仿宋_GB2312" w:hAnsi="仿宋" w:eastAsia="仿宋_GB2312"/>
          <w:b w:val="0"/>
          <w:bCs w:val="0"/>
          <w:caps w:val="0"/>
          <w:smallCaps/>
        </w:rPr>
        <w:t>39</w:t>
      </w:r>
    </w:p>
    <w:p w14:paraId="1529E2DA">
      <w:pPr>
        <w:pStyle w:val="13"/>
        <w:tabs>
          <w:tab w:val="right" w:leader="dot" w:pos="8296"/>
        </w:tabs>
        <w:rPr>
          <w:rFonts w:ascii="仿宋_GB2312" w:hAnsi="仿宋" w:eastAsia="仿宋_GB2312"/>
          <w:b w:val="0"/>
          <w:bCs w:val="0"/>
          <w:caps w:val="0"/>
          <w:smallCaps/>
        </w:rPr>
      </w:pPr>
      <w:r>
        <w:rPr>
          <w:rFonts w:hint="eastAsia" w:ascii="仿宋_GB2312" w:hAnsi="仿宋" w:eastAsia="仿宋_GB2312"/>
          <w:b w:val="0"/>
          <w:bCs w:val="0"/>
          <w:caps w:val="0"/>
          <w:smallCaps/>
        </w:rPr>
        <w:t>第五部分 附表</w:t>
      </w:r>
      <w:r>
        <w:rPr>
          <w:rFonts w:hint="eastAsia" w:ascii="仿宋_GB2312" w:hAnsi="仿宋" w:eastAsia="仿宋_GB2312"/>
          <w:b w:val="0"/>
          <w:bCs w:val="0"/>
          <w:caps w:val="0"/>
          <w:smallCaps/>
        </w:rPr>
        <w:tab/>
      </w:r>
      <w:r>
        <w:rPr>
          <w:rFonts w:hint="eastAsia" w:ascii="仿宋_GB2312" w:hAnsi="仿宋" w:eastAsia="仿宋_GB2312"/>
          <w:b w:val="0"/>
          <w:bCs w:val="0"/>
          <w:caps w:val="0"/>
          <w:smallCaps/>
        </w:rPr>
        <w:t>43</w:t>
      </w:r>
    </w:p>
    <w:p w14:paraId="7FB00550">
      <w:pPr>
        <w:pStyle w:val="17"/>
        <w:tabs>
          <w:tab w:val="right" w:leader="dot" w:pos="8296"/>
        </w:tabs>
        <w:rPr>
          <w:rFonts w:ascii="仿宋_GB2312" w:hAnsi="仿宋" w:eastAsia="仿宋_GB2312"/>
        </w:rPr>
      </w:pPr>
      <w:r>
        <w:rPr>
          <w:rFonts w:hint="eastAsia" w:ascii="仿宋_GB2312" w:hAnsi="仿宋" w:eastAsia="仿宋_GB2312"/>
        </w:rPr>
        <w:t>一、收入支出决算总表</w:t>
      </w:r>
      <w:r>
        <w:rPr>
          <w:rFonts w:hint="eastAsia" w:ascii="仿宋_GB2312" w:hAnsi="仿宋" w:eastAsia="仿宋_GB2312"/>
        </w:rPr>
        <w:tab/>
      </w:r>
      <w:r>
        <w:rPr>
          <w:rFonts w:hint="eastAsia" w:ascii="仿宋_GB2312" w:hAnsi="仿宋" w:eastAsia="仿宋_GB2312"/>
        </w:rPr>
        <w:t>43</w:t>
      </w:r>
    </w:p>
    <w:p w14:paraId="0CDC1A17">
      <w:pPr>
        <w:pStyle w:val="17"/>
        <w:tabs>
          <w:tab w:val="right" w:leader="dot" w:pos="8296"/>
        </w:tabs>
        <w:rPr>
          <w:rFonts w:ascii="仿宋_GB2312" w:hAnsi="仿宋" w:eastAsia="仿宋_GB2312"/>
        </w:rPr>
      </w:pPr>
      <w:r>
        <w:rPr>
          <w:rFonts w:hint="eastAsia" w:ascii="仿宋_GB2312" w:hAnsi="仿宋" w:eastAsia="仿宋_GB2312"/>
        </w:rPr>
        <w:t>二、收入决算表</w:t>
      </w:r>
      <w:r>
        <w:rPr>
          <w:rFonts w:hint="eastAsia" w:ascii="仿宋_GB2312" w:hAnsi="仿宋" w:eastAsia="仿宋_GB2312"/>
        </w:rPr>
        <w:tab/>
      </w:r>
      <w:r>
        <w:rPr>
          <w:rFonts w:hint="eastAsia" w:ascii="仿宋_GB2312" w:hAnsi="仿宋" w:eastAsia="仿宋_GB2312"/>
        </w:rPr>
        <w:t>43</w:t>
      </w:r>
    </w:p>
    <w:p w14:paraId="68983B13">
      <w:pPr>
        <w:pStyle w:val="17"/>
        <w:tabs>
          <w:tab w:val="right" w:leader="dot" w:pos="8296"/>
        </w:tabs>
        <w:rPr>
          <w:rFonts w:ascii="仿宋_GB2312" w:hAnsi="仿宋" w:eastAsia="仿宋_GB2312"/>
        </w:rPr>
      </w:pPr>
      <w:r>
        <w:rPr>
          <w:rFonts w:hint="eastAsia" w:ascii="仿宋_GB2312" w:hAnsi="仿宋" w:eastAsia="仿宋_GB2312"/>
        </w:rPr>
        <w:t>三、支出决算表</w:t>
      </w:r>
      <w:r>
        <w:rPr>
          <w:rFonts w:hint="eastAsia" w:ascii="仿宋_GB2312" w:hAnsi="仿宋" w:eastAsia="仿宋_GB2312"/>
        </w:rPr>
        <w:tab/>
      </w:r>
      <w:r>
        <w:rPr>
          <w:rFonts w:hint="eastAsia" w:ascii="仿宋_GB2312" w:hAnsi="仿宋" w:eastAsia="仿宋_GB2312"/>
        </w:rPr>
        <w:t>43</w:t>
      </w:r>
    </w:p>
    <w:p w14:paraId="2D7C65F3">
      <w:pPr>
        <w:pStyle w:val="17"/>
        <w:tabs>
          <w:tab w:val="right" w:leader="dot" w:pos="8296"/>
        </w:tabs>
        <w:rPr>
          <w:rFonts w:ascii="仿宋_GB2312" w:hAnsi="仿宋" w:eastAsia="仿宋_GB2312"/>
        </w:rPr>
      </w:pPr>
      <w:r>
        <w:rPr>
          <w:rFonts w:hint="eastAsia" w:ascii="仿宋_GB2312" w:hAnsi="仿宋" w:eastAsia="仿宋_GB2312"/>
        </w:rPr>
        <w:t>四、财政拨款收入支出决算总表</w:t>
      </w:r>
      <w:r>
        <w:rPr>
          <w:rFonts w:hint="eastAsia" w:ascii="仿宋_GB2312" w:hAnsi="仿宋" w:eastAsia="仿宋_GB2312"/>
        </w:rPr>
        <w:tab/>
      </w:r>
      <w:r>
        <w:rPr>
          <w:rFonts w:hint="eastAsia" w:ascii="仿宋_GB2312" w:hAnsi="仿宋" w:eastAsia="仿宋_GB2312"/>
        </w:rPr>
        <w:t>43</w:t>
      </w:r>
    </w:p>
    <w:p w14:paraId="3B0659A9">
      <w:pPr>
        <w:pStyle w:val="17"/>
        <w:tabs>
          <w:tab w:val="right" w:leader="dot" w:pos="8296"/>
        </w:tabs>
        <w:rPr>
          <w:rFonts w:ascii="仿宋_GB2312" w:hAnsi="仿宋" w:eastAsia="仿宋_GB2312"/>
        </w:rPr>
      </w:pPr>
      <w:r>
        <w:rPr>
          <w:rFonts w:hint="eastAsia" w:ascii="仿宋_GB2312" w:hAnsi="仿宋" w:eastAsia="仿宋_GB2312"/>
        </w:rPr>
        <w:t>五、财政拨款支出决算明细表</w:t>
      </w:r>
      <w:r>
        <w:rPr>
          <w:rFonts w:hint="eastAsia" w:ascii="仿宋_GB2312" w:hAnsi="仿宋" w:eastAsia="仿宋_GB2312"/>
        </w:rPr>
        <w:tab/>
      </w:r>
      <w:r>
        <w:rPr>
          <w:rFonts w:hint="eastAsia" w:ascii="仿宋_GB2312" w:hAnsi="仿宋" w:eastAsia="仿宋_GB2312"/>
        </w:rPr>
        <w:t>43</w:t>
      </w:r>
    </w:p>
    <w:p w14:paraId="5C87F280">
      <w:pPr>
        <w:pStyle w:val="17"/>
        <w:tabs>
          <w:tab w:val="right" w:leader="dot" w:pos="8296"/>
        </w:tabs>
        <w:rPr>
          <w:rFonts w:ascii="仿宋_GB2312" w:hAnsi="仿宋" w:eastAsia="仿宋_GB2312"/>
        </w:rPr>
      </w:pPr>
      <w:r>
        <w:rPr>
          <w:rFonts w:hint="eastAsia" w:ascii="仿宋_GB2312" w:hAnsi="仿宋" w:eastAsia="仿宋_GB2312"/>
        </w:rPr>
        <w:t>六、一般公共预算财政拨款支出决算表</w:t>
      </w:r>
      <w:r>
        <w:rPr>
          <w:rFonts w:hint="eastAsia" w:ascii="仿宋_GB2312" w:hAnsi="仿宋" w:eastAsia="仿宋_GB2312"/>
        </w:rPr>
        <w:tab/>
      </w:r>
      <w:r>
        <w:rPr>
          <w:rFonts w:hint="eastAsia" w:ascii="仿宋_GB2312" w:hAnsi="仿宋" w:eastAsia="仿宋_GB2312"/>
        </w:rPr>
        <w:t>43</w:t>
      </w:r>
    </w:p>
    <w:p w14:paraId="04E615B4">
      <w:pPr>
        <w:pStyle w:val="17"/>
        <w:tabs>
          <w:tab w:val="right" w:leader="dot" w:pos="8296"/>
        </w:tabs>
        <w:rPr>
          <w:rFonts w:ascii="仿宋_GB2312" w:hAnsi="仿宋" w:eastAsia="仿宋_GB2312"/>
        </w:rPr>
      </w:pPr>
      <w:r>
        <w:rPr>
          <w:rFonts w:hint="eastAsia" w:ascii="仿宋_GB2312" w:hAnsi="仿宋" w:eastAsia="仿宋_GB2312"/>
        </w:rPr>
        <w:t>七、一般公共预算财政拨款支出决算明细表</w:t>
      </w:r>
      <w:r>
        <w:rPr>
          <w:rFonts w:hint="eastAsia" w:ascii="仿宋_GB2312" w:hAnsi="仿宋" w:eastAsia="仿宋_GB2312"/>
        </w:rPr>
        <w:tab/>
      </w:r>
      <w:r>
        <w:rPr>
          <w:rFonts w:hint="eastAsia" w:ascii="仿宋_GB2312" w:hAnsi="仿宋" w:eastAsia="仿宋_GB2312"/>
        </w:rPr>
        <w:t>43</w:t>
      </w:r>
    </w:p>
    <w:p w14:paraId="47AB8EB3">
      <w:pPr>
        <w:pStyle w:val="17"/>
        <w:tabs>
          <w:tab w:val="right" w:leader="dot" w:pos="8296"/>
        </w:tabs>
        <w:rPr>
          <w:rFonts w:ascii="仿宋_GB2312" w:hAnsi="仿宋" w:eastAsia="仿宋_GB2312"/>
        </w:rPr>
      </w:pPr>
      <w:r>
        <w:rPr>
          <w:rFonts w:hint="eastAsia" w:ascii="仿宋_GB2312" w:hAnsi="仿宋" w:eastAsia="仿宋_GB2312"/>
        </w:rPr>
        <w:t>八、一般公共预算财政拨款基本支出决算表</w:t>
      </w:r>
      <w:r>
        <w:rPr>
          <w:rFonts w:hint="eastAsia" w:ascii="仿宋_GB2312" w:hAnsi="仿宋" w:eastAsia="仿宋_GB2312"/>
        </w:rPr>
        <w:tab/>
      </w:r>
      <w:r>
        <w:rPr>
          <w:rFonts w:hint="eastAsia" w:ascii="仿宋_GB2312" w:hAnsi="仿宋" w:eastAsia="仿宋_GB2312"/>
        </w:rPr>
        <w:t>43</w:t>
      </w:r>
    </w:p>
    <w:p w14:paraId="5D646889">
      <w:pPr>
        <w:pStyle w:val="17"/>
        <w:tabs>
          <w:tab w:val="right" w:leader="dot" w:pos="8296"/>
        </w:tabs>
        <w:rPr>
          <w:rFonts w:ascii="仿宋_GB2312" w:hAnsi="仿宋" w:eastAsia="仿宋_GB2312"/>
        </w:rPr>
      </w:pPr>
      <w:r>
        <w:rPr>
          <w:rFonts w:hint="eastAsia" w:ascii="仿宋_GB2312" w:hAnsi="仿宋" w:eastAsia="仿宋_GB2312"/>
        </w:rPr>
        <w:t>九、一般公共预算财政拨款项目支出决算表</w:t>
      </w:r>
      <w:r>
        <w:rPr>
          <w:rFonts w:hint="eastAsia" w:ascii="仿宋_GB2312" w:hAnsi="仿宋" w:eastAsia="仿宋_GB2312"/>
        </w:rPr>
        <w:tab/>
      </w:r>
      <w:r>
        <w:rPr>
          <w:rFonts w:hint="eastAsia" w:ascii="仿宋_GB2312" w:hAnsi="仿宋" w:eastAsia="仿宋_GB2312"/>
        </w:rPr>
        <w:t>43</w:t>
      </w:r>
    </w:p>
    <w:p w14:paraId="131BE160">
      <w:pPr>
        <w:pStyle w:val="17"/>
        <w:tabs>
          <w:tab w:val="right" w:leader="dot" w:pos="8296"/>
        </w:tabs>
        <w:rPr>
          <w:rFonts w:ascii="仿宋_GB2312" w:hAnsi="仿宋" w:eastAsia="仿宋_GB2312"/>
        </w:rPr>
      </w:pPr>
      <w:r>
        <w:rPr>
          <w:rFonts w:hint="eastAsia" w:ascii="仿宋_GB2312" w:hAnsi="仿宋" w:eastAsia="仿宋_GB2312"/>
        </w:rPr>
        <w:t>十、一般公共预算财政拨款“三公”经费支出决算表</w:t>
      </w:r>
      <w:r>
        <w:rPr>
          <w:rFonts w:hint="eastAsia" w:ascii="仿宋_GB2312" w:hAnsi="仿宋" w:eastAsia="仿宋_GB2312"/>
        </w:rPr>
        <w:tab/>
      </w:r>
      <w:r>
        <w:rPr>
          <w:rFonts w:hint="eastAsia" w:ascii="仿宋_GB2312" w:hAnsi="仿宋" w:eastAsia="仿宋_GB2312"/>
        </w:rPr>
        <w:t>43</w:t>
      </w:r>
    </w:p>
    <w:p w14:paraId="66F920AF">
      <w:pPr>
        <w:pStyle w:val="17"/>
        <w:tabs>
          <w:tab w:val="right" w:leader="dot" w:pos="8296"/>
        </w:tabs>
        <w:rPr>
          <w:rFonts w:ascii="仿宋_GB2312" w:hAnsi="仿宋" w:eastAsia="仿宋_GB2312"/>
        </w:rPr>
      </w:pPr>
      <w:r>
        <w:rPr>
          <w:rFonts w:hint="eastAsia" w:ascii="仿宋_GB2312" w:hAnsi="仿宋" w:eastAsia="仿宋_GB2312"/>
        </w:rPr>
        <w:t>十一、政府性基金预算财政拨款收入支出决算表</w:t>
      </w:r>
      <w:r>
        <w:rPr>
          <w:rFonts w:hint="eastAsia" w:ascii="仿宋_GB2312" w:hAnsi="仿宋" w:eastAsia="仿宋_GB2312"/>
        </w:rPr>
        <w:tab/>
      </w:r>
      <w:r>
        <w:rPr>
          <w:rFonts w:hint="eastAsia" w:ascii="仿宋_GB2312" w:hAnsi="仿宋" w:eastAsia="仿宋_GB2312"/>
        </w:rPr>
        <w:t>43</w:t>
      </w:r>
    </w:p>
    <w:p w14:paraId="038FBEB6">
      <w:pPr>
        <w:pStyle w:val="17"/>
        <w:tabs>
          <w:tab w:val="right" w:leader="dot" w:pos="8296"/>
        </w:tabs>
        <w:rPr>
          <w:rFonts w:ascii="仿宋_GB2312" w:hAnsi="仿宋" w:eastAsia="仿宋_GB2312"/>
        </w:rPr>
      </w:pPr>
      <w:r>
        <w:rPr>
          <w:rFonts w:hint="eastAsia" w:ascii="仿宋_GB2312" w:hAnsi="仿宋" w:eastAsia="仿宋_GB2312"/>
        </w:rPr>
        <w:t>十二、政府性基金预算财政拨款“三公”经费支出决算表</w:t>
      </w:r>
      <w:r>
        <w:rPr>
          <w:rFonts w:hint="eastAsia" w:ascii="仿宋_GB2312" w:hAnsi="仿宋" w:eastAsia="仿宋_GB2312"/>
        </w:rPr>
        <w:tab/>
      </w:r>
      <w:r>
        <w:rPr>
          <w:rFonts w:hint="eastAsia" w:ascii="仿宋_GB2312" w:hAnsi="仿宋" w:eastAsia="仿宋_GB2312"/>
        </w:rPr>
        <w:t>43</w:t>
      </w:r>
    </w:p>
    <w:p w14:paraId="1B3D1A66">
      <w:pPr>
        <w:pStyle w:val="17"/>
        <w:tabs>
          <w:tab w:val="right" w:leader="dot" w:pos="8296"/>
        </w:tabs>
        <w:rPr>
          <w:rFonts w:ascii="仿宋_GB2312" w:hAnsi="仿宋" w:eastAsia="仿宋_GB2312"/>
        </w:rPr>
      </w:pPr>
      <w:r>
        <w:rPr>
          <w:rFonts w:hint="eastAsia" w:ascii="仿宋_GB2312" w:hAnsi="仿宋" w:eastAsia="仿宋_GB2312"/>
        </w:rPr>
        <w:t>十三、国有资本经营预算财政拨款支出决算表</w:t>
      </w:r>
      <w:r>
        <w:rPr>
          <w:rFonts w:hint="eastAsia" w:ascii="仿宋_GB2312" w:hAnsi="仿宋" w:eastAsia="仿宋_GB2312"/>
        </w:rPr>
        <w:tab/>
      </w:r>
      <w:r>
        <w:rPr>
          <w:rFonts w:hint="eastAsia" w:ascii="仿宋_GB2312" w:hAnsi="仿宋" w:eastAsia="仿宋_GB2312"/>
        </w:rPr>
        <w:t>43</w:t>
      </w:r>
    </w:p>
    <w:p w14:paraId="31B63BE4">
      <w:pPr>
        <w:pStyle w:val="17"/>
        <w:tabs>
          <w:tab w:val="right" w:leader="dot" w:pos="8296"/>
        </w:tabs>
        <w:rPr>
          <w:rFonts w:ascii="仿宋_GB2312" w:hAnsi="仿宋" w:eastAsia="仿宋_GB2312"/>
          <w:sz w:val="32"/>
          <w:szCs w:val="32"/>
        </w:rPr>
      </w:pPr>
      <w:r>
        <w:rPr>
          <w:rFonts w:hint="eastAsia" w:ascii="仿宋_GB2312" w:hAnsi="仿宋" w:eastAsia="仿宋_GB2312"/>
        </w:rPr>
        <w:t>十四、国有资本经营预算财政拨款支出决算表</w:t>
      </w:r>
      <w:r>
        <w:rPr>
          <w:rFonts w:hint="eastAsia" w:ascii="仿宋_GB2312" w:hAnsi="仿宋" w:eastAsia="仿宋_GB2312"/>
        </w:rPr>
        <w:tab/>
      </w:r>
      <w:r>
        <w:rPr>
          <w:rFonts w:hint="eastAsia" w:ascii="仿宋_GB2312" w:hAnsi="仿宋" w:eastAsia="仿宋_GB2312"/>
        </w:rPr>
        <w:t>43</w:t>
      </w:r>
    </w:p>
    <w:p w14:paraId="69BFB6F5">
      <w:pPr>
        <w:widowControl/>
        <w:spacing w:line="440" w:lineRule="exact"/>
        <w:jc w:val="left"/>
        <w:rPr>
          <w:rFonts w:ascii="仿宋_GB2312" w:hAnsi="仿宋" w:eastAsia="仿宋_GB2312"/>
          <w:smallCaps/>
          <w:sz w:val="20"/>
          <w:szCs w:val="20"/>
        </w:rPr>
      </w:pPr>
      <w:r>
        <w:rPr>
          <w:rFonts w:hint="eastAsia" w:ascii="仿宋_GB2312" w:hAnsi="仿宋" w:eastAsia="仿宋_GB2312"/>
          <w:smallCaps/>
          <w:sz w:val="20"/>
          <w:szCs w:val="20"/>
        </w:rPr>
        <w:fldChar w:fldCharType="end"/>
      </w:r>
      <w:bookmarkStart w:id="12" w:name="_Toc15377196"/>
      <w:bookmarkStart w:id="13" w:name="_Toc15396599"/>
    </w:p>
    <w:p w14:paraId="0F4AD0A4">
      <w:pPr>
        <w:widowControl/>
        <w:spacing w:line="440" w:lineRule="exact"/>
        <w:jc w:val="left"/>
        <w:rPr>
          <w:rFonts w:ascii="仿宋_GB2312" w:hAnsi="仿宋" w:eastAsia="仿宋_GB2312"/>
          <w:smallCaps/>
          <w:sz w:val="20"/>
          <w:szCs w:val="20"/>
        </w:rPr>
      </w:pPr>
    </w:p>
    <w:p w14:paraId="036C2012">
      <w:pPr>
        <w:widowControl/>
        <w:spacing w:line="440" w:lineRule="exact"/>
        <w:jc w:val="left"/>
        <w:rPr>
          <w:rFonts w:ascii="仿宋" w:hAnsi="仿宋" w:eastAsia="仿宋"/>
          <w:smallCaps/>
          <w:sz w:val="20"/>
          <w:szCs w:val="20"/>
        </w:rPr>
      </w:pPr>
    </w:p>
    <w:p w14:paraId="6C515B67">
      <w:pPr>
        <w:widowControl/>
        <w:spacing w:line="440" w:lineRule="exact"/>
        <w:jc w:val="left"/>
        <w:rPr>
          <w:rFonts w:ascii="仿宋" w:hAnsi="仿宋" w:eastAsia="仿宋"/>
          <w:smallCaps/>
          <w:sz w:val="20"/>
          <w:szCs w:val="20"/>
        </w:rPr>
      </w:pPr>
    </w:p>
    <w:p w14:paraId="143EBB20">
      <w:pPr>
        <w:widowControl/>
        <w:spacing w:line="440" w:lineRule="exact"/>
        <w:jc w:val="left"/>
        <w:rPr>
          <w:rFonts w:ascii="仿宋" w:hAnsi="仿宋" w:eastAsia="仿宋"/>
          <w:smallCaps/>
          <w:sz w:val="20"/>
          <w:szCs w:val="20"/>
        </w:rPr>
      </w:pPr>
    </w:p>
    <w:p w14:paraId="1FC93307">
      <w:pPr>
        <w:widowControl/>
        <w:spacing w:line="440" w:lineRule="exact"/>
        <w:jc w:val="left"/>
        <w:rPr>
          <w:rFonts w:ascii="仿宋" w:hAnsi="仿宋" w:eastAsia="仿宋"/>
          <w:smallCaps/>
          <w:sz w:val="20"/>
          <w:szCs w:val="20"/>
        </w:rPr>
      </w:pPr>
    </w:p>
    <w:p w14:paraId="267772D7">
      <w:pPr>
        <w:widowControl/>
        <w:spacing w:line="440" w:lineRule="exact"/>
        <w:jc w:val="left"/>
        <w:rPr>
          <w:rFonts w:ascii="仿宋" w:hAnsi="仿宋" w:eastAsia="仿宋"/>
          <w:smallCaps/>
          <w:sz w:val="20"/>
          <w:szCs w:val="20"/>
        </w:rPr>
      </w:pPr>
    </w:p>
    <w:p w14:paraId="1890BEB4">
      <w:pPr>
        <w:widowControl/>
        <w:spacing w:line="440" w:lineRule="exact"/>
        <w:jc w:val="left"/>
        <w:rPr>
          <w:rFonts w:ascii="仿宋" w:hAnsi="仿宋" w:eastAsia="仿宋"/>
          <w:smallCaps/>
          <w:sz w:val="20"/>
          <w:szCs w:val="20"/>
        </w:rPr>
      </w:pPr>
    </w:p>
    <w:p w14:paraId="0189AC2A">
      <w:pPr>
        <w:widowControl/>
        <w:spacing w:line="440" w:lineRule="exact"/>
        <w:jc w:val="left"/>
        <w:rPr>
          <w:rFonts w:ascii="仿宋" w:hAnsi="仿宋" w:eastAsia="仿宋"/>
          <w:smallCaps/>
          <w:sz w:val="20"/>
          <w:szCs w:val="20"/>
        </w:rPr>
      </w:pPr>
    </w:p>
    <w:p w14:paraId="708EE0B5">
      <w:pPr>
        <w:widowControl/>
        <w:spacing w:line="440" w:lineRule="exact"/>
        <w:jc w:val="left"/>
        <w:rPr>
          <w:rFonts w:ascii="仿宋" w:hAnsi="仿宋" w:eastAsia="仿宋"/>
          <w:smallCaps/>
          <w:sz w:val="20"/>
          <w:szCs w:val="20"/>
        </w:rPr>
      </w:pPr>
    </w:p>
    <w:p w14:paraId="4F9B5966">
      <w:pPr>
        <w:widowControl/>
        <w:spacing w:line="440" w:lineRule="exact"/>
        <w:jc w:val="left"/>
        <w:rPr>
          <w:rFonts w:ascii="仿宋" w:hAnsi="仿宋" w:eastAsia="仿宋"/>
          <w:smallCaps/>
          <w:sz w:val="20"/>
          <w:szCs w:val="20"/>
        </w:rPr>
      </w:pPr>
    </w:p>
    <w:p w14:paraId="6E9811E3">
      <w:pPr>
        <w:widowControl/>
        <w:spacing w:line="440" w:lineRule="exact"/>
        <w:jc w:val="left"/>
        <w:rPr>
          <w:rFonts w:ascii="仿宋" w:hAnsi="仿宋" w:eastAsia="仿宋"/>
          <w:smallCaps/>
          <w:sz w:val="20"/>
          <w:szCs w:val="20"/>
        </w:rPr>
      </w:pPr>
    </w:p>
    <w:p w14:paraId="367D4E78">
      <w:pPr>
        <w:widowControl/>
        <w:spacing w:line="440" w:lineRule="exact"/>
        <w:jc w:val="left"/>
        <w:rPr>
          <w:rFonts w:ascii="仿宋" w:hAnsi="仿宋" w:eastAsia="仿宋"/>
          <w:smallCaps/>
          <w:sz w:val="20"/>
          <w:szCs w:val="20"/>
        </w:rPr>
      </w:pPr>
    </w:p>
    <w:p w14:paraId="64F29CCF">
      <w:pPr>
        <w:widowControl/>
        <w:spacing w:line="440" w:lineRule="exact"/>
        <w:jc w:val="left"/>
        <w:rPr>
          <w:rFonts w:ascii="仿宋" w:hAnsi="仿宋" w:eastAsia="仿宋"/>
          <w:smallCaps/>
          <w:sz w:val="20"/>
          <w:szCs w:val="20"/>
        </w:rPr>
      </w:pPr>
    </w:p>
    <w:p w14:paraId="6C043E1E">
      <w:pPr>
        <w:widowControl/>
        <w:spacing w:line="440" w:lineRule="exact"/>
        <w:jc w:val="left"/>
        <w:rPr>
          <w:rFonts w:ascii="仿宋" w:hAnsi="仿宋" w:eastAsia="仿宋"/>
          <w:smallCaps/>
          <w:sz w:val="20"/>
          <w:szCs w:val="20"/>
        </w:rPr>
      </w:pPr>
    </w:p>
    <w:p w14:paraId="75B6BA30">
      <w:pPr>
        <w:widowControl/>
        <w:spacing w:line="440" w:lineRule="exact"/>
        <w:jc w:val="left"/>
        <w:rPr>
          <w:rFonts w:ascii="仿宋" w:hAnsi="仿宋" w:eastAsia="仿宋"/>
          <w:smallCaps/>
          <w:sz w:val="20"/>
          <w:szCs w:val="20"/>
        </w:rPr>
      </w:pPr>
    </w:p>
    <w:p w14:paraId="04B2B1F8">
      <w:pPr>
        <w:widowControl/>
        <w:spacing w:line="440" w:lineRule="exact"/>
        <w:jc w:val="left"/>
        <w:rPr>
          <w:rFonts w:ascii="仿宋" w:hAnsi="仿宋" w:eastAsia="仿宋"/>
          <w:smallCaps/>
          <w:sz w:val="20"/>
          <w:szCs w:val="20"/>
        </w:rPr>
      </w:pPr>
    </w:p>
    <w:p w14:paraId="254F0E03">
      <w:pPr>
        <w:rPr>
          <w:rFonts w:ascii="方正小标宋简体" w:hAnsi="方正小标宋简体" w:eastAsia="方正小标宋简体" w:cs="方正小标宋简体"/>
          <w:sz w:val="44"/>
          <w:szCs w:val="44"/>
        </w:rPr>
      </w:pPr>
      <w:bookmarkStart w:id="14" w:name="_Toc79163851"/>
      <w:bookmarkStart w:id="15" w:name="_Toc79163601"/>
    </w:p>
    <w:p w14:paraId="38592512">
      <w:pPr>
        <w:jc w:val="center"/>
        <w:rPr>
          <w:rFonts w:ascii="黑体" w:hAnsi="黑体" w:eastAsia="黑体" w:cs="黑体"/>
          <w:sz w:val="32"/>
          <w:szCs w:val="32"/>
        </w:rPr>
      </w:pPr>
      <w:r>
        <w:rPr>
          <w:rFonts w:hint="eastAsia" w:ascii="方正小标宋简体" w:hAnsi="方正小标宋简体" w:eastAsia="方正小标宋简体" w:cs="方正小标宋简体"/>
          <w:sz w:val="44"/>
          <w:szCs w:val="44"/>
        </w:rPr>
        <w:t>第一部分 部门概况</w:t>
      </w:r>
      <w:bookmarkEnd w:id="12"/>
      <w:bookmarkEnd w:id="13"/>
      <w:bookmarkEnd w:id="14"/>
      <w:bookmarkEnd w:id="15"/>
      <w:bookmarkStart w:id="16" w:name="_Toc79163852"/>
      <w:bookmarkStart w:id="17" w:name="_Toc15396600"/>
      <w:bookmarkStart w:id="18" w:name="_Toc79163602"/>
      <w:bookmarkStart w:id="19" w:name="_Toc15377197"/>
    </w:p>
    <w:p w14:paraId="43D98249">
      <w:pPr>
        <w:ind w:firstLine="640" w:firstLineChars="200"/>
        <w:rPr>
          <w:rFonts w:ascii="黑体" w:hAnsi="黑体" w:eastAsia="黑体" w:cs="黑体"/>
          <w:sz w:val="32"/>
          <w:szCs w:val="32"/>
        </w:rPr>
      </w:pPr>
    </w:p>
    <w:p w14:paraId="15CE2EAF">
      <w:pPr>
        <w:ind w:firstLine="640" w:firstLineChars="200"/>
        <w:rPr>
          <w:rFonts w:ascii="黑体" w:hAnsi="黑体" w:eastAsia="黑体" w:cs="黑体"/>
          <w:sz w:val="32"/>
          <w:szCs w:val="32"/>
        </w:rPr>
      </w:pPr>
      <w:r>
        <w:rPr>
          <w:rFonts w:hint="eastAsia" w:ascii="黑体" w:hAnsi="黑体" w:eastAsia="黑体" w:cs="黑体"/>
          <w:sz w:val="32"/>
          <w:szCs w:val="32"/>
        </w:rPr>
        <w:t>一、基本职能及主要工作</w:t>
      </w:r>
      <w:bookmarkEnd w:id="16"/>
      <w:bookmarkEnd w:id="17"/>
      <w:bookmarkEnd w:id="18"/>
      <w:bookmarkEnd w:id="19"/>
    </w:p>
    <w:p w14:paraId="09DF0C3A">
      <w:pPr>
        <w:ind w:firstLine="643" w:firstLineChars="200"/>
        <w:rPr>
          <w:rFonts w:ascii="楷体_GB2312" w:hAnsi="楷体_GB2312" w:eastAsia="楷体_GB2312" w:cs="楷体_GB2312"/>
          <w:b/>
          <w:bCs/>
          <w:sz w:val="32"/>
          <w:szCs w:val="32"/>
        </w:rPr>
      </w:pPr>
      <w:bookmarkStart w:id="20" w:name="_Toc79163853"/>
      <w:bookmarkStart w:id="21" w:name="_Toc79163603"/>
      <w:bookmarkStart w:id="22" w:name="_Toc15377198"/>
      <w:bookmarkStart w:id="23" w:name="_Toc15378445"/>
      <w:r>
        <w:rPr>
          <w:rFonts w:hint="eastAsia" w:ascii="楷体_GB2312" w:hAnsi="楷体_GB2312" w:eastAsia="楷体_GB2312" w:cs="楷体_GB2312"/>
          <w:b/>
          <w:bCs/>
          <w:sz w:val="32"/>
          <w:szCs w:val="32"/>
        </w:rPr>
        <w:t>（一）主要职能</w:t>
      </w:r>
      <w:bookmarkEnd w:id="20"/>
      <w:bookmarkEnd w:id="21"/>
    </w:p>
    <w:bookmarkEnd w:id="22"/>
    <w:bookmarkEnd w:id="23"/>
    <w:p w14:paraId="7F63FFB3">
      <w:pPr>
        <w:spacing w:line="576" w:lineRule="exact"/>
        <w:ind w:firstLine="640" w:firstLineChars="200"/>
        <w:rPr>
          <w:rFonts w:ascii="仿宋_GB2312" w:hAnsi="仿宋_GB2312" w:eastAsia="仿宋_GB2312" w:cs="仿宋_GB2312"/>
          <w:sz w:val="32"/>
          <w:szCs w:val="32"/>
        </w:rPr>
      </w:pPr>
      <w:bookmarkStart w:id="24" w:name="_Toc79163854"/>
      <w:bookmarkStart w:id="25" w:name="_Toc15377199"/>
      <w:bookmarkStart w:id="26" w:name="_Toc79163604"/>
      <w:bookmarkStart w:id="27" w:name="_Toc15378446"/>
      <w:r>
        <w:rPr>
          <w:rFonts w:hint="eastAsia" w:ascii="仿宋_GB2312" w:hAnsi="仿宋_GB2312" w:eastAsia="仿宋_GB2312" w:cs="仿宋_GB2312"/>
          <w:sz w:val="32"/>
          <w:szCs w:val="32"/>
        </w:rPr>
        <w:t>1、宣传贯彻党中央、国务院、省委、省政府和州委、州政府及县委县政府有关农业、农村经济工作和社会发展方针政策，维护全县供销社的合法权益。</w:t>
      </w:r>
    </w:p>
    <w:p w14:paraId="1039966C">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2、研究和制定全县供销合作社发展规划，指导全县供销合作社的企业改革和发展。</w:t>
      </w:r>
    </w:p>
    <w:p w14:paraId="4559FE90">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3、受县政府委托，对重要农业生产资料、农副产品经营进行组织、储备、调运工作，负责烟花爆竹和废旧物资再生资源的经营及社办工业的指导。</w:t>
      </w:r>
    </w:p>
    <w:p w14:paraId="686C44A6">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4、负责对政策性商品经营资格审定、质量监督和行业管理及有关救灾物资的组织、储备、调运工作。</w:t>
      </w:r>
    </w:p>
    <w:p w14:paraId="2A5C3048">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5、协调同政府有关部门、社会组织的关系，研究供销合作经济运行中的重大问题，维护合作经济组织的合法权益。</w:t>
      </w:r>
    </w:p>
    <w:p w14:paraId="5FF55B2D">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6、组织全县供销系统参与和推进农业产业化经营，加强农产品市场调查研究，培育农产品市场，组织发展专业合作社、消费合作社等中介服务组织，培育龙头企业，加强商品供求市场、信息服务体系建设。</w:t>
      </w:r>
    </w:p>
    <w:p w14:paraId="05734055">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7、指导农村社会化服务体系建设，推进建立现代流通体系和现代营销方式，发展社区性、综合性、便民性社区综合服务社，满足农牧民生产、生活等社会化服务的需要。</w:t>
      </w:r>
    </w:p>
    <w:p w14:paraId="302172A1">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8、监督和管理社有资产，确保社有资产的保值、增值，对直属企业行使出资人的职权，依法享有资产受益、重大决策和选择经营管理者等权利。</w:t>
      </w:r>
    </w:p>
    <w:p w14:paraId="5B699B17">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9、积极参与供销合作经济对外交流活动；承担县政府交办的其他事项。</w:t>
      </w:r>
    </w:p>
    <w:p w14:paraId="4F3CADFF">
      <w:pPr>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（二）2022年重点工作完成情况</w:t>
      </w:r>
      <w:bookmarkEnd w:id="24"/>
      <w:bookmarkEnd w:id="25"/>
      <w:bookmarkEnd w:id="26"/>
      <w:bookmarkEnd w:id="27"/>
    </w:p>
    <w:p w14:paraId="3A8D1527">
      <w:pPr>
        <w:spacing w:line="576" w:lineRule="atLeast"/>
        <w:ind w:firstLine="640" w:firstLineChars="200"/>
        <w:rPr>
          <w:rFonts w:ascii="仿宋_GB2312" w:eastAsia="仿宋_GB2312" w:cs="仿宋_GB2312"/>
          <w:b/>
          <w:bCs/>
          <w:sz w:val="32"/>
          <w:szCs w:val="32"/>
        </w:rPr>
      </w:pPr>
      <w:bookmarkStart w:id="28" w:name="_Toc79163855"/>
      <w:bookmarkStart w:id="29" w:name="_Toc79163605"/>
      <w:bookmarkStart w:id="30" w:name="_Toc15377200"/>
      <w:bookmarkStart w:id="31" w:name="_Toc15396601"/>
      <w:r>
        <w:rPr>
          <w:rFonts w:hint="eastAsia" w:ascii="仿宋_GB2312" w:eastAsia="仿宋_GB2312" w:cs="仿宋_GB2312"/>
          <w:sz w:val="32"/>
          <w:szCs w:val="32"/>
        </w:rPr>
        <w:t>1、坚持政治建设有力度。通过“三会一课”和党组理论学习中心组学习等形式，深入贯彻落实党的二十大精神以及习近平新时代中国特色社会主义思想,不断完善党建工作责任制、意识形态责任制和党风廉政建设,完善廉政风险防控机制，承担好全面从严治党的政治责任。</w:t>
      </w:r>
    </w:p>
    <w:p w14:paraId="4AF3C20D">
      <w:pPr>
        <w:spacing w:line="576" w:lineRule="atLeast"/>
        <w:ind w:firstLine="640" w:firstLineChars="200"/>
        <w:rPr>
          <w:rFonts w:ascii="仿宋_GB2312" w:eastAsia="仿宋_GB2312" w:cs="仿宋_GB2312"/>
          <w:b/>
          <w:bCs/>
          <w:sz w:val="32"/>
          <w:szCs w:val="32"/>
        </w:rPr>
      </w:pPr>
      <w:r>
        <w:rPr>
          <w:rFonts w:hint="eastAsia" w:ascii="仿宋_GB2312" w:eastAsia="仿宋_GB2312" w:cs="仿宋_GB2312"/>
          <w:sz w:val="32"/>
          <w:szCs w:val="32"/>
        </w:rPr>
        <w:t>2、坚持作风建设有力度。一是坚持从严从实管理干部，做好日常监督管理，建立健全日常考核制度，严肃工作纪律，转变工作作风，进一步营造干部职工干事创业的良好局面。</w:t>
      </w:r>
      <w:r>
        <w:rPr>
          <w:rFonts w:hint="eastAsia" w:ascii="仿宋_GB2312" w:eastAsia="仿宋_GB2312" w:cs="仿宋_GB2312"/>
          <w:b/>
          <w:bCs/>
          <w:sz w:val="32"/>
          <w:szCs w:val="32"/>
        </w:rPr>
        <w:t>二是</w:t>
      </w:r>
      <w:r>
        <w:rPr>
          <w:rFonts w:hint="eastAsia" w:ascii="仿宋_GB2312" w:eastAsia="仿宋_GB2312" w:cs="仿宋_GB2312"/>
          <w:sz w:val="32"/>
          <w:szCs w:val="32"/>
        </w:rPr>
        <w:t>开展干部作风教育整治专项行动工作，常态化开展“庸、懒、散、浮、拖”专项整治行动工作，切实增强责任感，牢固树立起纪律意识、责任意识和服务意识，强化作风建设，切实落实各项规章制度，把纪律挺起来、严起来。</w:t>
      </w:r>
      <w:r>
        <w:rPr>
          <w:rFonts w:hint="eastAsia" w:ascii="仿宋_GB2312" w:eastAsia="仿宋_GB2312" w:cs="仿宋_GB2312"/>
          <w:b/>
          <w:bCs/>
          <w:sz w:val="32"/>
          <w:szCs w:val="32"/>
        </w:rPr>
        <w:t>三是</w:t>
      </w:r>
      <w:r>
        <w:rPr>
          <w:rFonts w:hint="eastAsia" w:ascii="仿宋_GB2312" w:eastAsia="仿宋_GB2312" w:cs="仿宋_GB2312"/>
          <w:sz w:val="32"/>
          <w:szCs w:val="32"/>
        </w:rPr>
        <w:t>加强在职、退休干部职工的关心关怀，开展矛盾隐患纠纷排查和思想疏导等工作，做到问题不扩大、矛盾不上交，群体不上访，有效防范化解各类风险，确保辖区安全稳定。</w:t>
      </w:r>
    </w:p>
    <w:p w14:paraId="42B8FBE6">
      <w:pPr>
        <w:spacing w:line="576" w:lineRule="atLeast"/>
        <w:ind w:firstLine="640" w:firstLineChars="200"/>
        <w:rPr>
          <w:rFonts w:ascii="仿宋_GB2312" w:eastAsia="仿宋_GB2312" w:cs="仿宋_GB2312"/>
          <w:b/>
          <w:bCs/>
          <w:sz w:val="32"/>
          <w:szCs w:val="32"/>
        </w:rPr>
      </w:pPr>
      <w:r>
        <w:rPr>
          <w:rFonts w:hint="eastAsia" w:ascii="仿宋_GB2312" w:eastAsia="仿宋_GB2312" w:cs="仿宋_GB2312"/>
          <w:sz w:val="32"/>
          <w:szCs w:val="32"/>
        </w:rPr>
        <w:t>3、坚持疫情防控不松懈</w:t>
      </w:r>
      <w:r>
        <w:rPr>
          <w:rFonts w:hint="eastAsia" w:ascii="仿宋_GB2312" w:eastAsia="仿宋_GB2312" w:cs="仿宋_GB2312"/>
          <w:b/>
          <w:bCs/>
          <w:sz w:val="32"/>
          <w:szCs w:val="32"/>
        </w:rPr>
        <w:t>。一是</w:t>
      </w:r>
      <w:r>
        <w:rPr>
          <w:rFonts w:hint="eastAsia" w:ascii="仿宋_GB2312" w:eastAsia="仿宋_GB2312" w:cs="仿宋_GB2312"/>
          <w:sz w:val="32"/>
          <w:szCs w:val="32"/>
        </w:rPr>
        <w:t>开展辖区范围内消杀工作。我社安排专人对辖区范围内办公区域、酒店、农资门市、超市、停车场、住宿楼道、铺面以及周边公共场所环境进行全方位、无死角消毒消杀工作。</w:t>
      </w:r>
      <w:r>
        <w:rPr>
          <w:rFonts w:hint="eastAsia" w:ascii="仿宋_GB2312" w:eastAsia="仿宋_GB2312" w:cs="仿宋_GB2312"/>
          <w:b/>
          <w:bCs/>
          <w:sz w:val="32"/>
          <w:szCs w:val="32"/>
        </w:rPr>
        <w:t>二是</w:t>
      </w:r>
      <w:r>
        <w:rPr>
          <w:rFonts w:hint="eastAsia" w:ascii="仿宋_GB2312" w:eastAsia="仿宋_GB2312" w:cs="仿宋_GB2312"/>
          <w:sz w:val="32"/>
          <w:szCs w:val="32"/>
        </w:rPr>
        <w:t>制定《茂县供销社关于认真落实好疫情防控工作的通知》，落实“四方责任”，加强离县人员管控、离县报备审批、返县人员分级管控、疫情信息报告以及常规防护措施等，进一步使我社防疫工作有序推进。</w:t>
      </w:r>
      <w:r>
        <w:rPr>
          <w:rFonts w:hint="eastAsia" w:ascii="仿宋_GB2312" w:eastAsia="仿宋_GB2312" w:cs="仿宋_GB2312"/>
          <w:b/>
          <w:bCs/>
          <w:sz w:val="32"/>
          <w:szCs w:val="32"/>
        </w:rPr>
        <w:t>三是</w:t>
      </w:r>
      <w:r>
        <w:rPr>
          <w:rFonts w:hint="eastAsia" w:ascii="仿宋_GB2312" w:eastAsia="仿宋_GB2312" w:cs="仿宋_GB2312"/>
          <w:sz w:val="32"/>
          <w:szCs w:val="32"/>
        </w:rPr>
        <w:t>强化供销社“三无”小区疫情防控工作，确保小区静态管控、全员核酸等工作有序推进。</w:t>
      </w:r>
      <w:r>
        <w:rPr>
          <w:rFonts w:hint="eastAsia" w:ascii="仿宋_GB2312" w:eastAsia="仿宋_GB2312" w:cs="仿宋_GB2312"/>
          <w:b/>
          <w:bCs/>
          <w:sz w:val="32"/>
          <w:szCs w:val="32"/>
        </w:rPr>
        <w:t>四是</w:t>
      </w:r>
      <w:r>
        <w:rPr>
          <w:rFonts w:hint="eastAsia" w:ascii="仿宋_GB2312" w:eastAsia="仿宋_GB2312" w:cs="仿宋_GB2312"/>
          <w:sz w:val="32"/>
          <w:szCs w:val="32"/>
        </w:rPr>
        <w:t>常态化开展社会管理服务，在水巷子负责路段开展疫情防控，环境整治等相关工作，督促商家、个人戴好口罩、扫码亮码、核酸检测等。</w:t>
      </w:r>
    </w:p>
    <w:p w14:paraId="1DBA6A77">
      <w:pPr>
        <w:spacing w:line="576" w:lineRule="atLeast"/>
        <w:ind w:firstLine="640" w:firstLineChars="200"/>
        <w:rPr>
          <w:rFonts w:ascii="仿宋_GB2312" w:eastAsia="仿宋_GB2312" w:cs="仿宋_GB2312"/>
          <w:sz w:val="32"/>
          <w:szCs w:val="32"/>
        </w:rPr>
      </w:pPr>
      <w:r>
        <w:rPr>
          <w:rFonts w:hint="eastAsia" w:ascii="仿宋_GB2312" w:eastAsia="仿宋_GB2312" w:cs="仿宋_GB2312"/>
          <w:sz w:val="32"/>
          <w:szCs w:val="32"/>
        </w:rPr>
        <w:t>4、坚持安全生产有保障。构建“党政同责 一岗双责 齐抓共管 失职追责”安全生产责任体系，认真落实安全生产工作职责。</w:t>
      </w:r>
      <w:r>
        <w:rPr>
          <w:rFonts w:hint="eastAsia" w:ascii="仿宋_GB2312" w:eastAsia="仿宋_GB2312" w:cs="仿宋_GB2312"/>
          <w:b/>
          <w:bCs/>
          <w:sz w:val="32"/>
          <w:szCs w:val="32"/>
        </w:rPr>
        <w:t>一是</w:t>
      </w:r>
      <w:r>
        <w:rPr>
          <w:rFonts w:hint="eastAsia" w:ascii="仿宋_GB2312" w:eastAsia="仿宋_GB2312" w:cs="仿宋_GB2312"/>
          <w:sz w:val="32"/>
          <w:szCs w:val="32"/>
        </w:rPr>
        <w:t>根据县森林草原防灭火要求以及茂县烟花爆竹禁燃禁售要求，我社对库存烟花爆竹进行全面清零，此次总共清理库存1264件，总价值38.92万元，其中鞭炮1049件，组合烟花215件。</w:t>
      </w:r>
      <w:r>
        <w:rPr>
          <w:rFonts w:hint="eastAsia" w:ascii="仿宋_GB2312" w:eastAsia="仿宋_GB2312" w:cs="仿宋_GB2312"/>
          <w:b/>
          <w:bCs/>
          <w:sz w:val="32"/>
          <w:szCs w:val="32"/>
        </w:rPr>
        <w:t>二是</w:t>
      </w:r>
      <w:r>
        <w:rPr>
          <w:rFonts w:hint="eastAsia" w:ascii="仿宋_GB2312" w:eastAsia="仿宋_GB2312" w:cs="仿宋_GB2312"/>
          <w:sz w:val="32"/>
          <w:szCs w:val="32"/>
        </w:rPr>
        <w:t>常态化开展辖区内商铺门面、住户用电用气线路进行安全检查，要求各商铺加强用电用气安全管理，并且保持好各自门前环境卫生干净整洁。</w:t>
      </w:r>
      <w:r>
        <w:rPr>
          <w:rFonts w:hint="eastAsia" w:ascii="仿宋_GB2312" w:eastAsia="仿宋_GB2312" w:cs="仿宋_GB2312"/>
          <w:b/>
          <w:bCs/>
          <w:sz w:val="32"/>
          <w:szCs w:val="32"/>
        </w:rPr>
        <w:t>三是</w:t>
      </w:r>
      <w:r>
        <w:rPr>
          <w:rFonts w:hint="eastAsia" w:ascii="仿宋_GB2312" w:eastAsia="仿宋_GB2312" w:cs="仿宋_GB2312"/>
          <w:sz w:val="32"/>
          <w:szCs w:val="32"/>
        </w:rPr>
        <w:t>开展防汛应急培训暨应对暴雨洪涝灾害应急演练和防震减灾应急演练，使全体员工掌握应急救援程序和方法，熟悉各自所在救援处置小组及责任，通过应急演练进一步提高应急处置能力。</w:t>
      </w:r>
      <w:r>
        <w:rPr>
          <w:rFonts w:hint="eastAsia" w:ascii="仿宋_GB2312" w:eastAsia="仿宋_GB2312" w:cs="仿宋_GB2312"/>
          <w:b/>
          <w:bCs/>
          <w:sz w:val="32"/>
          <w:szCs w:val="32"/>
        </w:rPr>
        <w:t>四是</w:t>
      </w:r>
      <w:r>
        <w:rPr>
          <w:rFonts w:hint="eastAsia" w:ascii="仿宋_GB2312" w:eastAsia="仿宋_GB2312" w:cs="仿宋_GB2312"/>
          <w:sz w:val="32"/>
          <w:szCs w:val="32"/>
        </w:rPr>
        <w:t>切实做好应急农资的储备、运输和销售，确保农业生产及时恢复。</w:t>
      </w:r>
    </w:p>
    <w:p w14:paraId="19DB0DAA">
      <w:pPr>
        <w:spacing w:line="576" w:lineRule="atLeast"/>
        <w:ind w:firstLine="640" w:firstLineChars="200"/>
        <w:rPr>
          <w:rFonts w:ascii="仿宋_GB2312" w:eastAsia="仿宋_GB2312" w:cs="仿宋_GB2312"/>
          <w:sz w:val="32"/>
          <w:szCs w:val="32"/>
        </w:rPr>
      </w:pPr>
      <w:r>
        <w:rPr>
          <w:rFonts w:hint="eastAsia" w:ascii="仿宋_GB2312" w:eastAsia="仿宋_GB2312" w:cs="仿宋_GB2312"/>
          <w:sz w:val="32"/>
          <w:szCs w:val="32"/>
        </w:rPr>
        <w:t>5、坚持“两联一进”有实效。</w:t>
      </w:r>
      <w:r>
        <w:rPr>
          <w:rFonts w:hint="eastAsia" w:ascii="仿宋_GB2312" w:eastAsia="仿宋_GB2312" w:cs="仿宋_GB2312"/>
          <w:b/>
          <w:bCs/>
          <w:sz w:val="32"/>
          <w:szCs w:val="32"/>
        </w:rPr>
        <w:t>一是</w:t>
      </w:r>
      <w:r>
        <w:rPr>
          <w:rFonts w:hint="eastAsia" w:ascii="仿宋_GB2312" w:eastAsia="仿宋_GB2312" w:cs="仿宋_GB2312"/>
          <w:sz w:val="32"/>
          <w:szCs w:val="32"/>
        </w:rPr>
        <w:t>茂县供销社干部职工深入田间地头开展森林草原防灭火知识、防疫知识以及政策宣传，提醒联系群众要深刻认识到农事用火、祭祀用火等潜在风险，严禁违规野外用火。</w:t>
      </w:r>
      <w:r>
        <w:rPr>
          <w:rFonts w:hint="eastAsia" w:ascii="仿宋_GB2312" w:eastAsia="仿宋_GB2312" w:cs="仿宋_GB2312"/>
          <w:b/>
          <w:bCs/>
          <w:sz w:val="32"/>
          <w:szCs w:val="32"/>
        </w:rPr>
        <w:t>二是</w:t>
      </w:r>
      <w:r>
        <w:rPr>
          <w:rFonts w:hint="eastAsia" w:ascii="仿宋_GB2312" w:eastAsia="仿宋_GB2312" w:cs="仿宋_GB2312"/>
          <w:sz w:val="32"/>
          <w:szCs w:val="32"/>
        </w:rPr>
        <w:t>为积极落实“我为群众办实事”实践活动要求，邀请科农局专业人员对二不寨村葡萄种植进行技术指导，对施肥、整形修剪等进行了浅显易懂的讲解，通过指导，二不寨村葡萄种植人员对田间技术管理有了更深刻的了解。</w:t>
      </w:r>
      <w:r>
        <w:rPr>
          <w:rFonts w:hint="eastAsia" w:ascii="仿宋_GB2312" w:eastAsia="仿宋_GB2312" w:cs="仿宋_GB2312"/>
          <w:b/>
          <w:bCs/>
          <w:sz w:val="32"/>
          <w:szCs w:val="32"/>
        </w:rPr>
        <w:t>三是</w:t>
      </w:r>
      <w:r>
        <w:rPr>
          <w:rFonts w:hint="eastAsia" w:ascii="仿宋_GB2312" w:eastAsia="仿宋_GB2312" w:cs="仿宋_GB2312"/>
          <w:sz w:val="32"/>
          <w:szCs w:val="32"/>
        </w:rPr>
        <w:t>我社为二不寨村卡点值班人员送去方便面、矿泉水等慰问品，希望他们严格执行查验行程码、健康码、测温、登记等防控措施，全力以赴做好疫情防控各项工作，同时要做好自我防护，确保安全。</w:t>
      </w:r>
      <w:r>
        <w:rPr>
          <w:rFonts w:hint="eastAsia" w:ascii="仿宋_GB2312" w:eastAsia="仿宋_GB2312" w:cs="仿宋_GB2312"/>
          <w:b/>
          <w:bCs/>
          <w:sz w:val="32"/>
          <w:szCs w:val="32"/>
        </w:rPr>
        <w:t>四是</w:t>
      </w:r>
      <w:r>
        <w:rPr>
          <w:rFonts w:hint="eastAsia" w:ascii="仿宋_GB2312" w:eastAsia="仿宋_GB2312" w:cs="仿宋_GB2312"/>
          <w:sz w:val="32"/>
          <w:szCs w:val="32"/>
        </w:rPr>
        <w:t>开展中秋慰问，为21户联系群众送去节日的祝福以及价值0.63万元的月饼、米、油等慰问品。</w:t>
      </w:r>
      <w:r>
        <w:rPr>
          <w:rFonts w:hint="eastAsia" w:ascii="仿宋_GB2312" w:eastAsia="仿宋_GB2312" w:cs="仿宋_GB2312"/>
          <w:b/>
          <w:bCs/>
          <w:sz w:val="32"/>
          <w:szCs w:val="32"/>
        </w:rPr>
        <w:t>五是</w:t>
      </w:r>
      <w:r>
        <w:rPr>
          <w:rFonts w:hint="eastAsia" w:ascii="仿宋_GB2312" w:eastAsia="仿宋_GB2312" w:cs="仿宋_GB2312"/>
          <w:sz w:val="32"/>
          <w:szCs w:val="32"/>
        </w:rPr>
        <w:t>扎实做好矛盾纠纷隐患排查和信访突出问题排查，全力保障党的二十大期间安全稳定。</w:t>
      </w:r>
    </w:p>
    <w:p w14:paraId="5985E279">
      <w:pPr>
        <w:spacing w:line="576" w:lineRule="atLeast"/>
        <w:ind w:firstLine="640" w:firstLineChars="200"/>
        <w:rPr>
          <w:rFonts w:ascii="仿宋_GB2312" w:eastAsia="仿宋_GB2312" w:cs="仿宋_GB2312"/>
          <w:sz w:val="32"/>
          <w:szCs w:val="32"/>
        </w:rPr>
      </w:pPr>
      <w:r>
        <w:rPr>
          <w:rFonts w:hint="eastAsia" w:ascii="仿宋_GB2312" w:eastAsia="仿宋_GB2312" w:cs="仿宋_GB2312"/>
          <w:sz w:val="32"/>
          <w:szCs w:val="32"/>
        </w:rPr>
        <w:t>6、坚持项目建设不松懈。</w:t>
      </w:r>
      <w:r>
        <w:rPr>
          <w:rFonts w:hint="eastAsia" w:ascii="仿宋_GB2312" w:eastAsia="仿宋_GB2312" w:cs="仿宋_GB2312"/>
          <w:b/>
          <w:bCs/>
          <w:sz w:val="32"/>
          <w:szCs w:val="32"/>
        </w:rPr>
        <w:t>一是</w:t>
      </w:r>
      <w:r>
        <w:rPr>
          <w:rFonts w:hint="eastAsia" w:ascii="仿宋_GB2312" w:eastAsia="仿宋_GB2312" w:cs="仿宋_GB2312"/>
          <w:sz w:val="32"/>
          <w:szCs w:val="32"/>
        </w:rPr>
        <w:t>实施茂县数字农业服务平台建设项目，总投资320万元，主要建设内容为农产品销售管理系统、农产品溯源系统，2022年10月已全面完成建设任务及资金支付。</w:t>
      </w:r>
      <w:r>
        <w:rPr>
          <w:rFonts w:hint="eastAsia" w:ascii="仿宋_GB2312" w:eastAsia="仿宋_GB2312" w:cs="仿宋_GB2312"/>
          <w:b/>
          <w:bCs/>
          <w:sz w:val="32"/>
          <w:szCs w:val="32"/>
        </w:rPr>
        <w:t>二是</w:t>
      </w:r>
      <w:r>
        <w:rPr>
          <w:rFonts w:hint="eastAsia" w:ascii="仿宋_GB2312" w:eastAsia="仿宋_GB2312" w:cs="仿宋_GB2312"/>
          <w:sz w:val="32"/>
          <w:szCs w:val="32"/>
        </w:rPr>
        <w:t>实施富顺镇上关村“三社”融合试点建设任务，总投资资金10万元，促进供销社、农民专业合作社、农村集体经济组织“三社”融合发展。</w:t>
      </w:r>
      <w:r>
        <w:rPr>
          <w:rFonts w:hint="eastAsia" w:ascii="仿宋_GB2312" w:eastAsia="仿宋_GB2312" w:cs="仿宋_GB2312"/>
          <w:b/>
          <w:bCs/>
          <w:sz w:val="32"/>
          <w:szCs w:val="32"/>
        </w:rPr>
        <w:t>三是</w:t>
      </w:r>
      <w:r>
        <w:rPr>
          <w:rFonts w:hint="eastAsia" w:ascii="仿宋_GB2312" w:eastAsia="仿宋_GB2312" w:cs="仿宋_GB2312"/>
          <w:sz w:val="32"/>
          <w:szCs w:val="32"/>
        </w:rPr>
        <w:t>实施“茂农服”交流交往交融项目，总投资25万元，深入贯彻新时代人才工作新理念新战略新举措，推动供销系统人才工作高质量发展，深化与浙江省平湖市的对口帮扶。</w:t>
      </w:r>
      <w:r>
        <w:rPr>
          <w:rFonts w:hint="eastAsia" w:ascii="仿宋_GB2312" w:eastAsia="仿宋_GB2312" w:cs="仿宋_GB2312"/>
          <w:b/>
          <w:bCs/>
          <w:sz w:val="32"/>
          <w:szCs w:val="32"/>
        </w:rPr>
        <w:t>四是</w:t>
      </w:r>
      <w:r>
        <w:rPr>
          <w:rFonts w:hint="eastAsia" w:ascii="仿宋_GB2312" w:eastAsia="仿宋_GB2312" w:cs="仿宋_GB2312"/>
          <w:sz w:val="32"/>
          <w:szCs w:val="32"/>
        </w:rPr>
        <w:t>以东西部协作援建工作为契机，争取建设资金72万元，利用现有凤仪镇社门市约115平米，新建“平茂连心馆”，于10月底完成设计装修，11月投入使用，开展两地农特产品和工业产品销售业务。</w:t>
      </w:r>
      <w:r>
        <w:rPr>
          <w:rFonts w:hint="eastAsia" w:ascii="仿宋_GB2312" w:eastAsia="仿宋_GB2312" w:cs="仿宋_GB2312"/>
          <w:b/>
          <w:bCs/>
          <w:sz w:val="32"/>
          <w:szCs w:val="32"/>
        </w:rPr>
        <w:t>五是</w:t>
      </w:r>
      <w:r>
        <w:rPr>
          <w:rFonts w:hint="eastAsia" w:ascii="仿宋_GB2312" w:eastAsia="仿宋_GB2312" w:cs="仿宋_GB2312"/>
          <w:sz w:val="32"/>
          <w:szCs w:val="32"/>
        </w:rPr>
        <w:t>依托茂县科学技术和农业畜牧局2022年地膜科学使用回收整县试点推进项目，以供销社为实施主体，推广0.015毫米及以上的加厚高强度地膜，开展废旧薄膜回收，按照3：1的比例用废旧农膜换取0.015毫米的加厚高强度新地膜，减少农膜造成的“白色污染”，保护我县耕地质量。</w:t>
      </w:r>
    </w:p>
    <w:p w14:paraId="68C93C03">
      <w:pPr>
        <w:spacing w:line="576" w:lineRule="atLeast"/>
        <w:ind w:firstLine="640" w:firstLineChars="200"/>
        <w:rPr>
          <w:rFonts w:ascii="仿宋_GB2312" w:eastAsia="仿宋_GB2312" w:cs="仿宋_GB2312"/>
          <w:sz w:val="32"/>
          <w:szCs w:val="32"/>
        </w:rPr>
      </w:pPr>
      <w:r>
        <w:rPr>
          <w:rFonts w:hint="eastAsia" w:ascii="仿宋_GB2312" w:eastAsia="仿宋_GB2312" w:cs="仿宋_GB2312"/>
          <w:sz w:val="32"/>
          <w:szCs w:val="32"/>
        </w:rPr>
        <w:t>7、坚持企业改革有成效。</w:t>
      </w:r>
      <w:r>
        <w:rPr>
          <w:rFonts w:hint="eastAsia" w:ascii="仿宋_GB2312" w:eastAsia="仿宋_GB2312" w:cs="仿宋_GB2312"/>
          <w:b/>
          <w:bCs/>
          <w:sz w:val="32"/>
          <w:szCs w:val="32"/>
        </w:rPr>
        <w:t>一是</w:t>
      </w:r>
      <w:r>
        <w:rPr>
          <w:rFonts w:hint="eastAsia" w:ascii="仿宋_GB2312" w:eastAsia="仿宋_GB2312" w:cs="仿宋_GB2312"/>
          <w:sz w:val="32"/>
          <w:szCs w:val="32"/>
        </w:rPr>
        <w:t>为加强社有资产监督管理，防止社有资产流失，确保社有资产保值增值，成立茂县供销合作社联合社社有资产管理委员会，对全县社有资产进行全面清理，掌握资产清查范围、产权情况、出租资产等方面情况，通过清产核资，切实摸清了家底，保证了清产核资结果的真实、完整、可靠。</w:t>
      </w:r>
      <w:r>
        <w:rPr>
          <w:rFonts w:hint="eastAsia" w:ascii="仿宋_GB2312" w:eastAsia="仿宋_GB2312" w:cs="仿宋_GB2312"/>
          <w:b/>
          <w:bCs/>
          <w:sz w:val="32"/>
          <w:szCs w:val="32"/>
        </w:rPr>
        <w:t>二是</w:t>
      </w:r>
      <w:r>
        <w:rPr>
          <w:rFonts w:hint="eastAsia" w:ascii="仿宋_GB2312" w:eastAsia="仿宋_GB2312" w:cs="仿宋_GB2312"/>
          <w:sz w:val="32"/>
          <w:szCs w:val="32"/>
        </w:rPr>
        <w:t>坚持“技物结合”为农服务，发挥服务“三农”职能。积极筹措资金，购进优质农资产品化肥、农药、种子、农机具等春耕物资，有效保障全县农用物资的需求。</w:t>
      </w:r>
      <w:r>
        <w:rPr>
          <w:rFonts w:hint="eastAsia" w:ascii="仿宋_GB2312" w:eastAsia="仿宋_GB2312" w:cs="仿宋_GB2312"/>
          <w:b/>
          <w:bCs/>
          <w:sz w:val="32"/>
          <w:szCs w:val="32"/>
        </w:rPr>
        <w:t>三是</w:t>
      </w:r>
      <w:r>
        <w:rPr>
          <w:rFonts w:hint="eastAsia" w:ascii="仿宋_GB2312" w:eastAsia="仿宋_GB2312" w:cs="仿宋_GB2312"/>
          <w:sz w:val="32"/>
          <w:szCs w:val="32"/>
        </w:rPr>
        <w:t>积极发挥部门职能，切实做好防灾减灾工作，根据各镇防雹烟花需求，多措并举确保农村防雹烟花供应。</w:t>
      </w:r>
      <w:r>
        <w:rPr>
          <w:rFonts w:hint="eastAsia" w:ascii="仿宋_GB2312" w:eastAsia="仿宋_GB2312" w:cs="仿宋_GB2312"/>
          <w:b/>
          <w:bCs/>
          <w:sz w:val="32"/>
          <w:szCs w:val="32"/>
        </w:rPr>
        <w:t>四是</w:t>
      </w:r>
      <w:r>
        <w:rPr>
          <w:rFonts w:hint="eastAsia" w:ascii="仿宋_GB2312" w:eastAsia="仿宋_GB2312" w:cs="仿宋_GB2312"/>
          <w:sz w:val="32"/>
          <w:szCs w:val="32"/>
        </w:rPr>
        <w:t>配合科农和执法部门开展农资打假和放心农资下乡进村宣传活动，提醒经营者守法经营、合法经营，告诫农民朋友到正规农资店购买农资，通过法律途径维护自身权益。</w:t>
      </w:r>
      <w:r>
        <w:rPr>
          <w:rFonts w:hint="eastAsia" w:ascii="仿宋_GB2312" w:eastAsia="仿宋_GB2312" w:cs="仿宋_GB2312"/>
          <w:b/>
          <w:bCs/>
          <w:sz w:val="32"/>
          <w:szCs w:val="32"/>
        </w:rPr>
        <w:t>五是</w:t>
      </w:r>
      <w:r>
        <w:rPr>
          <w:rFonts w:hint="eastAsia" w:ascii="仿宋_GB2312" w:eastAsia="仿宋_GB2312" w:cs="仿宋_GB2312"/>
          <w:sz w:val="32"/>
          <w:szCs w:val="32"/>
        </w:rPr>
        <w:t>积极申报民贸贷款贴息，助推供销企业发展，2022年茂县供销合作社联合社农业生产资料公司、凤仪镇供销合作社被确定为四川省民族贸易县内民族贸易企业。在现疫情防控持续的情况下，通过民贸贴息优惠政策的实施，预计可减轻企业贷款贴息30余万元，帮助企业解决实际困难。</w:t>
      </w:r>
    </w:p>
    <w:p w14:paraId="5EBE0DD7">
      <w:pPr>
        <w:spacing w:line="576" w:lineRule="atLeast"/>
        <w:ind w:firstLine="640" w:firstLineChars="200"/>
        <w:rPr>
          <w:rFonts w:ascii="仿宋_GB2312" w:eastAsia="仿宋_GB2312" w:cs="仿宋_GB2312"/>
          <w:sz w:val="32"/>
          <w:szCs w:val="32"/>
        </w:rPr>
      </w:pPr>
      <w:r>
        <w:rPr>
          <w:rFonts w:hint="eastAsia" w:ascii="仿宋_GB2312" w:eastAsia="仿宋_GB2312" w:cs="仿宋_GB2312"/>
          <w:sz w:val="32"/>
          <w:szCs w:val="32"/>
        </w:rPr>
        <w:t>8、坚持经济发展有效果。截止2022年12月底，全系统购进农业生产资料和农产品4439万元，实现销售总额5138万元，其中农资销售总额2137万元。</w:t>
      </w:r>
    </w:p>
    <w:p w14:paraId="7BC86BD0">
      <w:pPr>
        <w:spacing w:line="576" w:lineRule="atLeast"/>
        <w:ind w:firstLine="640" w:firstLineChars="200"/>
        <w:rPr>
          <w:rFonts w:ascii="仿宋_GB2312" w:eastAsia="仿宋_GB2312" w:cs="仿宋_GB2312"/>
          <w:sz w:val="32"/>
          <w:szCs w:val="32"/>
        </w:rPr>
      </w:pPr>
      <w:r>
        <w:rPr>
          <w:rFonts w:hint="eastAsia" w:ascii="仿宋_GB2312" w:eastAsia="仿宋_GB2312" w:cs="仿宋_GB2312"/>
          <w:sz w:val="32"/>
          <w:szCs w:val="32"/>
        </w:rPr>
        <w:t>9、坚持“委托经营”有效益。为进一步推动新型村集体经济健康发展，实现产业基金的保值增值，建立脱贫奔康的长效利益联动机制，采取“委托经营”方式，将村产业扶持资金和村集体资金委托给我社经营管理。33个贫困村转入产业扶持资金318.51万元，我社按年度支付5%经营费给各委托村，截至目前，我社已支付各村产业扶持资金委托经营费90.9万元；10个贫困村转入村集体资金1000万元，我社按照年度支付3%经营费给各村，截至目前，我社已支付村集体经济资金委托经营费152.85万元。</w:t>
      </w:r>
    </w:p>
    <w:p w14:paraId="4F27064E">
      <w:pPr>
        <w:spacing w:line="576" w:lineRule="atLeast"/>
        <w:ind w:firstLine="640" w:firstLineChars="200"/>
        <w:rPr>
          <w:rFonts w:ascii="仿宋_GB2312" w:eastAsia="仿宋_GB2312" w:cs="仿宋_GB2312"/>
          <w:sz w:val="32"/>
          <w:szCs w:val="32"/>
        </w:rPr>
      </w:pPr>
      <w:r>
        <w:rPr>
          <w:rFonts w:hint="eastAsia" w:ascii="仿宋_GB2312" w:eastAsia="仿宋_GB2312" w:cs="仿宋_GB2312"/>
          <w:sz w:val="32"/>
          <w:szCs w:val="32"/>
        </w:rPr>
        <w:t>10、坚持农产品营销有真招。</w:t>
      </w:r>
      <w:r>
        <w:rPr>
          <w:rFonts w:hint="eastAsia" w:ascii="仿宋_GB2312" w:eastAsia="仿宋_GB2312" w:cs="仿宋_GB2312"/>
          <w:b/>
          <w:bCs/>
          <w:sz w:val="32"/>
          <w:szCs w:val="32"/>
        </w:rPr>
        <w:t>一是</w:t>
      </w:r>
      <w:r>
        <w:rPr>
          <w:rFonts w:hint="eastAsia" w:ascii="仿宋_GB2312" w:eastAsia="仿宋_GB2312" w:cs="仿宋_GB2312"/>
          <w:sz w:val="32"/>
          <w:szCs w:val="32"/>
        </w:rPr>
        <w:t>主动和受援办一起积极搭建“平湖-茂县共富果园”订单模式，通过认真调研市场、总结农产品的销售网络及配送链条工作经验，为老百姓拓宽销售、增加收入来有效促进乡村振兴。我社组织人员从货源、品控、采摘、分拣、包装、装箱、搬运、冷链物流等各个环节进行严格的质量把关，将价值13.6万元的茂县枇杷、价值255万元的茂县苹果直接配送到浙江平湖订单人手中，从而实现茂县和平湖两地的帮扶工作有效衔接，加深了两地的交流交融交往，也拓宽农产品销售渠道。</w:t>
      </w:r>
      <w:r>
        <w:rPr>
          <w:rFonts w:hint="eastAsia" w:ascii="仿宋_GB2312" w:eastAsia="仿宋_GB2312" w:cs="仿宋_GB2312"/>
          <w:b/>
          <w:bCs/>
          <w:sz w:val="32"/>
          <w:szCs w:val="32"/>
        </w:rPr>
        <w:t>二是</w:t>
      </w:r>
      <w:r>
        <w:rPr>
          <w:rFonts w:hint="eastAsia" w:ascii="仿宋_GB2312" w:eastAsia="仿宋_GB2312" w:cs="仿宋_GB2312"/>
          <w:sz w:val="32"/>
          <w:szCs w:val="32"/>
        </w:rPr>
        <w:t>加大脱贫地区农副产品网络销售平台（简称“832”平台）的宣传推介和销售，线上线下拓展农产品销售渠道，推进农村产业的发展，截止2022年12月底，实现销售额3001万元。</w:t>
      </w:r>
    </w:p>
    <w:p w14:paraId="50987A5B">
      <w:pPr>
        <w:spacing w:line="576" w:lineRule="atLeast"/>
        <w:ind w:firstLine="640" w:firstLineChars="200"/>
        <w:rPr>
          <w:rFonts w:ascii="黑体" w:hAnsi="黑体" w:eastAsia="黑体" w:cs="黑体"/>
          <w:sz w:val="32"/>
          <w:szCs w:val="32"/>
        </w:rPr>
      </w:pPr>
      <w:r>
        <w:rPr>
          <w:rFonts w:hint="eastAsia" w:ascii="黑体" w:hAnsi="黑体" w:eastAsia="黑体" w:cs="黑体"/>
          <w:sz w:val="32"/>
          <w:szCs w:val="32"/>
        </w:rPr>
        <w:t>二、机构设置</w:t>
      </w:r>
      <w:bookmarkEnd w:id="28"/>
      <w:bookmarkEnd w:id="29"/>
      <w:bookmarkEnd w:id="30"/>
      <w:bookmarkEnd w:id="31"/>
    </w:p>
    <w:p w14:paraId="79568718">
      <w:pPr>
        <w:spacing w:line="576" w:lineRule="atLeast"/>
        <w:ind w:firstLine="640" w:firstLineChars="200"/>
        <w:rPr>
          <w:rFonts w:ascii="仿宋_GB2312" w:hAnsi="仿宋_GB2312" w:eastAsia="仿宋_GB2312" w:cs="仿宋_GB2312"/>
          <w:sz w:val="32"/>
          <w:szCs w:val="32"/>
        </w:rPr>
      </w:pPr>
      <w:bookmarkStart w:id="32" w:name="_Toc79163609"/>
      <w:bookmarkStart w:id="33" w:name="_Toc15396602"/>
      <w:bookmarkStart w:id="34" w:name="_Toc15377204"/>
      <w:bookmarkStart w:id="35" w:name="_Toc79163859"/>
      <w:r>
        <w:rPr>
          <w:rFonts w:hint="eastAsia" w:ascii="仿宋_GB2312" w:hAnsi="仿宋_GB2312" w:eastAsia="仿宋_GB2312" w:cs="仿宋_GB2312"/>
          <w:sz w:val="32"/>
          <w:szCs w:val="32"/>
        </w:rPr>
        <w:t>茂县供销社下属二级单位0个，其中行政单位0个，参照公务员法管理的事业单位0个，其他事业单位0个。</w:t>
      </w:r>
    </w:p>
    <w:p w14:paraId="33FDC7AE">
      <w:pPr>
        <w:spacing w:line="576"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无纳入2022年度部门决算编制范围的二级预算单位。</w:t>
      </w:r>
    </w:p>
    <w:p w14:paraId="6432D113">
      <w:pPr>
        <w:jc w:val="center"/>
        <w:rPr>
          <w:rFonts w:ascii="方正小标宋简体" w:hAnsi="方正小标宋简体" w:eastAsia="方正小标宋简体" w:cs="方正小标宋简体"/>
          <w:sz w:val="44"/>
          <w:szCs w:val="44"/>
        </w:rPr>
      </w:pPr>
    </w:p>
    <w:p w14:paraId="586A191D">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第二部分 2022年度部门决算情况说明</w:t>
      </w:r>
      <w:bookmarkEnd w:id="32"/>
      <w:bookmarkEnd w:id="33"/>
      <w:bookmarkEnd w:id="34"/>
      <w:bookmarkEnd w:id="35"/>
    </w:p>
    <w:p w14:paraId="6A25B0CB">
      <w:pPr>
        <w:jc w:val="center"/>
      </w:pPr>
    </w:p>
    <w:p w14:paraId="08230865">
      <w:pPr>
        <w:pStyle w:val="35"/>
        <w:numPr>
          <w:ilvl w:val="0"/>
          <w:numId w:val="1"/>
        </w:numPr>
        <w:spacing w:line="600" w:lineRule="exact"/>
        <w:ind w:firstLineChars="0"/>
        <w:outlineLvl w:val="1"/>
        <w:rPr>
          <w:rStyle w:val="25"/>
          <w:rFonts w:ascii="黑体" w:hAnsi="黑体" w:eastAsia="黑体"/>
          <w:b w:val="0"/>
        </w:rPr>
      </w:pPr>
      <w:bookmarkStart w:id="36" w:name="_Toc15377205"/>
      <w:bookmarkStart w:id="37" w:name="_Toc79163610"/>
      <w:bookmarkStart w:id="38" w:name="_Toc15396603"/>
      <w:bookmarkStart w:id="39" w:name="_Toc79163860"/>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36"/>
      <w:bookmarkEnd w:id="37"/>
      <w:bookmarkEnd w:id="38"/>
      <w:bookmarkEnd w:id="39"/>
    </w:p>
    <w:p w14:paraId="60505A4E">
      <w:pPr>
        <w:spacing w:line="576" w:lineRule="atLeast"/>
        <w:ind w:firstLine="640" w:firstLineChars="200"/>
        <w:rPr>
          <w:rFonts w:ascii="仿宋_GB2312" w:eastAsia="仿宋_GB2312" w:cs="仿宋_GB2312"/>
          <w:sz w:val="32"/>
          <w:szCs w:val="32"/>
        </w:rPr>
      </w:pPr>
      <w:r>
        <w:rPr>
          <w:rFonts w:hint="eastAsia" w:ascii="仿宋_GB2312" w:eastAsia="仿宋_GB2312" w:cs="仿宋_GB2312"/>
          <w:sz w:val="32"/>
          <w:szCs w:val="32"/>
        </w:rPr>
        <w:t>2022年度收、支总计525.75万元。与2021年相比，收、支总计各增加132.85万元，增长33.72%。主要变动原因是</w:t>
      </w:r>
      <w:r>
        <w:rPr>
          <w:rFonts w:hint="eastAsia" w:ascii="仿宋_GB2312" w:eastAsia="仿宋_GB2312" w:cs="仿宋_GB2312"/>
          <w:sz w:val="32"/>
          <w:szCs w:val="32"/>
          <w:lang w:val="en-US" w:eastAsia="zh-CN"/>
        </w:rPr>
        <w:t>2022年新增茂农服建设项目，</w:t>
      </w:r>
      <w:r>
        <w:rPr>
          <w:rFonts w:hint="eastAsia" w:ascii="仿宋_GB2312" w:eastAsia="仿宋_GB2312" w:cs="仿宋_GB2312"/>
          <w:sz w:val="32"/>
          <w:szCs w:val="32"/>
        </w:rPr>
        <w:t>项目资金增加。</w:t>
      </w:r>
    </w:p>
    <w:p w14:paraId="242DD8D0">
      <w:pPr>
        <w:spacing w:line="576" w:lineRule="atLeast"/>
        <w:ind w:firstLine="640" w:firstLineChars="200"/>
        <w:rPr>
          <w:rFonts w:ascii="仿宋_GB2312" w:eastAsia="仿宋_GB2312" w:cs="仿宋_GB2312"/>
          <w:sz w:val="32"/>
          <w:szCs w:val="32"/>
        </w:rPr>
      </w:pPr>
      <w:r>
        <w:rPr>
          <w:rFonts w:hint="eastAsia" w:ascii="仿宋_GB2312" w:eastAsia="仿宋_GB2312" w:cs="仿宋_GB2312"/>
          <w:sz w:val="32"/>
          <w:szCs w:val="32"/>
        </w:rPr>
        <w:t>（图</w:t>
      </w:r>
      <w:r>
        <w:rPr>
          <w:rFonts w:ascii="仿宋_GB2312" w:eastAsia="仿宋_GB2312" w:cs="仿宋_GB2312"/>
          <w:sz w:val="32"/>
          <w:szCs w:val="32"/>
        </w:rPr>
        <w:t>1</w:t>
      </w:r>
      <w:r>
        <w:rPr>
          <w:rFonts w:hint="eastAsia" w:ascii="仿宋_GB2312" w:eastAsia="仿宋_GB2312" w:cs="仿宋_GB2312"/>
          <w:sz w:val="32"/>
          <w:szCs w:val="32"/>
        </w:rPr>
        <w:t>：收、支决算总计变动情况图）（单位：万元）</w:t>
      </w:r>
    </w:p>
    <w:p w14:paraId="12FE93F9">
      <w:pPr>
        <w:ind w:firstLine="640" w:firstLineChars="200"/>
        <w:rPr>
          <w:rFonts w:ascii="仿宋_GB2312" w:eastAsia="仿宋_GB2312"/>
          <w:color w:val="000000"/>
          <w:sz w:val="32"/>
          <w:szCs w:val="32"/>
        </w:rPr>
      </w:pPr>
      <w:r>
        <w:rPr>
          <w:rFonts w:ascii="仿宋_GB2312" w:eastAsia="仿宋_GB2312"/>
          <w:color w:val="000000"/>
          <w:sz w:val="32"/>
          <w:szCs w:val="32"/>
        </w:rPr>
        <w:drawing>
          <wp:inline distT="0" distB="0" distL="0" distR="0">
            <wp:extent cx="4572000" cy="2600325"/>
            <wp:effectExtent l="19050" t="0" r="19050" b="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C333A5C">
      <w:pPr>
        <w:pStyle w:val="35"/>
        <w:numPr>
          <w:ilvl w:val="0"/>
          <w:numId w:val="1"/>
        </w:numPr>
        <w:spacing w:line="600" w:lineRule="exact"/>
        <w:ind w:firstLineChars="0"/>
        <w:outlineLvl w:val="1"/>
        <w:rPr>
          <w:rStyle w:val="25"/>
          <w:rFonts w:ascii="黑体" w:hAnsi="黑体" w:eastAsia="黑体"/>
          <w:b w:val="0"/>
        </w:rPr>
      </w:pPr>
      <w:bookmarkStart w:id="40" w:name="_Toc79163861"/>
      <w:bookmarkStart w:id="41" w:name="_Toc15377206"/>
      <w:bookmarkStart w:id="42" w:name="_Toc79163611"/>
      <w:bookmarkStart w:id="43" w:name="_Toc15396604"/>
      <w:r>
        <w:rPr>
          <w:rFonts w:hint="eastAsia" w:ascii="黑体" w:hAnsi="黑体" w:eastAsia="黑体"/>
          <w:color w:val="000000"/>
          <w:sz w:val="32"/>
          <w:szCs w:val="32"/>
        </w:rPr>
        <w:t>收</w:t>
      </w:r>
      <w:r>
        <w:rPr>
          <w:rStyle w:val="25"/>
          <w:rFonts w:hint="eastAsia" w:ascii="黑体" w:hAnsi="黑体" w:eastAsia="黑体"/>
          <w:b w:val="0"/>
        </w:rPr>
        <w:t>入决算情况说明</w:t>
      </w:r>
      <w:bookmarkEnd w:id="40"/>
      <w:bookmarkEnd w:id="41"/>
      <w:bookmarkEnd w:id="42"/>
      <w:bookmarkEnd w:id="43"/>
    </w:p>
    <w:p w14:paraId="21871C8A">
      <w:pPr>
        <w:spacing w:line="576" w:lineRule="atLeast"/>
        <w:ind w:firstLine="640" w:firstLineChars="200"/>
        <w:rPr>
          <w:rFonts w:ascii="仿宋_GB2312" w:eastAsia="仿宋_GB2312" w:cs="仿宋_GB2312"/>
          <w:sz w:val="32"/>
          <w:szCs w:val="32"/>
        </w:rPr>
      </w:pPr>
      <w:r>
        <w:rPr>
          <w:rFonts w:hint="eastAsia" w:ascii="仿宋_GB2312" w:eastAsia="仿宋_GB2312" w:cs="仿宋_GB2312"/>
          <w:sz w:val="32"/>
          <w:szCs w:val="32"/>
        </w:rPr>
        <w:t>2022年本年收入合计525.75万元，其中：一般公共预算财政拨款收入525.75万元，占100%。</w:t>
      </w:r>
    </w:p>
    <w:p w14:paraId="340D517A">
      <w:pPr>
        <w:spacing w:line="576" w:lineRule="atLeast"/>
        <w:ind w:firstLine="640" w:firstLineChars="200"/>
        <w:rPr>
          <w:rFonts w:ascii="仿宋_GB2312" w:eastAsia="仿宋_GB2312" w:cs="仿宋_GB2312"/>
          <w:sz w:val="32"/>
          <w:szCs w:val="32"/>
        </w:rPr>
      </w:pPr>
      <w:r>
        <w:rPr>
          <w:rFonts w:hint="eastAsia" w:ascii="仿宋_GB2312" w:eastAsia="仿宋_GB2312" w:cs="仿宋_GB2312"/>
          <w:sz w:val="32"/>
          <w:szCs w:val="32"/>
        </w:rPr>
        <w:t>（图</w:t>
      </w:r>
      <w:r>
        <w:rPr>
          <w:rFonts w:ascii="仿宋_GB2312" w:eastAsia="仿宋_GB2312" w:cs="仿宋_GB2312"/>
          <w:sz w:val="32"/>
          <w:szCs w:val="32"/>
        </w:rPr>
        <w:t>2</w:t>
      </w:r>
      <w:r>
        <w:rPr>
          <w:rFonts w:hint="eastAsia" w:ascii="仿宋_GB2312" w:eastAsia="仿宋_GB2312" w:cs="仿宋_GB2312"/>
          <w:sz w:val="32"/>
          <w:szCs w:val="32"/>
        </w:rPr>
        <w:t>：收入决算结构图）（单位：万元）</w:t>
      </w:r>
      <w:r>
        <w:rPr>
          <w:rFonts w:asci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347345</wp:posOffset>
            </wp:positionH>
            <wp:positionV relativeFrom="paragraph">
              <wp:posOffset>899795</wp:posOffset>
            </wp:positionV>
            <wp:extent cx="4572000" cy="2743200"/>
            <wp:effectExtent l="19050" t="0" r="19050" b="0"/>
            <wp:wrapTopAndBottom/>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73BBA317">
      <w:pPr>
        <w:spacing w:line="600" w:lineRule="exact"/>
        <w:rPr>
          <w:rFonts w:ascii="仿宋_GB2312" w:eastAsia="仿宋_GB2312"/>
          <w:color w:val="FF0000"/>
          <w:sz w:val="32"/>
          <w:szCs w:val="32"/>
        </w:rPr>
      </w:pPr>
    </w:p>
    <w:p w14:paraId="405F5722">
      <w:pPr>
        <w:pStyle w:val="35"/>
        <w:numPr>
          <w:ilvl w:val="0"/>
          <w:numId w:val="1"/>
        </w:numPr>
        <w:spacing w:line="600" w:lineRule="exact"/>
        <w:ind w:firstLineChars="0"/>
        <w:outlineLvl w:val="1"/>
        <w:rPr>
          <w:rStyle w:val="25"/>
          <w:rFonts w:ascii="黑体" w:hAnsi="黑体" w:eastAsia="黑体"/>
          <w:b w:val="0"/>
        </w:rPr>
      </w:pPr>
      <w:bookmarkStart w:id="44" w:name="_Toc79163862"/>
      <w:bookmarkStart w:id="45" w:name="_Toc79163612"/>
      <w:bookmarkStart w:id="46" w:name="_Toc15396605"/>
      <w:bookmarkStart w:id="47" w:name="_Toc15377207"/>
      <w:r>
        <w:rPr>
          <w:rFonts w:hint="eastAsia" w:ascii="黑体" w:hAnsi="黑体" w:eastAsia="黑体"/>
          <w:color w:val="000000"/>
          <w:sz w:val="32"/>
          <w:szCs w:val="32"/>
        </w:rPr>
        <w:t>支</w:t>
      </w:r>
      <w:r>
        <w:rPr>
          <w:rStyle w:val="25"/>
          <w:rFonts w:hint="eastAsia" w:ascii="黑体" w:hAnsi="黑体" w:eastAsia="黑体"/>
          <w:b w:val="0"/>
        </w:rPr>
        <w:t>出决算情况说明</w:t>
      </w:r>
      <w:bookmarkEnd w:id="44"/>
      <w:bookmarkEnd w:id="45"/>
      <w:bookmarkEnd w:id="46"/>
      <w:bookmarkEnd w:id="47"/>
    </w:p>
    <w:p w14:paraId="6FF1E04B">
      <w:pPr>
        <w:spacing w:line="576" w:lineRule="atLeast"/>
        <w:ind w:firstLine="640" w:firstLineChars="200"/>
        <w:rPr>
          <w:rFonts w:ascii="仿宋_GB2312" w:eastAsia="仿宋_GB2312" w:cs="仿宋_GB2312"/>
          <w:sz w:val="32"/>
          <w:szCs w:val="32"/>
        </w:rPr>
      </w:pPr>
      <w:r>
        <w:rPr>
          <w:rFonts w:hint="eastAsia" w:ascii="仿宋_GB2312" w:eastAsia="仿宋_GB2312" w:cs="仿宋_GB2312"/>
          <w:sz w:val="32"/>
          <w:szCs w:val="32"/>
        </w:rPr>
        <w:t>2022年本年支出合计525.75万元，其中：基本支出191.85万元，占36.49%；项目支出333.9万元，占63.51%。</w:t>
      </w:r>
    </w:p>
    <w:p w14:paraId="151C1AD2">
      <w:pPr>
        <w:spacing w:line="576" w:lineRule="atLeast"/>
        <w:ind w:firstLine="640" w:firstLineChars="200"/>
        <w:rPr>
          <w:rFonts w:ascii="仿宋_GB2312" w:eastAsia="仿宋_GB2312" w:cs="仿宋_GB2312"/>
          <w:sz w:val="32"/>
          <w:szCs w:val="32"/>
        </w:rPr>
      </w:pPr>
      <w:r>
        <w:rPr>
          <w:rFonts w:hint="eastAsia" w:ascii="仿宋_GB2312" w:eastAsia="仿宋_GB2312" w:cs="仿宋_GB2312"/>
          <w:sz w:val="32"/>
          <w:szCs w:val="32"/>
        </w:rPr>
        <w:t>（图</w:t>
      </w:r>
      <w:r>
        <w:rPr>
          <w:rFonts w:ascii="仿宋_GB2312" w:eastAsia="仿宋_GB2312" w:cs="仿宋_GB2312"/>
          <w:sz w:val="32"/>
          <w:szCs w:val="32"/>
        </w:rPr>
        <w:t>3</w:t>
      </w:r>
      <w:r>
        <w:rPr>
          <w:rFonts w:hint="eastAsia" w:ascii="仿宋_GB2312" w:eastAsia="仿宋_GB2312" w:cs="仿宋_GB2312"/>
          <w:sz w:val="32"/>
          <w:szCs w:val="32"/>
        </w:rPr>
        <w:t>：支出决算结构图）（单位：万元）</w:t>
      </w:r>
    </w:p>
    <w:p w14:paraId="51B99ECF">
      <w:pPr>
        <w:ind w:firstLine="640" w:firstLineChars="200"/>
        <w:rPr>
          <w:rFonts w:ascii="仿宋_GB2312" w:eastAsia="仿宋_GB2312"/>
          <w:color w:val="FF0000"/>
          <w:sz w:val="32"/>
          <w:szCs w:val="32"/>
        </w:rPr>
      </w:pPr>
      <w:r>
        <w:rPr>
          <w:rFonts w:ascii="仿宋_GB2312" w:eastAsia="仿宋_GB2312"/>
          <w:color w:val="FF0000"/>
          <w:sz w:val="32"/>
          <w:szCs w:val="32"/>
        </w:rPr>
        <w:drawing>
          <wp:inline distT="0" distB="0" distL="0" distR="0">
            <wp:extent cx="4595495" cy="2667000"/>
            <wp:effectExtent l="19050" t="0" r="14287"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B98C1A6">
      <w:pPr>
        <w:spacing w:line="600" w:lineRule="exact"/>
        <w:ind w:firstLine="640" w:firstLineChars="200"/>
        <w:outlineLvl w:val="1"/>
        <w:rPr>
          <w:rStyle w:val="25"/>
          <w:rFonts w:ascii="黑体" w:hAnsi="黑体" w:eastAsia="黑体"/>
          <w:b w:val="0"/>
        </w:rPr>
      </w:pPr>
      <w:bookmarkStart w:id="48" w:name="_Toc79163863"/>
      <w:bookmarkStart w:id="49" w:name="_Toc15396606"/>
      <w:bookmarkStart w:id="50" w:name="_Toc79163613"/>
      <w:bookmarkStart w:id="51" w:name="_Toc15377208"/>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48"/>
      <w:bookmarkEnd w:id="49"/>
      <w:bookmarkEnd w:id="50"/>
      <w:bookmarkEnd w:id="51"/>
    </w:p>
    <w:p w14:paraId="7EFCF97A">
      <w:pPr>
        <w:spacing w:line="576" w:lineRule="atLeast"/>
        <w:ind w:firstLine="640" w:firstLineChars="200"/>
        <w:rPr>
          <w:rFonts w:ascii="仿宋_GB2312" w:eastAsia="仿宋_GB2312" w:cs="仿宋_GB2312"/>
          <w:sz w:val="32"/>
          <w:szCs w:val="32"/>
        </w:rPr>
      </w:pPr>
      <w:r>
        <w:rPr>
          <w:rFonts w:hint="eastAsia" w:ascii="仿宋_GB2312" w:eastAsia="仿宋_GB2312" w:cs="仿宋_GB2312"/>
          <w:sz w:val="32"/>
          <w:szCs w:val="32"/>
        </w:rPr>
        <w:t>2022年财政拨款收、支总计525.75万元。与2021年相比，财政拨款收、支总计增加132.58万元，增长33.72%。主要变动原因是</w:t>
      </w:r>
      <w:r>
        <w:rPr>
          <w:rFonts w:hint="eastAsia" w:ascii="仿宋_GB2312" w:eastAsia="仿宋_GB2312" w:cs="仿宋_GB2312"/>
          <w:sz w:val="32"/>
          <w:szCs w:val="32"/>
          <w:lang w:val="en-US" w:eastAsia="zh-CN"/>
        </w:rPr>
        <w:t>2022年新增茂农服建设项目，</w:t>
      </w:r>
      <w:r>
        <w:rPr>
          <w:rFonts w:hint="eastAsia" w:ascii="仿宋_GB2312" w:eastAsia="仿宋_GB2312" w:cs="仿宋_GB2312"/>
          <w:sz w:val="32"/>
          <w:szCs w:val="32"/>
        </w:rPr>
        <w:t>项目资金增加。</w:t>
      </w:r>
    </w:p>
    <w:p w14:paraId="4E4014DF">
      <w:pPr>
        <w:spacing w:line="576" w:lineRule="atLeast"/>
        <w:ind w:firstLine="640" w:firstLineChars="200"/>
        <w:rPr>
          <w:rFonts w:ascii="仿宋_GB2312" w:eastAsia="仿宋_GB2312" w:cs="仿宋_GB2312"/>
          <w:sz w:val="32"/>
          <w:szCs w:val="32"/>
        </w:rPr>
      </w:pPr>
      <w:r>
        <w:rPr>
          <w:rFonts w:hint="eastAsia" w:ascii="仿宋_GB2312" w:eastAsia="仿宋_GB2312" w:cs="仿宋_GB2312"/>
          <w:sz w:val="32"/>
          <w:szCs w:val="32"/>
        </w:rPr>
        <w:t>（图</w:t>
      </w:r>
      <w:r>
        <w:rPr>
          <w:rFonts w:ascii="仿宋_GB2312" w:eastAsia="仿宋_GB2312" w:cs="仿宋_GB2312"/>
          <w:sz w:val="32"/>
          <w:szCs w:val="32"/>
        </w:rPr>
        <w:t>4</w:t>
      </w:r>
      <w:r>
        <w:rPr>
          <w:rFonts w:hint="eastAsia" w:ascii="仿宋_GB2312" w:eastAsia="仿宋_GB2312" w:cs="仿宋_GB2312"/>
          <w:sz w:val="32"/>
          <w:szCs w:val="32"/>
        </w:rPr>
        <w:t>：财政拨款收、支决算总计变动情况）（单位：万元）</w:t>
      </w:r>
    </w:p>
    <w:p w14:paraId="39131843">
      <w:pPr>
        <w:ind w:firstLine="643" w:firstLineChars="200"/>
        <w:rPr>
          <w:rFonts w:ascii="仿宋" w:hAnsi="仿宋" w:eastAsia="仿宋"/>
          <w:b/>
          <w:color w:val="00B050"/>
          <w:sz w:val="32"/>
          <w:szCs w:val="32"/>
        </w:rPr>
      </w:pPr>
      <w:r>
        <w:rPr>
          <w:rFonts w:ascii="仿宋" w:hAnsi="仿宋" w:eastAsia="仿宋"/>
          <w:b/>
          <w:color w:val="00B050"/>
          <w:sz w:val="32"/>
          <w:szCs w:val="32"/>
        </w:rPr>
        <w:drawing>
          <wp:inline distT="0" distB="0" distL="0" distR="0">
            <wp:extent cx="4572000" cy="2600325"/>
            <wp:effectExtent l="19050" t="0" r="19050" b="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Start w:id="142" w:name="_GoBack"/>
      <w:bookmarkEnd w:id="142"/>
    </w:p>
    <w:p w14:paraId="20E6DC3F">
      <w:pPr>
        <w:spacing w:line="600" w:lineRule="exact"/>
        <w:ind w:firstLine="640" w:firstLineChars="200"/>
        <w:outlineLvl w:val="1"/>
        <w:rPr>
          <w:rStyle w:val="25"/>
          <w:rFonts w:ascii="黑体" w:hAnsi="黑体" w:eastAsia="黑体"/>
          <w:b w:val="0"/>
        </w:rPr>
      </w:pPr>
      <w:bookmarkStart w:id="52" w:name="_Toc15396607"/>
      <w:bookmarkStart w:id="53" w:name="_Toc79163614"/>
      <w:bookmarkStart w:id="54" w:name="_Toc79163864"/>
      <w:bookmarkStart w:id="55"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52"/>
      <w:bookmarkEnd w:id="53"/>
      <w:bookmarkEnd w:id="54"/>
      <w:bookmarkEnd w:id="55"/>
    </w:p>
    <w:p w14:paraId="42996F27">
      <w:pPr>
        <w:ind w:firstLine="643" w:firstLineChars="200"/>
        <w:rPr>
          <w:rFonts w:ascii="楷体_GB2312" w:hAnsi="楷体_GB2312" w:eastAsia="楷体_GB2312" w:cs="楷体_GB2312"/>
          <w:b/>
          <w:bCs/>
          <w:sz w:val="32"/>
          <w:szCs w:val="32"/>
        </w:rPr>
      </w:pPr>
      <w:bookmarkStart w:id="56" w:name="_Toc79163615"/>
      <w:bookmarkStart w:id="57" w:name="_Toc15377210"/>
      <w:bookmarkStart w:id="58" w:name="_Toc79163865"/>
      <w:r>
        <w:rPr>
          <w:rFonts w:hint="eastAsia" w:ascii="楷体_GB2312" w:hAnsi="楷体_GB2312" w:eastAsia="楷体_GB2312" w:cs="楷体_GB2312"/>
          <w:b/>
          <w:bCs/>
          <w:sz w:val="32"/>
          <w:szCs w:val="32"/>
        </w:rPr>
        <w:t>（一）一般公共预算财政拨款支出决算总体情况</w:t>
      </w:r>
      <w:bookmarkEnd w:id="56"/>
      <w:bookmarkEnd w:id="57"/>
      <w:bookmarkEnd w:id="58"/>
    </w:p>
    <w:p w14:paraId="24279A90">
      <w:pPr>
        <w:spacing w:line="576" w:lineRule="atLeast"/>
        <w:ind w:firstLine="640" w:firstLineChars="200"/>
        <w:rPr>
          <w:rFonts w:ascii="仿宋_GB2312" w:eastAsia="仿宋_GB2312" w:cs="仿宋_GB2312"/>
          <w:sz w:val="32"/>
          <w:szCs w:val="32"/>
        </w:rPr>
      </w:pPr>
      <w:r>
        <w:rPr>
          <w:rFonts w:hint="eastAsia" w:ascii="仿宋_GB2312" w:eastAsia="仿宋_GB2312" w:cs="仿宋_GB2312"/>
          <w:sz w:val="32"/>
          <w:szCs w:val="32"/>
        </w:rPr>
        <w:t>2022年一般公共预算财政拨款支出525.75万元，占本年支出合计的100%。与2021年相比，一般公共预算财政拨款增加132.58万元，增长33.72%。主要变动原因是</w:t>
      </w:r>
      <w:r>
        <w:rPr>
          <w:rFonts w:hint="eastAsia" w:ascii="仿宋_GB2312" w:eastAsia="仿宋_GB2312" w:cs="仿宋_GB2312"/>
          <w:sz w:val="32"/>
          <w:szCs w:val="32"/>
          <w:lang w:val="en-US" w:eastAsia="zh-CN"/>
        </w:rPr>
        <w:t>2022年新增茂农服建设项目，</w:t>
      </w:r>
      <w:r>
        <w:rPr>
          <w:rFonts w:hint="eastAsia" w:ascii="仿宋_GB2312" w:eastAsia="仿宋_GB2312" w:cs="仿宋_GB2312"/>
          <w:sz w:val="32"/>
          <w:szCs w:val="32"/>
        </w:rPr>
        <w:t>项目资金增加。</w:t>
      </w:r>
    </w:p>
    <w:p w14:paraId="2FAD9A8B">
      <w:pPr>
        <w:spacing w:line="576" w:lineRule="atLeast"/>
        <w:ind w:firstLine="640" w:firstLineChars="200"/>
        <w:rPr>
          <w:rFonts w:ascii="仿宋_GB2312" w:eastAsia="仿宋_GB2312" w:cs="仿宋_GB2312"/>
          <w:sz w:val="32"/>
          <w:szCs w:val="32"/>
        </w:rPr>
      </w:pPr>
      <w:r>
        <w:rPr>
          <w:rFonts w:hint="eastAsia" w:ascii="仿宋_GB2312" w:eastAsia="仿宋_GB2312" w:cs="仿宋_GB2312"/>
          <w:sz w:val="32"/>
          <w:szCs w:val="32"/>
        </w:rPr>
        <w:t>（图5：一般公共预算财政拨款支出决算变动情况）（单位：万元）</w:t>
      </w:r>
    </w:p>
    <w:p w14:paraId="36E93DA5">
      <w:pPr>
        <w:ind w:firstLine="640" w:firstLineChars="200"/>
        <w:rPr>
          <w:rFonts w:ascii="仿宋" w:hAnsi="仿宋" w:eastAsia="仿宋"/>
          <w:color w:val="000000"/>
          <w:sz w:val="32"/>
          <w:szCs w:val="32"/>
        </w:rPr>
      </w:pPr>
      <w:r>
        <w:rPr>
          <w:rFonts w:ascii="仿宋" w:hAnsi="仿宋" w:eastAsia="仿宋"/>
          <w:color w:val="000000"/>
          <w:sz w:val="32"/>
          <w:szCs w:val="32"/>
        </w:rPr>
        <w:drawing>
          <wp:inline distT="0" distB="0" distL="0" distR="0">
            <wp:extent cx="4572000" cy="2600325"/>
            <wp:effectExtent l="19050" t="0" r="19050" b="0"/>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FC6A2A7">
      <w:pPr>
        <w:ind w:firstLine="640" w:firstLineChars="200"/>
        <w:rPr>
          <w:rFonts w:ascii="仿宋" w:hAnsi="仿宋" w:eastAsia="仿宋"/>
          <w:color w:val="000000"/>
          <w:sz w:val="32"/>
          <w:szCs w:val="32"/>
        </w:rPr>
      </w:pPr>
    </w:p>
    <w:p w14:paraId="17CF792E">
      <w:pPr>
        <w:rPr>
          <w:rFonts w:ascii="仿宋" w:hAnsi="仿宋" w:eastAsia="仿宋"/>
          <w:color w:val="000000"/>
          <w:sz w:val="32"/>
          <w:szCs w:val="32"/>
        </w:rPr>
      </w:pPr>
    </w:p>
    <w:p w14:paraId="43B7BDE3">
      <w:pPr>
        <w:ind w:firstLine="643" w:firstLineChars="200"/>
        <w:rPr>
          <w:rFonts w:ascii="楷体_GB2312" w:hAnsi="楷体_GB2312" w:eastAsia="楷体_GB2312" w:cs="楷体_GB2312"/>
          <w:b/>
          <w:bCs/>
          <w:sz w:val="32"/>
          <w:szCs w:val="32"/>
        </w:rPr>
      </w:pPr>
      <w:bookmarkStart w:id="59" w:name="_Toc79163616"/>
      <w:bookmarkStart w:id="60" w:name="_Toc79163866"/>
      <w:bookmarkStart w:id="61" w:name="_Toc15377211"/>
      <w:r>
        <w:rPr>
          <w:rFonts w:hint="eastAsia" w:ascii="楷体_GB2312" w:hAnsi="楷体_GB2312" w:eastAsia="楷体_GB2312" w:cs="楷体_GB2312"/>
          <w:b/>
          <w:bCs/>
          <w:sz w:val="32"/>
          <w:szCs w:val="32"/>
        </w:rPr>
        <w:t>（二）一般公共预算财政拨款支出决算结构情况</w:t>
      </w:r>
      <w:bookmarkEnd w:id="59"/>
      <w:bookmarkEnd w:id="60"/>
      <w:bookmarkEnd w:id="61"/>
    </w:p>
    <w:p w14:paraId="6197683F">
      <w:pPr>
        <w:spacing w:line="576" w:lineRule="atLeast"/>
        <w:ind w:firstLine="640" w:firstLineChars="200"/>
        <w:rPr>
          <w:rFonts w:ascii="仿宋_GB2312" w:eastAsia="仿宋_GB2312" w:cs="仿宋_GB2312"/>
          <w:sz w:val="32"/>
          <w:szCs w:val="32"/>
        </w:rPr>
      </w:pPr>
      <w:r>
        <w:rPr>
          <w:rFonts w:hint="eastAsia" w:ascii="仿宋_GB2312" w:hAnsi="仿宋_GB2312" w:eastAsia="仿宋_GB2312" w:cs="仿宋_GB2312"/>
          <w:sz w:val="32"/>
          <w:szCs w:val="32"/>
        </w:rPr>
        <w:t>2022年一般公共预算财政拨款支出525.75万元，主要用于以下方面:</w:t>
      </w:r>
      <w:r>
        <w:rPr>
          <w:rFonts w:hint="eastAsia" w:ascii="仿宋_GB2312" w:hAnsi="仿宋_GB2312" w:eastAsia="仿宋_GB2312" w:cs="仿宋_GB2312"/>
          <w:b/>
          <w:bCs/>
          <w:sz w:val="32"/>
          <w:szCs w:val="32"/>
        </w:rPr>
        <w:t>社会保障和就业（类208）</w:t>
      </w:r>
      <w:r>
        <w:rPr>
          <w:rFonts w:hint="eastAsia" w:ascii="仿宋_GB2312" w:hAnsi="仿宋_GB2312" w:eastAsia="仿宋_GB2312" w:cs="仿宋_GB2312"/>
          <w:sz w:val="32"/>
          <w:szCs w:val="32"/>
        </w:rPr>
        <w:t>支出22.06万元，占4.2%；</w:t>
      </w:r>
      <w:r>
        <w:rPr>
          <w:rFonts w:hint="eastAsia" w:ascii="仿宋_GB2312" w:hAnsi="仿宋_GB2312" w:eastAsia="仿宋_GB2312" w:cs="仿宋_GB2312"/>
          <w:b/>
          <w:bCs/>
          <w:sz w:val="32"/>
          <w:szCs w:val="32"/>
        </w:rPr>
        <w:t>卫生健康（210）</w:t>
      </w:r>
      <w:r>
        <w:rPr>
          <w:rFonts w:hint="eastAsia" w:ascii="仿宋_GB2312" w:hAnsi="仿宋_GB2312" w:eastAsia="仿宋_GB2312" w:cs="仿宋_GB2312"/>
          <w:sz w:val="32"/>
          <w:szCs w:val="32"/>
        </w:rPr>
        <w:t>支出9.31万元，占1.77%；</w:t>
      </w:r>
      <w:r>
        <w:rPr>
          <w:rFonts w:hint="eastAsia" w:ascii="仿宋_GB2312" w:hAnsi="仿宋_GB2312" w:eastAsia="仿宋_GB2312" w:cs="仿宋_GB2312"/>
          <w:b/>
          <w:bCs/>
          <w:sz w:val="32"/>
          <w:szCs w:val="32"/>
        </w:rPr>
        <w:t>农林水（213）</w:t>
      </w:r>
      <w:r>
        <w:rPr>
          <w:rFonts w:hint="eastAsia" w:ascii="仿宋_GB2312" w:hAnsi="仿宋_GB2312" w:eastAsia="仿宋_GB2312" w:cs="仿宋_GB2312"/>
          <w:sz w:val="32"/>
          <w:szCs w:val="32"/>
        </w:rPr>
        <w:t>336.09万元，占53.93%；</w:t>
      </w:r>
      <w:r>
        <w:rPr>
          <w:rFonts w:hint="eastAsia" w:ascii="仿宋_GB2312" w:hAnsi="仿宋_GB2312" w:eastAsia="仿宋_GB2312" w:cs="仿宋_GB2312"/>
          <w:b/>
          <w:bCs/>
          <w:sz w:val="32"/>
          <w:szCs w:val="32"/>
        </w:rPr>
        <w:t>商业服务业等支出（216）</w:t>
      </w:r>
      <w:r>
        <w:rPr>
          <w:rFonts w:hint="eastAsia" w:ascii="仿宋_GB2312" w:hAnsi="仿宋_GB2312" w:eastAsia="仿宋_GB2312" w:cs="仿宋_GB2312"/>
          <w:sz w:val="32"/>
          <w:szCs w:val="32"/>
        </w:rPr>
        <w:t>支出145.23万元，占27.62%；</w:t>
      </w:r>
      <w:r>
        <w:rPr>
          <w:rFonts w:hint="eastAsia" w:ascii="仿宋_GB2312" w:hAnsi="仿宋_GB2312" w:eastAsia="仿宋_GB2312" w:cs="仿宋_GB2312"/>
          <w:b/>
          <w:bCs/>
          <w:sz w:val="32"/>
          <w:szCs w:val="32"/>
        </w:rPr>
        <w:t>住房保障（221）</w:t>
      </w:r>
      <w:r>
        <w:rPr>
          <w:rFonts w:hint="eastAsia" w:ascii="仿宋_GB2312" w:hAnsi="仿宋_GB2312" w:eastAsia="仿宋_GB2312" w:cs="仿宋_GB2312"/>
          <w:sz w:val="32"/>
          <w:szCs w:val="32"/>
        </w:rPr>
        <w:t>支出13.06</w:t>
      </w:r>
      <w:r>
        <w:rPr>
          <w:rFonts w:hint="eastAsia" w:ascii="仿宋_GB2312" w:eastAsia="仿宋_GB2312" w:cs="仿宋_GB2312"/>
          <w:sz w:val="32"/>
          <w:szCs w:val="32"/>
        </w:rPr>
        <w:t>万元，占2.48%。</w:t>
      </w:r>
    </w:p>
    <w:p w14:paraId="5522F7D5">
      <w:pPr>
        <w:spacing w:line="576" w:lineRule="atLeast"/>
        <w:ind w:firstLine="640" w:firstLineChars="200"/>
        <w:rPr>
          <w:rFonts w:ascii="仿宋_GB2312" w:eastAsia="仿宋_GB2312" w:cs="仿宋_GB2312"/>
          <w:sz w:val="32"/>
          <w:szCs w:val="32"/>
        </w:rPr>
      </w:pPr>
      <w:r>
        <w:rPr>
          <w:rFonts w:hint="eastAsia" w:ascii="仿宋_GB2312" w:eastAsia="仿宋_GB2312" w:cs="仿宋_GB2312"/>
          <w:sz w:val="32"/>
          <w:szCs w:val="32"/>
        </w:rPr>
        <w:t>（图</w:t>
      </w:r>
      <w:r>
        <w:rPr>
          <w:rFonts w:ascii="仿宋_GB2312" w:eastAsia="仿宋_GB2312" w:cs="仿宋_GB2312"/>
          <w:sz w:val="32"/>
          <w:szCs w:val="32"/>
        </w:rPr>
        <w:t>6</w:t>
      </w:r>
      <w:r>
        <w:rPr>
          <w:rFonts w:hint="eastAsia" w:ascii="仿宋_GB2312" w:eastAsia="仿宋_GB2312" w:cs="仿宋_GB2312"/>
          <w:sz w:val="32"/>
          <w:szCs w:val="32"/>
        </w:rPr>
        <w:t>：一般公共预算财政拨款支出决算结构）（单位：万元）</w:t>
      </w:r>
    </w:p>
    <w:p w14:paraId="14F8CD7D">
      <w:pPr>
        <w:rPr>
          <w:rFonts w:ascii="仿宋" w:hAnsi="仿宋" w:eastAsia="仿宋"/>
          <w:color w:val="000000"/>
          <w:sz w:val="32"/>
          <w:szCs w:val="32"/>
        </w:rPr>
      </w:pPr>
    </w:p>
    <w:p w14:paraId="2693A2D7">
      <w:pPr>
        <w:ind w:firstLine="640" w:firstLineChars="200"/>
        <w:rPr>
          <w:rFonts w:ascii="仿宋" w:hAnsi="仿宋" w:eastAsia="仿宋"/>
          <w:color w:val="000000"/>
          <w:sz w:val="32"/>
          <w:szCs w:val="32"/>
        </w:rPr>
      </w:pPr>
      <w:r>
        <w:rPr>
          <w:rFonts w:ascii="仿宋" w:hAnsi="仿宋" w:eastAsia="仿宋"/>
          <w:color w:val="000000"/>
          <w:sz w:val="32"/>
          <w:szCs w:val="32"/>
        </w:rPr>
        <w:drawing>
          <wp:inline distT="0" distB="0" distL="0" distR="0">
            <wp:extent cx="4667250" cy="2657475"/>
            <wp:effectExtent l="19050" t="0" r="19050" b="0"/>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4767736">
      <w:pPr>
        <w:ind w:firstLine="643" w:firstLineChars="200"/>
        <w:rPr>
          <w:rFonts w:ascii="楷体_GB2312" w:hAnsi="楷体_GB2312" w:eastAsia="楷体_GB2312" w:cs="楷体_GB2312"/>
          <w:b/>
          <w:bCs/>
          <w:sz w:val="32"/>
          <w:szCs w:val="32"/>
        </w:rPr>
      </w:pPr>
      <w:bookmarkStart w:id="62" w:name="_Toc79163867"/>
      <w:bookmarkStart w:id="63" w:name="_Toc15377212"/>
      <w:bookmarkStart w:id="64" w:name="_Toc79163617"/>
      <w:r>
        <w:rPr>
          <w:rFonts w:hint="eastAsia" w:ascii="楷体_GB2312" w:hAnsi="楷体_GB2312" w:eastAsia="楷体_GB2312" w:cs="楷体_GB2312"/>
          <w:b/>
          <w:bCs/>
          <w:sz w:val="32"/>
          <w:szCs w:val="32"/>
        </w:rPr>
        <w:t>（三）一般公共预算财政拨款支出决算具体情况</w:t>
      </w:r>
      <w:bookmarkEnd w:id="62"/>
      <w:bookmarkEnd w:id="63"/>
      <w:bookmarkEnd w:id="64"/>
    </w:p>
    <w:p w14:paraId="10A26504">
      <w:pPr>
        <w:spacing w:line="576" w:lineRule="exact"/>
        <w:ind w:firstLine="643" w:firstLineChars="200"/>
        <w:rPr>
          <w:rFonts w:ascii="仿宋_GB2312" w:hAnsi="仿宋_GB2312" w:eastAsia="仿宋_GB2312" w:cs="仿宋_GB2312"/>
          <w:b/>
          <w:bCs/>
          <w:sz w:val="32"/>
          <w:szCs w:val="32"/>
        </w:rPr>
      </w:pPr>
      <w:bookmarkStart w:id="65" w:name="_Toc15377213"/>
      <w:bookmarkStart w:id="66" w:name="_Toc15378460"/>
      <w:bookmarkStart w:id="67" w:name="_Toc15377444"/>
      <w:r>
        <w:rPr>
          <w:rFonts w:hint="eastAsia" w:ascii="仿宋_GB2312" w:hAnsi="仿宋_GB2312" w:eastAsia="仿宋_GB2312" w:cs="仿宋_GB2312"/>
          <w:b/>
          <w:bCs/>
          <w:sz w:val="32"/>
          <w:szCs w:val="32"/>
        </w:rPr>
        <w:t>2022年一般公共预算支出决算数为525.75万元，完成预算100%。其中：</w:t>
      </w:r>
      <w:bookmarkEnd w:id="65"/>
      <w:bookmarkEnd w:id="66"/>
      <w:bookmarkEnd w:id="67"/>
    </w:p>
    <w:p w14:paraId="4357D887">
      <w:pPr>
        <w:spacing w:line="576" w:lineRule="exact"/>
        <w:ind w:firstLine="643" w:firstLineChars="200"/>
        <w:rPr>
          <w:rStyle w:val="22"/>
          <w:rFonts w:ascii="仿宋_GB2312" w:hAnsi="仿宋_GB2312" w:eastAsia="仿宋_GB2312" w:cs="仿宋_GB2312"/>
          <w:b w:val="0"/>
          <w:bCs/>
          <w:color w:val="000000"/>
          <w:sz w:val="32"/>
          <w:szCs w:val="32"/>
        </w:rPr>
      </w:pPr>
      <w:r>
        <w:rPr>
          <w:rStyle w:val="22"/>
          <w:rFonts w:hint="eastAsia" w:ascii="仿宋_GB2312" w:hAnsi="仿宋_GB2312" w:eastAsia="仿宋_GB2312" w:cs="仿宋_GB2312"/>
          <w:bCs/>
          <w:color w:val="000000"/>
          <w:sz w:val="32"/>
          <w:szCs w:val="32"/>
        </w:rPr>
        <w:t>1.社会保障和就业支出（208）行政事业单位养老支出（20805）机关事业单位基本养老保险支出（2080505）</w:t>
      </w:r>
      <w:r>
        <w:rPr>
          <w:rStyle w:val="22"/>
          <w:rFonts w:hint="eastAsia" w:ascii="仿宋_GB2312" w:hAnsi="仿宋_GB2312" w:eastAsia="仿宋_GB2312" w:cs="仿宋_GB2312"/>
          <w:b w:val="0"/>
          <w:bCs/>
          <w:color w:val="000000"/>
          <w:sz w:val="32"/>
          <w:szCs w:val="32"/>
        </w:rPr>
        <w:t>支出决算为14.71万元，完成预算100%，决算数与预算数持平。</w:t>
      </w:r>
    </w:p>
    <w:p w14:paraId="563C5621">
      <w:pPr>
        <w:spacing w:line="576" w:lineRule="exact"/>
        <w:ind w:firstLine="643" w:firstLineChars="200"/>
        <w:rPr>
          <w:rStyle w:val="22"/>
          <w:rFonts w:ascii="仿宋_GB2312" w:hAnsi="仿宋_GB2312" w:eastAsia="仿宋_GB2312" w:cs="仿宋_GB2312"/>
          <w:b w:val="0"/>
          <w:bCs/>
          <w:color w:val="000000"/>
          <w:sz w:val="32"/>
          <w:szCs w:val="32"/>
        </w:rPr>
      </w:pPr>
      <w:r>
        <w:rPr>
          <w:rStyle w:val="22"/>
          <w:rFonts w:hint="eastAsia" w:ascii="仿宋_GB2312" w:hAnsi="仿宋_GB2312" w:eastAsia="仿宋_GB2312" w:cs="仿宋_GB2312"/>
          <w:bCs/>
          <w:color w:val="000000"/>
          <w:sz w:val="32"/>
          <w:szCs w:val="32"/>
        </w:rPr>
        <w:t>2.社会保障和就业支出（208）行政事业单位养老支出（20805）机关事业单位职业年金缴费支出（2080506）</w:t>
      </w:r>
      <w:r>
        <w:rPr>
          <w:rStyle w:val="22"/>
          <w:rFonts w:hint="eastAsia" w:ascii="仿宋_GB2312" w:hAnsi="仿宋_GB2312" w:eastAsia="仿宋_GB2312" w:cs="仿宋_GB2312"/>
          <w:b w:val="0"/>
          <w:bCs/>
          <w:color w:val="000000"/>
          <w:sz w:val="32"/>
          <w:szCs w:val="32"/>
        </w:rPr>
        <w:t>支出决算为7.35万元，完成预算100%，决算数与预算数持平。</w:t>
      </w:r>
    </w:p>
    <w:p w14:paraId="4648A4D9">
      <w:pPr>
        <w:spacing w:line="576" w:lineRule="exact"/>
        <w:ind w:firstLine="643" w:firstLineChars="200"/>
        <w:rPr>
          <w:rFonts w:ascii="仿宋_GB2312" w:hAnsi="仿宋_GB2312" w:eastAsia="仿宋_GB2312" w:cs="仿宋_GB2312"/>
          <w:b/>
          <w:color w:val="000000"/>
          <w:sz w:val="32"/>
          <w:szCs w:val="32"/>
        </w:rPr>
      </w:pPr>
      <w:r>
        <w:rPr>
          <w:rStyle w:val="22"/>
          <w:rFonts w:hint="eastAsia" w:ascii="仿宋_GB2312" w:hAnsi="仿宋_GB2312" w:eastAsia="仿宋_GB2312" w:cs="仿宋_GB2312"/>
          <w:bCs/>
          <w:color w:val="000000"/>
          <w:sz w:val="32"/>
          <w:szCs w:val="32"/>
        </w:rPr>
        <w:t>3.</w:t>
      </w:r>
      <w:r>
        <w:rPr>
          <w:rFonts w:hint="eastAsia" w:ascii="仿宋_GB2312" w:hAnsi="仿宋_GB2312" w:eastAsia="仿宋_GB2312" w:cs="仿宋_GB2312"/>
          <w:b/>
          <w:bCs/>
          <w:color w:val="000000"/>
          <w:sz w:val="32"/>
          <w:szCs w:val="32"/>
        </w:rPr>
        <w:t>卫生健康支出</w:t>
      </w:r>
      <w:r>
        <w:rPr>
          <w:rStyle w:val="22"/>
          <w:rFonts w:hint="eastAsia" w:ascii="仿宋_GB2312" w:hAnsi="仿宋_GB2312" w:eastAsia="仿宋_GB2312" w:cs="仿宋_GB2312"/>
          <w:bCs/>
          <w:color w:val="000000"/>
          <w:sz w:val="32"/>
          <w:szCs w:val="32"/>
        </w:rPr>
        <w:t>（210）行政事业单位医疗（21011）行政单位医疗2101101）</w:t>
      </w:r>
      <w:r>
        <w:rPr>
          <w:rStyle w:val="22"/>
          <w:rFonts w:hint="eastAsia" w:ascii="仿宋_GB2312" w:hAnsi="仿宋_GB2312" w:eastAsia="仿宋_GB2312" w:cs="仿宋_GB2312"/>
          <w:b w:val="0"/>
          <w:bCs/>
          <w:color w:val="000000"/>
          <w:sz w:val="32"/>
          <w:szCs w:val="32"/>
        </w:rPr>
        <w:t>支出决算为9.31万元，完成预算100%，决算数与预算数持平。</w:t>
      </w:r>
    </w:p>
    <w:p w14:paraId="4F583C52">
      <w:pPr>
        <w:spacing w:line="576" w:lineRule="exact"/>
        <w:ind w:firstLine="643" w:firstLineChars="200"/>
        <w:rPr>
          <w:rFonts w:ascii="仿宋_GB2312" w:hAnsi="仿宋_GB2312" w:eastAsia="仿宋_GB2312" w:cs="仿宋_GB2312"/>
          <w:b/>
          <w:color w:val="000000"/>
          <w:sz w:val="32"/>
          <w:szCs w:val="32"/>
        </w:rPr>
      </w:pPr>
      <w:r>
        <w:rPr>
          <w:rStyle w:val="22"/>
          <w:rFonts w:hint="eastAsia" w:ascii="仿宋_GB2312" w:hAnsi="仿宋_GB2312" w:eastAsia="仿宋_GB2312" w:cs="仿宋_GB2312"/>
          <w:bCs/>
          <w:color w:val="000000"/>
          <w:sz w:val="32"/>
          <w:szCs w:val="32"/>
        </w:rPr>
        <w:t>4.农林水支出（213）农业农村（21301）行政运行（2130101）</w:t>
      </w:r>
      <w:r>
        <w:rPr>
          <w:rStyle w:val="22"/>
          <w:rFonts w:hint="eastAsia" w:ascii="仿宋_GB2312" w:hAnsi="仿宋_GB2312" w:eastAsia="仿宋_GB2312" w:cs="仿宋_GB2312"/>
          <w:b w:val="0"/>
          <w:bCs/>
          <w:color w:val="000000"/>
          <w:sz w:val="32"/>
          <w:szCs w:val="32"/>
        </w:rPr>
        <w:t>支出决算为2.19万元，完成预算100%，决算数与预算数持平。</w:t>
      </w:r>
    </w:p>
    <w:p w14:paraId="2DF46D71">
      <w:pPr>
        <w:spacing w:line="576" w:lineRule="exact"/>
        <w:ind w:firstLine="643" w:firstLineChars="200"/>
        <w:rPr>
          <w:rStyle w:val="22"/>
          <w:rFonts w:ascii="仿宋_GB2312" w:hAnsi="仿宋_GB2312" w:eastAsia="仿宋_GB2312" w:cs="仿宋_GB2312"/>
          <w:b w:val="0"/>
          <w:bCs/>
          <w:color w:val="000000"/>
          <w:sz w:val="32"/>
          <w:szCs w:val="32"/>
        </w:rPr>
      </w:pPr>
      <w:r>
        <w:rPr>
          <w:rStyle w:val="22"/>
          <w:rFonts w:hint="eastAsia" w:ascii="仿宋_GB2312" w:hAnsi="仿宋_GB2312" w:eastAsia="仿宋_GB2312" w:cs="仿宋_GB2312"/>
          <w:bCs/>
          <w:color w:val="000000"/>
          <w:sz w:val="32"/>
          <w:szCs w:val="32"/>
        </w:rPr>
        <w:t>5.农林水支出（213）农业农村（21301）其他农业农村支出（2130199</w:t>
      </w:r>
      <w:r>
        <w:rPr>
          <w:rStyle w:val="22"/>
          <w:rFonts w:ascii="仿宋_GB2312" w:hAnsi="仿宋_GB2312" w:eastAsia="仿宋_GB2312" w:cs="仿宋_GB2312"/>
          <w:bCs/>
          <w:color w:val="000000"/>
          <w:sz w:val="32"/>
          <w:szCs w:val="32"/>
        </w:rPr>
        <w:t>）</w:t>
      </w:r>
      <w:r>
        <w:rPr>
          <w:rStyle w:val="22"/>
          <w:rFonts w:hint="eastAsia" w:ascii="仿宋_GB2312" w:hAnsi="仿宋_GB2312" w:eastAsia="仿宋_GB2312" w:cs="仿宋_GB2312"/>
          <w:b w:val="0"/>
          <w:bCs/>
          <w:color w:val="000000"/>
          <w:sz w:val="32"/>
          <w:szCs w:val="32"/>
        </w:rPr>
        <w:t>支出决算为23.4万元，完成预算100%，决算数与预算数持平。</w:t>
      </w:r>
    </w:p>
    <w:p w14:paraId="58B8B5DA">
      <w:pPr>
        <w:spacing w:line="576" w:lineRule="exact"/>
        <w:ind w:firstLine="643" w:firstLineChars="200"/>
        <w:rPr>
          <w:rFonts w:ascii="仿宋_GB2312" w:hAnsi="仿宋_GB2312" w:eastAsia="仿宋_GB2312" w:cs="仿宋_GB2312"/>
          <w:b/>
          <w:color w:val="000000"/>
          <w:sz w:val="32"/>
          <w:szCs w:val="32"/>
        </w:rPr>
      </w:pPr>
      <w:r>
        <w:rPr>
          <w:rStyle w:val="22"/>
          <w:rFonts w:hint="eastAsia" w:ascii="仿宋_GB2312" w:hAnsi="仿宋_GB2312" w:eastAsia="仿宋_GB2312" w:cs="仿宋_GB2312"/>
          <w:bCs/>
          <w:color w:val="000000"/>
          <w:sz w:val="32"/>
          <w:szCs w:val="32"/>
        </w:rPr>
        <w:t>6.农林水支出（213）巩固脱贫衔接乡村振兴（21305）其他巩固脱贫攻坚衔接乡村振兴支出（2130599）:</w:t>
      </w:r>
      <w:r>
        <w:rPr>
          <w:rStyle w:val="22"/>
          <w:rFonts w:hint="eastAsia" w:ascii="仿宋_GB2312" w:hAnsi="仿宋_GB2312" w:eastAsia="仿宋_GB2312" w:cs="仿宋_GB2312"/>
          <w:b w:val="0"/>
          <w:bCs/>
          <w:color w:val="000000"/>
          <w:sz w:val="32"/>
          <w:szCs w:val="32"/>
        </w:rPr>
        <w:t xml:space="preserve"> 支出决算为310.5万元，完成预算100%，决算数与预算数持平。</w:t>
      </w:r>
    </w:p>
    <w:p w14:paraId="172FDA79">
      <w:pPr>
        <w:spacing w:line="576" w:lineRule="exact"/>
        <w:ind w:firstLine="643" w:firstLineChars="200"/>
        <w:rPr>
          <w:rFonts w:ascii="仿宋_GB2312" w:hAnsi="仿宋_GB2312" w:eastAsia="仿宋_GB2312" w:cs="仿宋_GB2312"/>
          <w:b/>
          <w:color w:val="000000"/>
          <w:sz w:val="32"/>
          <w:szCs w:val="32"/>
        </w:rPr>
      </w:pPr>
      <w:r>
        <w:rPr>
          <w:rStyle w:val="22"/>
          <w:rFonts w:hint="eastAsia" w:ascii="仿宋_GB2312" w:hAnsi="仿宋_GB2312" w:eastAsia="仿宋_GB2312" w:cs="仿宋_GB2312"/>
          <w:bCs/>
          <w:color w:val="000000"/>
          <w:sz w:val="32"/>
          <w:szCs w:val="32"/>
        </w:rPr>
        <w:t>7.商业服务业等支出（216）商业流通事务（21602）行政运行（2160201）</w:t>
      </w:r>
      <w:r>
        <w:rPr>
          <w:rStyle w:val="22"/>
          <w:rFonts w:hint="eastAsia" w:ascii="仿宋_GB2312" w:hAnsi="仿宋_GB2312" w:eastAsia="仿宋_GB2312" w:cs="仿宋_GB2312"/>
          <w:b w:val="0"/>
          <w:bCs/>
          <w:color w:val="000000"/>
          <w:sz w:val="32"/>
          <w:szCs w:val="32"/>
        </w:rPr>
        <w:t>支出决算为145.23万元，完成预算100%，决算数与预算数持平。</w:t>
      </w:r>
    </w:p>
    <w:p w14:paraId="73351009">
      <w:pPr>
        <w:spacing w:line="576" w:lineRule="exact"/>
        <w:ind w:firstLine="643" w:firstLineChars="200"/>
        <w:rPr>
          <w:rFonts w:ascii="仿宋_GB2312" w:hAnsi="仿宋_GB2312" w:eastAsia="仿宋_GB2312" w:cs="仿宋_GB2312"/>
          <w:b/>
          <w:color w:val="000000"/>
          <w:sz w:val="32"/>
          <w:szCs w:val="32"/>
        </w:rPr>
      </w:pPr>
      <w:r>
        <w:rPr>
          <w:rStyle w:val="22"/>
          <w:rFonts w:hint="eastAsia" w:ascii="仿宋_GB2312" w:hAnsi="仿宋_GB2312" w:eastAsia="仿宋_GB2312" w:cs="仿宋_GB2312"/>
          <w:bCs/>
          <w:color w:val="000000"/>
          <w:sz w:val="32"/>
          <w:szCs w:val="32"/>
        </w:rPr>
        <w:t>8.</w:t>
      </w:r>
      <w:r>
        <w:rPr>
          <w:rFonts w:hint="eastAsia" w:ascii="仿宋_GB2312" w:hAnsi="仿宋_GB2312" w:eastAsia="仿宋_GB2312" w:cs="仿宋_GB2312"/>
          <w:b/>
          <w:bCs/>
          <w:color w:val="000000"/>
          <w:sz w:val="32"/>
          <w:szCs w:val="32"/>
        </w:rPr>
        <w:t>住房保障支出</w:t>
      </w:r>
      <w:r>
        <w:rPr>
          <w:rStyle w:val="22"/>
          <w:rFonts w:hint="eastAsia" w:ascii="仿宋_GB2312" w:hAnsi="仿宋_GB2312" w:eastAsia="仿宋_GB2312" w:cs="仿宋_GB2312"/>
          <w:bCs/>
          <w:color w:val="000000"/>
          <w:sz w:val="32"/>
          <w:szCs w:val="32"/>
        </w:rPr>
        <w:t>（221）住房改革支出（22102）住房公积金（2210201）</w:t>
      </w:r>
      <w:r>
        <w:rPr>
          <w:rStyle w:val="22"/>
          <w:rFonts w:hint="eastAsia" w:ascii="仿宋_GB2312" w:hAnsi="仿宋_GB2312" w:eastAsia="仿宋_GB2312" w:cs="仿宋_GB2312"/>
          <w:b w:val="0"/>
          <w:bCs/>
          <w:color w:val="000000"/>
          <w:sz w:val="32"/>
          <w:szCs w:val="32"/>
        </w:rPr>
        <w:t>支出决算为12.04万元，完成预算100%，决算数与预算数持平。</w:t>
      </w:r>
    </w:p>
    <w:p w14:paraId="7A116E84">
      <w:pPr>
        <w:spacing w:line="576" w:lineRule="exact"/>
        <w:ind w:firstLine="643" w:firstLineChars="200"/>
        <w:rPr>
          <w:rFonts w:ascii="仿宋_GB2312" w:hAnsi="仿宋_GB2312" w:eastAsia="仿宋_GB2312" w:cs="仿宋_GB2312"/>
          <w:b/>
          <w:color w:val="000000"/>
          <w:sz w:val="32"/>
          <w:szCs w:val="32"/>
        </w:rPr>
      </w:pPr>
      <w:r>
        <w:rPr>
          <w:rStyle w:val="22"/>
          <w:rFonts w:hint="eastAsia" w:ascii="仿宋_GB2312" w:hAnsi="仿宋_GB2312" w:eastAsia="仿宋_GB2312" w:cs="仿宋_GB2312"/>
          <w:bCs/>
          <w:color w:val="000000"/>
          <w:sz w:val="32"/>
          <w:szCs w:val="32"/>
        </w:rPr>
        <w:t>10.</w:t>
      </w:r>
      <w:r>
        <w:rPr>
          <w:rFonts w:hint="eastAsia" w:ascii="仿宋_GB2312" w:hAnsi="仿宋_GB2312" w:eastAsia="仿宋_GB2312" w:cs="仿宋_GB2312"/>
          <w:b/>
          <w:bCs/>
          <w:color w:val="000000"/>
          <w:sz w:val="32"/>
          <w:szCs w:val="32"/>
        </w:rPr>
        <w:t>住房保障支出</w:t>
      </w:r>
      <w:r>
        <w:rPr>
          <w:rStyle w:val="22"/>
          <w:rFonts w:hint="eastAsia" w:ascii="仿宋_GB2312" w:hAnsi="仿宋_GB2312" w:eastAsia="仿宋_GB2312" w:cs="仿宋_GB2312"/>
          <w:bCs/>
          <w:color w:val="000000"/>
          <w:sz w:val="32"/>
          <w:szCs w:val="32"/>
        </w:rPr>
        <w:t>（221）住房改革支出（22102）购房补贴（2210203）</w:t>
      </w:r>
      <w:r>
        <w:rPr>
          <w:rStyle w:val="22"/>
          <w:rFonts w:hint="eastAsia" w:ascii="仿宋_GB2312" w:hAnsi="仿宋_GB2312" w:eastAsia="仿宋_GB2312" w:cs="仿宋_GB2312"/>
          <w:b w:val="0"/>
          <w:bCs/>
          <w:color w:val="000000"/>
          <w:sz w:val="32"/>
          <w:szCs w:val="32"/>
        </w:rPr>
        <w:t>支出决算为1.02万元，完成预算100%，决算数与预算数持平。</w:t>
      </w:r>
    </w:p>
    <w:p w14:paraId="11DC05A5">
      <w:pPr>
        <w:tabs>
          <w:tab w:val="right" w:pos="8306"/>
        </w:tabs>
        <w:spacing w:line="576" w:lineRule="exact"/>
        <w:ind w:firstLine="640"/>
        <w:outlineLvl w:val="1"/>
        <w:rPr>
          <w:rStyle w:val="25"/>
        </w:rPr>
      </w:pPr>
      <w:bookmarkStart w:id="68" w:name="_Toc15377214"/>
      <w:bookmarkStart w:id="69" w:name="_Toc79163618"/>
      <w:bookmarkStart w:id="70" w:name="_Toc79163868"/>
      <w:bookmarkStart w:id="7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68"/>
      <w:bookmarkEnd w:id="69"/>
      <w:bookmarkEnd w:id="70"/>
      <w:bookmarkEnd w:id="71"/>
      <w:r>
        <w:rPr>
          <w:rStyle w:val="25"/>
          <w:rFonts w:ascii="黑体" w:hAnsi="黑体" w:eastAsia="黑体"/>
          <w:b w:val="0"/>
        </w:rPr>
        <w:tab/>
      </w:r>
    </w:p>
    <w:p w14:paraId="5663DB93">
      <w:pPr>
        <w:spacing w:line="576" w:lineRule="exact"/>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2022年一般公共预算财政拨款基本支出191.85万元，其中：</w:t>
      </w:r>
    </w:p>
    <w:p w14:paraId="61758285">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人员经费186.24万元，主要包括：基本工资41.57万元、津贴补贴35.07万元、奖金41.72万元、机关事业单位基本养老保险缴费14.71万元、职业年金缴费7.35万元、职工基本医疗保险缴费11.5万元、其他社会保障缴费2.7万元、住房公积金12.03万元、医疗费1.81万元、抚恤金4.53万元、生活补助12.14万元、医疗费补助0.08万元、奖励金0.01万元。</w:t>
      </w:r>
    </w:p>
    <w:p w14:paraId="292DF76F">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日常公用经费5.61万元，主要包括：办公费2.98、差旅费1.99万元、公务接待费0.14万元、劳务费0.5万元。</w:t>
      </w:r>
    </w:p>
    <w:p w14:paraId="16D5E01E">
      <w:pPr>
        <w:spacing w:line="600" w:lineRule="exact"/>
        <w:ind w:firstLine="640"/>
        <w:outlineLvl w:val="1"/>
        <w:rPr>
          <w:rStyle w:val="25"/>
          <w:rFonts w:ascii="黑体" w:hAnsi="黑体" w:eastAsia="黑体"/>
          <w:b w:val="0"/>
        </w:rPr>
      </w:pPr>
      <w:bookmarkStart w:id="72" w:name="_Toc79163869"/>
      <w:bookmarkStart w:id="73" w:name="_Toc79163619"/>
      <w:bookmarkStart w:id="74" w:name="_Toc15396609"/>
      <w:bookmarkStart w:id="75" w:name="_Toc15377215"/>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72"/>
      <w:bookmarkEnd w:id="73"/>
      <w:bookmarkEnd w:id="74"/>
      <w:bookmarkEnd w:id="75"/>
    </w:p>
    <w:p w14:paraId="0A2901B9">
      <w:pPr>
        <w:ind w:firstLine="643" w:firstLineChars="200"/>
        <w:rPr>
          <w:rFonts w:ascii="楷体_GB2312" w:hAnsi="楷体_GB2312" w:eastAsia="楷体_GB2312" w:cs="楷体_GB2312"/>
          <w:b/>
          <w:bCs/>
          <w:sz w:val="32"/>
          <w:szCs w:val="32"/>
        </w:rPr>
      </w:pPr>
      <w:bookmarkStart w:id="76" w:name="_Toc79163620"/>
      <w:bookmarkStart w:id="77" w:name="_Toc15377216"/>
      <w:bookmarkStart w:id="78" w:name="_Toc79163870"/>
      <w:r>
        <w:rPr>
          <w:rFonts w:hint="eastAsia" w:ascii="楷体_GB2312" w:hAnsi="楷体_GB2312" w:eastAsia="楷体_GB2312" w:cs="楷体_GB2312"/>
          <w:b/>
          <w:bCs/>
          <w:sz w:val="32"/>
          <w:szCs w:val="32"/>
        </w:rPr>
        <w:t>（一）“三公”经费财政拨款支出决算总体情况说明</w:t>
      </w:r>
      <w:bookmarkEnd w:id="76"/>
      <w:bookmarkEnd w:id="77"/>
      <w:bookmarkEnd w:id="78"/>
    </w:p>
    <w:p w14:paraId="49DC568F">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2022年“三公”经费财政拨款支出决算为0.14万元，完成预算的100%。</w:t>
      </w:r>
    </w:p>
    <w:p w14:paraId="3A59EC8C">
      <w:pPr>
        <w:ind w:firstLine="643" w:firstLineChars="200"/>
        <w:rPr>
          <w:rFonts w:ascii="楷体_GB2312" w:hAnsi="楷体_GB2312" w:eastAsia="楷体_GB2312" w:cs="楷体_GB2312"/>
          <w:b/>
          <w:bCs/>
          <w:sz w:val="32"/>
          <w:szCs w:val="32"/>
        </w:rPr>
      </w:pPr>
      <w:bookmarkStart w:id="79" w:name="_Toc79163621"/>
      <w:bookmarkStart w:id="80" w:name="_Toc15377217"/>
      <w:bookmarkStart w:id="81" w:name="_Toc79163871"/>
      <w:r>
        <w:rPr>
          <w:rFonts w:hint="eastAsia" w:ascii="楷体_GB2312" w:hAnsi="楷体_GB2312" w:eastAsia="楷体_GB2312" w:cs="楷体_GB2312"/>
          <w:b/>
          <w:bCs/>
          <w:sz w:val="32"/>
          <w:szCs w:val="32"/>
        </w:rPr>
        <w:t>（二）“三公”经费财政拨款支出决算具体情况说明</w:t>
      </w:r>
      <w:bookmarkEnd w:id="79"/>
      <w:bookmarkEnd w:id="80"/>
      <w:bookmarkEnd w:id="81"/>
    </w:p>
    <w:p w14:paraId="61868F78">
      <w:pPr>
        <w:spacing w:line="576" w:lineRule="atLeas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2022年“三公”经费财政拨款支出决算中，因公出国（境）费支出决算0万元；公务用车购置</w:t>
      </w:r>
      <w:r>
        <w:rPr>
          <w:rFonts w:hint="eastAsia" w:ascii="仿宋_GB2312" w:hAnsi="仿宋_GB2312" w:eastAsia="仿宋_GB2312" w:cs="仿宋_GB2312"/>
          <w:sz w:val="32"/>
          <w:szCs w:val="32"/>
          <w:highlight w:val="none"/>
          <w:lang w:eastAsia="zh-CN"/>
        </w:rPr>
        <w:t>费</w:t>
      </w:r>
      <w:r>
        <w:rPr>
          <w:rFonts w:hint="eastAsia" w:ascii="仿宋_GB2312" w:hAnsi="仿宋_GB2312" w:eastAsia="仿宋_GB2312" w:cs="仿宋_GB2312"/>
          <w:sz w:val="32"/>
          <w:szCs w:val="32"/>
          <w:highlight w:val="none"/>
          <w:lang w:val="en-US" w:eastAsia="zh-CN"/>
        </w:rPr>
        <w:t>0万元，公务用车</w:t>
      </w:r>
      <w:r>
        <w:rPr>
          <w:rFonts w:hint="eastAsia" w:ascii="仿宋_GB2312" w:hAnsi="仿宋_GB2312" w:eastAsia="仿宋_GB2312" w:cs="仿宋_GB2312"/>
          <w:sz w:val="32"/>
          <w:szCs w:val="32"/>
          <w:highlight w:val="none"/>
        </w:rPr>
        <w:t>运行费支出决算0万元；公务接待费支出决算0.14万元。具体情况如下：</w:t>
      </w:r>
    </w:p>
    <w:p w14:paraId="0974D9C7">
      <w:pPr>
        <w:spacing w:line="600" w:lineRule="exact"/>
        <w:ind w:firstLine="640"/>
        <w:rPr>
          <w:rFonts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7</w:t>
      </w:r>
      <w:r>
        <w:rPr>
          <w:rFonts w:hint="eastAsia" w:ascii="仿宋" w:eastAsia="仿宋"/>
          <w:color w:val="000000"/>
          <w:sz w:val="32"/>
          <w:szCs w:val="32"/>
        </w:rPr>
        <w:t>：“三公”经费财政拨款支出结构）</w:t>
      </w:r>
      <w:r>
        <w:rPr>
          <w:rFonts w:hint="eastAsia" w:ascii="仿宋" w:hAnsi="仿宋" w:eastAsia="仿宋"/>
          <w:sz w:val="32"/>
          <w:szCs w:val="32"/>
        </w:rPr>
        <w:t>（单位：万元）</w:t>
      </w:r>
    </w:p>
    <w:p w14:paraId="533E1A1C">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drawing>
          <wp:inline distT="0" distB="0" distL="0" distR="0">
            <wp:extent cx="4595495" cy="2838450"/>
            <wp:effectExtent l="19050" t="0" r="14287" b="0"/>
            <wp:docPr id="10"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91F6DA8">
      <w:pPr>
        <w:spacing w:line="576" w:lineRule="atLeast"/>
        <w:ind w:firstLine="646"/>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b/>
          <w:bCs/>
          <w:color w:val="000000"/>
          <w:sz w:val="32"/>
          <w:szCs w:val="32"/>
          <w:highlight w:val="none"/>
        </w:rPr>
        <w:t>1.因公出国（境）经费支出</w:t>
      </w:r>
      <w:r>
        <w:rPr>
          <w:rFonts w:hint="eastAsia" w:ascii="仿宋_GB2312" w:hAnsi="仿宋_GB2312" w:eastAsia="仿宋_GB2312" w:cs="仿宋_GB2312"/>
          <w:color w:val="000000"/>
          <w:sz w:val="32"/>
          <w:szCs w:val="32"/>
          <w:highlight w:val="none"/>
        </w:rPr>
        <w:t>0万元，全年安排因公出国（境）团组0次，出国（境）0人</w:t>
      </w:r>
      <w:r>
        <w:rPr>
          <w:rFonts w:hint="eastAsia" w:ascii="仿宋_GB2312" w:hAnsi="仿宋_GB2312" w:eastAsia="仿宋_GB2312" w:cs="仿宋_GB2312"/>
          <w:color w:val="000000"/>
          <w:sz w:val="32"/>
          <w:szCs w:val="32"/>
          <w:highlight w:val="none"/>
          <w:lang w:eastAsia="zh-CN"/>
        </w:rPr>
        <w:t>，无变化。</w:t>
      </w:r>
    </w:p>
    <w:p w14:paraId="75659027">
      <w:pPr>
        <w:spacing w:line="576" w:lineRule="atLeast"/>
        <w:ind w:firstLine="646"/>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b/>
          <w:bCs/>
          <w:color w:val="000000"/>
          <w:sz w:val="32"/>
          <w:szCs w:val="32"/>
          <w:highlight w:val="none"/>
        </w:rPr>
        <w:t>2.公务用车购置</w:t>
      </w:r>
      <w:r>
        <w:rPr>
          <w:rFonts w:hint="eastAsia" w:ascii="仿宋_GB2312" w:hAnsi="仿宋_GB2312" w:eastAsia="仿宋_GB2312" w:cs="仿宋_GB2312"/>
          <w:b/>
          <w:bCs/>
          <w:color w:val="000000"/>
          <w:sz w:val="32"/>
          <w:szCs w:val="32"/>
          <w:highlight w:val="none"/>
          <w:lang w:eastAsia="zh-CN"/>
        </w:rPr>
        <w:t>费支出</w:t>
      </w:r>
      <w:r>
        <w:rPr>
          <w:rFonts w:hint="eastAsia" w:ascii="仿宋_GB2312" w:hAnsi="仿宋_GB2312" w:eastAsia="仿宋_GB2312" w:cs="仿宋_GB2312"/>
          <w:color w:val="000000"/>
          <w:sz w:val="32"/>
          <w:szCs w:val="32"/>
          <w:highlight w:val="none"/>
          <w:lang w:val="en-US" w:eastAsia="zh-CN"/>
        </w:rPr>
        <w:t>0万元，</w:t>
      </w:r>
      <w:r>
        <w:rPr>
          <w:rFonts w:hint="eastAsia" w:ascii="仿宋_GB2312" w:hAnsi="仿宋_GB2312" w:eastAsia="仿宋_GB2312" w:cs="仿宋_GB2312"/>
          <w:b/>
          <w:bCs/>
          <w:color w:val="000000"/>
          <w:sz w:val="32"/>
          <w:szCs w:val="32"/>
          <w:highlight w:val="none"/>
          <w:lang w:val="en-US" w:eastAsia="zh-CN"/>
        </w:rPr>
        <w:t>公务用车</w:t>
      </w:r>
      <w:r>
        <w:rPr>
          <w:rFonts w:hint="eastAsia" w:ascii="仿宋_GB2312" w:hAnsi="仿宋_GB2312" w:eastAsia="仿宋_GB2312" w:cs="仿宋_GB2312"/>
          <w:b/>
          <w:bCs/>
          <w:color w:val="000000"/>
          <w:sz w:val="32"/>
          <w:szCs w:val="32"/>
          <w:highlight w:val="none"/>
        </w:rPr>
        <w:t>运行费</w:t>
      </w:r>
      <w:r>
        <w:rPr>
          <w:rFonts w:hint="eastAsia" w:ascii="仿宋_GB2312" w:hAnsi="仿宋_GB2312" w:eastAsia="仿宋_GB2312" w:cs="仿宋_GB2312"/>
          <w:color w:val="000000"/>
          <w:sz w:val="32"/>
          <w:szCs w:val="32"/>
          <w:highlight w:val="none"/>
        </w:rPr>
        <w:t>支出0万元</w:t>
      </w:r>
      <w:r>
        <w:rPr>
          <w:rFonts w:hint="eastAsia" w:ascii="仿宋_GB2312" w:hAnsi="仿宋_GB2312" w:eastAsia="仿宋_GB2312" w:cs="仿宋_GB2312"/>
          <w:color w:val="000000"/>
          <w:sz w:val="32"/>
          <w:szCs w:val="32"/>
          <w:highlight w:val="none"/>
          <w:lang w:eastAsia="zh-CN"/>
        </w:rPr>
        <w:t>，无变化。</w:t>
      </w:r>
    </w:p>
    <w:p w14:paraId="349D26FF">
      <w:pPr>
        <w:spacing w:line="576" w:lineRule="atLeast"/>
        <w:ind w:firstLine="646"/>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3.公务接待费支出</w:t>
      </w:r>
      <w:r>
        <w:rPr>
          <w:rFonts w:hint="eastAsia" w:ascii="仿宋_GB2312" w:hAnsi="仿宋_GB2312" w:eastAsia="仿宋_GB2312" w:cs="仿宋_GB2312"/>
          <w:color w:val="000000"/>
          <w:sz w:val="32"/>
          <w:szCs w:val="32"/>
          <w:highlight w:val="none"/>
        </w:rPr>
        <w:t>0.14万元，完成预算100%。公务接待费支出决算比2021年增加0.07万元，增加49.31%，主要原因是</w:t>
      </w:r>
      <w:r>
        <w:rPr>
          <w:rFonts w:hint="eastAsia" w:ascii="仿宋_GB2312" w:hAnsi="仿宋_GB2312" w:eastAsia="仿宋_GB2312" w:cs="仿宋_GB2312"/>
          <w:color w:val="000000"/>
          <w:sz w:val="32"/>
          <w:szCs w:val="32"/>
          <w:highlight w:val="none"/>
          <w:lang w:eastAsia="zh-CN"/>
        </w:rPr>
        <w:t>平湖市供销社来我社考察交流，所以</w:t>
      </w:r>
      <w:r>
        <w:rPr>
          <w:rFonts w:hint="eastAsia" w:ascii="仿宋_GB2312" w:hAnsi="仿宋_GB2312" w:eastAsia="仿宋_GB2312" w:cs="仿宋_GB2312"/>
          <w:color w:val="000000"/>
          <w:sz w:val="32"/>
          <w:szCs w:val="32"/>
          <w:highlight w:val="none"/>
        </w:rPr>
        <w:t>公务接待</w:t>
      </w:r>
      <w:r>
        <w:rPr>
          <w:rFonts w:hint="eastAsia" w:ascii="仿宋_GB2312" w:hAnsi="仿宋_GB2312" w:eastAsia="仿宋_GB2312" w:cs="仿宋_GB2312"/>
          <w:color w:val="000000"/>
          <w:sz w:val="32"/>
          <w:szCs w:val="32"/>
          <w:highlight w:val="none"/>
          <w:lang w:eastAsia="zh-CN"/>
        </w:rPr>
        <w:t>费</w:t>
      </w:r>
      <w:r>
        <w:rPr>
          <w:rFonts w:hint="eastAsia" w:ascii="仿宋_GB2312" w:hAnsi="仿宋_GB2312" w:eastAsia="仿宋_GB2312" w:cs="仿宋_GB2312"/>
          <w:color w:val="000000"/>
          <w:sz w:val="32"/>
          <w:szCs w:val="32"/>
          <w:highlight w:val="none"/>
        </w:rPr>
        <w:t>增加。</w:t>
      </w:r>
    </w:p>
    <w:p w14:paraId="453F8439">
      <w:pPr>
        <w:spacing w:line="576" w:lineRule="atLeast"/>
        <w:ind w:firstLine="646"/>
        <w:rPr>
          <w:rFonts w:ascii="仿宋_GB2312" w:hAnsi="仿宋_GB2312" w:eastAsia="仿宋_GB2312" w:cs="仿宋_GB2312"/>
          <w:color w:val="FF0000"/>
          <w:sz w:val="32"/>
          <w:szCs w:val="32"/>
          <w:highlight w:val="none"/>
        </w:rPr>
      </w:pPr>
      <w:r>
        <w:rPr>
          <w:rFonts w:hint="eastAsia" w:ascii="仿宋_GB2312" w:hAnsi="仿宋_GB2312" w:eastAsia="仿宋_GB2312" w:cs="仿宋_GB2312"/>
          <w:b/>
          <w:bCs/>
          <w:color w:val="000000"/>
          <w:sz w:val="32"/>
          <w:szCs w:val="32"/>
          <w:highlight w:val="none"/>
        </w:rPr>
        <w:t>国内公务接待支出</w:t>
      </w:r>
      <w:r>
        <w:rPr>
          <w:rFonts w:hint="eastAsia" w:ascii="仿宋_GB2312" w:hAnsi="仿宋_GB2312" w:eastAsia="仿宋_GB2312" w:cs="仿宋_GB2312"/>
          <w:color w:val="000000"/>
          <w:sz w:val="32"/>
          <w:szCs w:val="32"/>
          <w:highlight w:val="none"/>
        </w:rPr>
        <w:t>0.14万元，主要用于业务接待的用餐费。国内公务接待1批次，10人次（不包括陪同人员），共计支出0.14万元，</w:t>
      </w:r>
      <w:r>
        <w:rPr>
          <w:rFonts w:hint="eastAsia" w:ascii="仿宋_GB2312" w:hAnsi="仿宋_GB2312" w:eastAsia="仿宋_GB2312" w:cs="仿宋_GB2312"/>
          <w:sz w:val="32"/>
          <w:szCs w:val="32"/>
          <w:highlight w:val="none"/>
        </w:rPr>
        <w:t>具体内容包括：接待2022年10月31日-11月3日州平湖市供销社到我社考察交流。</w:t>
      </w:r>
    </w:p>
    <w:p w14:paraId="6C0E2F9D">
      <w:pPr>
        <w:spacing w:line="600" w:lineRule="exact"/>
        <w:ind w:firstLine="640"/>
        <w:outlineLvl w:val="1"/>
        <w:rPr>
          <w:rStyle w:val="25"/>
          <w:rFonts w:ascii="黑体" w:hAnsi="黑体" w:eastAsia="黑体"/>
          <w:highlight w:val="none"/>
        </w:rPr>
      </w:pPr>
      <w:bookmarkStart w:id="82" w:name="_Toc15377218"/>
      <w:bookmarkStart w:id="83" w:name="_Toc15396610"/>
      <w:bookmarkStart w:id="84" w:name="_Toc79163622"/>
      <w:bookmarkStart w:id="85" w:name="_Toc79163872"/>
      <w:r>
        <w:rPr>
          <w:rFonts w:hint="eastAsia" w:ascii="黑体" w:eastAsia="黑体"/>
          <w:color w:val="000000"/>
          <w:sz w:val="32"/>
          <w:szCs w:val="32"/>
          <w:highlight w:val="none"/>
        </w:rPr>
        <w:t>八、</w:t>
      </w:r>
      <w:r>
        <w:rPr>
          <w:rStyle w:val="25"/>
          <w:rFonts w:hint="eastAsia" w:ascii="黑体" w:hAnsi="黑体" w:eastAsia="黑体"/>
          <w:b w:val="0"/>
          <w:highlight w:val="none"/>
        </w:rPr>
        <w:t>政府性基金预算支出决算情况说明</w:t>
      </w:r>
      <w:bookmarkEnd w:id="82"/>
      <w:bookmarkEnd w:id="83"/>
      <w:bookmarkEnd w:id="84"/>
      <w:bookmarkEnd w:id="85"/>
    </w:p>
    <w:p w14:paraId="784720EB">
      <w:pPr>
        <w:spacing w:line="576"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因我社不涉及</w:t>
      </w:r>
      <w:r>
        <w:rPr>
          <w:rFonts w:hint="eastAsia" w:ascii="仿宋_GB2312" w:hAnsi="仿宋_GB2312" w:eastAsia="仿宋_GB2312" w:cs="仿宋_GB2312"/>
          <w:sz w:val="32"/>
          <w:szCs w:val="32"/>
          <w:highlight w:val="none"/>
        </w:rPr>
        <w:t>政府性基金</w:t>
      </w:r>
      <w:r>
        <w:rPr>
          <w:rFonts w:hint="eastAsia" w:ascii="仿宋_GB2312" w:hAnsi="仿宋_GB2312" w:eastAsia="仿宋_GB2312" w:cs="仿宋_GB2312"/>
          <w:sz w:val="32"/>
          <w:szCs w:val="32"/>
          <w:highlight w:val="none"/>
          <w:lang w:eastAsia="zh-CN"/>
        </w:rPr>
        <w:t>预算支出，所以</w:t>
      </w:r>
      <w:r>
        <w:rPr>
          <w:rFonts w:hint="eastAsia" w:ascii="仿宋_GB2312" w:hAnsi="仿宋_GB2312" w:eastAsia="仿宋_GB2312" w:cs="仿宋_GB2312"/>
          <w:sz w:val="32"/>
          <w:szCs w:val="32"/>
          <w:highlight w:val="none"/>
        </w:rPr>
        <w:t>2022年政府性基金预算拨款支出0万元。</w:t>
      </w:r>
    </w:p>
    <w:p w14:paraId="194AC0B4">
      <w:pPr>
        <w:numPr>
          <w:ilvl w:val="0"/>
          <w:numId w:val="2"/>
        </w:numPr>
        <w:spacing w:line="600" w:lineRule="exact"/>
        <w:ind w:firstLine="640"/>
        <w:outlineLvl w:val="1"/>
        <w:rPr>
          <w:rStyle w:val="25"/>
          <w:rFonts w:ascii="黑体" w:hAnsi="黑体" w:eastAsia="黑体"/>
          <w:b w:val="0"/>
          <w:highlight w:val="none"/>
        </w:rPr>
      </w:pPr>
      <w:bookmarkStart w:id="86" w:name="_Toc15377219"/>
      <w:bookmarkStart w:id="87" w:name="_Toc79163873"/>
      <w:bookmarkStart w:id="88" w:name="_Toc79163623"/>
      <w:bookmarkStart w:id="89" w:name="_Toc15396611"/>
      <w:r>
        <w:rPr>
          <w:rStyle w:val="25"/>
          <w:rFonts w:hint="eastAsia" w:ascii="黑体" w:hAnsi="黑体" w:eastAsia="黑体"/>
          <w:b w:val="0"/>
          <w:highlight w:val="none"/>
        </w:rPr>
        <w:t>国有资本经营预算支出决算情况说明</w:t>
      </w:r>
      <w:bookmarkEnd w:id="86"/>
      <w:bookmarkEnd w:id="87"/>
      <w:bookmarkEnd w:id="88"/>
      <w:bookmarkEnd w:id="89"/>
    </w:p>
    <w:p w14:paraId="76381848">
      <w:pPr>
        <w:spacing w:line="576"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因我社不涉及国有资本经营预算支出，所以</w:t>
      </w:r>
      <w:r>
        <w:rPr>
          <w:rFonts w:hint="eastAsia" w:ascii="仿宋_GB2312" w:hAnsi="仿宋_GB2312" w:eastAsia="仿宋_GB2312" w:cs="仿宋_GB2312"/>
          <w:sz w:val="32"/>
          <w:szCs w:val="32"/>
          <w:highlight w:val="none"/>
        </w:rPr>
        <w:t>2022年国有资本经营预算拨款支出0万元。</w:t>
      </w:r>
    </w:p>
    <w:p w14:paraId="3A3A8353">
      <w:pPr>
        <w:spacing w:line="600" w:lineRule="exact"/>
        <w:ind w:firstLine="640" w:firstLineChars="200"/>
        <w:outlineLvl w:val="1"/>
        <w:rPr>
          <w:rStyle w:val="25"/>
          <w:rFonts w:ascii="黑体" w:hAnsi="黑体" w:eastAsia="黑体"/>
        </w:rPr>
      </w:pPr>
      <w:bookmarkStart w:id="90" w:name="_Toc15396612"/>
      <w:bookmarkStart w:id="91" w:name="_Toc79163874"/>
      <w:bookmarkStart w:id="92" w:name="_Toc79163624"/>
      <w:bookmarkStart w:id="93" w:name="_Toc15377221"/>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90"/>
      <w:bookmarkEnd w:id="91"/>
      <w:bookmarkEnd w:id="92"/>
      <w:bookmarkEnd w:id="93"/>
    </w:p>
    <w:p w14:paraId="39CA6326">
      <w:pPr>
        <w:ind w:firstLine="643" w:firstLineChars="200"/>
        <w:rPr>
          <w:rFonts w:ascii="楷体_GB2312" w:hAnsi="楷体_GB2312" w:eastAsia="楷体_GB2312" w:cs="楷体_GB2312"/>
          <w:b/>
          <w:bCs/>
          <w:sz w:val="32"/>
          <w:szCs w:val="32"/>
        </w:rPr>
      </w:pPr>
      <w:bookmarkStart w:id="94" w:name="_Toc79163625"/>
      <w:bookmarkStart w:id="95" w:name="_Toc79163875"/>
      <w:bookmarkStart w:id="96" w:name="_Toc15377222"/>
      <w:r>
        <w:rPr>
          <w:rFonts w:hint="eastAsia" w:ascii="楷体_GB2312" w:hAnsi="楷体_GB2312" w:eastAsia="楷体_GB2312" w:cs="楷体_GB2312"/>
          <w:b/>
          <w:bCs/>
          <w:sz w:val="32"/>
          <w:szCs w:val="32"/>
        </w:rPr>
        <w:t>（一）机关运行经费支出情况</w:t>
      </w:r>
      <w:bookmarkEnd w:id="94"/>
      <w:bookmarkEnd w:id="95"/>
      <w:bookmarkEnd w:id="96"/>
    </w:p>
    <w:p w14:paraId="3991BB7C">
      <w:pPr>
        <w:spacing w:line="576"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2022年，茂县供销社机关运行经费支出5.61万元，比2021年减少2.78万元，增加33.22%。主要原因是</w:t>
      </w:r>
      <w:r>
        <w:rPr>
          <w:rFonts w:hint="eastAsia" w:ascii="仿宋_GB2312" w:hAnsi="仿宋_GB2312" w:eastAsia="仿宋_GB2312" w:cs="仿宋_GB2312"/>
          <w:sz w:val="32"/>
          <w:szCs w:val="32"/>
          <w:highlight w:val="none"/>
          <w:lang w:eastAsia="zh-CN"/>
        </w:rPr>
        <w:t>我社提倡厉行节约，</w:t>
      </w:r>
      <w:r>
        <w:rPr>
          <w:rFonts w:hint="eastAsia" w:ascii="仿宋_GB2312" w:hAnsi="仿宋_GB2312" w:eastAsia="仿宋_GB2312" w:cs="仿宋_GB2312"/>
          <w:sz w:val="32"/>
          <w:szCs w:val="32"/>
          <w:highlight w:val="none"/>
        </w:rPr>
        <w:t>办公</w:t>
      </w:r>
      <w:r>
        <w:rPr>
          <w:rFonts w:hint="eastAsia" w:ascii="仿宋_GB2312" w:hAnsi="仿宋_GB2312" w:eastAsia="仿宋_GB2312" w:cs="仿宋_GB2312"/>
          <w:sz w:val="32"/>
          <w:szCs w:val="32"/>
          <w:highlight w:val="none"/>
          <w:lang w:eastAsia="zh-CN"/>
        </w:rPr>
        <w:t>用品</w:t>
      </w:r>
      <w:r>
        <w:rPr>
          <w:rFonts w:hint="eastAsia" w:ascii="仿宋_GB2312" w:hAnsi="仿宋_GB2312" w:eastAsia="仿宋_GB2312" w:cs="仿宋_GB2312"/>
          <w:sz w:val="32"/>
          <w:szCs w:val="32"/>
          <w:highlight w:val="none"/>
        </w:rPr>
        <w:t>经费支出减少</w:t>
      </w:r>
      <w:r>
        <w:rPr>
          <w:rFonts w:hint="eastAsia" w:ascii="仿宋_GB2312" w:hAnsi="仿宋_GB2312" w:eastAsia="仿宋_GB2312" w:cs="仿宋_GB2312"/>
          <w:sz w:val="32"/>
          <w:szCs w:val="32"/>
          <w:highlight w:val="none"/>
          <w:lang w:eastAsia="zh-CN"/>
        </w:rPr>
        <w:t>，机关运行经费支出减少</w:t>
      </w:r>
      <w:r>
        <w:rPr>
          <w:rFonts w:hint="eastAsia" w:ascii="仿宋_GB2312" w:hAnsi="仿宋_GB2312" w:eastAsia="仿宋_GB2312" w:cs="仿宋_GB2312"/>
          <w:sz w:val="32"/>
          <w:szCs w:val="32"/>
          <w:highlight w:val="none"/>
        </w:rPr>
        <w:t>。</w:t>
      </w:r>
    </w:p>
    <w:p w14:paraId="7F223B7B">
      <w:pPr>
        <w:ind w:firstLine="643" w:firstLineChars="200"/>
        <w:rPr>
          <w:rFonts w:ascii="楷体_GB2312" w:hAnsi="楷体_GB2312" w:eastAsia="楷体_GB2312" w:cs="楷体_GB2312"/>
          <w:b/>
          <w:bCs/>
          <w:sz w:val="32"/>
          <w:szCs w:val="32"/>
        </w:rPr>
      </w:pPr>
      <w:bookmarkStart w:id="97" w:name="_Toc15377223"/>
      <w:bookmarkStart w:id="98" w:name="_Toc79163626"/>
      <w:bookmarkStart w:id="99" w:name="_Toc79163876"/>
      <w:r>
        <w:rPr>
          <w:rFonts w:hint="eastAsia" w:ascii="楷体_GB2312" w:hAnsi="楷体_GB2312" w:eastAsia="楷体_GB2312" w:cs="楷体_GB2312"/>
          <w:b/>
          <w:bCs/>
          <w:sz w:val="32"/>
          <w:szCs w:val="32"/>
        </w:rPr>
        <w:t>（二）政府采购支出情况</w:t>
      </w:r>
      <w:bookmarkEnd w:id="97"/>
      <w:bookmarkEnd w:id="98"/>
      <w:bookmarkEnd w:id="99"/>
    </w:p>
    <w:p w14:paraId="039CAC3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2022年，政府采购支出总额243.47万元。其中:政府采购货物支出0万元、政府采购工程支出0万元、政府采购服务支出243.47万元。授予中小企业合同金额0万元，其中：授予小微企业合同金额0万元，占合同的0%。</w:t>
      </w:r>
    </w:p>
    <w:p w14:paraId="66EB6B88">
      <w:pPr>
        <w:ind w:firstLine="643" w:firstLineChars="200"/>
        <w:rPr>
          <w:rFonts w:ascii="楷体_GB2312" w:hAnsi="楷体_GB2312" w:eastAsia="楷体_GB2312" w:cs="楷体_GB2312"/>
          <w:b/>
          <w:bCs/>
          <w:sz w:val="32"/>
          <w:szCs w:val="32"/>
        </w:rPr>
      </w:pPr>
      <w:bookmarkStart w:id="100" w:name="_Toc15377224"/>
      <w:bookmarkStart w:id="101" w:name="_Toc79163877"/>
      <w:bookmarkStart w:id="102" w:name="_Toc79163627"/>
      <w:r>
        <w:rPr>
          <w:rFonts w:hint="eastAsia" w:ascii="楷体_GB2312" w:hAnsi="楷体_GB2312" w:eastAsia="楷体_GB2312" w:cs="楷体_GB2312"/>
          <w:b/>
          <w:bCs/>
          <w:sz w:val="32"/>
          <w:szCs w:val="32"/>
        </w:rPr>
        <w:t>（三）国有资产占有使用情况</w:t>
      </w:r>
      <w:bookmarkEnd w:id="100"/>
      <w:bookmarkEnd w:id="101"/>
      <w:bookmarkEnd w:id="102"/>
    </w:p>
    <w:p w14:paraId="61AD08CF">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截至2022年12月31日，茂县供销合作社联合社共有车辆0辆。</w:t>
      </w:r>
    </w:p>
    <w:p w14:paraId="7F4BED60">
      <w:pPr>
        <w:ind w:firstLine="643" w:firstLineChars="200"/>
        <w:rPr>
          <w:rFonts w:ascii="楷体_GB2312" w:hAnsi="楷体_GB2312" w:eastAsia="楷体_GB2312" w:cs="楷体_GB2312"/>
          <w:b/>
          <w:bCs/>
          <w:sz w:val="32"/>
          <w:szCs w:val="32"/>
        </w:rPr>
      </w:pPr>
      <w:bookmarkStart w:id="103" w:name="_Toc79163878"/>
      <w:bookmarkStart w:id="104" w:name="_Toc79163628"/>
      <w:r>
        <w:rPr>
          <w:rFonts w:hint="eastAsia" w:ascii="楷体_GB2312" w:hAnsi="楷体_GB2312" w:eastAsia="楷体_GB2312" w:cs="楷体_GB2312"/>
          <w:b/>
          <w:bCs/>
          <w:sz w:val="32"/>
          <w:szCs w:val="32"/>
        </w:rPr>
        <w:t>（四）预算绩效管理情况</w:t>
      </w:r>
      <w:bookmarkEnd w:id="103"/>
      <w:bookmarkEnd w:id="104"/>
    </w:p>
    <w:p w14:paraId="5C25BAFE">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2022年州级农资补贴、2022年茂县“三社”融合发展试点补助资金、2022年交流交往交融项目、2022年茂县供销合作社“茂农服”数字平台项目开展了预算事前绩效评估，对4个项目编制了绩效目标，预算执行过程中，选取该项目开展绩效监控，年终执行完毕后，对该项目开展了绩效目标完成情况自评，</w:t>
      </w:r>
      <w:r>
        <w:rPr>
          <w:rFonts w:ascii="仿宋_GB2312" w:hAnsi="仿宋_GB2312" w:eastAsia="仿宋_GB2312" w:cs="仿宋_GB2312"/>
          <w:sz w:val="32"/>
          <w:szCs w:val="32"/>
        </w:rPr>
        <w:t>绩效自评表详见第四部分附件</w:t>
      </w:r>
      <w:r>
        <w:rPr>
          <w:rFonts w:hint="eastAsia" w:ascii="仿宋_GB2312" w:hAnsi="仿宋_GB2312" w:eastAsia="仿宋_GB2312" w:cs="仿宋_GB2312"/>
          <w:sz w:val="32"/>
          <w:szCs w:val="32"/>
        </w:rPr>
        <w:t>。</w:t>
      </w:r>
    </w:p>
    <w:p w14:paraId="080A4B90">
      <w:pPr>
        <w:spacing w:line="580" w:lineRule="exact"/>
        <w:rPr>
          <w:rFonts w:ascii="仿宋_GB2312" w:hAnsi="仿宋_GB2312" w:eastAsia="仿宋_GB2312" w:cs="仿宋_GB2312"/>
          <w:sz w:val="32"/>
          <w:szCs w:val="32"/>
        </w:rPr>
      </w:pPr>
    </w:p>
    <w:p w14:paraId="382E7D0F">
      <w:pPr>
        <w:numPr>
          <w:ilvl w:val="0"/>
          <w:numId w:val="3"/>
        </w:numPr>
        <w:spacing w:line="600" w:lineRule="exact"/>
        <w:ind w:firstLine="660"/>
        <w:outlineLvl w:val="0"/>
        <w:rPr>
          <w:rStyle w:val="24"/>
          <w:rFonts w:ascii="方正小标宋简体" w:hAnsi="方正小标宋简体" w:eastAsia="方正小标宋简体" w:cs="方正小标宋简体"/>
          <w:b w:val="0"/>
        </w:rPr>
      </w:pPr>
      <w:bookmarkStart w:id="105" w:name="_Toc79163629"/>
      <w:bookmarkStart w:id="106" w:name="_Toc15377225"/>
      <w:bookmarkStart w:id="107" w:name="_Toc15396613"/>
      <w:bookmarkStart w:id="108" w:name="_Toc79163879"/>
      <w:r>
        <w:rPr>
          <w:rFonts w:hint="eastAsia" w:ascii="方正小标宋简体" w:hAnsi="方正小标宋简体" w:eastAsia="方正小标宋简体" w:cs="方正小标宋简体"/>
          <w:color w:val="000000"/>
          <w:sz w:val="44"/>
          <w:szCs w:val="44"/>
        </w:rPr>
        <w:t>名</w:t>
      </w:r>
      <w:r>
        <w:rPr>
          <w:rStyle w:val="24"/>
          <w:rFonts w:hint="eastAsia" w:ascii="方正小标宋简体" w:hAnsi="方正小标宋简体" w:eastAsia="方正小标宋简体" w:cs="方正小标宋简体"/>
          <w:b w:val="0"/>
        </w:rPr>
        <w:t>词解释</w:t>
      </w:r>
      <w:bookmarkEnd w:id="105"/>
      <w:bookmarkEnd w:id="106"/>
      <w:bookmarkEnd w:id="107"/>
      <w:bookmarkEnd w:id="108"/>
    </w:p>
    <w:p w14:paraId="76B6DFBC">
      <w:pPr>
        <w:spacing w:line="600" w:lineRule="exact"/>
        <w:jc w:val="left"/>
        <w:rPr>
          <w:rFonts w:ascii="宋体"/>
          <w:b/>
          <w:color w:val="000000"/>
          <w:sz w:val="44"/>
          <w:szCs w:val="44"/>
        </w:rPr>
      </w:pPr>
    </w:p>
    <w:p w14:paraId="6A641E5B">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财政拨款收入：指单位从同级财政部门取得的财政预算资金。</w:t>
      </w:r>
    </w:p>
    <w:p w14:paraId="5ADF0214">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事业收入：指事业单位开展专业业务活动及辅助活动取得的收入。</w:t>
      </w:r>
    </w:p>
    <w:p w14:paraId="04D4F0BD">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经营收入：指事业单位在专业业务活动及其辅助活动之外开展非独立核算经营活动取得的收入。</w:t>
      </w:r>
    </w:p>
    <w:p w14:paraId="026C079F">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其他收入：指单位取得的除上述收入以外的各项收入。</w:t>
      </w:r>
    </w:p>
    <w:p w14:paraId="194D3C32">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使用非财政拨款结余：指事业单位使用以前年度积累的非财政拨款结余弥补当年收支差额的金额。</w:t>
      </w:r>
      <w:r>
        <w:rPr>
          <w:rFonts w:ascii="仿宋_GB2312" w:hAnsi="仿宋_GB2312" w:eastAsia="仿宋_GB2312" w:cs="仿宋_GB2312"/>
          <w:sz w:val="32"/>
          <w:szCs w:val="32"/>
        </w:rPr>
        <w:t xml:space="preserve"> </w:t>
      </w:r>
    </w:p>
    <w:p w14:paraId="1B3DC84D">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年初结转和结余：指以前年度尚未完成、结转到本年按有关规定继续使用的资金。</w:t>
      </w:r>
      <w:r>
        <w:rPr>
          <w:rFonts w:ascii="仿宋_GB2312" w:hAnsi="仿宋_GB2312" w:eastAsia="仿宋_GB2312" w:cs="仿宋_GB2312"/>
          <w:sz w:val="32"/>
          <w:szCs w:val="32"/>
        </w:rPr>
        <w:t xml:space="preserve"> </w:t>
      </w:r>
    </w:p>
    <w:p w14:paraId="337DA6AD">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结余分配：指事业单位按照会计制度规定缴纳的所得税、提取的专用结余以及转入非财政拨款结余的金额等。</w:t>
      </w:r>
    </w:p>
    <w:p w14:paraId="467A4757">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、年末结转和结余：指单位按有关规定结转到下年或以后年度继续使用的资金。</w:t>
      </w:r>
    </w:p>
    <w:p w14:paraId="766B9BE0">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9.一般公共服务商业服务业（类）商业流通事务（款）行政运行（项）：指</w:t>
      </w:r>
      <w:r>
        <w:rPr>
          <w:rFonts w:ascii="仿宋_GB2312" w:hAnsi="仿宋_GB2312" w:eastAsia="仿宋_GB2312" w:cs="仿宋_GB2312"/>
          <w:sz w:val="32"/>
          <w:szCs w:val="32"/>
        </w:rPr>
        <w:t>用于保障机构正常运行、开展日常工作</w:t>
      </w:r>
      <w:r>
        <w:rPr>
          <w:rFonts w:hint="eastAsia" w:ascii="仿宋_GB2312" w:hAnsi="仿宋_GB2312" w:eastAsia="仿宋_GB2312" w:cs="仿宋_GB2312"/>
          <w:sz w:val="32"/>
          <w:szCs w:val="32"/>
        </w:rPr>
        <w:t>的基本支出。</w:t>
      </w:r>
    </w:p>
    <w:p w14:paraId="6E222635">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10.一般公共服务商业服务业（类）商业流通事务（款）其他商业流通事务（项）：指其他用于商业流通事务方面的支出。</w:t>
      </w:r>
    </w:p>
    <w:p w14:paraId="7EF6E481">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11.一般公共服务商业服务业（类）商业流通事务（款）民贸民品贷款贴息（项）：指对从事民贸民品生产销售企业贷款贴息。</w:t>
      </w:r>
    </w:p>
    <w:p w14:paraId="1258B7DD">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12.社会保障和就业（类）行政事业单位离退休（款）机关事业单位基本养老保险缴费（项）：指部门实施养老保险制度由单位缴纳的养老保险费的支出。 </w:t>
      </w:r>
    </w:p>
    <w:p w14:paraId="629F80CB">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13.社会保障和就业（类）行政事业单位离退休（款）机关事业单位职业年金缴费（项）：指部门实施养老保险制度由单位缴纳的职业年金的支出。 </w:t>
      </w:r>
    </w:p>
    <w:p w14:paraId="4D5B1FD7">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14.医疗卫生与计划生育（类）行政事业单位医疗（款）行政单位医疗（项）：指厅机关及参公管理事业单位用于缴纳单位基本医疗保险支出。 </w:t>
      </w:r>
    </w:p>
    <w:p w14:paraId="45A00411">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15.住房保障支出（类）住房公积金（款）住房公积金（项）：指行政事业单位按规定为职工缴纳的住房公积金。</w:t>
      </w:r>
    </w:p>
    <w:p w14:paraId="076EFB04">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16.住房保障支出（类）住房改革支出（款）住房公积金住房改革支出（款）购房补贴（项）：指行政事业单位按规定为职工支付的购房补贴。</w:t>
      </w:r>
    </w:p>
    <w:p w14:paraId="6EEF4F64">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17.农林水支出（类）农业（款）农业生产支持补贴（项）：指反映对种粮农民直接补贴，对农业生产资料补贴、技术物化补贴，推广先进适用农机农艺技术等方面支出。</w:t>
      </w:r>
    </w:p>
    <w:p w14:paraId="050FA473">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18.农林水支出（类）农业（款）其他农业支出（项）：指反映其他用于农业方面的支出。</w:t>
      </w:r>
    </w:p>
    <w:p w14:paraId="1899CB31">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19</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基本支出：指为保障机构正常运转、完成日常工作任务而发生的人员支出和公用支出。</w:t>
      </w:r>
    </w:p>
    <w:p w14:paraId="0F5EC46F">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项目支出：指在基本支出之外为完成特定行政任务和事业发展目标所发生的支出。</w:t>
      </w:r>
      <w:r>
        <w:rPr>
          <w:rFonts w:ascii="仿宋_GB2312" w:hAnsi="仿宋_GB2312" w:eastAsia="仿宋_GB2312" w:cs="仿宋_GB2312"/>
          <w:sz w:val="32"/>
          <w:szCs w:val="32"/>
        </w:rPr>
        <w:t xml:space="preserve"> </w:t>
      </w:r>
    </w:p>
    <w:p w14:paraId="5DC57C44">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14:paraId="4F57E0AB">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E68FC55">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184C6AF">
      <w:pPr>
        <w:spacing w:line="600" w:lineRule="exact"/>
        <w:outlineLvl w:val="0"/>
        <w:rPr>
          <w:rFonts w:ascii="黑体" w:hAnsi="黑体" w:eastAsia="黑体"/>
          <w:color w:val="000000"/>
          <w:sz w:val="44"/>
          <w:szCs w:val="44"/>
        </w:rPr>
      </w:pPr>
      <w:bookmarkStart w:id="109" w:name="_Toc15396614"/>
      <w:bookmarkStart w:id="110" w:name="_Toc79163880"/>
      <w:bookmarkStart w:id="111" w:name="_Toc79163630"/>
      <w:bookmarkStart w:id="112" w:name="_Toc15377226"/>
    </w:p>
    <w:p w14:paraId="2E98D2A2">
      <w:pPr>
        <w:spacing w:line="600" w:lineRule="exact"/>
        <w:outlineLvl w:val="0"/>
        <w:rPr>
          <w:rFonts w:ascii="黑体" w:hAnsi="黑体" w:eastAsia="黑体"/>
          <w:color w:val="000000"/>
          <w:sz w:val="44"/>
          <w:szCs w:val="44"/>
        </w:rPr>
      </w:pPr>
    </w:p>
    <w:p w14:paraId="7A89D998">
      <w:pPr>
        <w:spacing w:line="600" w:lineRule="exact"/>
        <w:outlineLvl w:val="0"/>
        <w:rPr>
          <w:rFonts w:ascii="黑体" w:hAnsi="黑体" w:eastAsia="黑体"/>
          <w:color w:val="000000"/>
          <w:sz w:val="44"/>
          <w:szCs w:val="44"/>
        </w:rPr>
      </w:pPr>
    </w:p>
    <w:p w14:paraId="1227015F">
      <w:pPr>
        <w:spacing w:line="600" w:lineRule="exact"/>
        <w:outlineLvl w:val="0"/>
        <w:rPr>
          <w:rFonts w:ascii="黑体" w:hAnsi="黑体" w:eastAsia="黑体"/>
          <w:color w:val="000000"/>
          <w:sz w:val="44"/>
          <w:szCs w:val="44"/>
        </w:rPr>
      </w:pPr>
    </w:p>
    <w:p w14:paraId="315F1F5A">
      <w:pPr>
        <w:spacing w:line="600" w:lineRule="exact"/>
        <w:outlineLvl w:val="0"/>
        <w:rPr>
          <w:rFonts w:ascii="黑体" w:hAnsi="黑体" w:eastAsia="黑体"/>
          <w:color w:val="000000"/>
          <w:sz w:val="44"/>
          <w:szCs w:val="44"/>
        </w:rPr>
      </w:pPr>
    </w:p>
    <w:p w14:paraId="02D6C057">
      <w:pPr>
        <w:spacing w:line="576" w:lineRule="exact"/>
        <w:rPr>
          <w:rFonts w:ascii="黑体" w:hAnsi="黑体" w:eastAsia="黑体"/>
          <w:color w:val="000000"/>
          <w:sz w:val="44"/>
          <w:szCs w:val="44"/>
        </w:rPr>
      </w:pPr>
    </w:p>
    <w:p w14:paraId="1411D075">
      <w:pPr>
        <w:spacing w:line="600" w:lineRule="exact"/>
        <w:jc w:val="center"/>
        <w:outlineLvl w:val="0"/>
        <w:rPr>
          <w:rStyle w:val="24"/>
          <w:rFonts w:ascii="方正小标宋简体" w:hAnsi="方正小标宋简体" w:eastAsia="方正小标宋简体" w:cs="方正小标宋简体"/>
          <w:b w:val="0"/>
        </w:rPr>
      </w:pPr>
      <w:r>
        <w:rPr>
          <w:rFonts w:hint="eastAsia" w:ascii="方正小标宋简体" w:hAnsi="方正小标宋简体" w:eastAsia="方正小标宋简体" w:cs="方正小标宋简体"/>
          <w:color w:val="000000"/>
          <w:sz w:val="44"/>
          <w:szCs w:val="44"/>
        </w:rPr>
        <w:t>第</w:t>
      </w:r>
      <w:r>
        <w:rPr>
          <w:rStyle w:val="24"/>
          <w:rFonts w:hint="eastAsia" w:ascii="方正小标宋简体" w:hAnsi="方正小标宋简体" w:eastAsia="方正小标宋简体" w:cs="方正小标宋简体"/>
          <w:b w:val="0"/>
        </w:rPr>
        <w:t>四部分 附件</w:t>
      </w:r>
      <w:bookmarkEnd w:id="109"/>
      <w:bookmarkEnd w:id="110"/>
      <w:bookmarkEnd w:id="111"/>
    </w:p>
    <w:p w14:paraId="2D66784B">
      <w:pPr>
        <w:spacing w:line="600" w:lineRule="exact"/>
        <w:jc w:val="left"/>
        <w:outlineLvl w:val="0"/>
        <w:rPr>
          <w:rFonts w:ascii="仿宋_GB2312" w:hAnsi="黑体" w:eastAsia="仿宋_GB2312"/>
          <w:color w:val="000000"/>
          <w:sz w:val="32"/>
          <w:szCs w:val="32"/>
        </w:rPr>
      </w:pPr>
      <w:bookmarkStart w:id="113" w:name="_Toc79163885"/>
      <w:bookmarkStart w:id="114" w:name="_Toc79163635"/>
      <w:bookmarkStart w:id="115" w:name="_Toc15396618"/>
      <w:r>
        <w:rPr>
          <w:rFonts w:hint="eastAsia" w:ascii="仿宋_GB2312" w:hAnsi="黑体" w:eastAsia="仿宋_GB2312"/>
          <w:color w:val="000000"/>
          <w:sz w:val="32"/>
          <w:szCs w:val="32"/>
        </w:rPr>
        <w:t>附件1</w:t>
      </w:r>
    </w:p>
    <w:p w14:paraId="25D71DE9">
      <w:pPr>
        <w:widowControl/>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茂县供销合作社联合社</w:t>
      </w:r>
    </w:p>
    <w:p w14:paraId="2B5D7848">
      <w:pPr>
        <w:widowControl/>
        <w:spacing w:line="540" w:lineRule="exact"/>
        <w:jc w:val="center"/>
        <w:rPr>
          <w:rFonts w:ascii="方正小标宋简体" w:hAnsi="宋体" w:eastAsia="方正小标宋简体"/>
          <w:sz w:val="44"/>
          <w:szCs w:val="44"/>
          <w:shd w:val="clear" w:color="auto" w:fill="FFFFFF"/>
        </w:rPr>
      </w:pPr>
      <w:r>
        <w:rPr>
          <w:rFonts w:hint="eastAsia" w:ascii="方正小标宋简体" w:hAnsi="宋体" w:eastAsia="方正小标宋简体"/>
          <w:sz w:val="44"/>
          <w:szCs w:val="44"/>
          <w:shd w:val="clear" w:color="auto" w:fill="FFFFFF"/>
        </w:rPr>
        <w:t>2022年整体支出绩效自评报告</w:t>
      </w:r>
    </w:p>
    <w:p w14:paraId="3031A18B">
      <w:pPr>
        <w:widowControl/>
        <w:spacing w:line="540" w:lineRule="exact"/>
        <w:jc w:val="center"/>
        <w:rPr>
          <w:rFonts w:ascii="方正小标宋简体" w:hAnsi="宋体" w:eastAsia="方正小标宋简体"/>
          <w:sz w:val="44"/>
          <w:szCs w:val="44"/>
          <w:shd w:val="clear" w:color="auto" w:fill="FFFFFF"/>
        </w:rPr>
      </w:pPr>
    </w:p>
    <w:p w14:paraId="50373CF9">
      <w:pPr>
        <w:widowControl/>
        <w:adjustRightInd w:val="0"/>
        <w:snapToGrid w:val="0"/>
        <w:spacing w:line="576" w:lineRule="exact"/>
        <w:ind w:firstLine="640" w:firstLineChars="200"/>
        <w:contextualSpacing/>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单位基本情况</w:t>
      </w:r>
    </w:p>
    <w:p w14:paraId="20A78195">
      <w:pPr>
        <w:widowControl/>
        <w:adjustRightInd w:val="0"/>
        <w:snapToGrid w:val="0"/>
        <w:spacing w:line="576" w:lineRule="exact"/>
        <w:ind w:firstLine="643" w:firstLineChars="200"/>
        <w:contextualSpacing/>
        <w:rPr>
          <w:rFonts w:ascii="楷体_GB2312" w:hAnsi="楷体_GB2312" w:eastAsia="楷体_GB2312" w:cs="楷体_GB2312"/>
          <w:color w:val="000000"/>
          <w:kern w:val="0"/>
          <w:sz w:val="32"/>
          <w:szCs w:val="32"/>
          <w:shd w:val="clear" w:color="auto" w:fill="FFFFFF"/>
        </w:rPr>
      </w:pPr>
      <w:r>
        <w:rPr>
          <w:rFonts w:hint="eastAsia" w:ascii="楷体_GB2312" w:hAnsi="楷体_GB2312" w:eastAsia="楷体_GB2312" w:cs="楷体_GB2312"/>
          <w:b/>
          <w:bCs/>
          <w:color w:val="000000"/>
          <w:kern w:val="0"/>
          <w:sz w:val="32"/>
          <w:szCs w:val="32"/>
          <w:shd w:val="clear" w:color="auto" w:fill="FFFFFF"/>
          <w:lang w:val="zh-CN"/>
        </w:rPr>
        <w:t>（一）机构组成</w:t>
      </w:r>
      <w:r>
        <w:rPr>
          <w:rFonts w:hint="eastAsia" w:ascii="楷体_GB2312" w:hAnsi="楷体_GB2312" w:eastAsia="楷体_GB2312" w:cs="楷体_GB2312"/>
          <w:b/>
          <w:bCs/>
          <w:color w:val="000000"/>
          <w:kern w:val="0"/>
          <w:sz w:val="32"/>
          <w:szCs w:val="32"/>
          <w:shd w:val="clear" w:color="auto" w:fill="FFFFFF"/>
        </w:rPr>
        <w:t xml:space="preserve">  </w:t>
      </w:r>
    </w:p>
    <w:p w14:paraId="6E1CC2DA">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茂县供销合作社联合社内设办公室、计财审计股、综合股(社务指导、业务发展、物业管理、安全法制)。</w:t>
      </w:r>
    </w:p>
    <w:p w14:paraId="09AF35A1">
      <w:pPr>
        <w:widowControl/>
        <w:adjustRightInd w:val="0"/>
        <w:snapToGrid w:val="0"/>
        <w:spacing w:line="576" w:lineRule="exact"/>
        <w:ind w:firstLine="643" w:firstLineChars="200"/>
        <w:contextualSpacing/>
        <w:rPr>
          <w:rFonts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（二）机构职能</w:t>
      </w:r>
    </w:p>
    <w:p w14:paraId="27274CDB">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1.宣传贯彻党中央、国务院、省委、省政府和州委、州政府及县委、县政府有关农业、农村经济工作和社会发展方针政策，维护全县供销社的合法权益。</w:t>
      </w:r>
    </w:p>
    <w:p w14:paraId="1EB376D7">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2.研究和制定全县供销合作社发展规划，指导全县供销合作社的企业改革和发展。加快体制、机制创新、探索社会主义市场经济条件下合作经济的多种实现形式。</w:t>
      </w:r>
    </w:p>
    <w:p w14:paraId="29B5E50E">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受县政府委托，对重要农业生产资料、农副产品经营进行组织、储备、调运工作，负责烟花爆竹和废旧物资再生资源的经营及社办工业的指导。负责对政策性商品经营资格审定、质量监督和行业管理及有关救灾物资的组织、储备、调运工作。</w:t>
      </w:r>
    </w:p>
    <w:p w14:paraId="6EB28C8B">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4.协调同政府有关部门、社会组织的关系，研究供销社合作经济运行的重大问题；了解、反映供销合作社系统和农牧民群众的意见和要求；维护合作经济组织的合法权益。</w:t>
      </w:r>
    </w:p>
    <w:p w14:paraId="27462F16">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5.组织全县供销系统参与和推进农业产业化经营，加强农产品市场调查研究，培育农产品市场，组织发展专业合作社、消费合作社等中介服务组织，培育龙头企业，加强商品供求市场，信息服务体系建设。                                        </w:t>
      </w:r>
    </w:p>
    <w:p w14:paraId="2B4A2D83">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6.指导农村社会化服务体系建设，推进建立现代化流通体系和现代化营销方式，发展社区性、综合性、便民性社区综合服务社，满足农牧民生产、生活等社会化服务的需要。</w:t>
      </w:r>
    </w:p>
    <w:p w14:paraId="026C0CAD">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7.监督和管理社有资产，确保社有资产的保值、增值，对直属企业行使出资人的职权，依法享有资产受益、重大决策和选择经营管理者等权利。</w:t>
      </w:r>
    </w:p>
    <w:p w14:paraId="5B8B4ACF">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8.积极参与供销合作经济对外交流活动。</w:t>
      </w:r>
    </w:p>
    <w:p w14:paraId="0F648B2C">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9.承担县政府交办的其他事项。</w:t>
      </w:r>
    </w:p>
    <w:p w14:paraId="54288F7E">
      <w:pPr>
        <w:widowControl/>
        <w:adjustRightInd w:val="0"/>
        <w:snapToGrid w:val="0"/>
        <w:spacing w:line="576" w:lineRule="exact"/>
        <w:ind w:firstLine="643" w:firstLineChars="200"/>
        <w:contextualSpacing/>
        <w:rPr>
          <w:rFonts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（三）人员概况</w:t>
      </w:r>
    </w:p>
    <w:p w14:paraId="4F5204BB">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茂县供销合作社联合社机关事业编制10人，实有在职职工9人，退休19人。</w:t>
      </w:r>
    </w:p>
    <w:p w14:paraId="452503B4">
      <w:pPr>
        <w:widowControl/>
        <w:adjustRightInd w:val="0"/>
        <w:snapToGrid w:val="0"/>
        <w:spacing w:line="576" w:lineRule="exact"/>
        <w:ind w:firstLine="640" w:firstLineChars="200"/>
        <w:contextualSpacing/>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14:paraId="1E952EFD">
      <w:pPr>
        <w:widowControl/>
        <w:adjustRightInd w:val="0"/>
        <w:snapToGrid w:val="0"/>
        <w:spacing w:line="576" w:lineRule="exact"/>
        <w:ind w:firstLine="643" w:firstLineChars="200"/>
        <w:contextualSpacing/>
        <w:rPr>
          <w:rFonts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（一）部门财政资金收入情况</w:t>
      </w:r>
    </w:p>
    <w:p w14:paraId="30439A9F">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2022年度一般公共预算财政拨款收入合计525.75万元。无非财政补助收入、事业收入、经营收入、其他收入。</w:t>
      </w:r>
    </w:p>
    <w:p w14:paraId="0D271682">
      <w:pPr>
        <w:widowControl/>
        <w:adjustRightInd w:val="0"/>
        <w:snapToGrid w:val="0"/>
        <w:spacing w:line="576" w:lineRule="exact"/>
        <w:ind w:firstLine="643" w:firstLineChars="200"/>
        <w:contextualSpacing/>
        <w:rPr>
          <w:rFonts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（二）部门财政资金支出情况</w:t>
      </w:r>
    </w:p>
    <w:p w14:paraId="1C950862">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2022年度我社一般公共预算财政拨款支出共计525.75万元，均为一般公共预算财政拨款支出。</w:t>
      </w:r>
    </w:p>
    <w:p w14:paraId="3F1E0AAF">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1.本年财政拨款支出按功能科目分类包括：社会保障和就业支出22.06万元；卫生健康支出9.31万元；农林水支出336.09万元；住房保障支出13.05万元；商业服务业等支出145.24万元。</w:t>
      </w:r>
    </w:p>
    <w:p w14:paraId="2BA6775B">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2.本年财政拨款支出按经济科目分类包括：工资福利支出169.47万元；商品和服务支出34.44万元；对家庭和个人补助17.97万元；对企业的补助33.4万元；资本性支出270.47万元。</w:t>
      </w:r>
    </w:p>
    <w:p w14:paraId="623708A7">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3.本年财政拨款支出按支出性质分类包括：基本支出191.85万元（其中：人员经费186.24万元；日常公用经费5.61万元）；项目支出333.9万元。</w:t>
      </w:r>
    </w:p>
    <w:p w14:paraId="65CC4F97">
      <w:pPr>
        <w:widowControl/>
        <w:adjustRightInd w:val="0"/>
        <w:snapToGrid w:val="0"/>
        <w:spacing w:line="576" w:lineRule="exact"/>
        <w:ind w:firstLine="640" w:firstLineChars="200"/>
        <w:contextualSpacing/>
        <w:rPr>
          <w:rFonts w:ascii="仿宋_GB2312" w:hAnsi="宋体" w:eastAsia="仿宋_GB2312"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三、部门整体预算绩效管理情况</w:t>
      </w:r>
    </w:p>
    <w:p w14:paraId="01C9FF18">
      <w:pPr>
        <w:widowControl/>
        <w:adjustRightInd w:val="0"/>
        <w:snapToGrid w:val="0"/>
        <w:spacing w:line="576" w:lineRule="exact"/>
        <w:ind w:firstLine="643" w:firstLineChars="200"/>
        <w:contextualSpacing/>
        <w:rPr>
          <w:rFonts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（一）部门预算项目绩效管理</w:t>
      </w:r>
    </w:p>
    <w:p w14:paraId="660650F1">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茂县供销合作联合社单位机构性质是参照公务员管理的事业单位，我社严格按照县财政部门预算编制通知和有关文件要求，秉承强化规划约束、坚持限额控制、实时滚动管理、强化绩效管理的基本编制原则在县财政部门规定的时间内于部门预算管理系统中以上年度10月份单位人员情况完成单位基本信息表及基础资料表。同时，根据“定员定额”标准并结合本单位实际项目安排批准情况填制收支总表及支出项目录入表。单位预算编制工作完成后严格按照预算编制程序提交县财政支出管理股室及预算股进行审核后下达批复。</w:t>
      </w:r>
    </w:p>
    <w:p w14:paraId="1DC2EBF0">
      <w:pPr>
        <w:widowControl/>
        <w:adjustRightInd w:val="0"/>
        <w:snapToGrid w:val="0"/>
        <w:spacing w:line="576" w:lineRule="exact"/>
        <w:ind w:firstLine="643" w:firstLineChars="200"/>
        <w:contextualSpacing/>
        <w:rPr>
          <w:rFonts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（二）结果应用情况</w:t>
      </w:r>
    </w:p>
    <w:p w14:paraId="25175EC9">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严格按照预决算管理制度和财务会计制度编制预决算，严格按照有关规定使用“三公”经费，数据是真实、准确、完整并及时上报，不存在上报数据与财务账不一致等问题。我社严格按照政府和财政的规定执行政府采购、认真做好资产管理、内控制度管理，及时做好预决算信息公开，绩效评价及依法接受财政监督情况等。</w:t>
      </w:r>
    </w:p>
    <w:p w14:paraId="4E344E0C">
      <w:pPr>
        <w:widowControl/>
        <w:numPr>
          <w:ilvl w:val="0"/>
          <w:numId w:val="4"/>
        </w:numPr>
        <w:shd w:val="clear" w:color="auto" w:fill="FFFFFF"/>
        <w:spacing w:line="600" w:lineRule="atLeast"/>
        <w:ind w:firstLine="602" w:firstLineChars="200"/>
        <w:rPr>
          <w:rFonts w:ascii="楷体_GB2312" w:hAnsi="楷体_GB2312" w:eastAsia="楷体_GB2312" w:cs="楷体_GB2312"/>
          <w:b/>
          <w:bCs/>
          <w:color w:val="000000"/>
          <w:kern w:val="0"/>
          <w:sz w:val="30"/>
          <w:szCs w:val="30"/>
          <w:shd w:val="clear" w:color="auto" w:fill="FFFFFF"/>
          <w:lang w:val="zh-CN"/>
        </w:rPr>
      </w:pPr>
      <w:r>
        <w:rPr>
          <w:rFonts w:hint="eastAsia" w:ascii="楷体_GB2312" w:hAnsi="楷体_GB2312" w:eastAsia="楷体_GB2312" w:cs="楷体_GB2312"/>
          <w:b/>
          <w:bCs/>
          <w:color w:val="000000"/>
          <w:kern w:val="0"/>
          <w:sz w:val="30"/>
          <w:szCs w:val="30"/>
          <w:shd w:val="clear" w:color="auto" w:fill="FFFFFF"/>
          <w:lang w:val="zh-CN"/>
        </w:rPr>
        <w:t>整体绩效</w:t>
      </w:r>
    </w:p>
    <w:p w14:paraId="2D54E17F">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在县委县政府的正确领导下，我社较好的履行了部门职责，完成年度目标任务。我社按要求对2022年部门整体支出开展绩效自评，从评价情况来看，2022年我社整体绩效自查自评良好，全年基本支出保证了部门的正常运行和日常工作正常开展，项目支出保障了重大工作的开展、绩效目标较好的实行，绩效管理水平不断提高，绩效指标体系逐渐丰富和完善。</w:t>
      </w:r>
    </w:p>
    <w:p w14:paraId="24073850">
      <w:pPr>
        <w:widowControl/>
        <w:adjustRightInd w:val="0"/>
        <w:snapToGrid w:val="0"/>
        <w:spacing w:line="576" w:lineRule="exact"/>
        <w:ind w:left="640"/>
        <w:contextualSpacing/>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14:paraId="3EF5F33C">
      <w:pPr>
        <w:widowControl/>
        <w:adjustRightInd w:val="0"/>
        <w:snapToGrid w:val="0"/>
        <w:spacing w:line="576" w:lineRule="exact"/>
        <w:ind w:firstLine="643" w:firstLineChars="200"/>
        <w:contextualSpacing/>
        <w:rPr>
          <w:rFonts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（一）评价结论</w:t>
      </w:r>
    </w:p>
    <w:p w14:paraId="514E2519">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供销社坚持为“三农”服务办社宗旨，提升为农服务功能；坚持以市场经济为导向，提升企业市场竞争力；坚持稳中求进的工作总基调，推进供销社综合改革发展，取得了较好的成效。2022年茂县供销合作社联合社整体支出绩效评价自查自评结果良好。</w:t>
      </w:r>
    </w:p>
    <w:p w14:paraId="0172FDCE">
      <w:pPr>
        <w:widowControl/>
        <w:adjustRightInd w:val="0"/>
        <w:snapToGrid w:val="0"/>
        <w:spacing w:line="576" w:lineRule="exact"/>
        <w:ind w:firstLine="643" w:firstLineChars="200"/>
        <w:contextualSpacing/>
        <w:rPr>
          <w:rFonts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（二）存在问题</w:t>
      </w:r>
    </w:p>
    <w:p w14:paraId="4CEA4D13">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部门预算项目支付进度较缓慢。</w:t>
      </w:r>
    </w:p>
    <w:p w14:paraId="5F26DB49">
      <w:pPr>
        <w:widowControl/>
        <w:adjustRightInd w:val="0"/>
        <w:snapToGrid w:val="0"/>
        <w:spacing w:line="576" w:lineRule="exact"/>
        <w:ind w:firstLine="643" w:firstLineChars="200"/>
        <w:contextualSpacing/>
        <w:rPr>
          <w:rFonts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（三）改进建议</w:t>
      </w:r>
    </w:p>
    <w:p w14:paraId="6F540071">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加快部门预算项目支付进度。</w:t>
      </w:r>
    </w:p>
    <w:p w14:paraId="08DAFD7D">
      <w:pPr>
        <w:spacing w:line="576" w:lineRule="exact"/>
        <w:jc w:val="left"/>
        <w:rPr>
          <w:rFonts w:ascii="仿宋_GB2312" w:hAnsi="黑体" w:eastAsia="仿宋_GB2312"/>
          <w:color w:val="000000"/>
          <w:sz w:val="32"/>
          <w:szCs w:val="32"/>
        </w:rPr>
      </w:pPr>
    </w:p>
    <w:p w14:paraId="7F08A813">
      <w:pPr>
        <w:spacing w:line="576" w:lineRule="exact"/>
        <w:jc w:val="left"/>
        <w:rPr>
          <w:rFonts w:ascii="仿宋_GB2312" w:hAnsi="黑体" w:eastAsia="仿宋_GB2312"/>
          <w:color w:val="000000"/>
          <w:sz w:val="32"/>
          <w:szCs w:val="32"/>
        </w:rPr>
      </w:pPr>
      <w:r>
        <w:rPr>
          <w:rFonts w:hint="eastAsia" w:ascii="仿宋_GB2312" w:hAnsi="黑体" w:eastAsia="仿宋_GB2312"/>
          <w:color w:val="000000"/>
          <w:sz w:val="32"/>
          <w:szCs w:val="32"/>
        </w:rPr>
        <w:t>附件2</w:t>
      </w:r>
    </w:p>
    <w:p w14:paraId="3A26C2E5">
      <w:pPr>
        <w:spacing w:line="576" w:lineRule="exact"/>
        <w:jc w:val="center"/>
        <w:rPr>
          <w:rFonts w:ascii="方正小标宋简体" w:eastAsia="方正小标宋简体"/>
          <w:sz w:val="44"/>
          <w:szCs w:val="44"/>
        </w:rPr>
      </w:pPr>
      <w:r>
        <w:rPr>
          <w:rFonts w:hint="eastAsia" w:ascii="方正小标宋简体" w:hAnsi="方正小标宋简体" w:eastAsia="方正小标宋简体" w:cs="方正小标宋简体"/>
          <w:sz w:val="44"/>
          <w:szCs w:val="44"/>
        </w:rPr>
        <w:t>茂县供销合作社联合社</w:t>
      </w:r>
    </w:p>
    <w:p w14:paraId="3F46E5EE">
      <w:pPr>
        <w:pStyle w:val="40"/>
        <w:spacing w:line="600" w:lineRule="exact"/>
        <w:ind w:firstLine="220" w:firstLineChars="50"/>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2022年州级农资补贴绩效自评报告</w:t>
      </w:r>
    </w:p>
    <w:p w14:paraId="353898CA">
      <w:pPr>
        <w:adjustRightInd w:val="0"/>
        <w:snapToGrid w:val="0"/>
        <w:spacing w:line="600" w:lineRule="exact"/>
        <w:ind w:firstLine="720"/>
        <w:rPr>
          <w:rFonts w:ascii="黑体" w:eastAsia="黑体"/>
          <w:sz w:val="32"/>
          <w:szCs w:val="32"/>
          <w:lang w:val="zh-CN"/>
        </w:rPr>
      </w:pPr>
      <w:r>
        <w:rPr>
          <w:rFonts w:hint="eastAsia" w:ascii="黑体" w:eastAsia="黑体"/>
          <w:sz w:val="32"/>
          <w:szCs w:val="32"/>
        </w:rPr>
        <w:t>一、</w:t>
      </w:r>
      <w:r>
        <w:rPr>
          <w:rFonts w:hint="eastAsia" w:ascii="黑体" w:eastAsia="黑体"/>
          <w:sz w:val="32"/>
          <w:szCs w:val="32"/>
          <w:lang w:val="zh-CN"/>
        </w:rPr>
        <w:t>项目概况</w:t>
      </w:r>
    </w:p>
    <w:p w14:paraId="43F77270">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（一）项目基本情况</w:t>
      </w:r>
    </w:p>
    <w:p w14:paraId="78E724ED">
      <w:pPr>
        <w:spacing w:line="576" w:lineRule="exact"/>
        <w:ind w:firstLine="640" w:firstLineChars="200"/>
        <w:rPr>
          <w:rFonts w:ascii="仿宋_GB2312" w:hAnsi="仿宋_GB2312" w:eastAsia="仿宋_GB2312" w:cs="仿宋_GB2312"/>
          <w:sz w:val="32"/>
          <w:szCs w:val="32"/>
        </w:rPr>
      </w:pPr>
      <w:r>
        <w:rPr>
          <w:rFonts w:hint="eastAsia" w:ascii="仿宋_GB2312" w:eastAsia="仿宋_GB2312"/>
          <w:sz w:val="32"/>
          <w:szCs w:val="32"/>
          <w:lang w:val="zh-CN"/>
        </w:rPr>
        <w:t>1．</w:t>
      </w:r>
      <w:r>
        <w:rPr>
          <w:rFonts w:hint="eastAsia" w:ascii="仿宋_GB2312" w:hAnsi="仿宋_GB2312" w:eastAsia="仿宋_GB2312" w:cs="仿宋_GB2312"/>
          <w:sz w:val="32"/>
          <w:szCs w:val="32"/>
        </w:rPr>
        <w:t>项目资金由茂县供销合作社联合社负责监管，确保资金的安全和到位的及时性，对项目实施单位监督实施和管理。</w:t>
      </w:r>
    </w:p>
    <w:p w14:paraId="1F8EBBDA">
      <w:pPr>
        <w:spacing w:line="576" w:lineRule="exact"/>
        <w:ind w:firstLine="640" w:firstLineChars="200"/>
        <w:rPr>
          <w:rFonts w:ascii="仿宋_GB2312" w:hAnsi="仿宋_GB2312" w:eastAsia="仿宋_GB2312" w:cs="仿宋_GB2312"/>
          <w:sz w:val="32"/>
          <w:szCs w:val="32"/>
        </w:rPr>
      </w:pPr>
      <w:r>
        <w:rPr>
          <w:rFonts w:hint="eastAsia" w:ascii="仿宋_GB2312" w:eastAsia="仿宋_GB2312"/>
          <w:sz w:val="32"/>
          <w:szCs w:val="32"/>
          <w:lang w:val="zh-CN"/>
        </w:rPr>
        <w:t>2．</w:t>
      </w:r>
      <w:r>
        <w:rPr>
          <w:rFonts w:hint="eastAsia" w:ascii="仿宋_GB2312" w:hAnsi="仿宋_GB2312" w:eastAsia="仿宋_GB2312" w:cs="仿宋_GB2312"/>
          <w:sz w:val="32"/>
          <w:szCs w:val="32"/>
        </w:rPr>
        <w:t>根据实阿坝州财政局、阿坝州供销社《关于下达2022年农资储备和价格补贴专项经费的通知》阿州财农【2022】26号文件精神，补助资金共计37元，其中价格补贴资金26万，储备补贴资金11万用于资金占用利息。资金性质为财政性资金。</w:t>
      </w:r>
    </w:p>
    <w:p w14:paraId="77A9E8DE">
      <w:pPr>
        <w:spacing w:line="576" w:lineRule="exact"/>
        <w:ind w:firstLine="640" w:firstLineChars="200"/>
        <w:rPr>
          <w:rFonts w:ascii="仿宋_GB2312" w:hAnsi="仿宋_GB2312" w:eastAsia="仿宋_GB2312" w:cs="仿宋_GB2312"/>
          <w:sz w:val="32"/>
          <w:szCs w:val="32"/>
        </w:rPr>
      </w:pPr>
      <w:r>
        <w:rPr>
          <w:rFonts w:hint="eastAsia" w:ascii="仿宋_GB2312" w:eastAsia="仿宋_GB2312"/>
          <w:sz w:val="32"/>
          <w:szCs w:val="32"/>
          <w:lang w:val="zh-CN"/>
        </w:rPr>
        <w:t>3．</w:t>
      </w:r>
      <w:r>
        <w:rPr>
          <w:rFonts w:hint="eastAsia" w:ascii="仿宋_GB2312" w:hAnsi="仿宋_GB2312" w:eastAsia="仿宋_GB2312" w:cs="仿宋_GB2312"/>
          <w:sz w:val="32"/>
          <w:szCs w:val="32"/>
        </w:rPr>
        <w:t>茂县2022年州级农资补贴资金工作由供销社统一负责，根据阿坝州财政局、阿坝州供销社《关于下达2022年农资储备和价格补贴专项经费的通知》(阿州财农【2022】26号)文件规定大力推进质量兴农、绿色兴农，深入开展化肥农药使用量零增长行动，推进化肥农药减量增效。</w:t>
      </w:r>
    </w:p>
    <w:p w14:paraId="731C980F">
      <w:pPr>
        <w:adjustRightInd w:val="0"/>
        <w:snapToGrid w:val="0"/>
        <w:spacing w:line="576" w:lineRule="exact"/>
        <w:ind w:firstLine="720"/>
        <w:rPr>
          <w:rFonts w:ascii="仿宋_GB2312" w:hAnsi="仿宋_GB2312" w:eastAsia="仿宋_GB2312" w:cs="仿宋_GB2312"/>
          <w:sz w:val="32"/>
          <w:szCs w:val="32"/>
        </w:rPr>
      </w:pPr>
      <w:r>
        <w:rPr>
          <w:rFonts w:hint="eastAsia" w:ascii="仿宋_GB2312" w:eastAsia="仿宋_GB2312"/>
          <w:sz w:val="32"/>
          <w:szCs w:val="32"/>
          <w:lang w:val="zh-CN"/>
        </w:rPr>
        <w:t>4．</w:t>
      </w:r>
      <w:r>
        <w:rPr>
          <w:rFonts w:hint="eastAsia" w:ascii="仿宋_GB2312" w:hAnsi="仿宋_GB2312" w:eastAsia="仿宋_GB2312" w:cs="仿宋_GB2312"/>
          <w:sz w:val="32"/>
          <w:szCs w:val="32"/>
        </w:rPr>
        <w:t>支付农资储备仓储租赁费及资金占用利息外，价格补贴资金原来2%的标准从2022年10月1日起始增加到5%的标准实行农资商品价格补助，即凡在供销社农资公司门市部和享受补贴的基层供销社购买农业生产资料100元的用户都可享受人民币5元直补并当场兑现。</w:t>
      </w:r>
    </w:p>
    <w:p w14:paraId="111F5B68">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（二）项目绩效目标</w:t>
      </w:r>
    </w:p>
    <w:p w14:paraId="584A6196">
      <w:pPr>
        <w:spacing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1．由茂县供销合作社联合社根据春耕秋收等不同季节每月对各镇网点及农资公司的预计需求量进行统计后进行采购。</w:t>
      </w:r>
    </w:p>
    <w:p w14:paraId="4AF2FDB7">
      <w:pPr>
        <w:spacing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2．支付农资储备仓储租赁费及资金占用利息和价格补贴资金原来2%的标准从2022年10月1日起始增加到5%的标准实行农资商品价格补助。</w:t>
      </w:r>
    </w:p>
    <w:p w14:paraId="785459E5">
      <w:pPr>
        <w:spacing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3．该项目资金使用符合国家财经法规和财务管理制度及有关专项资金管理办法规定；资金拨付有完整的审批程序和手续；符合项目预算批复或合同规定用途；不存在截留、挤占、挪用、虚列支出等情况，符合相关财务会计制度的规定，符合国家规定。</w:t>
      </w:r>
    </w:p>
    <w:p w14:paraId="7C8053F3">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（三）项目自评步骤及方法</w:t>
      </w:r>
    </w:p>
    <w:p w14:paraId="1D6A2088">
      <w:pPr>
        <w:spacing w:line="576" w:lineRule="exact"/>
        <w:ind w:firstLine="640" w:firstLineChars="200"/>
        <w:rPr>
          <w:rFonts w:ascii="仿宋_GB2312" w:eastAsia="仿宋_GB2312"/>
          <w:sz w:val="32"/>
          <w:szCs w:val="32"/>
        </w:rPr>
      </w:pPr>
      <w:r>
        <w:rPr>
          <w:rFonts w:hint="eastAsia" w:ascii="仿宋_GB2312" w:eastAsia="仿宋_GB2312"/>
          <w:sz w:val="32"/>
          <w:szCs w:val="32"/>
          <w:lang w:val="zh-CN"/>
        </w:rPr>
        <w:t>2022年州级农资补贴项目绩效评估工作通过自行评估方式开展。按照有关规定和工作安排，我单位开展自行评估，通过查阅资料、收集数据信息等，形成绩效评估报告。本项目通过现场查看、与项目相关人员讨论、市场调查等方法了解项目情况，收集相关资料，综合分析相关情况后，对项目投入经济性、目标合理性、方案可行性以及筹资合规性实施评估。</w:t>
      </w:r>
    </w:p>
    <w:p w14:paraId="12A73B6C">
      <w:pPr>
        <w:adjustRightInd w:val="0"/>
        <w:snapToGrid w:val="0"/>
        <w:spacing w:line="600" w:lineRule="exact"/>
        <w:ind w:firstLine="720"/>
        <w:rPr>
          <w:rFonts w:ascii="黑体" w:eastAsia="黑体"/>
          <w:sz w:val="32"/>
          <w:szCs w:val="32"/>
        </w:rPr>
      </w:pPr>
      <w:r>
        <w:rPr>
          <w:rFonts w:hint="eastAsia" w:ascii="黑体" w:eastAsia="黑体"/>
          <w:sz w:val="32"/>
          <w:szCs w:val="32"/>
        </w:rPr>
        <w:t>二、项目资金申报及使用情况</w:t>
      </w:r>
    </w:p>
    <w:p w14:paraId="3F275BD0">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（一）项目资金申报及批复情况</w:t>
      </w:r>
    </w:p>
    <w:p w14:paraId="02B4A9DE">
      <w:pPr>
        <w:spacing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根据《阿州财农〔2022〕26号》文件、该补贴共计投资37元，其中价格补贴资金26万，按各基层供销组织2022年10止实际销售物资台账为准。储备补贴资金11万用于资金占用利息。资金性质为财政性资金。</w:t>
      </w:r>
    </w:p>
    <w:p w14:paraId="5720DDC6">
      <w:pPr>
        <w:adjustRightInd w:val="0"/>
        <w:snapToGrid w:val="0"/>
        <w:spacing w:line="600" w:lineRule="exact"/>
        <w:ind w:firstLine="720"/>
        <w:rPr>
          <w:rFonts w:ascii="仿宋_GB2312" w:eastAsia="仿宋_GB2312"/>
          <w:sz w:val="32"/>
          <w:szCs w:val="32"/>
          <w:lang w:val="zh-CN"/>
        </w:rPr>
      </w:pPr>
      <w:r>
        <w:rPr>
          <w:rFonts w:hint="eastAsia" w:ascii="楷体_GB2312" w:eastAsia="楷体_GB2312"/>
          <w:b/>
          <w:sz w:val="32"/>
          <w:szCs w:val="32"/>
          <w:lang w:val="zh-CN"/>
        </w:rPr>
        <w:t>（二）资金计划、到位及使用情况</w:t>
      </w:r>
    </w:p>
    <w:p w14:paraId="3876BAA5">
      <w:pPr>
        <w:spacing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1．资金计划。该补贴共计投资37元，其中价格补贴资金26万，按各供销社公司2022年10止实际销售物资台账为准。储备补贴资金11万用于资金占用利息。支付农资储备仓储租赁费及资金占用利息和价格补贴资金原来2%的标准从2022年10月1日起始增加到5%的标准实行农资商品价格补助。</w:t>
      </w:r>
    </w:p>
    <w:p w14:paraId="416AD39C">
      <w:pPr>
        <w:spacing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2．资金到位。茂县财政于2022年10月下达了该资金37万元。</w:t>
      </w:r>
    </w:p>
    <w:p w14:paraId="59DF252C">
      <w:pPr>
        <w:spacing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3．资金使用。按各供销社公司2022年10止实际销售物资台账和采购发票进行匹配资金。</w:t>
      </w:r>
    </w:p>
    <w:p w14:paraId="78A498CC">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（三）项目财务管理情况</w:t>
      </w:r>
    </w:p>
    <w:p w14:paraId="16BC057F">
      <w:pPr>
        <w:spacing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总体评价各项目实施单位财务管理制度是否健全，是否严格执行财务管理制度，账务处理是否及时，会计核算是否规范等。</w:t>
      </w:r>
    </w:p>
    <w:p w14:paraId="49E07D93">
      <w:pPr>
        <w:adjustRightInd w:val="0"/>
        <w:snapToGrid w:val="0"/>
        <w:spacing w:line="600" w:lineRule="exact"/>
        <w:ind w:firstLine="720"/>
        <w:rPr>
          <w:rFonts w:ascii="黑体" w:eastAsia="黑体"/>
          <w:sz w:val="32"/>
          <w:szCs w:val="32"/>
        </w:rPr>
      </w:pPr>
      <w:r>
        <w:rPr>
          <w:rFonts w:hint="eastAsia" w:ascii="黑体" w:eastAsia="黑体"/>
          <w:sz w:val="32"/>
          <w:szCs w:val="32"/>
        </w:rPr>
        <w:t>三、项目实施及管理情况</w:t>
      </w:r>
    </w:p>
    <w:p w14:paraId="36019F12">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（一）项目组织架构及实施流程</w:t>
      </w:r>
    </w:p>
    <w:p w14:paraId="25AD78F9">
      <w:pPr>
        <w:spacing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根据阿州财农【2022】26号文件精神，结合本县实情制定本方案。将补贴资金除支付农资储备仓储租赁费及资金占用利息外，价格补贴资金原来2%的标准从2022年10月1日起始增加到5%的标准实行农资商品价格补助，即凡在供销社农资公司门市部和享受补贴的基层供销社购买农业生产资料100元的用户都可享受人民币5元直补并当场兑现。</w:t>
      </w:r>
    </w:p>
    <w:p w14:paraId="53DEA5E0">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（二）项目管理情况</w:t>
      </w:r>
    </w:p>
    <w:p w14:paraId="7AE63FF9">
      <w:pPr>
        <w:spacing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结合项目特点，总体评价各项目实施单位执行相关法律法规及项目管理制度等情况，如招投标、政府采购、项目公示制等相关规定。</w:t>
      </w:r>
    </w:p>
    <w:p w14:paraId="49A7A41C">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（三）项目监管情况</w:t>
      </w:r>
    </w:p>
    <w:p w14:paraId="1ED53154">
      <w:pPr>
        <w:spacing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根据阿州财农【2022】26号文件精神,成立基层联社工作领导小组,便于县级主管部门和镇两级协调配合，在补贴实施过程中，县级主管部门对镇级基层联社指导监督进行不定时监督巡查、镇对部门上报补贴进展工作等基本情况。</w:t>
      </w:r>
    </w:p>
    <w:p w14:paraId="670086B4">
      <w:pPr>
        <w:adjustRightInd w:val="0"/>
        <w:snapToGrid w:val="0"/>
        <w:spacing w:line="600" w:lineRule="exact"/>
        <w:ind w:firstLine="720"/>
        <w:rPr>
          <w:rFonts w:ascii="仿宋_GB2312" w:eastAsia="仿宋_GB2312"/>
          <w:sz w:val="32"/>
          <w:szCs w:val="32"/>
          <w:lang w:val="zh-CN"/>
        </w:rPr>
      </w:pPr>
      <w:r>
        <w:rPr>
          <w:rFonts w:hint="eastAsia" w:ascii="黑体" w:eastAsia="黑体"/>
          <w:sz w:val="32"/>
          <w:szCs w:val="32"/>
        </w:rPr>
        <w:t>四、项目绩效情况</w:t>
      </w:r>
      <w:r>
        <w:rPr>
          <w:rFonts w:hint="eastAsia" w:ascii="仿宋_GB2312" w:eastAsia="仿宋_GB2312"/>
          <w:sz w:val="32"/>
          <w:szCs w:val="32"/>
          <w:lang w:val="zh-CN"/>
        </w:rPr>
        <w:tab/>
      </w:r>
    </w:p>
    <w:p w14:paraId="1471816D">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（一）项目完成情况</w:t>
      </w:r>
    </w:p>
    <w:p w14:paraId="043D19C7">
      <w:pPr>
        <w:spacing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阿州财农【2022】26号文件精神,我社37万元补贴资金，执行于2022年</w:t>
      </w:r>
      <w:r>
        <w:rPr>
          <w:rFonts w:ascii="仿宋_GB2312" w:eastAsia="仿宋_GB2312"/>
          <w:sz w:val="32"/>
          <w:szCs w:val="32"/>
          <w:lang w:val="zh-CN"/>
        </w:rPr>
        <w:t>12月底</w:t>
      </w:r>
      <w:r>
        <w:rPr>
          <w:rFonts w:hint="eastAsia" w:ascii="仿宋_GB2312" w:eastAsia="仿宋_GB2312"/>
          <w:sz w:val="32"/>
          <w:szCs w:val="32"/>
          <w:lang w:val="zh-CN"/>
        </w:rPr>
        <w:t>我社</w:t>
      </w:r>
      <w:r>
        <w:rPr>
          <w:rFonts w:ascii="仿宋_GB2312" w:eastAsia="仿宋_GB2312"/>
          <w:sz w:val="32"/>
          <w:szCs w:val="32"/>
          <w:lang w:val="zh-CN"/>
        </w:rPr>
        <w:t>剩余农资补贴13.604万元</w:t>
      </w:r>
      <w:r>
        <w:rPr>
          <w:rFonts w:hint="eastAsia" w:ascii="仿宋_GB2312" w:eastAsia="仿宋_GB2312"/>
          <w:sz w:val="32"/>
          <w:szCs w:val="32"/>
          <w:lang w:val="zh-CN"/>
        </w:rPr>
        <w:t>因零余额账户未清零</w:t>
      </w:r>
      <w:r>
        <w:rPr>
          <w:rFonts w:ascii="仿宋_GB2312" w:eastAsia="仿宋_GB2312"/>
          <w:sz w:val="32"/>
          <w:szCs w:val="32"/>
          <w:lang w:val="zh-CN"/>
        </w:rPr>
        <w:t>被</w:t>
      </w:r>
      <w:r>
        <w:rPr>
          <w:rFonts w:hint="eastAsia" w:ascii="仿宋_GB2312" w:eastAsia="仿宋_GB2312"/>
          <w:sz w:val="32"/>
          <w:szCs w:val="32"/>
          <w:lang w:val="zh-CN"/>
        </w:rPr>
        <w:t>县</w:t>
      </w:r>
      <w:r>
        <w:rPr>
          <w:rFonts w:ascii="仿宋_GB2312" w:eastAsia="仿宋_GB2312"/>
          <w:sz w:val="32"/>
          <w:szCs w:val="32"/>
          <w:lang w:val="zh-CN"/>
        </w:rPr>
        <w:t>财政收回</w:t>
      </w:r>
      <w:r>
        <w:rPr>
          <w:rFonts w:hint="eastAsia" w:ascii="仿宋_GB2312" w:eastAsia="仿宋_GB2312"/>
          <w:sz w:val="32"/>
          <w:szCs w:val="32"/>
          <w:lang w:val="zh-CN"/>
        </w:rPr>
        <w:t>。</w:t>
      </w:r>
    </w:p>
    <w:p w14:paraId="38648E69">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（二）项目效益情况</w:t>
      </w:r>
    </w:p>
    <w:p w14:paraId="57631924">
      <w:pPr>
        <w:spacing w:line="576" w:lineRule="exact"/>
        <w:ind w:firstLine="640" w:firstLineChars="200"/>
        <w:rPr>
          <w:rFonts w:hint="eastAsia" w:ascii="仿宋_GB2312" w:eastAsia="仿宋_GB2312"/>
          <w:sz w:val="32"/>
          <w:szCs w:val="32"/>
          <w:lang w:val="zh-CN"/>
        </w:rPr>
      </w:pPr>
      <w:r>
        <w:rPr>
          <w:rFonts w:hint="eastAsia" w:ascii="仿宋_GB2312" w:eastAsia="仿宋_GB2312"/>
          <w:sz w:val="32"/>
          <w:szCs w:val="32"/>
          <w:lang w:val="zh-CN"/>
        </w:rPr>
        <w:t>为有效控制农资市场价格，统一配送，保证农民用上放心化肥产品的同时，有效杜绝假冒伪劣产品进入当地市场。切实保障全州农业生产需要促进农民增收，引导广大农民群众使用配方肥和有机肥，降低土地面源污染，推动我县绿色，生态农业发展。</w:t>
      </w:r>
    </w:p>
    <w:p w14:paraId="5A561866">
      <w:pPr>
        <w:spacing w:line="576" w:lineRule="exact"/>
        <w:ind w:firstLine="640" w:firstLineChars="200"/>
        <w:rPr>
          <w:rFonts w:hint="eastAsia" w:ascii="仿宋_GB2312" w:eastAsia="仿宋_GB2312"/>
          <w:sz w:val="32"/>
          <w:szCs w:val="32"/>
          <w:lang w:val="zh-CN"/>
        </w:rPr>
      </w:pPr>
    </w:p>
    <w:p w14:paraId="57057425">
      <w:pPr>
        <w:spacing w:line="576" w:lineRule="exact"/>
        <w:ind w:firstLine="640" w:firstLineChars="200"/>
        <w:rPr>
          <w:rFonts w:hint="eastAsia" w:ascii="仿宋_GB2312" w:eastAsia="仿宋_GB2312"/>
          <w:sz w:val="32"/>
          <w:szCs w:val="32"/>
          <w:lang w:val="zh-CN"/>
        </w:rPr>
      </w:pPr>
    </w:p>
    <w:p w14:paraId="77C6B5BB">
      <w:pPr>
        <w:spacing w:line="576" w:lineRule="exact"/>
        <w:ind w:firstLine="640" w:firstLineChars="200"/>
        <w:rPr>
          <w:rFonts w:hint="eastAsia" w:ascii="仿宋_GB2312" w:eastAsia="仿宋_GB2312"/>
          <w:sz w:val="32"/>
          <w:szCs w:val="32"/>
          <w:lang w:val="zh-CN"/>
        </w:rPr>
      </w:pPr>
    </w:p>
    <w:p w14:paraId="68899150">
      <w:pPr>
        <w:spacing w:line="576" w:lineRule="exact"/>
        <w:ind w:firstLine="640" w:firstLineChars="200"/>
        <w:rPr>
          <w:rFonts w:ascii="仿宋_GB2312" w:eastAsia="仿宋_GB2312"/>
          <w:sz w:val="32"/>
          <w:szCs w:val="32"/>
          <w:lang w:val="zh-CN"/>
        </w:rPr>
      </w:pPr>
    </w:p>
    <w:p w14:paraId="7D309248">
      <w:pPr>
        <w:pStyle w:val="40"/>
        <w:spacing w:line="576" w:lineRule="exact"/>
        <w:jc w:val="left"/>
        <w:rPr>
          <w:rFonts w:ascii="仿宋_GB2312" w:eastAsia="仿宋_GB2312"/>
          <w:sz w:val="32"/>
          <w:szCs w:val="32"/>
        </w:rPr>
      </w:pPr>
      <w:r>
        <w:rPr>
          <w:rFonts w:hint="eastAsia" w:ascii="仿宋_GB2312" w:eastAsia="仿宋_GB2312"/>
          <w:sz w:val="32"/>
          <w:szCs w:val="32"/>
        </w:rPr>
        <w:t>附件3</w:t>
      </w:r>
    </w:p>
    <w:p w14:paraId="1C6ECB68">
      <w:pPr>
        <w:pStyle w:val="40"/>
        <w:spacing w:line="576" w:lineRule="exact"/>
        <w:jc w:val="center"/>
        <w:rPr>
          <w:rFonts w:ascii="方正小标宋简体" w:eastAsia="方正小标宋简体"/>
          <w:sz w:val="44"/>
          <w:szCs w:val="44"/>
          <w:lang w:val="en-US"/>
        </w:rPr>
      </w:pPr>
      <w:r>
        <w:rPr>
          <w:rFonts w:hint="eastAsia" w:ascii="方正小标宋简体" w:eastAsia="方正小标宋简体"/>
          <w:sz w:val="44"/>
          <w:szCs w:val="44"/>
          <w:lang w:val="en-US"/>
        </w:rPr>
        <w:t>茂县供销合作社联合社</w:t>
      </w:r>
    </w:p>
    <w:p w14:paraId="196F3C9C">
      <w:pPr>
        <w:pStyle w:val="40"/>
        <w:spacing w:line="576" w:lineRule="exact"/>
        <w:jc w:val="center"/>
        <w:rPr>
          <w:rFonts w:ascii="方正小标宋简体" w:eastAsia="方正小标宋简体"/>
          <w:sz w:val="44"/>
          <w:szCs w:val="44"/>
          <w:lang w:val="en-US"/>
        </w:rPr>
      </w:pPr>
      <w:r>
        <w:rPr>
          <w:rFonts w:hint="eastAsia" w:ascii="方正小标宋简体" w:eastAsia="方正小标宋简体"/>
          <w:sz w:val="44"/>
          <w:szCs w:val="44"/>
          <w:lang w:val="en-US"/>
        </w:rPr>
        <w:t>2022年茂县“三社”融合发展试点补助资金</w:t>
      </w:r>
    </w:p>
    <w:p w14:paraId="718C0497">
      <w:pPr>
        <w:pStyle w:val="40"/>
        <w:spacing w:line="576" w:lineRule="exact"/>
        <w:jc w:val="center"/>
        <w:rPr>
          <w:rFonts w:ascii="方正小标宋简体" w:eastAsia="方正小标宋简体"/>
          <w:sz w:val="44"/>
          <w:szCs w:val="44"/>
        </w:rPr>
      </w:pPr>
      <w:r>
        <w:rPr>
          <w:rFonts w:hint="eastAsia" w:ascii="方正小标宋简体" w:eastAsia="方正小标宋简体"/>
          <w:sz w:val="44"/>
          <w:szCs w:val="44"/>
        </w:rPr>
        <w:t>绩效自评报告</w:t>
      </w:r>
    </w:p>
    <w:p w14:paraId="1FC10BE4">
      <w:pPr>
        <w:adjustRightInd w:val="0"/>
        <w:snapToGrid w:val="0"/>
        <w:spacing w:line="600" w:lineRule="exact"/>
        <w:ind w:firstLine="720"/>
        <w:rPr>
          <w:rFonts w:ascii="黑体" w:eastAsia="黑体"/>
          <w:sz w:val="32"/>
          <w:szCs w:val="32"/>
          <w:lang w:val="zh-CN"/>
        </w:rPr>
      </w:pPr>
      <w:r>
        <w:rPr>
          <w:rFonts w:hint="eastAsia" w:ascii="黑体" w:eastAsia="黑体"/>
          <w:sz w:val="32"/>
          <w:szCs w:val="32"/>
        </w:rPr>
        <w:t>一、</w:t>
      </w:r>
      <w:r>
        <w:rPr>
          <w:rFonts w:hint="eastAsia" w:ascii="黑体" w:eastAsia="黑体"/>
          <w:sz w:val="32"/>
          <w:szCs w:val="32"/>
          <w:lang w:val="zh-CN"/>
        </w:rPr>
        <w:t>项目概况</w:t>
      </w:r>
    </w:p>
    <w:p w14:paraId="7A0BA741">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（一）项目基本情况</w:t>
      </w:r>
    </w:p>
    <w:p w14:paraId="2671D728">
      <w:pPr>
        <w:spacing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1．项目资金由茂县供销合作社联合社负责监管，确保资金的安全和到位的及时性，对项目实施单位监督实施和管理。</w:t>
      </w:r>
    </w:p>
    <w:p w14:paraId="21F0CF17">
      <w:pPr>
        <w:spacing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2．我社按照《阿坝州供销社关于开展“三社”融合试点的实施方案的通知》（阿州供〔2022〕7号）文件要求，于2022年6月向乡村振兴局申请10万元《关于申请“三社”融合发展试点补助资金的函》，当月收到《茂县财政局关于下达2022年统筹整合使用财政涉农项目资金（第二批）的通知》（茂财农〔2022〕24-6号）文件下达资金10万元。</w:t>
      </w:r>
    </w:p>
    <w:p w14:paraId="4F06C706">
      <w:pPr>
        <w:spacing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3．按照《阿坝州供销社关于开展“三社”融合试点的实施方案的通知》（阿州供〔2022〕7号）文件,该补助资金共10万元。</w:t>
      </w:r>
    </w:p>
    <w:p w14:paraId="16C7EDF8">
      <w:pPr>
        <w:spacing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4．该项目由茂县供销合作社农业生产资料公司与上关村集体经济组织、阿坝食途农业有限公司“三社”融合发展10年，每年按10%的固定回报率（其中上关村集体经济组织40%，阿坝食途农业有限公司30%，茂县供销合作社农业生产资料公司留30%）进行分红的方式建立“三社”利益联结机制。促进“三社”融合发展，促进企业和村集体收入。</w:t>
      </w:r>
    </w:p>
    <w:p w14:paraId="3DA45322">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（二）项目绩效目标</w:t>
      </w:r>
    </w:p>
    <w:p w14:paraId="5A435D66">
      <w:pPr>
        <w:spacing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1．通过茂县供销合作社农业生产资料公司与上关村集体经济组织、阿坝食途农业有限公司“三社”融合发展10年，每年按10%的固定回报率。</w:t>
      </w:r>
    </w:p>
    <w:p w14:paraId="29594922">
      <w:pPr>
        <w:spacing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2．促进茂县供销合作社联合社农业生产资料公司、上关村集体经济组织和阿坝食途农业有限公司融合发展。一是贫困人口加入村集体经济组织≥750人，二是资产年收益率≥1万元，三是受益建档立卡贫困人口≥123人，四是资产入股脱贫人口满意度≥90%。</w:t>
      </w:r>
    </w:p>
    <w:p w14:paraId="0107A68C">
      <w:pPr>
        <w:spacing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3．该项目资金使用符合国家财经法规和财务管理制度及有关专项资金管理办法规定；资金拨付有完整的审批程序和手续；符合项目预算批复或合同规定用途；不存在截留、挤占、挪用、虚列支出等情况，符合相关财务会计制度的规定，符合国家规定。</w:t>
      </w:r>
    </w:p>
    <w:p w14:paraId="21599307">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（三）项目自评步骤及方法</w:t>
      </w:r>
    </w:p>
    <w:p w14:paraId="0C5BDE88">
      <w:pPr>
        <w:spacing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2022年茂县“三社”融合发展试点补助资金绩效评估工作通过自行评估方式开展。按照有关规定和工作安排，我单位开展自行评估，通过查阅资料、收集数据信息等，形成绩效评估报告。本项目通过现场查看、与项目相关人员讨论、市场调查等方法了解项目情况，收集相关资料，综合分析相关情况后，对项目投入经济性、目标合理性、方案可行性以及筹资合规性实施评估。</w:t>
      </w:r>
    </w:p>
    <w:p w14:paraId="03158E95">
      <w:pPr>
        <w:adjustRightInd w:val="0"/>
        <w:snapToGrid w:val="0"/>
        <w:spacing w:line="600" w:lineRule="exact"/>
        <w:ind w:firstLine="720"/>
        <w:rPr>
          <w:rFonts w:ascii="黑体" w:eastAsia="黑体"/>
          <w:sz w:val="32"/>
          <w:szCs w:val="32"/>
        </w:rPr>
      </w:pPr>
      <w:r>
        <w:rPr>
          <w:rFonts w:hint="eastAsia" w:ascii="黑体" w:eastAsia="黑体"/>
          <w:sz w:val="32"/>
          <w:szCs w:val="32"/>
        </w:rPr>
        <w:t>二、项目资金申报及使用情况</w:t>
      </w:r>
    </w:p>
    <w:p w14:paraId="705998B8">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（一）项目资金申报及批复情况</w:t>
      </w:r>
    </w:p>
    <w:p w14:paraId="47CA035C">
      <w:pPr>
        <w:spacing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我社按照《阿坝州供销社关于开展“三社”融合试点的实施方案的通知》（阿州供〔2022〕7号）文件要求，于2022年6月向乡村振兴局申请10万元《关于申请“三社”融合发展试点补助资金的函》，当月收到《茂县财政局关于下达2022年统筹整合使用财政涉农项目资金（第二批）的通知》（茂财农〔2022〕24-6号）文件下达资金10万元。</w:t>
      </w:r>
    </w:p>
    <w:p w14:paraId="4A251CED">
      <w:pPr>
        <w:adjustRightInd w:val="0"/>
        <w:snapToGrid w:val="0"/>
        <w:spacing w:line="600" w:lineRule="exact"/>
        <w:ind w:firstLine="720"/>
        <w:rPr>
          <w:rFonts w:ascii="仿宋_GB2312" w:eastAsia="仿宋_GB2312"/>
          <w:sz w:val="32"/>
          <w:szCs w:val="32"/>
          <w:lang w:val="zh-CN"/>
        </w:rPr>
      </w:pPr>
      <w:r>
        <w:rPr>
          <w:rFonts w:hint="eastAsia" w:ascii="楷体_GB2312" w:eastAsia="楷体_GB2312"/>
          <w:b/>
          <w:sz w:val="32"/>
          <w:szCs w:val="32"/>
          <w:lang w:val="zh-CN"/>
        </w:rPr>
        <w:t>（二）资金计划、到位及使用情况</w:t>
      </w:r>
    </w:p>
    <w:p w14:paraId="11ECCE38">
      <w:pPr>
        <w:spacing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1．资金计划。根据阿州财农〔2022〕38号文件精神拨付我社财政专项扶贫资金、省级衔接资金上关村三社融合发展10万元。</w:t>
      </w:r>
    </w:p>
    <w:p w14:paraId="3D402C75">
      <w:pPr>
        <w:spacing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2．资金到位。该项目计划资金10万元，于2022年6月收到《茂县财政局关于下达2022年统筹整合使用财政涉农项目资金（第二批）的通知》（茂财农〔2022〕24-6号）文件下达资金10万元，资金到位率100%。</w:t>
      </w:r>
    </w:p>
    <w:p w14:paraId="0B6DE8CE">
      <w:pPr>
        <w:spacing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3．资金使用。项目经费采取直接支付的方式，截至2022年8月，茂县“三社”融合发展试点补助资金项目已完成，该项目共计投入资金10万元，于2022年8月底完成支付。</w:t>
      </w:r>
    </w:p>
    <w:p w14:paraId="3AFFA89C">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（三）项目财务管理情况</w:t>
      </w:r>
    </w:p>
    <w:p w14:paraId="3AC68E13">
      <w:pPr>
        <w:spacing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财务管理制度是健全，严格执行财务管理制度，账务处理及时，会计核算规范。由茂县供销合作社联合社农业生产资料公司、上关村集体经济组织和阿坝食途农业有限公司三方共同签订“三社”融合发展协议，根据“协议”中第一条规定，由茂县供销合作社联合社农业生产资料公司向我单位申请资金，联社批复后下达资金10万元于茂县供销合作社联合社农业生产资料公司，项目严格按照资金管理及时、规范对收支进行账务处理和会计核算。</w:t>
      </w:r>
    </w:p>
    <w:p w14:paraId="238B9501">
      <w:pPr>
        <w:adjustRightInd w:val="0"/>
        <w:snapToGrid w:val="0"/>
        <w:spacing w:line="600" w:lineRule="exact"/>
        <w:ind w:firstLine="720"/>
        <w:rPr>
          <w:rFonts w:ascii="黑体" w:eastAsia="黑体"/>
          <w:sz w:val="32"/>
          <w:szCs w:val="32"/>
        </w:rPr>
      </w:pPr>
      <w:r>
        <w:rPr>
          <w:rFonts w:hint="eastAsia" w:ascii="黑体" w:eastAsia="黑体"/>
          <w:sz w:val="32"/>
          <w:szCs w:val="32"/>
        </w:rPr>
        <w:t>三、项目实施及管理情况</w:t>
      </w:r>
    </w:p>
    <w:p w14:paraId="6FA4EFE5">
      <w:pPr>
        <w:adjustRightInd w:val="0"/>
        <w:snapToGrid w:val="0"/>
        <w:spacing w:line="576" w:lineRule="exact"/>
        <w:ind w:firstLine="720"/>
        <w:rPr>
          <w:rFonts w:ascii="楷体_GB2312" w:eastAsia="楷体_GB2312"/>
          <w:b/>
          <w:sz w:val="32"/>
          <w:szCs w:val="32"/>
          <w:lang w:val="zh-CN"/>
        </w:rPr>
      </w:pPr>
      <w:r>
        <w:rPr>
          <w:rFonts w:hint="eastAsia" w:ascii="楷体_GB2312" w:eastAsia="楷体_GB2312"/>
          <w:b/>
          <w:sz w:val="32"/>
          <w:szCs w:val="32"/>
          <w:lang w:val="zh-CN"/>
        </w:rPr>
        <w:t>（一）项目组织架构及实施流程</w:t>
      </w:r>
    </w:p>
    <w:p w14:paraId="6BD1F5B7">
      <w:pPr>
        <w:spacing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由茂县供销合作社联合社农业生产资料公司、上关村集体经济组织和阿坝食途农业有限公司三方共同签订“三社”融合发展协议，根据“协议”中第一条规定，由茂县供销合作社联合社农业生产资料公司向我单位申请资金，联社批复后下达资金10万元于茂县供销合作社联合社农业生产资料公司，项目严格按照资金管理及时、规范对收支进行账务处理和会计核算。</w:t>
      </w:r>
    </w:p>
    <w:p w14:paraId="3E159F17">
      <w:pPr>
        <w:adjustRightInd w:val="0"/>
        <w:snapToGrid w:val="0"/>
        <w:spacing w:line="576" w:lineRule="exact"/>
        <w:ind w:firstLine="643" w:firstLineChars="200"/>
        <w:rPr>
          <w:rFonts w:ascii="楷体_GB2312" w:eastAsia="楷体_GB2312"/>
          <w:b/>
          <w:sz w:val="32"/>
          <w:szCs w:val="32"/>
          <w:lang w:val="zh-CN"/>
        </w:rPr>
      </w:pPr>
      <w:r>
        <w:rPr>
          <w:rFonts w:hint="eastAsia" w:ascii="楷体_GB2312" w:eastAsia="楷体_GB2312"/>
          <w:b/>
          <w:sz w:val="32"/>
          <w:szCs w:val="32"/>
          <w:lang w:val="zh-CN"/>
        </w:rPr>
        <w:t>（二）项目管理情况</w:t>
      </w:r>
    </w:p>
    <w:p w14:paraId="5D0CF2A5">
      <w:pPr>
        <w:spacing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根据三方签订的“三社”融合协议第五条规定，由茂县供销合作社联合社农业生产资料公司按照约定比例将资金转到上关村集体经济组织和阿坝食途农业有限公司指定账户。</w:t>
      </w:r>
    </w:p>
    <w:p w14:paraId="309F8D67">
      <w:pPr>
        <w:adjustRightInd w:val="0"/>
        <w:snapToGrid w:val="0"/>
        <w:spacing w:line="576" w:lineRule="exact"/>
        <w:ind w:firstLine="643" w:firstLineChars="200"/>
        <w:rPr>
          <w:rFonts w:ascii="楷体_GB2312" w:eastAsia="楷体_GB2312"/>
          <w:b/>
          <w:sz w:val="32"/>
          <w:szCs w:val="32"/>
          <w:lang w:val="zh-CN"/>
        </w:rPr>
      </w:pPr>
      <w:r>
        <w:rPr>
          <w:rFonts w:hint="eastAsia" w:ascii="楷体_GB2312" w:eastAsia="楷体_GB2312"/>
          <w:b/>
          <w:sz w:val="32"/>
          <w:szCs w:val="32"/>
          <w:lang w:val="zh-CN"/>
        </w:rPr>
        <w:t>（三）项目监管情况</w:t>
      </w:r>
    </w:p>
    <w:p w14:paraId="67804976">
      <w:pPr>
        <w:spacing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项目资金由茂县供销合作社联合社负责监管，确保资金的安全。</w:t>
      </w:r>
    </w:p>
    <w:p w14:paraId="51550016">
      <w:pPr>
        <w:adjustRightInd w:val="0"/>
        <w:snapToGrid w:val="0"/>
        <w:spacing w:line="600" w:lineRule="exact"/>
        <w:ind w:firstLine="720"/>
        <w:rPr>
          <w:rFonts w:ascii="仿宋_GB2312" w:eastAsia="仿宋_GB2312"/>
          <w:sz w:val="32"/>
          <w:szCs w:val="32"/>
          <w:lang w:val="zh-CN"/>
        </w:rPr>
      </w:pPr>
      <w:r>
        <w:rPr>
          <w:rFonts w:hint="eastAsia" w:ascii="黑体" w:eastAsia="黑体"/>
          <w:sz w:val="32"/>
          <w:szCs w:val="32"/>
        </w:rPr>
        <w:t>四、项目绩效情况</w:t>
      </w:r>
      <w:r>
        <w:rPr>
          <w:rFonts w:hint="eastAsia" w:ascii="仿宋_GB2312" w:eastAsia="仿宋_GB2312"/>
          <w:sz w:val="32"/>
          <w:szCs w:val="32"/>
          <w:lang w:val="zh-CN"/>
        </w:rPr>
        <w:tab/>
      </w:r>
    </w:p>
    <w:p w14:paraId="42FE9BC5">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（一）项目完成情况</w:t>
      </w:r>
    </w:p>
    <w:p w14:paraId="08733BE4">
      <w:pPr>
        <w:spacing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一是贫困人口加入村集体经济组织≥750人，二是资产年收益率≥1万元，三是受益建档立卡贫困人口≥123人，四是资产入股脱贫人口满意度≥90%。</w:t>
      </w:r>
    </w:p>
    <w:p w14:paraId="2D282D81">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（二）项目效益情况</w:t>
      </w:r>
    </w:p>
    <w:p w14:paraId="36245298">
      <w:pPr>
        <w:spacing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该项目实施后，促进了茂县供销合作社联合社农业生产资料公司、上关村集体经济组织和阿坝食途农业有限公司“三社”融合发展，显著提高“三社”收益，进而提升农户的收入。</w:t>
      </w:r>
    </w:p>
    <w:p w14:paraId="0D742BE3">
      <w:pPr>
        <w:pStyle w:val="16"/>
        <w:ind w:left="217" w:leftChars="9" w:hanging="198" w:hangingChars="62"/>
      </w:pPr>
    </w:p>
    <w:p w14:paraId="4FA3F0B5"/>
    <w:p w14:paraId="232E97DB"/>
    <w:p w14:paraId="60B71E9B"/>
    <w:p w14:paraId="6F4B520D"/>
    <w:p w14:paraId="36985EBD"/>
    <w:p w14:paraId="4371D61D"/>
    <w:p w14:paraId="148FE268"/>
    <w:p w14:paraId="2C81F864"/>
    <w:p w14:paraId="49EBDE2A"/>
    <w:p w14:paraId="03517242"/>
    <w:p w14:paraId="6100BAF9"/>
    <w:p w14:paraId="69242A99"/>
    <w:p w14:paraId="21F1CEE1"/>
    <w:p w14:paraId="002E133F"/>
    <w:p w14:paraId="26F4ADF4"/>
    <w:p w14:paraId="22E6028D"/>
    <w:p w14:paraId="08D095DC"/>
    <w:p w14:paraId="67DE7A6E"/>
    <w:p w14:paraId="14093CC5"/>
    <w:p w14:paraId="0A83CAAF"/>
    <w:p w14:paraId="36C3E1E6"/>
    <w:p w14:paraId="66414080"/>
    <w:p w14:paraId="0DEF480A"/>
    <w:p w14:paraId="132DA63E"/>
    <w:p w14:paraId="668A0668"/>
    <w:p w14:paraId="404A8C8E"/>
    <w:p w14:paraId="07BD4EB2"/>
    <w:p w14:paraId="473DCF97"/>
    <w:p w14:paraId="7231A036"/>
    <w:p w14:paraId="5B343812"/>
    <w:p w14:paraId="4DBCB5D1"/>
    <w:p w14:paraId="780D09F3"/>
    <w:p w14:paraId="1D561C5D">
      <w:pPr>
        <w:pStyle w:val="40"/>
        <w:spacing w:line="576" w:lineRule="exact"/>
        <w:jc w:val="left"/>
        <w:rPr>
          <w:rFonts w:ascii="仿宋_GB2312" w:eastAsia="仿宋_GB2312"/>
          <w:sz w:val="32"/>
          <w:szCs w:val="32"/>
          <w:lang w:val="en-US"/>
        </w:rPr>
      </w:pPr>
      <w:r>
        <w:rPr>
          <w:rFonts w:hint="eastAsia" w:ascii="仿宋_GB2312" w:eastAsia="仿宋_GB2312"/>
          <w:sz w:val="32"/>
          <w:szCs w:val="32"/>
          <w:lang w:val="en-US"/>
        </w:rPr>
        <w:t>附件4</w:t>
      </w:r>
    </w:p>
    <w:p w14:paraId="74213FEC">
      <w:pPr>
        <w:pStyle w:val="40"/>
        <w:spacing w:line="576" w:lineRule="exact"/>
        <w:jc w:val="center"/>
        <w:rPr>
          <w:rFonts w:ascii="方正小标宋简体" w:eastAsia="方正小标宋简体"/>
          <w:sz w:val="44"/>
          <w:szCs w:val="44"/>
          <w:lang w:val="en-US"/>
        </w:rPr>
      </w:pPr>
      <w:r>
        <w:rPr>
          <w:rFonts w:hint="eastAsia" w:ascii="方正小标宋简体" w:eastAsia="方正小标宋简体"/>
          <w:sz w:val="44"/>
          <w:szCs w:val="44"/>
          <w:lang w:val="en-US"/>
        </w:rPr>
        <w:t>茂县供销合作社联合社</w:t>
      </w:r>
    </w:p>
    <w:p w14:paraId="79315F90">
      <w:pPr>
        <w:pStyle w:val="40"/>
        <w:spacing w:line="576" w:lineRule="exact"/>
        <w:jc w:val="center"/>
        <w:rPr>
          <w:rFonts w:ascii="方正小标宋简体" w:eastAsia="方正小标宋简体"/>
          <w:sz w:val="44"/>
          <w:szCs w:val="44"/>
          <w:lang w:val="en-US"/>
        </w:rPr>
      </w:pPr>
      <w:r>
        <w:rPr>
          <w:rFonts w:hint="eastAsia" w:ascii="方正小标宋简体" w:eastAsia="方正小标宋简体"/>
          <w:sz w:val="44"/>
          <w:szCs w:val="44"/>
          <w:lang w:val="en-US"/>
        </w:rPr>
        <w:t>2022年交流交往交融项目资金</w:t>
      </w:r>
    </w:p>
    <w:p w14:paraId="47D5803D">
      <w:pPr>
        <w:pStyle w:val="40"/>
        <w:spacing w:line="576" w:lineRule="exact"/>
        <w:jc w:val="center"/>
        <w:rPr>
          <w:rFonts w:ascii="方正小标宋简体" w:eastAsia="方正小标宋简体"/>
          <w:sz w:val="44"/>
          <w:szCs w:val="44"/>
        </w:rPr>
      </w:pPr>
      <w:r>
        <w:rPr>
          <w:rFonts w:hint="eastAsia" w:ascii="方正小标宋简体" w:eastAsia="方正小标宋简体"/>
          <w:sz w:val="44"/>
          <w:szCs w:val="44"/>
        </w:rPr>
        <w:t>绩效自评报告</w:t>
      </w:r>
    </w:p>
    <w:p w14:paraId="47FDF9FF">
      <w:pPr>
        <w:adjustRightInd w:val="0"/>
        <w:snapToGrid w:val="0"/>
        <w:spacing w:line="600" w:lineRule="exact"/>
        <w:ind w:firstLine="720"/>
        <w:rPr>
          <w:rFonts w:ascii="黑体" w:eastAsia="黑体"/>
          <w:sz w:val="32"/>
          <w:szCs w:val="32"/>
          <w:lang w:val="zh-CN"/>
        </w:rPr>
      </w:pPr>
      <w:r>
        <w:rPr>
          <w:rFonts w:hint="eastAsia" w:ascii="黑体" w:eastAsia="黑体"/>
          <w:sz w:val="32"/>
          <w:szCs w:val="32"/>
        </w:rPr>
        <w:t>一、</w:t>
      </w:r>
      <w:r>
        <w:rPr>
          <w:rFonts w:hint="eastAsia" w:ascii="黑体" w:eastAsia="黑体"/>
          <w:sz w:val="32"/>
          <w:szCs w:val="32"/>
          <w:lang w:val="zh-CN"/>
        </w:rPr>
        <w:t>项目概况</w:t>
      </w:r>
    </w:p>
    <w:p w14:paraId="13484640">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（一）项目基本情况</w:t>
      </w:r>
    </w:p>
    <w:p w14:paraId="1D56CA1F">
      <w:pPr>
        <w:spacing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1．项目资金由茂县供销合作社联合社负责监管，确保资金的安全和到位的及时性，对项目实施单位监督实施和管理。</w:t>
      </w:r>
    </w:p>
    <w:p w14:paraId="433CE309">
      <w:pPr>
        <w:spacing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2．我社按照</w:t>
      </w:r>
      <w:r>
        <w:rPr>
          <w:rFonts w:ascii="仿宋_GB2312" w:eastAsia="仿宋_GB2312"/>
          <w:sz w:val="32"/>
          <w:szCs w:val="32"/>
          <w:lang w:val="zh-CN"/>
        </w:rPr>
        <w:t>根据《关于报送2022年浙江对口支援项目实施方案的通知》要求</w:t>
      </w:r>
      <w:r>
        <w:rPr>
          <w:rFonts w:hint="eastAsia" w:ascii="仿宋_GB2312" w:eastAsia="仿宋_GB2312"/>
          <w:sz w:val="32"/>
          <w:szCs w:val="32"/>
          <w:lang w:val="zh-CN"/>
        </w:rPr>
        <w:t>，申报项目预算金额为25万元（资金来源为对口援建交流交往交融项目资金25万元）。</w:t>
      </w:r>
    </w:p>
    <w:p w14:paraId="141D3B29">
      <w:pPr>
        <w:spacing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3．项目由《平湖-茂县东西部协作框架协议》《供销合作暨数字农业和服务平台共建协议》等相关协议，</w:t>
      </w:r>
      <w:r>
        <w:rPr>
          <w:rFonts w:ascii="仿宋_GB2312" w:eastAsia="仿宋_GB2312"/>
          <w:sz w:val="32"/>
          <w:szCs w:val="32"/>
          <w:lang w:val="zh-CN"/>
        </w:rPr>
        <w:t>按照县委</w:t>
      </w:r>
      <w:r>
        <w:rPr>
          <w:rFonts w:hint="eastAsia" w:ascii="仿宋_GB2312" w:eastAsia="仿宋_GB2312"/>
          <w:sz w:val="32"/>
          <w:szCs w:val="32"/>
          <w:lang w:val="zh-CN"/>
        </w:rPr>
        <w:t>县</w:t>
      </w:r>
      <w:r>
        <w:rPr>
          <w:rFonts w:ascii="仿宋_GB2312" w:eastAsia="仿宋_GB2312"/>
          <w:sz w:val="32"/>
          <w:szCs w:val="32"/>
          <w:lang w:val="zh-CN"/>
        </w:rPr>
        <w:t>政府安排，根据《关于报送2022年浙江对口支援项目实施方案的通知》要求</w:t>
      </w:r>
      <w:r>
        <w:rPr>
          <w:rFonts w:hint="eastAsia" w:ascii="仿宋_GB2312" w:eastAsia="仿宋_GB2312"/>
          <w:sz w:val="32"/>
          <w:szCs w:val="32"/>
          <w:lang w:val="zh-CN"/>
        </w:rPr>
        <w:t>和茂县对口支援和省内对口帮扶工作领导小组第一次会议原则同意并实施。</w:t>
      </w:r>
    </w:p>
    <w:p w14:paraId="21113CBC">
      <w:pPr>
        <w:spacing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4．通过实地考察、农产品推广品鉴等方式，与平湖市结对交流。赴平湖考察学习（交通、住宿、用餐、医疗物资、农产品品鉴推介产品、农产品运输‘含燃油费’、考察接待）。</w:t>
      </w:r>
    </w:p>
    <w:p w14:paraId="0B8979A7">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（二）项目绩效目标</w:t>
      </w:r>
    </w:p>
    <w:p w14:paraId="2003C74E">
      <w:pPr>
        <w:spacing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1．</w:t>
      </w:r>
      <w:r>
        <w:rPr>
          <w:rFonts w:ascii="仿宋_GB2312" w:eastAsia="仿宋_GB2312"/>
          <w:sz w:val="32"/>
          <w:szCs w:val="32"/>
          <w:lang w:val="zh-CN"/>
        </w:rPr>
        <w:t>通过实地考察、农产品推广品鉴等方式，与平湖市结对交流。依托我县丰富的农产品资源优势，通过平湖市供销系统的宣传，</w:t>
      </w:r>
      <w:r>
        <w:rPr>
          <w:rFonts w:hint="eastAsia" w:ascii="仿宋_GB2312" w:eastAsia="仿宋_GB2312"/>
          <w:sz w:val="32"/>
          <w:szCs w:val="32"/>
          <w:lang w:val="zh-CN"/>
        </w:rPr>
        <w:t>动员各级机关、企事业单位把</w:t>
      </w:r>
      <w:r>
        <w:rPr>
          <w:rFonts w:ascii="仿宋_GB2312" w:eastAsia="仿宋_GB2312"/>
          <w:sz w:val="32"/>
          <w:szCs w:val="32"/>
          <w:lang w:val="zh-CN"/>
        </w:rPr>
        <w:t>我县农产品</w:t>
      </w:r>
      <w:r>
        <w:rPr>
          <w:rFonts w:hint="eastAsia" w:ascii="仿宋_GB2312" w:eastAsia="仿宋_GB2312"/>
          <w:sz w:val="32"/>
          <w:szCs w:val="32"/>
          <w:lang w:val="zh-CN"/>
        </w:rPr>
        <w:t>作为食堂原材料采购重要来源，鼓励干部职工、社会各界</w:t>
      </w:r>
      <w:r>
        <w:rPr>
          <w:rFonts w:ascii="仿宋_GB2312" w:eastAsia="仿宋_GB2312"/>
          <w:sz w:val="32"/>
          <w:szCs w:val="32"/>
          <w:lang w:val="zh-CN"/>
        </w:rPr>
        <w:t>人士通过</w:t>
      </w:r>
      <w:r>
        <w:rPr>
          <w:rFonts w:hint="eastAsia" w:ascii="仿宋_GB2312" w:eastAsia="仿宋_GB2312"/>
          <w:sz w:val="32"/>
          <w:szCs w:val="32"/>
          <w:lang w:val="zh-CN"/>
        </w:rPr>
        <w:t>“以购代捐”的形式大力开展“天府乡村”产品“进市场、进餐企、进商超、进高速路、进机场、进机关、进社区、进网络”</w:t>
      </w:r>
      <w:r>
        <w:rPr>
          <w:rFonts w:ascii="仿宋_GB2312" w:eastAsia="仿宋_GB2312"/>
          <w:sz w:val="32"/>
          <w:szCs w:val="32"/>
          <w:lang w:val="zh-CN"/>
        </w:rPr>
        <w:t>的活动。</w:t>
      </w:r>
      <w:r>
        <w:rPr>
          <w:rFonts w:hint="eastAsia" w:ascii="仿宋_GB2312" w:eastAsia="仿宋_GB2312"/>
          <w:sz w:val="32"/>
          <w:szCs w:val="32"/>
          <w:lang w:val="zh-CN"/>
        </w:rPr>
        <w:t>我社组织农产品推广销售及运输等农产品流通委托我社社有企业茂县岷源土特产批发有限公司开展。</w:t>
      </w:r>
    </w:p>
    <w:p w14:paraId="2E6556FA">
      <w:pPr>
        <w:spacing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2．共计3批次赴浙江平湖交流交融，第一批13人、第二批9人、第三批4人。</w:t>
      </w:r>
    </w:p>
    <w:p w14:paraId="1FBFF9BF">
      <w:pPr>
        <w:spacing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3．该项目资金使用符合国家财经法规和财务管理制度及有关专项资金管理办法规定；资金拨付有完整的审批程序和手续；符合项目预算批复或合同规定用途；不存在截留、挤占、挪用、虚列支出等情况，符合相关财务会计制度的规定，符合国家规定。</w:t>
      </w:r>
    </w:p>
    <w:p w14:paraId="20F15FE6">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（三）项目自评步骤及方法</w:t>
      </w:r>
    </w:p>
    <w:p w14:paraId="33CF7B0F">
      <w:pPr>
        <w:spacing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2022年交流交往交融项目绩效评估工作通过自行评估方式开展。按照有关规定和工作安排，我单位开展自行评估，通过收集相关材料，形成绩效评估报告。本项目通过现场查看、与项目相关人员讨论、市场调查等方法了解项目情况，收集相关资料，综合分析相关情况后，对项目投入经济性、目标合理性、方案可行性以及筹资合规性实施评估。</w:t>
      </w:r>
    </w:p>
    <w:p w14:paraId="60C16815">
      <w:pPr>
        <w:adjustRightInd w:val="0"/>
        <w:snapToGrid w:val="0"/>
        <w:spacing w:line="600" w:lineRule="exact"/>
        <w:ind w:firstLine="720"/>
        <w:rPr>
          <w:rFonts w:ascii="黑体" w:eastAsia="黑体"/>
          <w:sz w:val="32"/>
          <w:szCs w:val="32"/>
        </w:rPr>
      </w:pPr>
      <w:r>
        <w:rPr>
          <w:rFonts w:hint="eastAsia" w:ascii="黑体" w:eastAsia="黑体"/>
          <w:sz w:val="32"/>
          <w:szCs w:val="32"/>
        </w:rPr>
        <w:t>二、项目资金申报及使用情况</w:t>
      </w:r>
    </w:p>
    <w:p w14:paraId="33ECFBE5">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（一）项目资金申报及批复情况</w:t>
      </w:r>
    </w:p>
    <w:p w14:paraId="09364EF9">
      <w:pPr>
        <w:spacing w:line="576" w:lineRule="exact"/>
        <w:ind w:firstLine="640" w:firstLineChars="200"/>
        <w:rPr>
          <w:rFonts w:ascii="仿宋_GB2312" w:eastAsia="仿宋_GB2312"/>
          <w:sz w:val="32"/>
          <w:szCs w:val="32"/>
          <w:lang w:val="zh-CN"/>
        </w:rPr>
      </w:pPr>
      <w:r>
        <w:rPr>
          <w:rFonts w:ascii="仿宋_GB2312" w:eastAsia="仿宋_GB2312"/>
          <w:sz w:val="32"/>
          <w:szCs w:val="32"/>
          <w:lang w:val="zh-CN"/>
        </w:rPr>
        <w:t>根据《关于报送2022年浙江对口支援项目实施方案的通知》要求</w:t>
      </w:r>
      <w:r>
        <w:rPr>
          <w:rFonts w:hint="eastAsia" w:ascii="仿宋_GB2312" w:eastAsia="仿宋_GB2312"/>
          <w:sz w:val="32"/>
          <w:szCs w:val="32"/>
          <w:lang w:val="zh-CN"/>
        </w:rPr>
        <w:t>，申报项目预算金额为25万元（资金来源为对口援建交流交往交融项目资金25万元）。</w:t>
      </w:r>
    </w:p>
    <w:p w14:paraId="5BFE84F8">
      <w:pPr>
        <w:adjustRightInd w:val="0"/>
        <w:snapToGrid w:val="0"/>
        <w:spacing w:line="600" w:lineRule="exact"/>
        <w:ind w:firstLine="720"/>
        <w:rPr>
          <w:rFonts w:ascii="仿宋_GB2312" w:eastAsia="仿宋_GB2312"/>
          <w:sz w:val="32"/>
          <w:szCs w:val="32"/>
          <w:lang w:val="zh-CN"/>
        </w:rPr>
      </w:pPr>
      <w:r>
        <w:rPr>
          <w:rFonts w:hint="eastAsia" w:ascii="楷体_GB2312" w:eastAsia="楷体_GB2312"/>
          <w:b/>
          <w:sz w:val="32"/>
          <w:szCs w:val="32"/>
          <w:lang w:val="zh-CN"/>
        </w:rPr>
        <w:t>（二）资金计划、到位及使用情况</w:t>
      </w:r>
    </w:p>
    <w:p w14:paraId="57541DB8">
      <w:pPr>
        <w:spacing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1．资金计划。</w:t>
      </w:r>
      <w:r>
        <w:rPr>
          <w:rFonts w:ascii="仿宋_GB2312" w:eastAsia="仿宋_GB2312"/>
          <w:sz w:val="32"/>
          <w:szCs w:val="32"/>
          <w:lang w:val="zh-CN"/>
        </w:rPr>
        <w:t>根据《关于报送2022年浙江对口支援项目实施方案的通知》要求</w:t>
      </w:r>
      <w:r>
        <w:rPr>
          <w:rFonts w:hint="eastAsia" w:ascii="仿宋_GB2312" w:eastAsia="仿宋_GB2312"/>
          <w:sz w:val="32"/>
          <w:szCs w:val="32"/>
          <w:lang w:val="zh-CN"/>
        </w:rPr>
        <w:t>，资金来源为对口援建交流交往交融项目资金25万元。</w:t>
      </w:r>
    </w:p>
    <w:p w14:paraId="2B7DDBBA">
      <w:pPr>
        <w:spacing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2．资金到位。2022年4月20日经茂县对口支援和省内对口帮扶工作领导小组第一次会议原则同意并实施，下达金额25万元，资金到位率100%。</w:t>
      </w:r>
    </w:p>
    <w:p w14:paraId="1AF69A81">
      <w:pPr>
        <w:spacing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3．资金使用。参加人员机票、途中车费、住宿费、途中误餐费及茂县岷源土特产批发有限公司产生的农产品运输费等相关费用由项目资金统一开支。项目资金实行集中统一管理、专款专用、单独核算，在资金使用中严格执行国家财务管理制度，严格资金的审批和使用制度，随时接受财政、审计部门的检查、督查。</w:t>
      </w:r>
    </w:p>
    <w:p w14:paraId="1252D58A">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（三）项目财务管理情况</w:t>
      </w:r>
    </w:p>
    <w:p w14:paraId="7EEF7F35">
      <w:pPr>
        <w:spacing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该项目资金使用符合国家财经法规和财务管理制度及有关专项资金管理办法规定；资金拨付有完整的审批程序和手续；符合项目预算批复或合同规定用途；不存在截留、挤占、挪用、虚列支出等情况，符合相关财务会计制度的规定，符合国家规定。</w:t>
      </w:r>
    </w:p>
    <w:p w14:paraId="3BF8D472">
      <w:pPr>
        <w:adjustRightInd w:val="0"/>
        <w:snapToGrid w:val="0"/>
        <w:spacing w:line="600" w:lineRule="exact"/>
        <w:ind w:firstLine="720"/>
        <w:rPr>
          <w:rFonts w:ascii="黑体" w:eastAsia="黑体"/>
          <w:sz w:val="32"/>
          <w:szCs w:val="32"/>
        </w:rPr>
      </w:pPr>
      <w:r>
        <w:rPr>
          <w:rFonts w:hint="eastAsia" w:ascii="黑体" w:eastAsia="黑体"/>
          <w:sz w:val="32"/>
          <w:szCs w:val="32"/>
        </w:rPr>
        <w:t>三、项目实施及管理情况</w:t>
      </w:r>
    </w:p>
    <w:p w14:paraId="4B708F44">
      <w:pPr>
        <w:adjustRightInd w:val="0"/>
        <w:snapToGrid w:val="0"/>
        <w:spacing w:line="576" w:lineRule="exact"/>
        <w:ind w:firstLine="720"/>
        <w:rPr>
          <w:rFonts w:ascii="楷体_GB2312" w:eastAsia="楷体_GB2312"/>
          <w:b/>
          <w:sz w:val="32"/>
          <w:szCs w:val="32"/>
          <w:lang w:val="zh-CN"/>
        </w:rPr>
      </w:pPr>
      <w:r>
        <w:rPr>
          <w:rFonts w:hint="eastAsia" w:ascii="楷体_GB2312" w:eastAsia="楷体_GB2312"/>
          <w:b/>
          <w:sz w:val="32"/>
          <w:szCs w:val="32"/>
          <w:lang w:val="zh-CN"/>
        </w:rPr>
        <w:t>（一）项目组织架构及实施流程</w:t>
      </w:r>
    </w:p>
    <w:p w14:paraId="3DEB3BE5">
      <w:pPr>
        <w:spacing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赴平湖考察学习</w:t>
      </w:r>
      <w:r>
        <w:rPr>
          <w:rFonts w:ascii="仿宋_GB2312" w:eastAsia="仿宋_GB2312"/>
          <w:sz w:val="32"/>
          <w:szCs w:val="32"/>
          <w:lang w:val="zh-CN"/>
        </w:rPr>
        <w:t>、农产品推广品鉴</w:t>
      </w:r>
      <w:r>
        <w:rPr>
          <w:rFonts w:hint="eastAsia" w:ascii="仿宋_GB2312" w:eastAsia="仿宋_GB2312"/>
          <w:sz w:val="32"/>
          <w:szCs w:val="32"/>
          <w:lang w:val="zh-CN"/>
        </w:rPr>
        <w:t>、组织农产品推广销售及运输</w:t>
      </w:r>
      <w:r>
        <w:rPr>
          <w:rFonts w:ascii="仿宋_GB2312" w:eastAsia="仿宋_GB2312"/>
          <w:sz w:val="32"/>
          <w:szCs w:val="32"/>
          <w:lang w:val="zh-CN"/>
        </w:rPr>
        <w:t>等方式</w:t>
      </w:r>
      <w:r>
        <w:rPr>
          <w:rFonts w:hint="eastAsia" w:ascii="仿宋_GB2312" w:eastAsia="仿宋_GB2312"/>
          <w:sz w:val="32"/>
          <w:szCs w:val="32"/>
          <w:lang w:val="zh-CN"/>
        </w:rPr>
        <w:t>。</w:t>
      </w:r>
    </w:p>
    <w:p w14:paraId="7F50BE7E">
      <w:pPr>
        <w:spacing w:line="576" w:lineRule="exact"/>
        <w:ind w:firstLine="643" w:firstLineChars="200"/>
        <w:rPr>
          <w:rFonts w:ascii="楷体_GB2312" w:eastAsia="楷体_GB2312"/>
          <w:b/>
          <w:sz w:val="32"/>
          <w:szCs w:val="32"/>
          <w:lang w:val="zh-CN"/>
        </w:rPr>
      </w:pPr>
      <w:r>
        <w:rPr>
          <w:rFonts w:hint="eastAsia" w:ascii="楷体_GB2312" w:eastAsia="楷体_GB2312"/>
          <w:b/>
          <w:sz w:val="32"/>
          <w:szCs w:val="32"/>
          <w:lang w:val="zh-CN"/>
        </w:rPr>
        <w:t>（二）项目管理情况</w:t>
      </w:r>
    </w:p>
    <w:p w14:paraId="05A6C453">
      <w:pPr>
        <w:spacing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活动本着勤俭节约、据实报销的原则，共计费用25万元。</w:t>
      </w:r>
    </w:p>
    <w:p w14:paraId="59D5C22E">
      <w:pPr>
        <w:adjustRightInd w:val="0"/>
        <w:snapToGrid w:val="0"/>
        <w:spacing w:line="576" w:lineRule="exact"/>
        <w:ind w:firstLine="643" w:firstLineChars="200"/>
        <w:rPr>
          <w:rFonts w:ascii="楷体_GB2312" w:eastAsia="楷体_GB2312"/>
          <w:b/>
          <w:sz w:val="32"/>
          <w:szCs w:val="32"/>
          <w:lang w:val="zh-CN"/>
        </w:rPr>
      </w:pPr>
      <w:r>
        <w:rPr>
          <w:rFonts w:hint="eastAsia" w:ascii="楷体_GB2312" w:eastAsia="楷体_GB2312"/>
          <w:b/>
          <w:sz w:val="32"/>
          <w:szCs w:val="32"/>
          <w:lang w:val="zh-CN"/>
        </w:rPr>
        <w:t>（三）项目监管情况</w:t>
      </w:r>
    </w:p>
    <w:p w14:paraId="4200067A">
      <w:pPr>
        <w:spacing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项目资金由茂县供销合作社联合社负责监管，确保资金安全。</w:t>
      </w:r>
    </w:p>
    <w:p w14:paraId="67954086">
      <w:pPr>
        <w:adjustRightInd w:val="0"/>
        <w:snapToGrid w:val="0"/>
        <w:spacing w:line="600" w:lineRule="exact"/>
        <w:ind w:firstLine="720"/>
        <w:rPr>
          <w:rFonts w:ascii="仿宋_GB2312" w:eastAsia="仿宋_GB2312"/>
          <w:sz w:val="32"/>
          <w:szCs w:val="32"/>
          <w:lang w:val="zh-CN"/>
        </w:rPr>
      </w:pPr>
      <w:r>
        <w:rPr>
          <w:rFonts w:hint="eastAsia" w:ascii="黑体" w:eastAsia="黑体"/>
          <w:sz w:val="32"/>
          <w:szCs w:val="32"/>
        </w:rPr>
        <w:t>四、项目绩效情况</w:t>
      </w:r>
      <w:r>
        <w:rPr>
          <w:rFonts w:hint="eastAsia" w:ascii="仿宋_GB2312" w:eastAsia="仿宋_GB2312"/>
          <w:sz w:val="32"/>
          <w:szCs w:val="32"/>
          <w:lang w:val="zh-CN"/>
        </w:rPr>
        <w:tab/>
      </w:r>
    </w:p>
    <w:p w14:paraId="7E8746F0">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（一）项目完成情况</w:t>
      </w:r>
    </w:p>
    <w:p w14:paraId="53C1632E">
      <w:pPr>
        <w:spacing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完成了3次赴浙江平湖考察学习</w:t>
      </w:r>
      <w:r>
        <w:rPr>
          <w:rFonts w:ascii="仿宋_GB2312" w:eastAsia="仿宋_GB2312"/>
          <w:sz w:val="32"/>
          <w:szCs w:val="32"/>
          <w:lang w:val="zh-CN"/>
        </w:rPr>
        <w:t>、农产品推广品鉴</w:t>
      </w:r>
      <w:r>
        <w:rPr>
          <w:rFonts w:hint="eastAsia" w:ascii="仿宋_GB2312" w:eastAsia="仿宋_GB2312"/>
          <w:sz w:val="32"/>
          <w:szCs w:val="32"/>
          <w:lang w:val="zh-CN"/>
        </w:rPr>
        <w:t>、组织农产品推广销售及运输</w:t>
      </w:r>
      <w:r>
        <w:rPr>
          <w:rFonts w:ascii="仿宋_GB2312" w:eastAsia="仿宋_GB2312"/>
          <w:sz w:val="32"/>
          <w:szCs w:val="32"/>
          <w:lang w:val="zh-CN"/>
        </w:rPr>
        <w:t>等</w:t>
      </w:r>
      <w:r>
        <w:rPr>
          <w:rFonts w:hint="eastAsia" w:ascii="仿宋_GB2312" w:eastAsia="仿宋_GB2312"/>
          <w:sz w:val="32"/>
          <w:szCs w:val="32"/>
          <w:lang w:val="zh-CN"/>
        </w:rPr>
        <w:t>。</w:t>
      </w:r>
    </w:p>
    <w:p w14:paraId="4D617CF1">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（二）项目效益情况</w:t>
      </w:r>
    </w:p>
    <w:p w14:paraId="2558CF61">
      <w:pPr>
        <w:spacing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持续深化供销合作社综合改革，持续推进茂县农产品的品质和拓宽销售渠道，助</w:t>
      </w:r>
      <w:r>
        <w:rPr>
          <w:rFonts w:ascii="仿宋_GB2312" w:eastAsia="仿宋_GB2312"/>
          <w:sz w:val="32"/>
          <w:szCs w:val="32"/>
          <w:lang w:val="zh-CN"/>
        </w:rPr>
        <w:t>推</w:t>
      </w:r>
      <w:r>
        <w:rPr>
          <w:rFonts w:hint="eastAsia" w:ascii="仿宋_GB2312" w:eastAsia="仿宋_GB2312"/>
          <w:sz w:val="32"/>
          <w:szCs w:val="32"/>
          <w:lang w:val="zh-CN"/>
        </w:rPr>
        <w:t>乡村振兴，结对助农、服务资源共享、农业品牌共推、数字转型共谋等方面深化协作，加强与企业对接,把茂县的特色农产品卖到浙江、上海等四川省外，增加农民收入，助推两地农民共同致富。</w:t>
      </w:r>
    </w:p>
    <w:p w14:paraId="0B1C6054">
      <w:pPr>
        <w:spacing w:line="576" w:lineRule="exact"/>
        <w:ind w:firstLine="640" w:firstLineChars="200"/>
        <w:jc w:val="left"/>
        <w:rPr>
          <w:rFonts w:ascii="仿宋_GB2312" w:eastAsia="仿宋_GB2312" w:cs="仿宋_GB2312"/>
          <w:sz w:val="32"/>
          <w:szCs w:val="32"/>
        </w:rPr>
      </w:pPr>
    </w:p>
    <w:p w14:paraId="061AD77C">
      <w:pPr>
        <w:spacing w:line="576" w:lineRule="exact"/>
        <w:ind w:firstLine="640" w:firstLineChars="200"/>
        <w:jc w:val="left"/>
        <w:rPr>
          <w:rFonts w:ascii="仿宋_GB2312" w:eastAsia="仿宋_GB2312" w:cs="仿宋_GB2312"/>
          <w:sz w:val="32"/>
          <w:szCs w:val="32"/>
        </w:rPr>
      </w:pPr>
    </w:p>
    <w:p w14:paraId="741A9492">
      <w:pPr>
        <w:spacing w:line="576" w:lineRule="exact"/>
        <w:ind w:firstLine="640" w:firstLineChars="200"/>
        <w:jc w:val="left"/>
        <w:rPr>
          <w:rFonts w:ascii="仿宋_GB2312" w:eastAsia="仿宋_GB2312" w:cs="仿宋_GB2312"/>
          <w:sz w:val="32"/>
          <w:szCs w:val="32"/>
        </w:rPr>
      </w:pPr>
    </w:p>
    <w:p w14:paraId="10167C29">
      <w:pPr>
        <w:spacing w:line="576" w:lineRule="exact"/>
        <w:ind w:firstLine="640" w:firstLineChars="200"/>
        <w:rPr>
          <w:rFonts w:hint="eastAsia" w:ascii="仿宋_GB2312" w:eastAsia="仿宋_GB2312" w:cs="仿宋_GB2312"/>
          <w:sz w:val="32"/>
          <w:szCs w:val="32"/>
        </w:rPr>
      </w:pPr>
    </w:p>
    <w:p w14:paraId="4C0A0277">
      <w:pPr>
        <w:spacing w:line="576" w:lineRule="exact"/>
        <w:ind w:firstLine="640" w:firstLineChars="200"/>
        <w:rPr>
          <w:rFonts w:hint="eastAsia" w:ascii="仿宋_GB2312" w:eastAsia="仿宋_GB2312" w:cs="仿宋_GB2312"/>
          <w:sz w:val="32"/>
          <w:szCs w:val="32"/>
        </w:rPr>
      </w:pPr>
    </w:p>
    <w:p w14:paraId="669C15C9">
      <w:pPr>
        <w:spacing w:line="576" w:lineRule="exact"/>
        <w:ind w:firstLine="640" w:firstLineChars="200"/>
        <w:rPr>
          <w:rFonts w:hint="eastAsia" w:ascii="仿宋_GB2312" w:eastAsia="仿宋_GB2312" w:cs="仿宋_GB2312"/>
          <w:sz w:val="32"/>
          <w:szCs w:val="32"/>
        </w:rPr>
      </w:pPr>
    </w:p>
    <w:p w14:paraId="65D2FF34">
      <w:pPr>
        <w:spacing w:line="576" w:lineRule="exact"/>
        <w:ind w:firstLine="640" w:firstLineChars="200"/>
        <w:rPr>
          <w:rFonts w:ascii="仿宋_GB2312" w:eastAsia="仿宋_GB2312" w:cs="仿宋_GB2312"/>
          <w:sz w:val="32"/>
          <w:szCs w:val="32"/>
        </w:rPr>
      </w:pPr>
    </w:p>
    <w:p w14:paraId="087F9D8E">
      <w:pPr>
        <w:spacing w:line="576" w:lineRule="exact"/>
        <w:ind w:firstLine="640" w:firstLineChars="200"/>
        <w:jc w:val="left"/>
        <w:rPr>
          <w:rFonts w:ascii="仿宋_GB2312" w:eastAsia="仿宋_GB2312" w:cs="仿宋_GB2312"/>
          <w:sz w:val="32"/>
          <w:szCs w:val="32"/>
        </w:rPr>
      </w:pPr>
    </w:p>
    <w:p w14:paraId="1A4DAEBD">
      <w:pPr>
        <w:spacing w:line="576" w:lineRule="exact"/>
        <w:jc w:val="left"/>
        <w:rPr>
          <w:rFonts w:ascii="仿宋_GB2312" w:eastAsia="仿宋_GB2312" w:cs="仿宋_GB2312"/>
          <w:sz w:val="32"/>
          <w:szCs w:val="32"/>
        </w:rPr>
      </w:pPr>
    </w:p>
    <w:p w14:paraId="7BEF7FFA">
      <w:pPr>
        <w:widowControl/>
        <w:adjustRightInd w:val="0"/>
        <w:snapToGrid w:val="0"/>
        <w:spacing w:line="576" w:lineRule="exact"/>
        <w:jc w:val="left"/>
        <w:rPr>
          <w:rFonts w:ascii="仿宋_GB2312" w:eastAsia="仿宋_GB2312" w:cs="方正小标宋简体"/>
          <w:sz w:val="32"/>
          <w:szCs w:val="32"/>
        </w:rPr>
      </w:pPr>
      <w:r>
        <w:rPr>
          <w:rFonts w:hint="eastAsia" w:ascii="仿宋_GB2312" w:eastAsia="仿宋_GB2312" w:cs="方正小标宋简体"/>
          <w:sz w:val="32"/>
          <w:szCs w:val="32"/>
        </w:rPr>
        <w:t>附件5</w:t>
      </w:r>
    </w:p>
    <w:p w14:paraId="5180C508">
      <w:pPr>
        <w:widowControl/>
        <w:adjustRightInd w:val="0"/>
        <w:snapToGrid w:val="0"/>
        <w:spacing w:line="576" w:lineRule="exact"/>
        <w:jc w:val="center"/>
        <w:rPr>
          <w:rFonts w:ascii="方正小标宋简体" w:eastAsia="方正小标宋简体" w:cs="方正小标宋简体"/>
          <w:sz w:val="44"/>
          <w:szCs w:val="44"/>
        </w:rPr>
      </w:pPr>
      <w:r>
        <w:rPr>
          <w:rFonts w:hint="eastAsia" w:ascii="方正小标宋简体" w:eastAsia="方正小标宋简体" w:cs="方正小标宋简体"/>
          <w:sz w:val="44"/>
          <w:szCs w:val="44"/>
        </w:rPr>
        <w:t>茂县供销合作社联合社</w:t>
      </w:r>
    </w:p>
    <w:p w14:paraId="4FE872A7">
      <w:pPr>
        <w:widowControl/>
        <w:adjustRightInd w:val="0"/>
        <w:snapToGrid w:val="0"/>
        <w:spacing w:line="576" w:lineRule="exact"/>
        <w:jc w:val="center"/>
        <w:rPr>
          <w:rFonts w:ascii="方正小标宋简体" w:eastAsia="方正小标宋简体" w:cs="方正小标宋简体"/>
          <w:sz w:val="44"/>
          <w:szCs w:val="44"/>
        </w:rPr>
      </w:pPr>
      <w:r>
        <w:rPr>
          <w:rFonts w:hint="eastAsia" w:ascii="方正小标宋简体" w:eastAsia="方正小标宋简体" w:cs="方正小标宋简体"/>
          <w:sz w:val="44"/>
          <w:szCs w:val="44"/>
        </w:rPr>
        <w:t>关于茂县数字农业服务平台建设项目</w:t>
      </w:r>
    </w:p>
    <w:p w14:paraId="04AEAA31">
      <w:pPr>
        <w:widowControl/>
        <w:adjustRightInd w:val="0"/>
        <w:snapToGrid w:val="0"/>
        <w:spacing w:line="576" w:lineRule="exact"/>
        <w:jc w:val="center"/>
        <w:rPr>
          <w:rFonts w:ascii="方正小标宋简体" w:eastAsia="方正小标宋简体" w:cs="方正小标宋简体"/>
          <w:sz w:val="44"/>
          <w:szCs w:val="44"/>
        </w:rPr>
      </w:pPr>
      <w:r>
        <w:rPr>
          <w:rFonts w:hint="eastAsia" w:ascii="方正小标宋简体" w:eastAsia="方正小标宋简体" w:cs="方正小标宋简体"/>
          <w:sz w:val="44"/>
          <w:szCs w:val="44"/>
        </w:rPr>
        <w:t>自评报告</w:t>
      </w:r>
    </w:p>
    <w:p w14:paraId="5EAA958F">
      <w:pPr>
        <w:adjustRightInd w:val="0"/>
        <w:snapToGrid w:val="0"/>
        <w:spacing w:line="56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748D6E7C">
      <w:pPr>
        <w:adjustRightInd w:val="0"/>
        <w:snapToGrid w:val="0"/>
        <w:spacing w:line="560" w:lineRule="exact"/>
        <w:ind w:firstLine="720"/>
        <w:rPr>
          <w:rFonts w:ascii="仿宋_GB2312" w:eastAsia="仿宋_GB2312"/>
          <w:sz w:val="32"/>
          <w:szCs w:val="32"/>
          <w:lang w:val="zh-CN"/>
        </w:rPr>
      </w:pPr>
      <w:r>
        <w:rPr>
          <w:rFonts w:hint="eastAsia" w:ascii="仿宋_GB2312" w:eastAsia="仿宋_GB2312"/>
          <w:sz w:val="32"/>
          <w:szCs w:val="32"/>
          <w:lang w:val="zh-CN"/>
        </w:rPr>
        <w:t>茂县以对口支援为契机，借鉴浙江平湖数字农业经验，积极探索建立茂县数字农业服务平台（简称“茂农服”），逐步构建统一高效农资管理体系、农产品溯源体系、农产品销售体系，集成解决农民种什么、怎么种、卖给谁等问题，助力农业数字化高质量发展。</w:t>
      </w:r>
    </w:p>
    <w:p w14:paraId="5DFD916B">
      <w:pPr>
        <w:adjustRightInd w:val="0"/>
        <w:snapToGrid w:val="0"/>
        <w:spacing w:line="56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14:paraId="208C4E9E">
      <w:pPr>
        <w:adjustRightInd w:val="0"/>
        <w:snapToGrid w:val="0"/>
        <w:spacing w:line="560" w:lineRule="exact"/>
        <w:ind w:firstLine="720"/>
        <w:rPr>
          <w:rFonts w:ascii="仿宋_GB2312" w:eastAsia="仿宋_GB2312"/>
          <w:sz w:val="32"/>
          <w:szCs w:val="32"/>
          <w:lang w:val="zh-CN"/>
        </w:rPr>
      </w:pPr>
      <w:r>
        <w:rPr>
          <w:rFonts w:hint="eastAsia" w:ascii="仿宋_GB2312" w:eastAsia="仿宋_GB2312"/>
          <w:sz w:val="32"/>
          <w:szCs w:val="32"/>
          <w:lang w:val="zh-CN"/>
        </w:rPr>
        <w:t>我社于2022年2月22日向县对口支援和省内对口帮扶工作领导小组提交《关于审定〈茂县数字农业服务平台项目实施方案〉的请示》（茂供（2022）9号）。茂县数字农业服务平台项目总投资320万元，其中浙江省对口援建资金290万元，州供销社综合改革资金30万元。</w:t>
      </w:r>
    </w:p>
    <w:p w14:paraId="06C7E179">
      <w:pPr>
        <w:pStyle w:val="16"/>
        <w:adjustRightInd w:val="0"/>
        <w:snapToGrid w:val="0"/>
        <w:spacing w:line="576" w:lineRule="exact"/>
        <w:ind w:left="0" w:leftChars="0" w:firstLine="643" w:firstLineChars="200"/>
        <w:rPr>
          <w:rFonts w:ascii="楷体_GB2312" w:hAnsi="宋体" w:eastAsia="楷体_GB2312"/>
          <w:b/>
          <w:lang w:val="zh-CN"/>
        </w:rPr>
      </w:pPr>
      <w:r>
        <w:rPr>
          <w:rFonts w:hint="eastAsia" w:ascii="楷体_GB2312" w:hAnsi="宋体" w:eastAsia="楷体_GB2312"/>
          <w:b/>
          <w:lang w:val="zh-CN"/>
        </w:rPr>
        <w:t>（二）项目绩效目标</w:t>
      </w:r>
    </w:p>
    <w:p w14:paraId="402853EC">
      <w:pPr>
        <w:pStyle w:val="16"/>
        <w:adjustRightInd w:val="0"/>
        <w:snapToGrid w:val="0"/>
        <w:spacing w:line="576" w:lineRule="exact"/>
        <w:ind w:left="0" w:leftChars="0" w:firstLine="640" w:firstLineChars="200"/>
        <w:rPr>
          <w:rFonts w:ascii="仿宋_GB2312"/>
          <w:szCs w:val="32"/>
          <w:lang w:val="zh-CN"/>
        </w:rPr>
      </w:pPr>
      <w:r>
        <w:rPr>
          <w:rFonts w:hint="eastAsia" w:ascii="仿宋_GB2312"/>
          <w:szCs w:val="32"/>
          <w:lang w:val="zh-CN"/>
        </w:rPr>
        <w:t>项目主要建设内容为：在凤仪镇、南新镇、赤不苏镇选择合适点位建设小型气象站（带摄像头）8套，全县农资销售点安装智慧农资一体机共61套，开发智慧农资管理系统、农产品追溯系统、销售管理系统、套软件系统，并建立三社融合发展机制及配套服务体系（包括驻点服务、客服服务、云资源、平台运维）。</w:t>
      </w:r>
    </w:p>
    <w:p w14:paraId="2D86AA45">
      <w:pPr>
        <w:pStyle w:val="16"/>
        <w:adjustRightInd w:val="0"/>
        <w:snapToGrid w:val="0"/>
        <w:spacing w:line="576" w:lineRule="exact"/>
        <w:ind w:left="0" w:leftChars="0" w:firstLine="643" w:firstLineChars="200"/>
        <w:rPr>
          <w:rFonts w:ascii="楷体_GB2312" w:hAnsi="宋体" w:eastAsia="楷体_GB2312"/>
          <w:b/>
          <w:lang w:val="zh-CN"/>
        </w:rPr>
      </w:pPr>
      <w:r>
        <w:rPr>
          <w:rFonts w:hint="eastAsia" w:ascii="楷体_GB2312" w:hAnsi="宋体" w:eastAsia="楷体_GB2312"/>
          <w:b/>
          <w:lang w:val="zh-CN"/>
        </w:rPr>
        <w:t>（三）项目资金申报相符性。</w:t>
      </w:r>
    </w:p>
    <w:p w14:paraId="7181AEA6">
      <w:pPr>
        <w:pStyle w:val="16"/>
        <w:adjustRightInd w:val="0"/>
        <w:snapToGrid w:val="0"/>
        <w:spacing w:line="576" w:lineRule="exact"/>
        <w:ind w:left="0" w:leftChars="0" w:firstLine="640" w:firstLineChars="200"/>
        <w:rPr>
          <w:rFonts w:ascii="仿宋_GB2312"/>
          <w:szCs w:val="32"/>
          <w:lang w:val="zh-CN"/>
        </w:rPr>
      </w:pPr>
      <w:r>
        <w:rPr>
          <w:rFonts w:hint="eastAsia" w:ascii="仿宋_GB2312"/>
          <w:szCs w:val="32"/>
          <w:lang w:val="zh-CN"/>
        </w:rPr>
        <w:t>项目由茂县对口支援和省内对口帮扶工作领导小组第一次会议原则同意并实施。</w:t>
      </w:r>
    </w:p>
    <w:p w14:paraId="40D9A2B7">
      <w:pPr>
        <w:adjustRightInd w:val="0"/>
        <w:snapToGrid w:val="0"/>
        <w:spacing w:line="560" w:lineRule="exact"/>
        <w:ind w:firstLine="720"/>
        <w:rPr>
          <w:rFonts w:ascii="黑体" w:hAnsi="宋体" w:eastAsia="黑体"/>
          <w:sz w:val="32"/>
          <w:szCs w:val="32"/>
        </w:rPr>
      </w:pPr>
      <w:r>
        <w:rPr>
          <w:rFonts w:hint="eastAsia" w:ascii="黑体" w:hAnsi="宋体" w:eastAsia="黑体"/>
          <w:sz w:val="32"/>
          <w:szCs w:val="32"/>
        </w:rPr>
        <w:t>二、项目实施及管理情况</w:t>
      </w:r>
    </w:p>
    <w:p w14:paraId="7F4534E0">
      <w:pPr>
        <w:adjustRightInd w:val="0"/>
        <w:snapToGrid w:val="0"/>
        <w:spacing w:line="560" w:lineRule="exact"/>
        <w:ind w:firstLine="720"/>
        <w:rPr>
          <w:rFonts w:ascii="楷体_GB2312" w:hAnsi="宋体" w:eastAsia="楷体_GB2312"/>
          <w:b/>
          <w:sz w:val="32"/>
          <w:szCs w:val="32"/>
          <w:lang w:val="zh-CN"/>
        </w:rPr>
      </w:pPr>
      <w:r>
        <w:rPr>
          <w:rFonts w:hint="eastAsia" w:ascii="仿宋_GB2312" w:hAnsi="宋体"/>
          <w:sz w:val="32"/>
          <w:szCs w:val="32"/>
          <w:lang w:val="zh-CN"/>
        </w:rPr>
        <w:tab/>
      </w:r>
      <w:r>
        <w:rPr>
          <w:rFonts w:hint="eastAsia" w:ascii="楷体_GB2312" w:hAnsi="宋体" w:eastAsia="楷体_GB2312"/>
          <w:b/>
          <w:sz w:val="32"/>
          <w:szCs w:val="32"/>
          <w:lang w:val="zh-CN"/>
        </w:rPr>
        <w:t>（一）资金计划、到位及使用情况</w:t>
      </w:r>
    </w:p>
    <w:p w14:paraId="00B001A4">
      <w:pPr>
        <w:adjustRightInd w:val="0"/>
        <w:snapToGrid w:val="0"/>
        <w:spacing w:line="560" w:lineRule="exact"/>
        <w:ind w:firstLine="720"/>
        <w:rPr>
          <w:rFonts w:ascii="仿宋_GB2312" w:eastAsia="仿宋_GB2312"/>
          <w:sz w:val="32"/>
          <w:szCs w:val="32"/>
          <w:lang w:val="zh-CN"/>
        </w:rPr>
      </w:pPr>
      <w:r>
        <w:rPr>
          <w:rFonts w:hint="eastAsia" w:ascii="仿宋_GB2312" w:eastAsia="仿宋_GB2312"/>
          <w:sz w:val="32"/>
          <w:szCs w:val="32"/>
          <w:lang w:val="zh-CN"/>
        </w:rPr>
        <w:t>1．资金计划及到位。项目由设备采购安装调试、三社融合发展及二类费用三部分构成，其中设备采购安装调试实际中标价251万元，三社融合发展50万元，二类费用18万元，共计319万元。</w:t>
      </w:r>
    </w:p>
    <w:p w14:paraId="5F726EFC">
      <w:pPr>
        <w:spacing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2．资金使用。项目建设至今，已支付资金150.4万元，支付进度达实际投资的47%，剩余资金预计8月下旬完成支付。其中设备采购调试已支付40%，剩余60%按照合同约定验收合格后支付57%，设备正常运转1年后支付剩余3%；三社融合发展支付100%；二类费用正在支付。剩余项目资金，设备采购调试1万元，二类费用方案设计费3万元，共计4万元原路退回。</w:t>
      </w:r>
    </w:p>
    <w:p w14:paraId="246B6C28">
      <w:pPr>
        <w:adjustRightInd w:val="0"/>
        <w:snapToGrid w:val="0"/>
        <w:spacing w:line="56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（二）项目财务管理情况</w:t>
      </w:r>
    </w:p>
    <w:p w14:paraId="7B2555E6">
      <w:pPr>
        <w:spacing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该项目资金使用符合国家财经法规和财务管理制度及有关专项资金管理办法规定；资金拨付有完整的审批程序和手续；符合项目预算批复或合同规定用途；不存在截留、挤占、挪用、虚列支出等情况，符合相关财务会计制度的规定，符合国家规定。</w:t>
      </w:r>
    </w:p>
    <w:p w14:paraId="69DF4C82">
      <w:pPr>
        <w:adjustRightInd w:val="0"/>
        <w:snapToGrid w:val="0"/>
        <w:spacing w:line="56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（三）项目组织实施情况</w:t>
      </w:r>
    </w:p>
    <w:p w14:paraId="35C0264C">
      <w:pPr>
        <w:spacing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根据项目实施方案工期安排，通过四川联投招标代理有限公司完成项目招投标工作并确定项目设备采购及安装中标公司为：浙江农合数字科技股份有限公司。5月16日我社与项目实施公司签订《茂县供销合作社联合社“茂农服”数字平台项目合同》。因中标公司位于浙江省杭州市，受疫情影响，项目主体建设于8月份完工，在9月份由供销社和科农局共同组成验收小组，完成了项目设备安装及培训的验收。聘请第三方公司对设备硬件及软件功能进行了测评，均达到了合同要求通过验收，10月份共计完成设备采购、安装、验收、审计等相关费用256.706万元，支付三社融合资金50万元，剩余7.53万元质保金，待质保期满后按合同支付，结余资金5.764万元，已退回财政。</w:t>
      </w:r>
    </w:p>
    <w:p w14:paraId="06C57B03">
      <w:pPr>
        <w:adjustRightInd w:val="0"/>
        <w:snapToGrid w:val="0"/>
        <w:spacing w:line="560" w:lineRule="exact"/>
        <w:ind w:firstLine="720"/>
        <w:rPr>
          <w:rFonts w:ascii="仿宋_GB2312" w:hAnsi="宋体"/>
          <w:sz w:val="32"/>
          <w:szCs w:val="32"/>
          <w:lang w:val="zh-CN"/>
        </w:rPr>
      </w:pPr>
      <w:r>
        <w:rPr>
          <w:rFonts w:hint="eastAsia" w:ascii="黑体" w:hAnsi="宋体" w:eastAsia="黑体"/>
          <w:sz w:val="32"/>
          <w:szCs w:val="32"/>
        </w:rPr>
        <w:t>三、项目绩效情况</w:t>
      </w:r>
      <w:r>
        <w:rPr>
          <w:rFonts w:hint="eastAsia" w:ascii="仿宋_GB2312" w:hAnsi="宋体"/>
          <w:sz w:val="32"/>
          <w:szCs w:val="32"/>
          <w:lang w:val="zh-CN"/>
        </w:rPr>
        <w:tab/>
      </w:r>
    </w:p>
    <w:p w14:paraId="1D932619">
      <w:pPr>
        <w:adjustRightInd w:val="0"/>
        <w:snapToGrid w:val="0"/>
        <w:spacing w:line="56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4D45B744">
      <w:pPr>
        <w:spacing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茂县数字农业服务平台项目总投资320万元，其中浙江省对口援建资金290万元，州供销社综合改革资金30万元。截止2022年10月，茂县数字农业服务平台项目已完成，该项目共计投入资金320万元，于2022年10月底完成支付306.607万元，剩余7.53万元质保金，待质保期满后按合同支付。</w:t>
      </w:r>
    </w:p>
    <w:p w14:paraId="1A66D811">
      <w:pPr>
        <w:spacing w:line="576" w:lineRule="exact"/>
        <w:ind w:firstLine="803" w:firstLineChars="25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0BFF2A08">
      <w:pPr>
        <w:spacing w:line="576" w:lineRule="exact"/>
        <w:ind w:firstLine="640" w:firstLineChars="200"/>
        <w:rPr>
          <w:rFonts w:ascii="仿宋_GB2312" w:eastAsia="仿宋_GB2312"/>
          <w:sz w:val="32"/>
          <w:szCs w:val="32"/>
        </w:rPr>
      </w:pPr>
      <w:r>
        <w:rPr>
          <w:rFonts w:hint="eastAsia" w:ascii="仿宋_GB2312" w:eastAsia="仿宋_GB2312"/>
          <w:sz w:val="32"/>
          <w:szCs w:val="32"/>
          <w:lang w:val="zh-CN"/>
        </w:rPr>
        <w:t>建立的8套小型气象站，通过无线手持终端内置溯源APP，农业生产过程中的种植、施肥、加工、包装、运输、销售等每一环节进行记录，形成茂县农产品的溯源二维码，实现了农产品可追溯体系；通过销售系统的搭建，利用溯源二维码，不断提升茂县农产品品牌影响力；通过智慧农资一体机的安装，不仅控制生产过程中化肥与农药的投入，保障产品品质，还优化茂县农资管理和服务能力；“三社”融合发展，显著提高“三社”收益，进而提升农户的收入。</w:t>
      </w:r>
    </w:p>
    <w:tbl>
      <w:tblPr>
        <w:tblStyle w:val="20"/>
        <w:tblpPr w:leftFromText="180" w:rightFromText="180" w:vertAnchor="text" w:horzAnchor="page" w:tblpX="1256" w:tblpY="221"/>
        <w:tblOverlap w:val="never"/>
        <w:tblW w:w="5353" w:type="pct"/>
        <w:tblInd w:w="0" w:type="dxa"/>
        <w:tblLayout w:type="autofit"/>
        <w:tblCellMar>
          <w:top w:w="0" w:type="dxa"/>
          <w:left w:w="108" w:type="dxa"/>
          <w:bottom w:w="0" w:type="dxa"/>
          <w:right w:w="108" w:type="dxa"/>
        </w:tblCellMar>
      </w:tblPr>
      <w:tblGrid>
        <w:gridCol w:w="1298"/>
        <w:gridCol w:w="672"/>
        <w:gridCol w:w="1159"/>
        <w:gridCol w:w="1239"/>
        <w:gridCol w:w="1737"/>
        <w:gridCol w:w="1091"/>
        <w:gridCol w:w="1706"/>
        <w:gridCol w:w="222"/>
      </w:tblGrid>
      <w:tr w14:paraId="43B9FF70">
        <w:tblPrEx>
          <w:tblCellMar>
            <w:top w:w="0" w:type="dxa"/>
            <w:left w:w="108" w:type="dxa"/>
            <w:bottom w:w="0" w:type="dxa"/>
            <w:right w:w="108" w:type="dxa"/>
          </w:tblCellMar>
        </w:tblPrEx>
        <w:trPr>
          <w:trHeight w:val="675" w:hRule="atLeast"/>
        </w:trPr>
        <w:tc>
          <w:tcPr>
            <w:tcW w:w="4878" w:type="pct"/>
            <w:gridSpan w:val="7"/>
            <w:tcBorders>
              <w:top w:val="nil"/>
              <w:left w:val="nil"/>
              <w:bottom w:val="nil"/>
              <w:right w:val="nil"/>
            </w:tcBorders>
            <w:shd w:val="clear" w:color="auto" w:fill="auto"/>
            <w:vAlign w:val="center"/>
          </w:tcPr>
          <w:p w14:paraId="41760548">
            <w:pPr>
              <w:widowControl/>
              <w:jc w:val="center"/>
              <w:textAlignment w:val="center"/>
              <w:rPr>
                <w:rFonts w:ascii="黑体" w:hAnsi="黑体" w:eastAsia="黑体" w:cs="宋体"/>
                <w:b/>
                <w:color w:val="000000"/>
                <w:sz w:val="30"/>
                <w:szCs w:val="30"/>
              </w:rPr>
            </w:pPr>
            <w:r>
              <w:rPr>
                <w:rFonts w:hint="eastAsia" w:ascii="黑体" w:hAnsi="黑体" w:eastAsia="黑体" w:cs="宋体"/>
                <w:b/>
                <w:color w:val="000000"/>
                <w:sz w:val="30"/>
                <w:szCs w:val="30"/>
              </w:rPr>
              <w:t>2022年50万元以上（含）特定目标类部门预算项目绩效目标自评</w:t>
            </w:r>
          </w:p>
        </w:tc>
        <w:tc>
          <w:tcPr>
            <w:tcW w:w="122" w:type="pct"/>
            <w:tcBorders>
              <w:top w:val="nil"/>
              <w:left w:val="nil"/>
              <w:bottom w:val="nil"/>
              <w:right w:val="nil"/>
            </w:tcBorders>
            <w:shd w:val="clear" w:color="auto" w:fill="auto"/>
            <w:vAlign w:val="center"/>
          </w:tcPr>
          <w:p w14:paraId="6E9491D8">
            <w:pPr>
              <w:widowControl/>
              <w:jc w:val="center"/>
              <w:textAlignment w:val="center"/>
              <w:rPr>
                <w:rFonts w:ascii="宋体" w:hAnsi="宋体" w:cs="宋体"/>
                <w:b/>
                <w:color w:val="000000"/>
                <w:kern w:val="0"/>
                <w:szCs w:val="32"/>
              </w:rPr>
            </w:pPr>
          </w:p>
        </w:tc>
      </w:tr>
      <w:tr w14:paraId="2E8DE76E">
        <w:tblPrEx>
          <w:tblCellMar>
            <w:top w:w="0" w:type="dxa"/>
            <w:left w:w="108" w:type="dxa"/>
            <w:bottom w:w="0" w:type="dxa"/>
            <w:right w:w="108" w:type="dxa"/>
          </w:tblCellMar>
        </w:tblPrEx>
        <w:trPr>
          <w:gridAfter w:val="1"/>
          <w:wAfter w:w="122" w:type="pct"/>
          <w:trHeight w:val="254" w:hRule="atLeast"/>
        </w:trPr>
        <w:tc>
          <w:tcPr>
            <w:tcW w:w="10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6527B">
            <w:pPr>
              <w:widowControl/>
              <w:spacing w:line="320" w:lineRule="exact"/>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主管部门及代码</w:t>
            </w:r>
          </w:p>
        </w:tc>
        <w:tc>
          <w:tcPr>
            <w:tcW w:w="22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1D6BED">
            <w:pPr>
              <w:widowControl/>
              <w:spacing w:line="320" w:lineRule="exact"/>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507</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CEE50">
            <w:pPr>
              <w:widowControl/>
              <w:spacing w:line="320" w:lineRule="exact"/>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实施单位</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0CD4C">
            <w:pPr>
              <w:widowControl/>
              <w:spacing w:line="320" w:lineRule="exact"/>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茂县供销合作社联合社</w:t>
            </w:r>
          </w:p>
        </w:tc>
      </w:tr>
      <w:tr w14:paraId="28788968">
        <w:tblPrEx>
          <w:tblCellMar>
            <w:top w:w="0" w:type="dxa"/>
            <w:left w:w="108" w:type="dxa"/>
            <w:bottom w:w="0" w:type="dxa"/>
            <w:right w:w="108" w:type="dxa"/>
          </w:tblCellMar>
        </w:tblPrEx>
        <w:trPr>
          <w:gridAfter w:val="1"/>
          <w:wAfter w:w="122" w:type="pct"/>
          <w:trHeight w:val="341" w:hRule="atLeast"/>
        </w:trPr>
        <w:tc>
          <w:tcPr>
            <w:tcW w:w="108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CA43A5">
            <w:pPr>
              <w:widowControl/>
              <w:spacing w:line="320" w:lineRule="exact"/>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项目预算</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执行情况</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（万元）</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407D54">
            <w:pPr>
              <w:widowControl/>
              <w:spacing w:line="320" w:lineRule="exact"/>
              <w:jc w:val="left"/>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 xml:space="preserve"> 预算数：</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E9959">
            <w:pPr>
              <w:widowControl/>
              <w:spacing w:line="320" w:lineRule="exact"/>
              <w:ind w:firstLine="120" w:firstLineChars="50"/>
              <w:jc w:val="left"/>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284.24万元</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10E9F">
            <w:pPr>
              <w:widowControl/>
              <w:spacing w:line="320" w:lineRule="exact"/>
              <w:jc w:val="left"/>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 xml:space="preserve"> 执行数：</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F88EF">
            <w:pPr>
              <w:widowControl/>
              <w:spacing w:line="320" w:lineRule="exact"/>
              <w:ind w:right="120"/>
              <w:jc w:val="right"/>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276.71万元</w:t>
            </w:r>
          </w:p>
        </w:tc>
      </w:tr>
      <w:tr w14:paraId="2D9B8FDB">
        <w:tblPrEx>
          <w:tblCellMar>
            <w:top w:w="0" w:type="dxa"/>
            <w:left w:w="108" w:type="dxa"/>
            <w:bottom w:w="0" w:type="dxa"/>
            <w:right w:w="108" w:type="dxa"/>
          </w:tblCellMar>
        </w:tblPrEx>
        <w:trPr>
          <w:gridAfter w:val="1"/>
          <w:wAfter w:w="122" w:type="pct"/>
          <w:trHeight w:val="577" w:hRule="atLeast"/>
        </w:trPr>
        <w:tc>
          <w:tcPr>
            <w:tcW w:w="108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AC390">
            <w:pPr>
              <w:spacing w:line="320" w:lineRule="exact"/>
              <w:jc w:val="center"/>
              <w:rPr>
                <w:rFonts w:cs="宋体" w:asciiTheme="minorEastAsia" w:hAnsiTheme="minorEastAsia" w:eastAsiaTheme="minorEastAsia"/>
                <w:color w:val="000000"/>
                <w:sz w:val="24"/>
              </w:rPr>
            </w:pP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62777C">
            <w:pPr>
              <w:widowControl/>
              <w:spacing w:line="320" w:lineRule="exact"/>
              <w:jc w:val="left"/>
              <w:textAlignment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其中：</w:t>
            </w:r>
          </w:p>
          <w:p w14:paraId="6A722540">
            <w:pPr>
              <w:widowControl/>
              <w:spacing w:line="320" w:lineRule="exact"/>
              <w:jc w:val="left"/>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财政拨款</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5C8F5">
            <w:pPr>
              <w:widowControl/>
              <w:spacing w:line="320" w:lineRule="exact"/>
              <w:ind w:firstLine="120" w:firstLineChars="50"/>
              <w:jc w:val="left"/>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284.24万元</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614A0">
            <w:pPr>
              <w:widowControl/>
              <w:spacing w:line="320" w:lineRule="exact"/>
              <w:jc w:val="left"/>
              <w:textAlignment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其中：</w:t>
            </w:r>
          </w:p>
          <w:p w14:paraId="736BF8C2">
            <w:pPr>
              <w:widowControl/>
              <w:spacing w:line="320" w:lineRule="exact"/>
              <w:jc w:val="left"/>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财政拨款</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49583">
            <w:pPr>
              <w:widowControl/>
              <w:spacing w:line="320" w:lineRule="exact"/>
              <w:ind w:firstLine="240" w:firstLineChars="100"/>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276.71万元</w:t>
            </w:r>
          </w:p>
        </w:tc>
      </w:tr>
      <w:tr w14:paraId="0803382B">
        <w:tblPrEx>
          <w:tblCellMar>
            <w:top w:w="0" w:type="dxa"/>
            <w:left w:w="108" w:type="dxa"/>
            <w:bottom w:w="0" w:type="dxa"/>
            <w:right w:w="108" w:type="dxa"/>
          </w:tblCellMar>
        </w:tblPrEx>
        <w:trPr>
          <w:gridAfter w:val="1"/>
          <w:wAfter w:w="122" w:type="pct"/>
          <w:trHeight w:val="341" w:hRule="atLeast"/>
        </w:trPr>
        <w:tc>
          <w:tcPr>
            <w:tcW w:w="108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3477E">
            <w:pPr>
              <w:spacing w:line="320" w:lineRule="exact"/>
              <w:jc w:val="center"/>
              <w:rPr>
                <w:rFonts w:cs="宋体" w:asciiTheme="minorEastAsia" w:hAnsiTheme="minorEastAsia" w:eastAsiaTheme="minorEastAsia"/>
                <w:color w:val="000000"/>
                <w:sz w:val="24"/>
              </w:rPr>
            </w:pP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AC20F">
            <w:pPr>
              <w:widowControl/>
              <w:spacing w:line="320" w:lineRule="exact"/>
              <w:jc w:val="left"/>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其他资金</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CF06B">
            <w:pPr>
              <w:widowControl/>
              <w:spacing w:line="320" w:lineRule="exact"/>
              <w:jc w:val="left"/>
              <w:textAlignment w:val="center"/>
              <w:rPr>
                <w:rFonts w:cs="宋体" w:asciiTheme="minorEastAsia" w:hAnsiTheme="minorEastAsia" w:eastAsiaTheme="minorEastAsia"/>
                <w:color w:val="000000"/>
                <w:sz w:val="24"/>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4427F">
            <w:pPr>
              <w:widowControl/>
              <w:spacing w:line="320" w:lineRule="exact"/>
              <w:jc w:val="left"/>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其他资金</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B43AC">
            <w:pPr>
              <w:widowControl/>
              <w:spacing w:line="320" w:lineRule="exact"/>
              <w:jc w:val="center"/>
              <w:textAlignment w:val="center"/>
              <w:rPr>
                <w:rFonts w:cs="宋体" w:asciiTheme="minorEastAsia" w:hAnsiTheme="minorEastAsia" w:eastAsiaTheme="minorEastAsia"/>
                <w:color w:val="000000"/>
                <w:sz w:val="24"/>
              </w:rPr>
            </w:pPr>
          </w:p>
        </w:tc>
      </w:tr>
      <w:tr w14:paraId="1163DE67">
        <w:tblPrEx>
          <w:tblCellMar>
            <w:top w:w="0" w:type="dxa"/>
            <w:left w:w="108" w:type="dxa"/>
            <w:bottom w:w="0" w:type="dxa"/>
            <w:right w:w="108" w:type="dxa"/>
          </w:tblCellMar>
        </w:tblPrEx>
        <w:trPr>
          <w:gridAfter w:val="1"/>
          <w:wAfter w:w="122" w:type="pct"/>
          <w:trHeight w:val="606" w:hRule="atLeast"/>
        </w:trPr>
        <w:tc>
          <w:tcPr>
            <w:tcW w:w="7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37026">
            <w:pPr>
              <w:widowControl/>
              <w:spacing w:line="320" w:lineRule="exact"/>
              <w:jc w:val="center"/>
              <w:textAlignment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年度总体目标</w:t>
            </w:r>
          </w:p>
          <w:p w14:paraId="5695E77B">
            <w:pPr>
              <w:widowControl/>
              <w:spacing w:line="320" w:lineRule="exact"/>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完成情况</w:t>
            </w:r>
          </w:p>
        </w:tc>
        <w:tc>
          <w:tcPr>
            <w:tcW w:w="2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F32814">
            <w:pPr>
              <w:widowControl/>
              <w:spacing w:line="320" w:lineRule="exact"/>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预期目标</w:t>
            </w:r>
          </w:p>
        </w:tc>
        <w:tc>
          <w:tcPr>
            <w:tcW w:w="15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14524">
            <w:pPr>
              <w:widowControl/>
              <w:spacing w:line="320" w:lineRule="exact"/>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目标实际完成情况</w:t>
            </w:r>
          </w:p>
        </w:tc>
      </w:tr>
      <w:tr w14:paraId="531F49F1">
        <w:tblPrEx>
          <w:tblCellMar>
            <w:top w:w="0" w:type="dxa"/>
            <w:left w:w="108" w:type="dxa"/>
            <w:bottom w:w="0" w:type="dxa"/>
            <w:right w:w="108" w:type="dxa"/>
          </w:tblCellMar>
        </w:tblPrEx>
        <w:trPr>
          <w:gridAfter w:val="1"/>
          <w:wAfter w:w="122" w:type="pct"/>
          <w:trHeight w:val="2741" w:hRule="atLeast"/>
        </w:trPr>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5442C">
            <w:pPr>
              <w:spacing w:line="320" w:lineRule="exact"/>
              <w:jc w:val="center"/>
              <w:rPr>
                <w:rFonts w:cs="宋体" w:asciiTheme="minorEastAsia" w:hAnsiTheme="minorEastAsia" w:eastAsiaTheme="minorEastAsia"/>
                <w:color w:val="000000"/>
                <w:sz w:val="24"/>
              </w:rPr>
            </w:pPr>
          </w:p>
        </w:tc>
        <w:tc>
          <w:tcPr>
            <w:tcW w:w="2634" w:type="pct"/>
            <w:gridSpan w:val="4"/>
            <w:tcBorders>
              <w:top w:val="single" w:color="000000" w:sz="4" w:space="0"/>
              <w:left w:val="single" w:color="000000" w:sz="4" w:space="0"/>
              <w:bottom w:val="single" w:color="000000" w:sz="4" w:space="0"/>
              <w:right w:val="single" w:color="000000" w:sz="4" w:space="0"/>
            </w:tcBorders>
            <w:shd w:val="clear" w:color="auto" w:fill="auto"/>
          </w:tcPr>
          <w:p w14:paraId="5306404A">
            <w:pPr>
              <w:widowControl/>
              <w:spacing w:line="320" w:lineRule="exact"/>
              <w:jc w:val="left"/>
              <w:textAlignment w:val="top"/>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进一步做好茂县为农服务和监管工作</w:t>
            </w:r>
          </w:p>
        </w:tc>
        <w:tc>
          <w:tcPr>
            <w:tcW w:w="1532" w:type="pct"/>
            <w:gridSpan w:val="2"/>
            <w:tcBorders>
              <w:top w:val="single" w:color="000000" w:sz="4" w:space="0"/>
              <w:left w:val="single" w:color="000000" w:sz="4" w:space="0"/>
              <w:bottom w:val="single" w:color="000000" w:sz="4" w:space="0"/>
              <w:right w:val="single" w:color="000000" w:sz="4" w:space="0"/>
            </w:tcBorders>
            <w:shd w:val="clear" w:color="auto" w:fill="auto"/>
          </w:tcPr>
          <w:p w14:paraId="5DE06CAF">
            <w:pPr>
              <w:widowControl/>
              <w:spacing w:line="320" w:lineRule="exact"/>
              <w:jc w:val="left"/>
              <w:textAlignment w:val="top"/>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安装61套智慧农资一体机实现了全县农资的实名制销售，建设8个溯源基地配合20台无线手持终端形成了农产品溯源信息，最终实现农业生产数字化，为进一步做好为农服务工作及监管工作提供保障。</w:t>
            </w:r>
          </w:p>
        </w:tc>
      </w:tr>
      <w:tr w14:paraId="222ACF48">
        <w:tblPrEx>
          <w:tblCellMar>
            <w:top w:w="0" w:type="dxa"/>
            <w:left w:w="108" w:type="dxa"/>
            <w:bottom w:w="0" w:type="dxa"/>
            <w:right w:w="108" w:type="dxa"/>
          </w:tblCellMar>
        </w:tblPrEx>
        <w:trPr>
          <w:gridAfter w:val="1"/>
          <w:wAfter w:w="122" w:type="pct"/>
          <w:trHeight w:val="738" w:hRule="atLeast"/>
        </w:trPr>
        <w:tc>
          <w:tcPr>
            <w:tcW w:w="712" w:type="pct"/>
            <w:vMerge w:val="restart"/>
            <w:tcBorders>
              <w:top w:val="single" w:color="000000" w:sz="4" w:space="0"/>
              <w:left w:val="single" w:color="000000" w:sz="4" w:space="0"/>
              <w:right w:val="single" w:color="000000" w:sz="4" w:space="0"/>
            </w:tcBorders>
            <w:shd w:val="clear" w:color="auto" w:fill="auto"/>
            <w:vAlign w:val="center"/>
          </w:tcPr>
          <w:p w14:paraId="7935A1E3">
            <w:pPr>
              <w:widowControl/>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kern w:val="0"/>
                <w:sz w:val="24"/>
              </w:rPr>
              <w:t>年度绩效指标完成情况</w:t>
            </w:r>
          </w:p>
        </w:tc>
        <w:tc>
          <w:tcPr>
            <w:tcW w:w="1003" w:type="pct"/>
            <w:gridSpan w:val="2"/>
            <w:tcBorders>
              <w:top w:val="single" w:color="000000" w:sz="4" w:space="0"/>
              <w:left w:val="nil"/>
              <w:bottom w:val="single" w:color="000000" w:sz="4" w:space="0"/>
              <w:right w:val="single" w:color="000000" w:sz="4" w:space="0"/>
            </w:tcBorders>
            <w:shd w:val="clear" w:color="auto" w:fill="auto"/>
            <w:vAlign w:val="center"/>
          </w:tcPr>
          <w:p w14:paraId="4017F091">
            <w:pPr>
              <w:widowControl/>
              <w:spacing w:line="320" w:lineRule="exact"/>
              <w:jc w:val="center"/>
              <w:textAlignment w:val="center"/>
              <w:rPr>
                <w:rFonts w:cs="仿宋_GB2312" w:asciiTheme="minorEastAsia" w:hAnsiTheme="minorEastAsia" w:eastAsiaTheme="minorEastAsia"/>
                <w:color w:val="000000"/>
                <w:kern w:val="0"/>
                <w:sz w:val="24"/>
              </w:rPr>
            </w:pPr>
            <w:r>
              <w:rPr>
                <w:rFonts w:hint="eastAsia" w:cs="仿宋_GB2312" w:asciiTheme="minorEastAsia" w:hAnsiTheme="minorEastAsia" w:eastAsiaTheme="minorEastAsia"/>
                <w:color w:val="000000"/>
                <w:kern w:val="0"/>
                <w:sz w:val="24"/>
              </w:rPr>
              <w:t>一级</w:t>
            </w:r>
          </w:p>
          <w:p w14:paraId="287C23BD">
            <w:pPr>
              <w:widowControl/>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kern w:val="0"/>
                <w:sz w:val="24"/>
              </w:rPr>
              <w:t>指标</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ADAAD">
            <w:pPr>
              <w:widowControl/>
              <w:spacing w:line="320" w:lineRule="exact"/>
              <w:jc w:val="center"/>
              <w:textAlignment w:val="center"/>
              <w:rPr>
                <w:rFonts w:cs="仿宋_GB2312" w:asciiTheme="minorEastAsia" w:hAnsiTheme="minorEastAsia" w:eastAsiaTheme="minorEastAsia"/>
                <w:color w:val="000000"/>
                <w:kern w:val="0"/>
                <w:sz w:val="24"/>
              </w:rPr>
            </w:pPr>
            <w:r>
              <w:rPr>
                <w:rFonts w:hint="eastAsia" w:cs="仿宋_GB2312" w:asciiTheme="minorEastAsia" w:hAnsiTheme="minorEastAsia" w:eastAsiaTheme="minorEastAsia"/>
                <w:color w:val="000000"/>
                <w:kern w:val="0"/>
                <w:sz w:val="24"/>
              </w:rPr>
              <w:t>二级</w:t>
            </w:r>
          </w:p>
          <w:p w14:paraId="5556D860">
            <w:pPr>
              <w:widowControl/>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kern w:val="0"/>
                <w:sz w:val="24"/>
              </w:rPr>
              <w:t>指标</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A0858">
            <w:pPr>
              <w:widowControl/>
              <w:spacing w:line="320" w:lineRule="exact"/>
              <w:jc w:val="center"/>
              <w:textAlignment w:val="center"/>
              <w:rPr>
                <w:rFonts w:cs="仿宋_GB2312" w:asciiTheme="minorEastAsia" w:hAnsiTheme="minorEastAsia" w:eastAsiaTheme="minorEastAsia"/>
                <w:color w:val="000000"/>
                <w:kern w:val="0"/>
                <w:sz w:val="24"/>
              </w:rPr>
            </w:pPr>
            <w:r>
              <w:rPr>
                <w:rFonts w:hint="eastAsia" w:cs="仿宋_GB2312" w:asciiTheme="minorEastAsia" w:hAnsiTheme="minorEastAsia" w:eastAsiaTheme="minorEastAsia"/>
                <w:color w:val="000000"/>
                <w:kern w:val="0"/>
                <w:sz w:val="24"/>
              </w:rPr>
              <w:t>三级</w:t>
            </w:r>
          </w:p>
          <w:p w14:paraId="76FC712E">
            <w:pPr>
              <w:widowControl/>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kern w:val="0"/>
                <w:sz w:val="24"/>
              </w:rPr>
              <w:t>指标</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74F81">
            <w:pPr>
              <w:widowControl/>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kern w:val="0"/>
                <w:sz w:val="24"/>
              </w:rPr>
              <w:t>预期指标值</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ED2E0">
            <w:pPr>
              <w:widowControl/>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kern w:val="0"/>
                <w:sz w:val="24"/>
              </w:rPr>
              <w:t>实际完成指标值</w:t>
            </w:r>
          </w:p>
        </w:tc>
      </w:tr>
      <w:tr w14:paraId="1A7DDE25">
        <w:tblPrEx>
          <w:tblCellMar>
            <w:top w:w="0" w:type="dxa"/>
            <w:left w:w="108" w:type="dxa"/>
            <w:bottom w:w="0" w:type="dxa"/>
            <w:right w:w="108" w:type="dxa"/>
          </w:tblCellMar>
        </w:tblPrEx>
        <w:trPr>
          <w:gridAfter w:val="1"/>
          <w:wAfter w:w="122" w:type="pct"/>
          <w:trHeight w:val="480" w:hRule="atLeast"/>
        </w:trPr>
        <w:tc>
          <w:tcPr>
            <w:tcW w:w="712" w:type="pct"/>
            <w:vMerge w:val="continue"/>
            <w:tcBorders>
              <w:left w:val="single" w:color="000000" w:sz="4" w:space="0"/>
              <w:right w:val="single" w:color="000000" w:sz="4" w:space="0"/>
            </w:tcBorders>
            <w:shd w:val="clear" w:color="auto" w:fill="auto"/>
            <w:vAlign w:val="center"/>
          </w:tcPr>
          <w:p w14:paraId="26FBF393">
            <w:pPr>
              <w:spacing w:line="320" w:lineRule="exact"/>
              <w:jc w:val="center"/>
              <w:rPr>
                <w:rFonts w:cs="仿宋_GB2312" w:asciiTheme="minorEastAsia" w:hAnsiTheme="minorEastAsia" w:eastAsiaTheme="minorEastAsia"/>
                <w:color w:val="000000"/>
                <w:sz w:val="24"/>
              </w:rPr>
            </w:pPr>
          </w:p>
        </w:tc>
        <w:tc>
          <w:tcPr>
            <w:tcW w:w="100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9D2F5">
            <w:pPr>
              <w:widowControl/>
              <w:spacing w:line="320" w:lineRule="exact"/>
              <w:jc w:val="center"/>
              <w:textAlignment w:val="bottom"/>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kern w:val="0"/>
                <w:sz w:val="24"/>
              </w:rPr>
              <w:t>效益</w:t>
            </w:r>
            <w:r>
              <w:rPr>
                <w:rFonts w:hint="eastAsia" w:cs="仿宋_GB2312" w:asciiTheme="minorEastAsia" w:hAnsiTheme="minorEastAsia" w:eastAsiaTheme="minorEastAsia"/>
                <w:color w:val="000000"/>
                <w:kern w:val="0"/>
                <w:sz w:val="24"/>
              </w:rPr>
              <w:br w:type="textWrapping"/>
            </w:r>
            <w:r>
              <w:rPr>
                <w:rFonts w:hint="eastAsia" w:cs="仿宋_GB2312" w:asciiTheme="minorEastAsia" w:hAnsiTheme="minorEastAsia" w:eastAsiaTheme="minorEastAsia"/>
                <w:color w:val="000000"/>
                <w:kern w:val="0"/>
                <w:sz w:val="24"/>
              </w:rPr>
              <w:t>指标</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757C4F3">
            <w:pPr>
              <w:widowControl/>
              <w:spacing w:line="320" w:lineRule="exact"/>
              <w:jc w:val="center"/>
              <w:textAlignment w:val="bottom"/>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kern w:val="0"/>
                <w:sz w:val="24"/>
              </w:rPr>
              <w:t>经济效益指标</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2D92DBA">
            <w:pPr>
              <w:widowControl/>
              <w:spacing w:line="320" w:lineRule="exact"/>
              <w:jc w:val="center"/>
              <w:textAlignment w:val="bottom"/>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提升茂县农产品品牌影响力，拓展农产品销售渠道。</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FBEBB38">
            <w:pPr>
              <w:widowControl/>
              <w:spacing w:line="320" w:lineRule="exact"/>
              <w:jc w:val="center"/>
              <w:textAlignment w:val="bottom"/>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优</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1BD6750">
            <w:pPr>
              <w:widowControl/>
              <w:spacing w:line="320" w:lineRule="exact"/>
              <w:jc w:val="center"/>
              <w:textAlignment w:val="bottom"/>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优</w:t>
            </w:r>
          </w:p>
        </w:tc>
      </w:tr>
      <w:tr w14:paraId="7DAE11BC">
        <w:tblPrEx>
          <w:tblCellMar>
            <w:top w:w="0" w:type="dxa"/>
            <w:left w:w="108" w:type="dxa"/>
            <w:bottom w:w="0" w:type="dxa"/>
            <w:right w:w="108" w:type="dxa"/>
          </w:tblCellMar>
        </w:tblPrEx>
        <w:trPr>
          <w:gridAfter w:val="1"/>
          <w:wAfter w:w="122" w:type="pct"/>
          <w:trHeight w:val="480" w:hRule="atLeast"/>
        </w:trPr>
        <w:tc>
          <w:tcPr>
            <w:tcW w:w="712" w:type="pct"/>
            <w:vMerge w:val="continue"/>
            <w:tcBorders>
              <w:left w:val="single" w:color="000000" w:sz="4" w:space="0"/>
              <w:right w:val="single" w:color="000000" w:sz="4" w:space="0"/>
            </w:tcBorders>
            <w:shd w:val="clear" w:color="auto" w:fill="auto"/>
            <w:vAlign w:val="center"/>
          </w:tcPr>
          <w:p w14:paraId="04B0F65D">
            <w:pPr>
              <w:spacing w:line="320" w:lineRule="exact"/>
              <w:jc w:val="center"/>
              <w:rPr>
                <w:rFonts w:cs="仿宋_GB2312" w:asciiTheme="minorEastAsia" w:hAnsiTheme="minorEastAsia" w:eastAsiaTheme="minorEastAsia"/>
                <w:color w:val="000000"/>
                <w:sz w:val="24"/>
              </w:rPr>
            </w:pPr>
          </w:p>
        </w:tc>
        <w:tc>
          <w:tcPr>
            <w:tcW w:w="10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1E7D490">
            <w:pPr>
              <w:spacing w:line="320" w:lineRule="exact"/>
              <w:jc w:val="center"/>
              <w:rPr>
                <w:rFonts w:cs="仿宋_GB2312" w:asciiTheme="minorEastAsia" w:hAnsiTheme="minorEastAsia" w:eastAsiaTheme="minorEastAsia"/>
                <w:color w:val="000000"/>
                <w:sz w:val="24"/>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7E0C8AD">
            <w:pPr>
              <w:widowControl/>
              <w:spacing w:line="320" w:lineRule="exact"/>
              <w:jc w:val="center"/>
              <w:textAlignment w:val="bottom"/>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kern w:val="0"/>
                <w:sz w:val="24"/>
              </w:rPr>
              <w:t>社会效益指标</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5706605">
            <w:pPr>
              <w:widowControl/>
              <w:spacing w:line="320" w:lineRule="exact"/>
              <w:jc w:val="center"/>
              <w:textAlignment w:val="bottom"/>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控制生产过程中化肥与农药的投入，保障产品品质。</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47BB176">
            <w:pPr>
              <w:widowControl/>
              <w:spacing w:line="320" w:lineRule="exact"/>
              <w:jc w:val="center"/>
              <w:textAlignment w:val="bottom"/>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高</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D176702">
            <w:pPr>
              <w:widowControl/>
              <w:spacing w:line="320" w:lineRule="exact"/>
              <w:jc w:val="center"/>
              <w:textAlignment w:val="bottom"/>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高</w:t>
            </w:r>
          </w:p>
        </w:tc>
      </w:tr>
      <w:tr w14:paraId="58C1ADCA">
        <w:tblPrEx>
          <w:tblCellMar>
            <w:top w:w="0" w:type="dxa"/>
            <w:left w:w="108" w:type="dxa"/>
            <w:bottom w:w="0" w:type="dxa"/>
            <w:right w:w="108" w:type="dxa"/>
          </w:tblCellMar>
        </w:tblPrEx>
        <w:trPr>
          <w:gridAfter w:val="1"/>
          <w:wAfter w:w="122" w:type="pct"/>
          <w:trHeight w:val="562" w:hRule="atLeast"/>
        </w:trPr>
        <w:tc>
          <w:tcPr>
            <w:tcW w:w="712" w:type="pct"/>
            <w:vMerge w:val="continue"/>
            <w:tcBorders>
              <w:left w:val="single" w:color="000000" w:sz="4" w:space="0"/>
              <w:right w:val="single" w:color="000000" w:sz="4" w:space="0"/>
            </w:tcBorders>
            <w:shd w:val="clear" w:color="auto" w:fill="auto"/>
            <w:vAlign w:val="center"/>
          </w:tcPr>
          <w:p w14:paraId="4E91B57F">
            <w:pPr>
              <w:spacing w:line="320" w:lineRule="exact"/>
              <w:jc w:val="center"/>
              <w:rPr>
                <w:rFonts w:cs="仿宋_GB2312" w:asciiTheme="minorEastAsia" w:hAnsiTheme="minorEastAsia" w:eastAsiaTheme="minorEastAsia"/>
                <w:color w:val="000000"/>
                <w:sz w:val="24"/>
              </w:rPr>
            </w:pPr>
          </w:p>
        </w:tc>
        <w:tc>
          <w:tcPr>
            <w:tcW w:w="1003"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104FEFDE">
            <w:pPr>
              <w:widowControl/>
              <w:spacing w:line="320" w:lineRule="exact"/>
              <w:jc w:val="center"/>
              <w:textAlignment w:val="bottom"/>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kern w:val="0"/>
                <w:sz w:val="24"/>
              </w:rPr>
              <w:t>满意</w:t>
            </w:r>
            <w:r>
              <w:rPr>
                <w:rFonts w:hint="eastAsia" w:cs="仿宋_GB2312" w:asciiTheme="minorEastAsia" w:hAnsiTheme="minorEastAsia" w:eastAsiaTheme="minorEastAsia"/>
                <w:color w:val="000000"/>
                <w:kern w:val="0"/>
                <w:sz w:val="24"/>
              </w:rPr>
              <w:br w:type="textWrapping"/>
            </w:r>
            <w:r>
              <w:rPr>
                <w:rFonts w:hint="eastAsia" w:cs="仿宋_GB2312" w:asciiTheme="minorEastAsia" w:hAnsiTheme="minorEastAsia" w:eastAsiaTheme="minorEastAsia"/>
                <w:color w:val="000000"/>
                <w:kern w:val="0"/>
                <w:sz w:val="24"/>
              </w:rPr>
              <w:t>度指标</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A82C746">
            <w:pPr>
              <w:widowControl/>
              <w:spacing w:line="320" w:lineRule="exact"/>
              <w:jc w:val="center"/>
              <w:textAlignment w:val="bottom"/>
              <w:rPr>
                <w:rFonts w:cs="仿宋_GB2312" w:asciiTheme="minorEastAsia" w:hAnsiTheme="minorEastAsia" w:eastAsiaTheme="minorEastAsia"/>
                <w:color w:val="000000"/>
                <w:kern w:val="0"/>
                <w:sz w:val="24"/>
              </w:rPr>
            </w:pPr>
            <w:r>
              <w:rPr>
                <w:rFonts w:hint="eastAsia" w:cs="仿宋_GB2312" w:asciiTheme="minorEastAsia" w:hAnsiTheme="minorEastAsia" w:eastAsiaTheme="minorEastAsia"/>
                <w:color w:val="000000"/>
                <w:kern w:val="0"/>
                <w:sz w:val="24"/>
              </w:rPr>
              <w:t>满意度</w:t>
            </w:r>
          </w:p>
          <w:p w14:paraId="23064097">
            <w:pPr>
              <w:widowControl/>
              <w:spacing w:line="320" w:lineRule="exact"/>
              <w:jc w:val="center"/>
              <w:textAlignment w:val="bottom"/>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kern w:val="0"/>
                <w:sz w:val="24"/>
              </w:rPr>
              <w:t>指标</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9127A12">
            <w:pPr>
              <w:widowControl/>
              <w:spacing w:line="320" w:lineRule="exact"/>
              <w:jc w:val="center"/>
              <w:textAlignment w:val="bottom"/>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农户销售农产品满意度指标</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2C9EBCF">
            <w:pPr>
              <w:widowControl/>
              <w:spacing w:line="320" w:lineRule="exact"/>
              <w:jc w:val="center"/>
              <w:textAlignment w:val="bottom"/>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大于等于</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240307F">
            <w:pPr>
              <w:widowControl/>
              <w:spacing w:line="320" w:lineRule="exact"/>
              <w:jc w:val="center"/>
              <w:textAlignment w:val="bottom"/>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90%</w:t>
            </w:r>
          </w:p>
        </w:tc>
      </w:tr>
    </w:tbl>
    <w:p w14:paraId="14554DEA">
      <w:pPr>
        <w:rPr>
          <w:lang w:val="zh-CN"/>
        </w:rPr>
      </w:pPr>
    </w:p>
    <w:p w14:paraId="10521B0F">
      <w:pPr>
        <w:spacing w:line="600" w:lineRule="exact"/>
        <w:jc w:val="center"/>
        <w:outlineLvl w:val="0"/>
        <w:rPr>
          <w:rFonts w:ascii="黑体" w:hAnsi="黑体" w:eastAsia="黑体"/>
          <w:color w:val="000000"/>
          <w:sz w:val="44"/>
          <w:szCs w:val="44"/>
        </w:rPr>
      </w:pPr>
    </w:p>
    <w:p w14:paraId="13876406">
      <w:pPr>
        <w:spacing w:line="600" w:lineRule="exact"/>
        <w:jc w:val="center"/>
        <w:outlineLvl w:val="0"/>
        <w:rPr>
          <w:rStyle w:val="24"/>
          <w:rFonts w:ascii="方正小标宋简体" w:hAnsi="方正小标宋简体" w:eastAsia="方正小标宋简体" w:cs="方正小标宋简体"/>
          <w:b w:val="0"/>
        </w:rPr>
      </w:pPr>
      <w:r>
        <w:rPr>
          <w:rFonts w:hint="eastAsia" w:ascii="方正小标宋简体" w:hAnsi="方正小标宋简体" w:eastAsia="方正小标宋简体" w:cs="方正小标宋简体"/>
          <w:color w:val="000000"/>
          <w:sz w:val="44"/>
          <w:szCs w:val="44"/>
        </w:rPr>
        <w:t>第</w:t>
      </w:r>
      <w:r>
        <w:rPr>
          <w:rStyle w:val="24"/>
          <w:rFonts w:hint="eastAsia" w:ascii="方正小标宋简体" w:hAnsi="方正小标宋简体" w:eastAsia="方正小标宋简体" w:cs="方正小标宋简体"/>
          <w:b w:val="0"/>
        </w:rPr>
        <w:t>五部分 附表</w:t>
      </w:r>
      <w:bookmarkEnd w:id="112"/>
      <w:bookmarkEnd w:id="113"/>
      <w:bookmarkEnd w:id="114"/>
      <w:bookmarkEnd w:id="115"/>
    </w:p>
    <w:p w14:paraId="37A5DCDC">
      <w:pPr>
        <w:pStyle w:val="34"/>
        <w:spacing w:line="560" w:lineRule="exact"/>
        <w:ind w:firstLine="640" w:firstLineChars="200"/>
        <w:rPr>
          <w:rFonts w:ascii="仿宋_GB2312" w:hAnsi="Times New Roman" w:eastAsia="仿宋_GB2312" w:cs="Times New Roman"/>
          <w:color w:val="auto"/>
          <w:kern w:val="2"/>
          <w:sz w:val="32"/>
          <w:szCs w:val="32"/>
          <w:lang w:val="zh-CN"/>
        </w:rPr>
      </w:pPr>
      <w:bookmarkStart w:id="116" w:name="_Toc12986"/>
      <w:bookmarkStart w:id="117" w:name="_Toc26370"/>
      <w:r>
        <w:rPr>
          <w:rFonts w:hint="eastAsia" w:ascii="仿宋_GB2312" w:hAnsi="Times New Roman" w:eastAsia="仿宋_GB2312" w:cs="Times New Roman"/>
          <w:color w:val="auto"/>
          <w:kern w:val="2"/>
          <w:sz w:val="32"/>
          <w:szCs w:val="32"/>
          <w:lang w:val="zh-CN"/>
        </w:rPr>
        <w:t>一、收入支出决算总表</w:t>
      </w:r>
      <w:bookmarkEnd w:id="116"/>
      <w:bookmarkEnd w:id="117"/>
    </w:p>
    <w:p w14:paraId="12C15976">
      <w:pPr>
        <w:pStyle w:val="34"/>
        <w:spacing w:line="560" w:lineRule="exact"/>
        <w:ind w:firstLine="640" w:firstLineChars="200"/>
        <w:rPr>
          <w:rFonts w:ascii="仿宋_GB2312" w:hAnsi="Times New Roman" w:eastAsia="仿宋_GB2312" w:cs="Times New Roman"/>
          <w:color w:val="auto"/>
          <w:kern w:val="2"/>
          <w:sz w:val="32"/>
          <w:szCs w:val="32"/>
          <w:lang w:val="zh-CN"/>
        </w:rPr>
      </w:pPr>
      <w:bookmarkStart w:id="118" w:name="_Toc13062"/>
      <w:bookmarkStart w:id="119" w:name="_Toc13591"/>
      <w:r>
        <w:rPr>
          <w:rFonts w:hint="eastAsia" w:ascii="仿宋_GB2312" w:hAnsi="Times New Roman" w:eastAsia="仿宋_GB2312" w:cs="Times New Roman"/>
          <w:color w:val="auto"/>
          <w:kern w:val="2"/>
          <w:sz w:val="32"/>
          <w:szCs w:val="32"/>
          <w:lang w:val="zh-CN"/>
        </w:rPr>
        <w:t>二、收入决算表</w:t>
      </w:r>
      <w:bookmarkEnd w:id="118"/>
      <w:bookmarkEnd w:id="119"/>
    </w:p>
    <w:p w14:paraId="45E18177">
      <w:pPr>
        <w:pStyle w:val="34"/>
        <w:spacing w:line="560" w:lineRule="exact"/>
        <w:ind w:firstLine="640" w:firstLineChars="200"/>
        <w:rPr>
          <w:rFonts w:ascii="仿宋_GB2312" w:hAnsi="Times New Roman" w:eastAsia="仿宋_GB2312" w:cs="Times New Roman"/>
          <w:color w:val="auto"/>
          <w:kern w:val="2"/>
          <w:sz w:val="32"/>
          <w:szCs w:val="32"/>
          <w:lang w:val="zh-CN"/>
        </w:rPr>
      </w:pPr>
      <w:bookmarkStart w:id="120" w:name="_Toc29688"/>
      <w:bookmarkStart w:id="121" w:name="_Toc16600"/>
      <w:r>
        <w:rPr>
          <w:rFonts w:hint="eastAsia" w:ascii="仿宋_GB2312" w:hAnsi="Times New Roman" w:eastAsia="仿宋_GB2312" w:cs="Times New Roman"/>
          <w:color w:val="auto"/>
          <w:kern w:val="2"/>
          <w:sz w:val="32"/>
          <w:szCs w:val="32"/>
          <w:lang w:val="zh-CN"/>
        </w:rPr>
        <w:t>三、支出决算表</w:t>
      </w:r>
      <w:bookmarkEnd w:id="120"/>
      <w:bookmarkEnd w:id="121"/>
    </w:p>
    <w:p w14:paraId="63CF442B">
      <w:pPr>
        <w:pStyle w:val="34"/>
        <w:spacing w:line="560" w:lineRule="exact"/>
        <w:ind w:firstLine="640" w:firstLineChars="200"/>
        <w:rPr>
          <w:rFonts w:ascii="仿宋_GB2312" w:hAnsi="Times New Roman" w:eastAsia="仿宋_GB2312" w:cs="Times New Roman"/>
          <w:color w:val="auto"/>
          <w:kern w:val="2"/>
          <w:sz w:val="32"/>
          <w:szCs w:val="32"/>
          <w:lang w:val="zh-CN"/>
        </w:rPr>
      </w:pPr>
      <w:bookmarkStart w:id="122" w:name="_Toc5964"/>
      <w:bookmarkStart w:id="123" w:name="_Toc26630"/>
      <w:r>
        <w:rPr>
          <w:rFonts w:hint="eastAsia" w:ascii="仿宋_GB2312" w:hAnsi="Times New Roman" w:eastAsia="仿宋_GB2312" w:cs="Times New Roman"/>
          <w:color w:val="auto"/>
          <w:kern w:val="2"/>
          <w:sz w:val="32"/>
          <w:szCs w:val="32"/>
          <w:lang w:val="zh-CN"/>
        </w:rPr>
        <w:t>四、财政拨款收入支出决算总表</w:t>
      </w:r>
      <w:bookmarkEnd w:id="122"/>
      <w:bookmarkEnd w:id="123"/>
    </w:p>
    <w:p w14:paraId="38DABB41">
      <w:pPr>
        <w:pStyle w:val="34"/>
        <w:spacing w:line="560" w:lineRule="exact"/>
        <w:ind w:firstLine="640" w:firstLineChars="200"/>
        <w:rPr>
          <w:rFonts w:ascii="仿宋_GB2312" w:hAnsi="Times New Roman" w:eastAsia="仿宋_GB2312" w:cs="Times New Roman"/>
          <w:color w:val="auto"/>
          <w:kern w:val="2"/>
          <w:sz w:val="32"/>
          <w:szCs w:val="32"/>
          <w:lang w:val="zh-CN"/>
        </w:rPr>
      </w:pPr>
      <w:bookmarkStart w:id="124" w:name="_Toc14273"/>
      <w:bookmarkStart w:id="125" w:name="_Toc19934"/>
      <w:r>
        <w:rPr>
          <w:rFonts w:hint="eastAsia" w:ascii="仿宋_GB2312" w:hAnsi="Times New Roman" w:eastAsia="仿宋_GB2312" w:cs="Times New Roman"/>
          <w:color w:val="auto"/>
          <w:kern w:val="2"/>
          <w:sz w:val="32"/>
          <w:szCs w:val="32"/>
          <w:lang w:val="zh-CN"/>
        </w:rPr>
        <w:t>五、财政拨款支出决算明细表</w:t>
      </w:r>
      <w:bookmarkEnd w:id="124"/>
      <w:bookmarkEnd w:id="125"/>
    </w:p>
    <w:p w14:paraId="70F3CF49">
      <w:pPr>
        <w:pStyle w:val="34"/>
        <w:spacing w:line="560" w:lineRule="exact"/>
        <w:ind w:firstLine="640" w:firstLineChars="200"/>
        <w:rPr>
          <w:rFonts w:ascii="仿宋_GB2312" w:hAnsi="Times New Roman" w:eastAsia="仿宋_GB2312" w:cs="Times New Roman"/>
          <w:color w:val="auto"/>
          <w:kern w:val="2"/>
          <w:sz w:val="32"/>
          <w:szCs w:val="32"/>
          <w:lang w:val="zh-CN"/>
        </w:rPr>
      </w:pPr>
      <w:bookmarkStart w:id="126" w:name="_Toc16449"/>
      <w:bookmarkStart w:id="127" w:name="_Toc6686"/>
      <w:r>
        <w:rPr>
          <w:rFonts w:hint="eastAsia" w:ascii="仿宋_GB2312" w:hAnsi="Times New Roman" w:eastAsia="仿宋_GB2312" w:cs="Times New Roman"/>
          <w:color w:val="auto"/>
          <w:kern w:val="2"/>
          <w:sz w:val="32"/>
          <w:szCs w:val="32"/>
          <w:lang w:val="zh-CN"/>
        </w:rPr>
        <w:t>六、一般公共预算财政拨款支出决算表</w:t>
      </w:r>
      <w:bookmarkEnd w:id="126"/>
      <w:bookmarkEnd w:id="127"/>
    </w:p>
    <w:p w14:paraId="06AFD961">
      <w:pPr>
        <w:pStyle w:val="34"/>
        <w:spacing w:line="560" w:lineRule="exact"/>
        <w:ind w:firstLine="640" w:firstLineChars="200"/>
        <w:rPr>
          <w:rFonts w:ascii="仿宋_GB2312" w:hAnsi="Times New Roman" w:eastAsia="仿宋_GB2312" w:cs="Times New Roman"/>
          <w:color w:val="auto"/>
          <w:kern w:val="2"/>
          <w:sz w:val="32"/>
          <w:szCs w:val="32"/>
          <w:lang w:val="zh-CN"/>
        </w:rPr>
      </w:pPr>
      <w:bookmarkStart w:id="128" w:name="_Toc3478"/>
      <w:bookmarkStart w:id="129" w:name="_Toc19514"/>
      <w:r>
        <w:rPr>
          <w:rFonts w:hint="eastAsia" w:ascii="仿宋_GB2312" w:hAnsi="Times New Roman" w:eastAsia="仿宋_GB2312" w:cs="Times New Roman"/>
          <w:color w:val="auto"/>
          <w:kern w:val="2"/>
          <w:sz w:val="32"/>
          <w:szCs w:val="32"/>
          <w:lang w:val="zh-CN"/>
        </w:rPr>
        <w:t>七、一般公共预算财政拨款支出决算明细表</w:t>
      </w:r>
      <w:bookmarkEnd w:id="128"/>
      <w:bookmarkEnd w:id="129"/>
    </w:p>
    <w:p w14:paraId="2145E2F3">
      <w:pPr>
        <w:pStyle w:val="34"/>
        <w:spacing w:line="560" w:lineRule="exact"/>
        <w:ind w:firstLine="640" w:firstLineChars="200"/>
        <w:rPr>
          <w:rFonts w:ascii="仿宋_GB2312" w:hAnsi="Times New Roman" w:eastAsia="仿宋_GB2312" w:cs="Times New Roman"/>
          <w:color w:val="auto"/>
          <w:kern w:val="2"/>
          <w:sz w:val="32"/>
          <w:szCs w:val="32"/>
          <w:lang w:val="zh-CN"/>
        </w:rPr>
      </w:pPr>
      <w:bookmarkStart w:id="130" w:name="_Toc17352"/>
      <w:bookmarkStart w:id="131" w:name="_Toc191"/>
      <w:r>
        <w:rPr>
          <w:rFonts w:hint="eastAsia" w:ascii="仿宋_GB2312" w:hAnsi="Times New Roman" w:eastAsia="仿宋_GB2312" w:cs="Times New Roman"/>
          <w:color w:val="auto"/>
          <w:kern w:val="2"/>
          <w:sz w:val="32"/>
          <w:szCs w:val="32"/>
          <w:lang w:val="zh-CN"/>
        </w:rPr>
        <w:t>八、一般公共预算财政拨款基本支出决算表</w:t>
      </w:r>
      <w:bookmarkEnd w:id="130"/>
      <w:bookmarkEnd w:id="131"/>
    </w:p>
    <w:p w14:paraId="519295FD">
      <w:pPr>
        <w:pStyle w:val="34"/>
        <w:spacing w:line="560" w:lineRule="exact"/>
        <w:ind w:firstLine="640" w:firstLineChars="200"/>
        <w:rPr>
          <w:rFonts w:ascii="仿宋_GB2312" w:hAnsi="Times New Roman" w:eastAsia="仿宋_GB2312" w:cs="Times New Roman"/>
          <w:color w:val="auto"/>
          <w:kern w:val="2"/>
          <w:sz w:val="32"/>
          <w:szCs w:val="32"/>
          <w:lang w:val="zh-CN"/>
        </w:rPr>
      </w:pPr>
      <w:bookmarkStart w:id="132" w:name="_Toc3726"/>
      <w:bookmarkStart w:id="133" w:name="_Toc5204"/>
      <w:r>
        <w:rPr>
          <w:rFonts w:hint="eastAsia" w:ascii="仿宋_GB2312" w:hAnsi="Times New Roman" w:eastAsia="仿宋_GB2312" w:cs="Times New Roman"/>
          <w:color w:val="auto"/>
          <w:kern w:val="2"/>
          <w:sz w:val="32"/>
          <w:szCs w:val="32"/>
          <w:lang w:val="zh-CN"/>
        </w:rPr>
        <w:t>九、一般公共预算财政拨款项目支出决算表</w:t>
      </w:r>
      <w:bookmarkEnd w:id="132"/>
      <w:bookmarkEnd w:id="133"/>
    </w:p>
    <w:p w14:paraId="6C378133">
      <w:pPr>
        <w:pStyle w:val="34"/>
        <w:spacing w:line="560" w:lineRule="exact"/>
        <w:ind w:firstLine="640" w:firstLineChars="200"/>
        <w:rPr>
          <w:rFonts w:ascii="仿宋_GB2312" w:hAnsi="Times New Roman" w:eastAsia="仿宋_GB2312" w:cs="Times New Roman"/>
          <w:color w:val="auto"/>
          <w:kern w:val="2"/>
          <w:sz w:val="32"/>
          <w:szCs w:val="32"/>
          <w:lang w:val="zh-CN"/>
        </w:rPr>
      </w:pPr>
      <w:bookmarkStart w:id="134" w:name="_Toc20056"/>
      <w:bookmarkStart w:id="135" w:name="_Toc20756"/>
      <w:r>
        <w:rPr>
          <w:rFonts w:hint="eastAsia" w:ascii="仿宋_GB2312" w:hAnsi="Times New Roman" w:eastAsia="仿宋_GB2312" w:cs="Times New Roman"/>
          <w:color w:val="auto"/>
          <w:kern w:val="2"/>
          <w:sz w:val="32"/>
          <w:szCs w:val="32"/>
          <w:lang w:val="zh-CN"/>
        </w:rPr>
        <w:t>十、政府性基金预算财政拨款收入支出决算表</w:t>
      </w:r>
      <w:bookmarkEnd w:id="134"/>
      <w:bookmarkEnd w:id="135"/>
    </w:p>
    <w:p w14:paraId="7F68B0C8">
      <w:pPr>
        <w:pStyle w:val="34"/>
        <w:spacing w:line="560" w:lineRule="exact"/>
        <w:ind w:firstLine="640" w:firstLineChars="200"/>
        <w:rPr>
          <w:rFonts w:ascii="仿宋_GB2312" w:hAnsi="Times New Roman" w:eastAsia="仿宋_GB2312" w:cs="Times New Roman"/>
          <w:color w:val="auto"/>
          <w:kern w:val="2"/>
          <w:sz w:val="32"/>
          <w:szCs w:val="32"/>
          <w:lang w:val="zh-CN"/>
        </w:rPr>
      </w:pPr>
      <w:bookmarkStart w:id="136" w:name="_Toc13849"/>
      <w:bookmarkStart w:id="137" w:name="_Toc21387"/>
      <w:r>
        <w:rPr>
          <w:rFonts w:hint="eastAsia" w:ascii="仿宋_GB2312" w:hAnsi="Times New Roman" w:eastAsia="仿宋_GB2312" w:cs="Times New Roman"/>
          <w:color w:val="auto"/>
          <w:kern w:val="2"/>
          <w:sz w:val="32"/>
          <w:szCs w:val="32"/>
          <w:lang w:val="zh-CN"/>
        </w:rPr>
        <w:t>十一、国有资本经营预算财政拨款收入支出决算表</w:t>
      </w:r>
      <w:bookmarkEnd w:id="136"/>
      <w:bookmarkEnd w:id="137"/>
    </w:p>
    <w:p w14:paraId="1A78619D">
      <w:pPr>
        <w:pStyle w:val="34"/>
        <w:spacing w:line="560" w:lineRule="exact"/>
        <w:ind w:firstLine="640" w:firstLineChars="200"/>
        <w:rPr>
          <w:rFonts w:ascii="仿宋_GB2312" w:hAnsi="Times New Roman" w:eastAsia="仿宋_GB2312" w:cs="Times New Roman"/>
          <w:color w:val="auto"/>
          <w:kern w:val="2"/>
          <w:sz w:val="32"/>
          <w:szCs w:val="32"/>
          <w:lang w:val="zh-CN"/>
        </w:rPr>
      </w:pPr>
      <w:bookmarkStart w:id="138" w:name="_Toc13099"/>
      <w:bookmarkStart w:id="139" w:name="_Toc1140"/>
      <w:r>
        <w:rPr>
          <w:rFonts w:hint="eastAsia" w:ascii="仿宋_GB2312" w:hAnsi="Times New Roman" w:eastAsia="仿宋_GB2312" w:cs="Times New Roman"/>
          <w:color w:val="auto"/>
          <w:kern w:val="2"/>
          <w:sz w:val="32"/>
          <w:szCs w:val="32"/>
          <w:lang w:val="zh-CN"/>
        </w:rPr>
        <w:t>十二、国有资本经营预算财政拨款支出决算表</w:t>
      </w:r>
      <w:bookmarkEnd w:id="138"/>
      <w:bookmarkEnd w:id="139"/>
    </w:p>
    <w:p w14:paraId="57555D58">
      <w:pPr>
        <w:pStyle w:val="34"/>
        <w:spacing w:line="560" w:lineRule="exact"/>
        <w:ind w:firstLine="640" w:firstLineChars="200"/>
        <w:rPr>
          <w:rFonts w:ascii="仿宋_GB2312" w:hAnsi="Times New Roman" w:eastAsia="仿宋_GB2312" w:cs="Times New Roman"/>
          <w:color w:val="auto"/>
          <w:kern w:val="2"/>
          <w:sz w:val="32"/>
          <w:szCs w:val="32"/>
          <w:lang w:val="zh-CN"/>
        </w:rPr>
      </w:pPr>
      <w:bookmarkStart w:id="140" w:name="_Toc25065"/>
      <w:bookmarkStart w:id="141" w:name="_Toc24957"/>
      <w:r>
        <w:rPr>
          <w:rFonts w:hint="eastAsia" w:ascii="仿宋_GB2312" w:hAnsi="Times New Roman" w:eastAsia="仿宋_GB2312" w:cs="Times New Roman"/>
          <w:color w:val="auto"/>
          <w:kern w:val="2"/>
          <w:sz w:val="32"/>
          <w:szCs w:val="32"/>
          <w:lang w:val="zh-CN"/>
        </w:rPr>
        <w:t>十三、财政拨款“三公”经费支出决算表</w:t>
      </w:r>
      <w:bookmarkEnd w:id="140"/>
      <w:bookmarkEnd w:id="141"/>
    </w:p>
    <w:p w14:paraId="33E03117">
      <w:pPr>
        <w:pStyle w:val="34"/>
        <w:spacing w:line="560" w:lineRule="exact"/>
        <w:ind w:firstLine="640" w:firstLineChars="200"/>
        <w:rPr>
          <w:rFonts w:ascii="仿宋_GB2312" w:hAnsi="Times New Roman" w:eastAsia="仿宋_GB2312" w:cs="Times New Roman"/>
          <w:color w:val="auto"/>
          <w:kern w:val="2"/>
          <w:sz w:val="32"/>
          <w:szCs w:val="32"/>
          <w:lang w:val="zh-CN"/>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仿宋_GB2312"/>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仿宋_GB2312"/>
    <w:panose1 w:val="00000000000000000000"/>
    <w:charset w:val="86"/>
    <w:family w:val="auto"/>
    <w:pitch w:val="default"/>
    <w:sig w:usb0="00000000" w:usb1="00000000" w:usb2="00000016" w:usb3="00000000" w:csb0="0004000F" w:csb1="00000000"/>
  </w:font>
  <w:font w:name="??">
    <w:altName w:val="Times New Roman"/>
    <w:panose1 w:val="00000000000000000000"/>
    <w:charset w:val="00"/>
    <w:family w:val="roman"/>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9D74D">
    <w:pPr>
      <w:pStyle w:val="11"/>
      <w:jc w:val="center"/>
    </w:pPr>
    <w:r>
      <w:fldChar w:fldCharType="begin"/>
    </w:r>
    <w:r>
      <w:instrText xml:space="preserve">PAGE   \* MERGEFORMAT</w:instrText>
    </w:r>
    <w:r>
      <w:fldChar w:fldCharType="separate"/>
    </w:r>
    <w:r>
      <w:t>42</w:t>
    </w:r>
    <w:r>
      <w:fldChar w:fldCharType="end"/>
    </w:r>
  </w:p>
  <w:p w14:paraId="509B2076">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621D0">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DEB2E453"/>
    <w:multiLevelType w:val="singleLevel"/>
    <w:tmpl w:val="DEB2E453"/>
    <w:lvl w:ilvl="0" w:tentative="0">
      <w:start w:val="3"/>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pPr>
        <w:ind w:left="2070"/>
      </w:pPr>
      <w:rPr>
        <w:rFonts w:hint="eastAsia" w:cs="Times New Roman"/>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lNzFlY2ZmYTkwNTI0YTM3YTZiYjMxZTE1NTYzYzAifQ=="/>
  </w:docVars>
  <w:rsids>
    <w:rsidRoot w:val="00F1361C"/>
    <w:rsid w:val="00021DB1"/>
    <w:rsid w:val="000222C6"/>
    <w:rsid w:val="0002549F"/>
    <w:rsid w:val="00027DEB"/>
    <w:rsid w:val="00044C87"/>
    <w:rsid w:val="000468DB"/>
    <w:rsid w:val="00053F64"/>
    <w:rsid w:val="00054949"/>
    <w:rsid w:val="0006487A"/>
    <w:rsid w:val="00065F8F"/>
    <w:rsid w:val="0006617C"/>
    <w:rsid w:val="00070545"/>
    <w:rsid w:val="00070A43"/>
    <w:rsid w:val="000768F2"/>
    <w:rsid w:val="0008563A"/>
    <w:rsid w:val="0009184B"/>
    <w:rsid w:val="00094236"/>
    <w:rsid w:val="0009593C"/>
    <w:rsid w:val="00097322"/>
    <w:rsid w:val="000A6A92"/>
    <w:rsid w:val="000B047F"/>
    <w:rsid w:val="000B5923"/>
    <w:rsid w:val="000B5A48"/>
    <w:rsid w:val="000B6FF3"/>
    <w:rsid w:val="000B7527"/>
    <w:rsid w:val="000C22C0"/>
    <w:rsid w:val="000C3467"/>
    <w:rsid w:val="000C3CA6"/>
    <w:rsid w:val="000D1267"/>
    <w:rsid w:val="000D1D50"/>
    <w:rsid w:val="000D5782"/>
    <w:rsid w:val="000E188B"/>
    <w:rsid w:val="000E6613"/>
    <w:rsid w:val="000E7119"/>
    <w:rsid w:val="000F20FF"/>
    <w:rsid w:val="001006D2"/>
    <w:rsid w:val="00114E9B"/>
    <w:rsid w:val="00115301"/>
    <w:rsid w:val="0012556E"/>
    <w:rsid w:val="0013189E"/>
    <w:rsid w:val="001319E1"/>
    <w:rsid w:val="00142216"/>
    <w:rsid w:val="00143AAE"/>
    <w:rsid w:val="00144D6A"/>
    <w:rsid w:val="0014729F"/>
    <w:rsid w:val="00157BAB"/>
    <w:rsid w:val="001654D1"/>
    <w:rsid w:val="00174518"/>
    <w:rsid w:val="0018106D"/>
    <w:rsid w:val="001877A7"/>
    <w:rsid w:val="00191536"/>
    <w:rsid w:val="001939B7"/>
    <w:rsid w:val="00195548"/>
    <w:rsid w:val="00196687"/>
    <w:rsid w:val="00196750"/>
    <w:rsid w:val="00197E9F"/>
    <w:rsid w:val="001C0962"/>
    <w:rsid w:val="001C2BFE"/>
    <w:rsid w:val="001D7531"/>
    <w:rsid w:val="001E737D"/>
    <w:rsid w:val="001F0592"/>
    <w:rsid w:val="001F7506"/>
    <w:rsid w:val="002006CD"/>
    <w:rsid w:val="00202B36"/>
    <w:rsid w:val="00204B7A"/>
    <w:rsid w:val="00204C46"/>
    <w:rsid w:val="00204CDE"/>
    <w:rsid w:val="0021101A"/>
    <w:rsid w:val="00217AE2"/>
    <w:rsid w:val="00220536"/>
    <w:rsid w:val="00222F69"/>
    <w:rsid w:val="00233F5B"/>
    <w:rsid w:val="00235629"/>
    <w:rsid w:val="00235CF9"/>
    <w:rsid w:val="0024785F"/>
    <w:rsid w:val="00256262"/>
    <w:rsid w:val="00260C38"/>
    <w:rsid w:val="002616C0"/>
    <w:rsid w:val="00265372"/>
    <w:rsid w:val="002662AA"/>
    <w:rsid w:val="0027224D"/>
    <w:rsid w:val="00280496"/>
    <w:rsid w:val="00294DC9"/>
    <w:rsid w:val="00295495"/>
    <w:rsid w:val="002A31DE"/>
    <w:rsid w:val="002B2613"/>
    <w:rsid w:val="002C6857"/>
    <w:rsid w:val="002D6D05"/>
    <w:rsid w:val="002F1818"/>
    <w:rsid w:val="002F567B"/>
    <w:rsid w:val="00306D06"/>
    <w:rsid w:val="00311FB8"/>
    <w:rsid w:val="00321685"/>
    <w:rsid w:val="003216A9"/>
    <w:rsid w:val="00335A74"/>
    <w:rsid w:val="00340765"/>
    <w:rsid w:val="003536E0"/>
    <w:rsid w:val="0036561B"/>
    <w:rsid w:val="0037013F"/>
    <w:rsid w:val="00380C92"/>
    <w:rsid w:val="00391FB4"/>
    <w:rsid w:val="00393C06"/>
    <w:rsid w:val="003A484F"/>
    <w:rsid w:val="003A4883"/>
    <w:rsid w:val="003B0BE0"/>
    <w:rsid w:val="003B0C1B"/>
    <w:rsid w:val="003B482C"/>
    <w:rsid w:val="003B688C"/>
    <w:rsid w:val="003C0291"/>
    <w:rsid w:val="003C39AE"/>
    <w:rsid w:val="003C7B60"/>
    <w:rsid w:val="003D0C0F"/>
    <w:rsid w:val="003D1310"/>
    <w:rsid w:val="003D1FB2"/>
    <w:rsid w:val="003D3783"/>
    <w:rsid w:val="003D66DA"/>
    <w:rsid w:val="003E1310"/>
    <w:rsid w:val="003E6189"/>
    <w:rsid w:val="003E6F55"/>
    <w:rsid w:val="003E6FE4"/>
    <w:rsid w:val="00406254"/>
    <w:rsid w:val="004223DE"/>
    <w:rsid w:val="0042503B"/>
    <w:rsid w:val="00432BDC"/>
    <w:rsid w:val="00434489"/>
    <w:rsid w:val="00437085"/>
    <w:rsid w:val="00443880"/>
    <w:rsid w:val="00445607"/>
    <w:rsid w:val="004464F4"/>
    <w:rsid w:val="0045405F"/>
    <w:rsid w:val="00466E72"/>
    <w:rsid w:val="00471401"/>
    <w:rsid w:val="00473F31"/>
    <w:rsid w:val="0048263A"/>
    <w:rsid w:val="00487E5D"/>
    <w:rsid w:val="00494545"/>
    <w:rsid w:val="0049684D"/>
    <w:rsid w:val="004A711F"/>
    <w:rsid w:val="004B199D"/>
    <w:rsid w:val="004B1A20"/>
    <w:rsid w:val="004B4690"/>
    <w:rsid w:val="004C2E2D"/>
    <w:rsid w:val="004D5479"/>
    <w:rsid w:val="004E0A2D"/>
    <w:rsid w:val="004E206B"/>
    <w:rsid w:val="004E49C5"/>
    <w:rsid w:val="004E6DF7"/>
    <w:rsid w:val="004F0FBD"/>
    <w:rsid w:val="00504E2E"/>
    <w:rsid w:val="00505A47"/>
    <w:rsid w:val="00512FDA"/>
    <w:rsid w:val="0051361B"/>
    <w:rsid w:val="00520DA0"/>
    <w:rsid w:val="005269A7"/>
    <w:rsid w:val="005269D7"/>
    <w:rsid w:val="005508BC"/>
    <w:rsid w:val="005664BB"/>
    <w:rsid w:val="00566FFA"/>
    <w:rsid w:val="0057481D"/>
    <w:rsid w:val="0058486E"/>
    <w:rsid w:val="00585B33"/>
    <w:rsid w:val="00587B68"/>
    <w:rsid w:val="0059014D"/>
    <w:rsid w:val="005A6340"/>
    <w:rsid w:val="005B5C64"/>
    <w:rsid w:val="005C5337"/>
    <w:rsid w:val="005C6BD0"/>
    <w:rsid w:val="005D1C8B"/>
    <w:rsid w:val="005D468D"/>
    <w:rsid w:val="005D5591"/>
    <w:rsid w:val="005D5CED"/>
    <w:rsid w:val="005F1A4C"/>
    <w:rsid w:val="005F34D0"/>
    <w:rsid w:val="006055E2"/>
    <w:rsid w:val="00605688"/>
    <w:rsid w:val="006070AF"/>
    <w:rsid w:val="00607E6C"/>
    <w:rsid w:val="006101B1"/>
    <w:rsid w:val="00614E44"/>
    <w:rsid w:val="006162E5"/>
    <w:rsid w:val="006178BA"/>
    <w:rsid w:val="0062270A"/>
    <w:rsid w:val="00622830"/>
    <w:rsid w:val="00623DA0"/>
    <w:rsid w:val="00627647"/>
    <w:rsid w:val="00627E95"/>
    <w:rsid w:val="006302ED"/>
    <w:rsid w:val="00630AEF"/>
    <w:rsid w:val="006325F8"/>
    <w:rsid w:val="00633463"/>
    <w:rsid w:val="00634C9A"/>
    <w:rsid w:val="00636199"/>
    <w:rsid w:val="006440E4"/>
    <w:rsid w:val="00645F81"/>
    <w:rsid w:val="0064742A"/>
    <w:rsid w:val="0066019E"/>
    <w:rsid w:val="0066343B"/>
    <w:rsid w:val="00664777"/>
    <w:rsid w:val="006748A4"/>
    <w:rsid w:val="00681A31"/>
    <w:rsid w:val="00683E73"/>
    <w:rsid w:val="00691398"/>
    <w:rsid w:val="00696595"/>
    <w:rsid w:val="006A3141"/>
    <w:rsid w:val="006A5E34"/>
    <w:rsid w:val="006B2422"/>
    <w:rsid w:val="006B2B9A"/>
    <w:rsid w:val="006C1937"/>
    <w:rsid w:val="006D157C"/>
    <w:rsid w:val="006E787E"/>
    <w:rsid w:val="006F020C"/>
    <w:rsid w:val="006F2EF2"/>
    <w:rsid w:val="00702B00"/>
    <w:rsid w:val="007127B7"/>
    <w:rsid w:val="0071798E"/>
    <w:rsid w:val="007232C4"/>
    <w:rsid w:val="00734A62"/>
    <w:rsid w:val="0074040A"/>
    <w:rsid w:val="007416B6"/>
    <w:rsid w:val="00746F48"/>
    <w:rsid w:val="0075404D"/>
    <w:rsid w:val="0076182A"/>
    <w:rsid w:val="00767B7E"/>
    <w:rsid w:val="007770C3"/>
    <w:rsid w:val="00784D24"/>
    <w:rsid w:val="00785FBA"/>
    <w:rsid w:val="00786E4A"/>
    <w:rsid w:val="007875EB"/>
    <w:rsid w:val="0079426B"/>
    <w:rsid w:val="007B2D0B"/>
    <w:rsid w:val="007D1682"/>
    <w:rsid w:val="007D312A"/>
    <w:rsid w:val="007D3F19"/>
    <w:rsid w:val="007E23B0"/>
    <w:rsid w:val="007E23E5"/>
    <w:rsid w:val="007F1991"/>
    <w:rsid w:val="007F2C2F"/>
    <w:rsid w:val="007F55FC"/>
    <w:rsid w:val="007F5665"/>
    <w:rsid w:val="00800112"/>
    <w:rsid w:val="00800D80"/>
    <w:rsid w:val="00813348"/>
    <w:rsid w:val="00822762"/>
    <w:rsid w:val="0082285F"/>
    <w:rsid w:val="008253BB"/>
    <w:rsid w:val="00834E0E"/>
    <w:rsid w:val="0083706E"/>
    <w:rsid w:val="008408F6"/>
    <w:rsid w:val="00840C7F"/>
    <w:rsid w:val="008423A5"/>
    <w:rsid w:val="00850625"/>
    <w:rsid w:val="00853718"/>
    <w:rsid w:val="00855221"/>
    <w:rsid w:val="00860645"/>
    <w:rsid w:val="00860647"/>
    <w:rsid w:val="00871F71"/>
    <w:rsid w:val="00872FD8"/>
    <w:rsid w:val="00885AF4"/>
    <w:rsid w:val="00885CA1"/>
    <w:rsid w:val="00892977"/>
    <w:rsid w:val="008939CD"/>
    <w:rsid w:val="008941F3"/>
    <w:rsid w:val="008A2AE7"/>
    <w:rsid w:val="008B17DE"/>
    <w:rsid w:val="008B768C"/>
    <w:rsid w:val="008C4DB1"/>
    <w:rsid w:val="008C4EAF"/>
    <w:rsid w:val="008C5176"/>
    <w:rsid w:val="008C7FD0"/>
    <w:rsid w:val="008D4D53"/>
    <w:rsid w:val="008E1DE7"/>
    <w:rsid w:val="008E707C"/>
    <w:rsid w:val="008F6523"/>
    <w:rsid w:val="008F6611"/>
    <w:rsid w:val="00900B08"/>
    <w:rsid w:val="00902155"/>
    <w:rsid w:val="00902FA3"/>
    <w:rsid w:val="00923564"/>
    <w:rsid w:val="0092392E"/>
    <w:rsid w:val="00927F58"/>
    <w:rsid w:val="009315F9"/>
    <w:rsid w:val="00933499"/>
    <w:rsid w:val="009334D8"/>
    <w:rsid w:val="00935C98"/>
    <w:rsid w:val="0093635C"/>
    <w:rsid w:val="00946945"/>
    <w:rsid w:val="00951248"/>
    <w:rsid w:val="0095152F"/>
    <w:rsid w:val="00954C49"/>
    <w:rsid w:val="00955E37"/>
    <w:rsid w:val="00960F5B"/>
    <w:rsid w:val="00962656"/>
    <w:rsid w:val="0097099F"/>
    <w:rsid w:val="00971997"/>
    <w:rsid w:val="00971FFC"/>
    <w:rsid w:val="0098607C"/>
    <w:rsid w:val="0098660A"/>
    <w:rsid w:val="00987007"/>
    <w:rsid w:val="009931C3"/>
    <w:rsid w:val="009A4458"/>
    <w:rsid w:val="009B2C43"/>
    <w:rsid w:val="009B4EAE"/>
    <w:rsid w:val="009B7573"/>
    <w:rsid w:val="009C22F4"/>
    <w:rsid w:val="009C2A4B"/>
    <w:rsid w:val="009C2E98"/>
    <w:rsid w:val="009D199C"/>
    <w:rsid w:val="009D3447"/>
    <w:rsid w:val="009D3AF1"/>
    <w:rsid w:val="009D4711"/>
    <w:rsid w:val="009D7E53"/>
    <w:rsid w:val="009F1185"/>
    <w:rsid w:val="009F18CD"/>
    <w:rsid w:val="009F2A13"/>
    <w:rsid w:val="009F7527"/>
    <w:rsid w:val="00A04EB0"/>
    <w:rsid w:val="00A130CC"/>
    <w:rsid w:val="00A13CC1"/>
    <w:rsid w:val="00A16847"/>
    <w:rsid w:val="00A20841"/>
    <w:rsid w:val="00A237D8"/>
    <w:rsid w:val="00A268C4"/>
    <w:rsid w:val="00A307CD"/>
    <w:rsid w:val="00A331C8"/>
    <w:rsid w:val="00A370FD"/>
    <w:rsid w:val="00A40A00"/>
    <w:rsid w:val="00A4142F"/>
    <w:rsid w:val="00A422EB"/>
    <w:rsid w:val="00A45BB7"/>
    <w:rsid w:val="00A56DF2"/>
    <w:rsid w:val="00A56E6E"/>
    <w:rsid w:val="00A6787D"/>
    <w:rsid w:val="00A67AB5"/>
    <w:rsid w:val="00A733B2"/>
    <w:rsid w:val="00A741C2"/>
    <w:rsid w:val="00A77616"/>
    <w:rsid w:val="00A91760"/>
    <w:rsid w:val="00A93B00"/>
    <w:rsid w:val="00A93C21"/>
    <w:rsid w:val="00AB262A"/>
    <w:rsid w:val="00AB3015"/>
    <w:rsid w:val="00AB64C9"/>
    <w:rsid w:val="00AB64F0"/>
    <w:rsid w:val="00AC098F"/>
    <w:rsid w:val="00AC3C6A"/>
    <w:rsid w:val="00AC7E5E"/>
    <w:rsid w:val="00AD5620"/>
    <w:rsid w:val="00AD656B"/>
    <w:rsid w:val="00AD7C1B"/>
    <w:rsid w:val="00AE0065"/>
    <w:rsid w:val="00AE16BA"/>
    <w:rsid w:val="00AE1EBE"/>
    <w:rsid w:val="00AF270C"/>
    <w:rsid w:val="00AF4E63"/>
    <w:rsid w:val="00B011E4"/>
    <w:rsid w:val="00B015C8"/>
    <w:rsid w:val="00B03C9D"/>
    <w:rsid w:val="00B060AE"/>
    <w:rsid w:val="00B07AA4"/>
    <w:rsid w:val="00B10517"/>
    <w:rsid w:val="00B11997"/>
    <w:rsid w:val="00B14E76"/>
    <w:rsid w:val="00B161B8"/>
    <w:rsid w:val="00B2048C"/>
    <w:rsid w:val="00B310B9"/>
    <w:rsid w:val="00B35F3F"/>
    <w:rsid w:val="00B36858"/>
    <w:rsid w:val="00B36CBB"/>
    <w:rsid w:val="00B425E0"/>
    <w:rsid w:val="00B440AA"/>
    <w:rsid w:val="00B44B70"/>
    <w:rsid w:val="00B46A0E"/>
    <w:rsid w:val="00B53C56"/>
    <w:rsid w:val="00B57DAF"/>
    <w:rsid w:val="00B63EA4"/>
    <w:rsid w:val="00B77EA6"/>
    <w:rsid w:val="00B81598"/>
    <w:rsid w:val="00B841F1"/>
    <w:rsid w:val="00B856CE"/>
    <w:rsid w:val="00B90E4E"/>
    <w:rsid w:val="00B93C78"/>
    <w:rsid w:val="00B94118"/>
    <w:rsid w:val="00B944D6"/>
    <w:rsid w:val="00B965DC"/>
    <w:rsid w:val="00BB4DF0"/>
    <w:rsid w:val="00BC1A18"/>
    <w:rsid w:val="00BC289F"/>
    <w:rsid w:val="00BC2D50"/>
    <w:rsid w:val="00BC5361"/>
    <w:rsid w:val="00BC5460"/>
    <w:rsid w:val="00BC6B50"/>
    <w:rsid w:val="00BD0E25"/>
    <w:rsid w:val="00BD3E3E"/>
    <w:rsid w:val="00BD418A"/>
    <w:rsid w:val="00BE7501"/>
    <w:rsid w:val="00BF2D94"/>
    <w:rsid w:val="00BF5BD6"/>
    <w:rsid w:val="00C03E31"/>
    <w:rsid w:val="00C273C1"/>
    <w:rsid w:val="00C27E95"/>
    <w:rsid w:val="00C331DE"/>
    <w:rsid w:val="00C33E72"/>
    <w:rsid w:val="00C354B2"/>
    <w:rsid w:val="00C35554"/>
    <w:rsid w:val="00C42709"/>
    <w:rsid w:val="00C533CC"/>
    <w:rsid w:val="00C5751C"/>
    <w:rsid w:val="00C61BFC"/>
    <w:rsid w:val="00C62B85"/>
    <w:rsid w:val="00C65438"/>
    <w:rsid w:val="00C71B53"/>
    <w:rsid w:val="00C7394F"/>
    <w:rsid w:val="00C87FD8"/>
    <w:rsid w:val="00C91381"/>
    <w:rsid w:val="00C91CBB"/>
    <w:rsid w:val="00CB4E70"/>
    <w:rsid w:val="00CB5399"/>
    <w:rsid w:val="00CC09B6"/>
    <w:rsid w:val="00CC666F"/>
    <w:rsid w:val="00CD1E3F"/>
    <w:rsid w:val="00CD4ED8"/>
    <w:rsid w:val="00CD64B4"/>
    <w:rsid w:val="00CE44F6"/>
    <w:rsid w:val="00CE49DA"/>
    <w:rsid w:val="00CE7B61"/>
    <w:rsid w:val="00D00095"/>
    <w:rsid w:val="00D013C8"/>
    <w:rsid w:val="00D114F0"/>
    <w:rsid w:val="00D20596"/>
    <w:rsid w:val="00D20620"/>
    <w:rsid w:val="00D2395F"/>
    <w:rsid w:val="00D254F7"/>
    <w:rsid w:val="00D26091"/>
    <w:rsid w:val="00D2685C"/>
    <w:rsid w:val="00D34E7C"/>
    <w:rsid w:val="00D35489"/>
    <w:rsid w:val="00D36AFE"/>
    <w:rsid w:val="00D51276"/>
    <w:rsid w:val="00D67A8B"/>
    <w:rsid w:val="00D7035F"/>
    <w:rsid w:val="00D81A47"/>
    <w:rsid w:val="00D84004"/>
    <w:rsid w:val="00D9195A"/>
    <w:rsid w:val="00DA634F"/>
    <w:rsid w:val="00DA65AC"/>
    <w:rsid w:val="00DB1913"/>
    <w:rsid w:val="00DB342F"/>
    <w:rsid w:val="00DC410D"/>
    <w:rsid w:val="00DC5A81"/>
    <w:rsid w:val="00DC68CA"/>
    <w:rsid w:val="00DC74B0"/>
    <w:rsid w:val="00DC7CBA"/>
    <w:rsid w:val="00DD35C5"/>
    <w:rsid w:val="00DD65F7"/>
    <w:rsid w:val="00DD73B7"/>
    <w:rsid w:val="00DE279C"/>
    <w:rsid w:val="00DF02CD"/>
    <w:rsid w:val="00DF28BC"/>
    <w:rsid w:val="00DF34B9"/>
    <w:rsid w:val="00DF750A"/>
    <w:rsid w:val="00E01053"/>
    <w:rsid w:val="00E07ACF"/>
    <w:rsid w:val="00E10730"/>
    <w:rsid w:val="00E31804"/>
    <w:rsid w:val="00E32CAD"/>
    <w:rsid w:val="00E331A1"/>
    <w:rsid w:val="00E33202"/>
    <w:rsid w:val="00E336A9"/>
    <w:rsid w:val="00E472B1"/>
    <w:rsid w:val="00E50624"/>
    <w:rsid w:val="00E568DF"/>
    <w:rsid w:val="00E64269"/>
    <w:rsid w:val="00E70975"/>
    <w:rsid w:val="00E82267"/>
    <w:rsid w:val="00E853CE"/>
    <w:rsid w:val="00E867B6"/>
    <w:rsid w:val="00E9002D"/>
    <w:rsid w:val="00EA010F"/>
    <w:rsid w:val="00EA3086"/>
    <w:rsid w:val="00EB64D9"/>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1480"/>
    <w:rsid w:val="00F36D8F"/>
    <w:rsid w:val="00F417B1"/>
    <w:rsid w:val="00F45853"/>
    <w:rsid w:val="00F514E6"/>
    <w:rsid w:val="00F528F3"/>
    <w:rsid w:val="00F53347"/>
    <w:rsid w:val="00F56B97"/>
    <w:rsid w:val="00F602DF"/>
    <w:rsid w:val="00F754A1"/>
    <w:rsid w:val="00F772E5"/>
    <w:rsid w:val="00F81FD9"/>
    <w:rsid w:val="00F841AA"/>
    <w:rsid w:val="00F84A94"/>
    <w:rsid w:val="00F87E96"/>
    <w:rsid w:val="00FA23E8"/>
    <w:rsid w:val="00FC2607"/>
    <w:rsid w:val="00FC286F"/>
    <w:rsid w:val="00FD3CC1"/>
    <w:rsid w:val="00FE4627"/>
    <w:rsid w:val="00FF0F79"/>
    <w:rsid w:val="00FF1E02"/>
    <w:rsid w:val="00FF30B4"/>
    <w:rsid w:val="02241FDF"/>
    <w:rsid w:val="08384ACC"/>
    <w:rsid w:val="0A2032A3"/>
    <w:rsid w:val="0B226B74"/>
    <w:rsid w:val="10C055FF"/>
    <w:rsid w:val="118107EC"/>
    <w:rsid w:val="16BB723D"/>
    <w:rsid w:val="1A4E7CD9"/>
    <w:rsid w:val="1B355F99"/>
    <w:rsid w:val="1D155CEE"/>
    <w:rsid w:val="21F568A6"/>
    <w:rsid w:val="240371BF"/>
    <w:rsid w:val="24D42622"/>
    <w:rsid w:val="29FD04D3"/>
    <w:rsid w:val="2B095BA0"/>
    <w:rsid w:val="2E423D71"/>
    <w:rsid w:val="319F7F4E"/>
    <w:rsid w:val="3CCD349B"/>
    <w:rsid w:val="3DC70D32"/>
    <w:rsid w:val="41984EBF"/>
    <w:rsid w:val="4A0A26D2"/>
    <w:rsid w:val="4ACD5375"/>
    <w:rsid w:val="4BD55BDF"/>
    <w:rsid w:val="4ECE2238"/>
    <w:rsid w:val="4FE2511A"/>
    <w:rsid w:val="53D24869"/>
    <w:rsid w:val="5D333022"/>
    <w:rsid w:val="5F77A4F4"/>
    <w:rsid w:val="62EE14A0"/>
    <w:rsid w:val="6424383C"/>
    <w:rsid w:val="67BB5E6B"/>
    <w:rsid w:val="6C4A05C8"/>
    <w:rsid w:val="6F504A21"/>
    <w:rsid w:val="6FA443D3"/>
    <w:rsid w:val="72734D90"/>
    <w:rsid w:val="74D477FC"/>
    <w:rsid w:val="75FB71EF"/>
    <w:rsid w:val="7D17F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6"/>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asciiTheme="minorHAnsi" w:eastAsiaTheme="minorHAnsi"/>
      <w:sz w:val="18"/>
      <w:szCs w:val="18"/>
    </w:rPr>
  </w:style>
  <w:style w:type="paragraph" w:styleId="6">
    <w:name w:val="Body Text"/>
    <w:basedOn w:val="1"/>
    <w:link w:val="33"/>
    <w:qFormat/>
    <w:uiPriority w:val="0"/>
    <w:pPr>
      <w:spacing w:beforeLines="30"/>
    </w:pPr>
    <w:rPr>
      <w:rFonts w:ascii="仿宋_GB2312" w:eastAsia="仿宋_GB2312"/>
      <w:kern w:val="0"/>
      <w:sz w:val="24"/>
      <w:szCs w:val="20"/>
      <w:lang w:val="zh-CN"/>
    </w:rPr>
  </w:style>
  <w:style w:type="paragraph" w:styleId="7">
    <w:name w:val="toc 5"/>
    <w:basedOn w:val="1"/>
    <w:next w:val="1"/>
    <w:unhideWhenUsed/>
    <w:qFormat/>
    <w:uiPriority w:val="39"/>
    <w:pPr>
      <w:ind w:left="840"/>
      <w:jc w:val="left"/>
    </w:pPr>
    <w:rPr>
      <w:rFonts w:asciiTheme="minorHAnsi" w:eastAsiaTheme="minorHAnsi"/>
      <w:sz w:val="18"/>
      <w:szCs w:val="18"/>
    </w:rPr>
  </w:style>
  <w:style w:type="paragraph" w:styleId="8">
    <w:name w:val="toc 3"/>
    <w:basedOn w:val="1"/>
    <w:next w:val="1"/>
    <w:unhideWhenUsed/>
    <w:qFormat/>
    <w:uiPriority w:val="39"/>
    <w:pPr>
      <w:ind w:left="420"/>
      <w:jc w:val="left"/>
    </w:pPr>
    <w:rPr>
      <w:rFonts w:asciiTheme="minorHAnsi" w:eastAsiaTheme="minorHAnsi"/>
      <w:i/>
      <w:iCs/>
      <w:sz w:val="20"/>
      <w:szCs w:val="20"/>
    </w:rPr>
  </w:style>
  <w:style w:type="paragraph" w:styleId="9">
    <w:name w:val="toc 8"/>
    <w:basedOn w:val="1"/>
    <w:next w:val="1"/>
    <w:unhideWhenUsed/>
    <w:qFormat/>
    <w:uiPriority w:val="39"/>
    <w:pPr>
      <w:ind w:left="1470"/>
      <w:jc w:val="left"/>
    </w:pPr>
    <w:rPr>
      <w:rFonts w:asciiTheme="minorHAnsi" w:eastAsiaTheme="minorHAnsi"/>
      <w:sz w:val="18"/>
      <w:szCs w:val="18"/>
    </w:rPr>
  </w:style>
  <w:style w:type="paragraph" w:styleId="10">
    <w:name w:val="Balloon Text"/>
    <w:basedOn w:val="1"/>
    <w:link w:val="28"/>
    <w:semiHidden/>
    <w:unhideWhenUsed/>
    <w:qFormat/>
    <w:uiPriority w:val="99"/>
    <w:rPr>
      <w:sz w:val="18"/>
      <w:szCs w:val="18"/>
    </w:rPr>
  </w:style>
  <w:style w:type="paragraph" w:styleId="11">
    <w:name w:val="footer"/>
    <w:basedOn w:val="1"/>
    <w:link w:val="32"/>
    <w:qFormat/>
    <w:uiPriority w:val="99"/>
    <w:pPr>
      <w:tabs>
        <w:tab w:val="center" w:pos="4153"/>
        <w:tab w:val="right" w:pos="8306"/>
      </w:tabs>
      <w:snapToGrid w:val="0"/>
      <w:jc w:val="left"/>
    </w:pPr>
    <w:rPr>
      <w:rFonts w:ascii="Calibri" w:hAnsi="Calibri"/>
      <w:kern w:val="0"/>
      <w:sz w:val="18"/>
      <w:szCs w:val="20"/>
      <w:lang w:val="zh-CN"/>
    </w:rPr>
  </w:style>
  <w:style w:type="paragraph" w:styleId="12">
    <w:name w:val="header"/>
    <w:basedOn w:val="1"/>
    <w:link w:val="31"/>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3">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4">
    <w:name w:val="toc 4"/>
    <w:basedOn w:val="1"/>
    <w:next w:val="1"/>
    <w:unhideWhenUsed/>
    <w:qFormat/>
    <w:uiPriority w:val="39"/>
    <w:pPr>
      <w:ind w:left="630"/>
      <w:jc w:val="left"/>
    </w:pPr>
    <w:rPr>
      <w:rFonts w:asciiTheme="minorHAnsi" w:eastAsiaTheme="minorHAnsi"/>
      <w:sz w:val="18"/>
      <w:szCs w:val="18"/>
    </w:rPr>
  </w:style>
  <w:style w:type="paragraph" w:styleId="15">
    <w:name w:val="toc 6"/>
    <w:basedOn w:val="1"/>
    <w:next w:val="1"/>
    <w:unhideWhenUsed/>
    <w:qFormat/>
    <w:uiPriority w:val="39"/>
    <w:pPr>
      <w:ind w:left="1050"/>
      <w:jc w:val="left"/>
    </w:pPr>
    <w:rPr>
      <w:rFonts w:asciiTheme="minorHAnsi" w:eastAsiaTheme="minorHAnsi"/>
      <w:sz w:val="18"/>
      <w:szCs w:val="18"/>
    </w:rPr>
  </w:style>
  <w:style w:type="paragraph" w:styleId="16">
    <w:name w:val="table of figures"/>
    <w:basedOn w:val="1"/>
    <w:next w:val="1"/>
    <w:unhideWhenUsed/>
    <w:qFormat/>
    <w:uiPriority w:val="0"/>
    <w:pPr>
      <w:ind w:left="200" w:leftChars="200" w:hanging="200" w:hangingChars="200"/>
    </w:pPr>
    <w:rPr>
      <w:rFonts w:eastAsia="仿宋_GB2312"/>
      <w:sz w:val="32"/>
    </w:rPr>
  </w:style>
  <w:style w:type="paragraph" w:styleId="17">
    <w:name w:val="toc 2"/>
    <w:basedOn w:val="1"/>
    <w:next w:val="1"/>
    <w:unhideWhenUsed/>
    <w:qFormat/>
    <w:uiPriority w:val="39"/>
    <w:pPr>
      <w:ind w:left="210"/>
      <w:jc w:val="left"/>
    </w:pPr>
    <w:rPr>
      <w:rFonts w:asciiTheme="minorHAnsi" w:eastAsiaTheme="minorHAnsi"/>
      <w:smallCaps/>
      <w:sz w:val="20"/>
      <w:szCs w:val="20"/>
    </w:rPr>
  </w:style>
  <w:style w:type="paragraph" w:styleId="18">
    <w:name w:val="toc 9"/>
    <w:basedOn w:val="1"/>
    <w:next w:val="1"/>
    <w:unhideWhenUsed/>
    <w:qFormat/>
    <w:uiPriority w:val="39"/>
    <w:pPr>
      <w:ind w:left="1680"/>
      <w:jc w:val="left"/>
    </w:pPr>
    <w:rPr>
      <w:rFonts w:asciiTheme="minorHAnsi" w:eastAsiaTheme="minorHAnsi"/>
      <w:sz w:val="18"/>
      <w:szCs w:val="18"/>
    </w:rPr>
  </w:style>
  <w:style w:type="paragraph" w:styleId="19">
    <w:name w:val="Normal (Web)"/>
    <w:basedOn w:val="1"/>
    <w:qFormat/>
    <w:uiPriority w:val="0"/>
    <w:pPr>
      <w:spacing w:before="100" w:beforeAutospacing="1" w:after="100" w:afterAutospacing="1"/>
      <w:jc w:val="left"/>
    </w:pPr>
    <w:rPr>
      <w:rFonts w:ascii="Calibri" w:hAnsi="Calibri"/>
      <w:kern w:val="0"/>
      <w:sz w:val="24"/>
    </w:rPr>
  </w:style>
  <w:style w:type="character" w:styleId="22">
    <w:name w:val="Strong"/>
    <w:basedOn w:val="21"/>
    <w:qFormat/>
    <w:uiPriority w:val="0"/>
    <w:rPr>
      <w:rFonts w:cs="Times New Roman"/>
      <w:b/>
    </w:rPr>
  </w:style>
  <w:style w:type="character" w:styleId="23">
    <w:name w:val="Hyperlink"/>
    <w:basedOn w:val="21"/>
    <w:unhideWhenUsed/>
    <w:qFormat/>
    <w:uiPriority w:val="99"/>
    <w:rPr>
      <w:rFonts w:cs="Times New Roman"/>
      <w:color w:val="0000FF"/>
      <w:u w:val="single"/>
    </w:rPr>
  </w:style>
  <w:style w:type="character" w:customStyle="1" w:styleId="24">
    <w:name w:val="标题 1 Char"/>
    <w:basedOn w:val="21"/>
    <w:link w:val="2"/>
    <w:qFormat/>
    <w:locked/>
    <w:uiPriority w:val="9"/>
    <w:rPr>
      <w:rFonts w:ascii="Times New Roman" w:hAnsi="Times New Roman" w:cs="Times New Roman"/>
      <w:b/>
      <w:bCs/>
      <w:kern w:val="44"/>
      <w:sz w:val="44"/>
      <w:szCs w:val="44"/>
    </w:rPr>
  </w:style>
  <w:style w:type="character" w:customStyle="1" w:styleId="25">
    <w:name w:val="标题 2 Char"/>
    <w:basedOn w:val="21"/>
    <w:link w:val="3"/>
    <w:qFormat/>
    <w:locked/>
    <w:uiPriority w:val="9"/>
    <w:rPr>
      <w:rFonts w:ascii="Cambria" w:hAnsi="Cambria" w:eastAsia="宋体" w:cs="Times New Roman"/>
      <w:b/>
      <w:bCs/>
      <w:kern w:val="2"/>
      <w:sz w:val="32"/>
      <w:szCs w:val="32"/>
    </w:rPr>
  </w:style>
  <w:style w:type="character" w:customStyle="1" w:styleId="26">
    <w:name w:val="标题 3 Char"/>
    <w:basedOn w:val="21"/>
    <w:link w:val="4"/>
    <w:qFormat/>
    <w:locked/>
    <w:uiPriority w:val="9"/>
    <w:rPr>
      <w:rFonts w:ascii="Times New Roman" w:hAnsi="Times New Roman" w:cs="Times New Roman"/>
      <w:b/>
      <w:bCs/>
      <w:kern w:val="2"/>
      <w:sz w:val="32"/>
      <w:szCs w:val="32"/>
    </w:rPr>
  </w:style>
  <w:style w:type="character" w:customStyle="1" w:styleId="27">
    <w:name w:val="Body Text Char"/>
    <w:basedOn w:val="21"/>
    <w:semiHidden/>
    <w:qFormat/>
    <w:uiPriority w:val="99"/>
    <w:rPr>
      <w:rFonts w:ascii="Times New Roman" w:hAnsi="Times New Roman" w:cs="Times New Roman"/>
      <w:sz w:val="24"/>
      <w:szCs w:val="24"/>
    </w:rPr>
  </w:style>
  <w:style w:type="character" w:customStyle="1" w:styleId="28">
    <w:name w:val="批注框文本 Char"/>
    <w:basedOn w:val="21"/>
    <w:link w:val="10"/>
    <w:semiHidden/>
    <w:qFormat/>
    <w:locked/>
    <w:uiPriority w:val="99"/>
    <w:rPr>
      <w:rFonts w:ascii="Times New Roman" w:hAnsi="Times New Roman" w:cs="Times New Roman"/>
      <w:kern w:val="2"/>
      <w:sz w:val="18"/>
      <w:szCs w:val="18"/>
    </w:rPr>
  </w:style>
  <w:style w:type="character" w:customStyle="1" w:styleId="29">
    <w:name w:val="Footer Char"/>
    <w:basedOn w:val="21"/>
    <w:semiHidden/>
    <w:qFormat/>
    <w:uiPriority w:val="99"/>
    <w:rPr>
      <w:rFonts w:ascii="Times New Roman" w:hAnsi="Times New Roman" w:cs="Times New Roman"/>
      <w:sz w:val="18"/>
      <w:szCs w:val="18"/>
    </w:rPr>
  </w:style>
  <w:style w:type="character" w:customStyle="1" w:styleId="30">
    <w:name w:val="Header Char"/>
    <w:basedOn w:val="21"/>
    <w:semiHidden/>
    <w:qFormat/>
    <w:uiPriority w:val="99"/>
    <w:rPr>
      <w:rFonts w:ascii="Times New Roman" w:hAnsi="Times New Roman" w:cs="Times New Roman"/>
      <w:sz w:val="18"/>
      <w:szCs w:val="18"/>
    </w:rPr>
  </w:style>
  <w:style w:type="character" w:customStyle="1" w:styleId="31">
    <w:name w:val="页眉 Char"/>
    <w:link w:val="12"/>
    <w:semiHidden/>
    <w:qFormat/>
    <w:locked/>
    <w:uiPriority w:val="99"/>
    <w:rPr>
      <w:sz w:val="18"/>
    </w:rPr>
  </w:style>
  <w:style w:type="character" w:customStyle="1" w:styleId="32">
    <w:name w:val="页脚 Char"/>
    <w:link w:val="11"/>
    <w:qFormat/>
    <w:locked/>
    <w:uiPriority w:val="99"/>
    <w:rPr>
      <w:sz w:val="18"/>
    </w:rPr>
  </w:style>
  <w:style w:type="character" w:customStyle="1" w:styleId="33">
    <w:name w:val="正文文本 Char"/>
    <w:link w:val="6"/>
    <w:qFormat/>
    <w:locked/>
    <w:uiPriority w:val="99"/>
    <w:rPr>
      <w:rFonts w:ascii="仿宋_GB2312" w:hAnsi="Times New Roman" w:eastAsia="仿宋_GB2312"/>
      <w:sz w:val="24"/>
    </w:rPr>
  </w:style>
  <w:style w:type="paragraph" w:customStyle="1" w:styleId="3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5">
    <w:name w:val="列表段落1"/>
    <w:basedOn w:val="1"/>
    <w:qFormat/>
    <w:uiPriority w:val="34"/>
    <w:pPr>
      <w:ind w:firstLine="420" w:firstLineChars="200"/>
    </w:pPr>
  </w:style>
  <w:style w:type="paragraph" w:customStyle="1" w:styleId="36">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7">
    <w:name w:val="TOC Heading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8">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styleId="39">
    <w:name w:val="List Paragraph"/>
    <w:basedOn w:val="1"/>
    <w:qFormat/>
    <w:uiPriority w:val="34"/>
    <w:pPr>
      <w:ind w:firstLine="420" w:firstLineChars="200"/>
    </w:pPr>
  </w:style>
  <w:style w:type="paragraph" w:customStyle="1" w:styleId="40">
    <w:name w:val="四号正文"/>
    <w:qFormat/>
    <w:uiPriority w:val="0"/>
    <w:pPr>
      <w:widowControl w:val="0"/>
      <w:spacing w:line="360" w:lineRule="auto"/>
      <w:jc w:val="both"/>
    </w:pPr>
    <w:rPr>
      <w:rFonts w:ascii="??" w:hAnsi="??" w:eastAsia="宋体" w:cs="Times New Roman"/>
      <w:color w:val="000000"/>
      <w:sz w:val="28"/>
      <w:szCs w:val="21"/>
      <w:lang w:val="zh-CN" w:eastAsia="zh-CN" w:bidi="ar-SA"/>
    </w:rPr>
  </w:style>
  <w:style w:type="paragraph" w:customStyle="1" w:styleId="41">
    <w:name w:val="图表目录1"/>
    <w:basedOn w:val="1"/>
    <w:next w:val="1"/>
    <w:qFormat/>
    <w:uiPriority w:val="0"/>
    <w:pPr>
      <w:ind w:left="400" w:leftChars="200" w:hanging="200" w:hangingChars="200"/>
    </w:pPr>
    <w:rPr>
      <w:rFonts w:eastAsia="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F:\UserData\My%20Documents\WeChat%20Files\wxid_5746557465412\FileStorage\File\2023-08\for%20&#26446;&#2315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33538;&#21439;&#20379;&#38144;&#31038;2022&#24180;&#20915;&#31639;&#20844;&#24320;\for%20&#26446;&#2315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UserData\My%20Documents\WeChat%20Files\wxid_5746557465412\FileStorage\File\2023-08\for%20&#26446;&#2315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UserData\My%20Documents\WeChat%20Files\wxid_5746557465412\FileStorage\File\2023-08\for%20&#26446;&#2315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UserData\My%20Documents\WeChat%20Files\wxid_5746557465412\FileStorage\File\2023-08\for%20&#26446;&#23159;.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UserData\My%20Documents\WeChat%20Files\wxid_5746557465412\FileStorage\File\2023-08\for%20&#26446;&#2315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800" b="0" i="0" baseline="0"/>
              <a:t>收、支决算总计变动情况图</a:t>
            </a:r>
            <a:endParaRPr lang="zh-CN" altLang="zh-CN"/>
          </a:p>
        </c:rich>
      </c:tx>
      <c:layout/>
      <c:overlay val="0"/>
      <c:spPr>
        <a:noFill/>
        <a:ln>
          <a:noFill/>
        </a:ln>
        <a:effectLst/>
      </c:spPr>
    </c:title>
    <c:autoTitleDeleted val="0"/>
    <c:plotArea>
      <c:layout/>
      <c:barChart>
        <c:barDir val="col"/>
        <c:grouping val="clustered"/>
        <c:varyColors val="0"/>
        <c:ser>
          <c:idx val="0"/>
          <c:order val="0"/>
          <c:tx>
            <c:strRef>
              <c:f>收入</c:f>
              <c:strCache>
                <c:ptCount val="1"/>
                <c:pt idx="0">
                  <c:v>收入</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Sheet1!$A$3:$A$4</c:f>
              <c:strCache>
                <c:ptCount val="2"/>
                <c:pt idx="0">
                  <c:v>2021年</c:v>
                </c:pt>
                <c:pt idx="1">
                  <c:v>2022年</c:v>
                </c:pt>
              </c:strCache>
            </c:strRef>
          </c:cat>
          <c:val>
            <c:numRef>
              <c:f>Sheet1!$B$3:$B$4</c:f>
              <c:numCache>
                <c:formatCode>General</c:formatCode>
                <c:ptCount val="2"/>
                <c:pt idx="0">
                  <c:v>393.16</c:v>
                </c:pt>
                <c:pt idx="1">
                  <c:v>525.75</c:v>
                </c:pt>
              </c:numCache>
            </c:numRef>
          </c:val>
        </c:ser>
        <c:ser>
          <c:idx val="1"/>
          <c:order val="1"/>
          <c:tx>
            <c:strRef>
              <c:f>支出</c:f>
              <c:strCache>
                <c:ptCount val="1"/>
                <c:pt idx="0">
                  <c:v>支出</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Sheet1!$A$3:$A$4</c:f>
              <c:strCache>
                <c:ptCount val="2"/>
                <c:pt idx="0">
                  <c:v>2021年</c:v>
                </c:pt>
                <c:pt idx="1">
                  <c:v>2022年</c:v>
                </c:pt>
              </c:strCache>
            </c:strRef>
          </c:cat>
          <c:val>
            <c:numRef>
              <c:f>Sheet1!$C$3:$C$4</c:f>
              <c:numCache>
                <c:formatCode>General</c:formatCode>
                <c:ptCount val="2"/>
                <c:pt idx="0">
                  <c:v>393.16</c:v>
                </c:pt>
                <c:pt idx="1">
                  <c:v>525.75</c:v>
                </c:pt>
              </c:numCache>
            </c:numRef>
          </c:val>
        </c:ser>
        <c:dLbls>
          <c:showLegendKey val="0"/>
          <c:showVal val="1"/>
          <c:showCatName val="0"/>
          <c:showSerName val="0"/>
          <c:showPercent val="0"/>
          <c:showBubbleSize val="0"/>
        </c:dLbls>
        <c:gapWidth val="219"/>
        <c:overlap val="-27"/>
        <c:axId val="210074240"/>
        <c:axId val="210092416"/>
      </c:barChart>
      <c:catAx>
        <c:axId val="210074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0092416"/>
        <c:crosses val="autoZero"/>
        <c:auto val="1"/>
        <c:lblAlgn val="ctr"/>
        <c:lblOffset val="100"/>
        <c:noMultiLvlLbl val="0"/>
      </c:catAx>
      <c:valAx>
        <c:axId val="21009241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007424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a:t>
            </a:r>
            <a:r>
              <a:rPr lang="en-US" altLang="zh-CN"/>
              <a:t>22</a:t>
            </a:r>
            <a:r>
              <a:t>年度收入</a:t>
            </a:r>
          </a:p>
        </c:rich>
      </c:tx>
      <c:layout/>
      <c:overlay val="0"/>
      <c:spPr>
        <a:noFill/>
        <a:ln>
          <a:noFill/>
        </a:ln>
        <a:effectLst/>
      </c:spPr>
    </c:title>
    <c:autoTitleDeleted val="0"/>
    <c:plotArea>
      <c:layout/>
      <c:pieChart>
        <c:varyColors val="1"/>
        <c:ser>
          <c:idx val="0"/>
          <c:order val="0"/>
          <c:tx>
            <c:strRef>
              <c:f>[工作簿1]Sheet1!$B$10</c:f>
              <c:strCache>
                <c:ptCount val="1"/>
                <c:pt idx="0">
                  <c:v>2019年度收入</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[工作簿1]Sheet1!$A$11:$A$17</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[工作簿1]Sheet1!$B$11:$B$17</c:f>
              <c:numCache>
                <c:formatCode>General</c:formatCode>
                <c:ptCount val="7"/>
                <c:pt idx="0">
                  <c:v>516.88</c:v>
                </c:pt>
                <c:pt idx="1">
                  <c:v>0</c:v>
                </c:pt>
                <c:pt idx="2">
                  <c:v>0</c:v>
                </c:pt>
                <c:pt idx="3">
                  <c:v>0</c:v>
                </c:pt>
                <c:pt idx="4">
                  <c:v>0</c:v>
                </c:pt>
                <c:pt idx="5">
                  <c:v>0</c:v>
                </c:pt>
                <c:pt idx="6">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2500000000003"/>
          <c:y val="0.13483796296296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支出决算结构图</a:t>
            </a:r>
            <a:endParaRPr lang="zh-CN" altLang="en-US"/>
          </a:p>
        </c:rich>
      </c:tx>
      <c:layout>
        <c:manualLayout>
          <c:xMode val="edge"/>
          <c:yMode val="edge"/>
          <c:x val="0.348013724666343"/>
          <c:y val="0.0428571428571429"/>
        </c:manualLayout>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Sheet1!$A$19:$A$20</c:f>
              <c:strCache>
                <c:ptCount val="2"/>
                <c:pt idx="0">
                  <c:v>基本支出</c:v>
                </c:pt>
                <c:pt idx="1">
                  <c:v>项目支出</c:v>
                </c:pt>
              </c:strCache>
            </c:strRef>
          </c:cat>
          <c:val>
            <c:numRef>
              <c:f>Sheet1!$B$19:$B$20</c:f>
              <c:numCache>
                <c:formatCode>0.00%</c:formatCode>
                <c:ptCount val="2"/>
                <c:pt idx="0">
                  <c:v>0.3649</c:v>
                </c:pt>
                <c:pt idx="1">
                  <c:v>0.6351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800" b="0" i="0" baseline="0"/>
              <a:t>财政拨款</a:t>
            </a:r>
            <a:r>
              <a:rPr lang="zh-CN" altLang="zh-CN" sz="1800" b="0" i="0" baseline="0"/>
              <a:t>收、支决算总计变动情况图</a:t>
            </a:r>
            <a:endParaRPr lang="zh-CN" altLang="zh-CN"/>
          </a:p>
        </c:rich>
      </c:tx>
      <c:layout/>
      <c:overlay val="0"/>
      <c:spPr>
        <a:noFill/>
        <a:ln>
          <a:noFill/>
        </a:ln>
        <a:effectLst/>
      </c:spPr>
    </c:title>
    <c:autoTitleDeleted val="0"/>
    <c:plotArea>
      <c:layout/>
      <c:barChart>
        <c:barDir val="col"/>
        <c:grouping val="clustered"/>
        <c:varyColors val="0"/>
        <c:ser>
          <c:idx val="0"/>
          <c:order val="0"/>
          <c:tx>
            <c:strRef>
              <c:f>收入</c:f>
              <c:strCache>
                <c:ptCount val="1"/>
                <c:pt idx="0">
                  <c:v>收入</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Sheet1!$A$3:$A$4</c:f>
              <c:strCache>
                <c:ptCount val="2"/>
                <c:pt idx="0">
                  <c:v>2021年</c:v>
                </c:pt>
                <c:pt idx="1">
                  <c:v>2022年</c:v>
                </c:pt>
              </c:strCache>
            </c:strRef>
          </c:cat>
          <c:val>
            <c:numRef>
              <c:f>Sheet1!$B$3:$B$4</c:f>
              <c:numCache>
                <c:formatCode>General</c:formatCode>
                <c:ptCount val="2"/>
                <c:pt idx="0">
                  <c:v>393.16</c:v>
                </c:pt>
                <c:pt idx="1">
                  <c:v>525.75</c:v>
                </c:pt>
              </c:numCache>
            </c:numRef>
          </c:val>
        </c:ser>
        <c:ser>
          <c:idx val="1"/>
          <c:order val="1"/>
          <c:tx>
            <c:strRef>
              <c:f>支出</c:f>
              <c:strCache>
                <c:ptCount val="1"/>
                <c:pt idx="0">
                  <c:v>支出</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Sheet1!$A$3:$A$4</c:f>
              <c:strCache>
                <c:ptCount val="2"/>
                <c:pt idx="0">
                  <c:v>2021年</c:v>
                </c:pt>
                <c:pt idx="1">
                  <c:v>2022年</c:v>
                </c:pt>
              </c:strCache>
            </c:strRef>
          </c:cat>
          <c:val>
            <c:numRef>
              <c:f>Sheet1!$C$3:$C$4</c:f>
              <c:numCache>
                <c:formatCode>General</c:formatCode>
                <c:ptCount val="2"/>
                <c:pt idx="0">
                  <c:v>393.16</c:v>
                </c:pt>
                <c:pt idx="1">
                  <c:v>525.75</c:v>
                </c:pt>
              </c:numCache>
            </c:numRef>
          </c:val>
        </c:ser>
        <c:dLbls>
          <c:showLegendKey val="0"/>
          <c:showVal val="1"/>
          <c:showCatName val="0"/>
          <c:showSerName val="0"/>
          <c:showPercent val="0"/>
          <c:showBubbleSize val="0"/>
        </c:dLbls>
        <c:gapWidth val="219"/>
        <c:overlap val="-27"/>
        <c:axId val="232119680"/>
        <c:axId val="233498112"/>
      </c:barChart>
      <c:catAx>
        <c:axId val="232119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3498112"/>
        <c:crosses val="autoZero"/>
        <c:auto val="1"/>
        <c:lblAlgn val="ctr"/>
        <c:lblOffset val="100"/>
        <c:noMultiLvlLbl val="0"/>
      </c:catAx>
      <c:valAx>
        <c:axId val="23349811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211968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一般公共预算财政拨款支出</c:f>
              <c:strCache>
                <c:ptCount val="1"/>
                <c:pt idx="0">
                  <c:v>一般公共预算财政拨款支出</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Sheet1!$A$53:$A$54</c:f>
              <c:strCache>
                <c:ptCount val="2"/>
                <c:pt idx="0">
                  <c:v>2021年</c:v>
                </c:pt>
                <c:pt idx="1">
                  <c:v>2022年</c:v>
                </c:pt>
              </c:strCache>
            </c:strRef>
          </c:cat>
          <c:val>
            <c:numRef>
              <c:f>Sheet1!$B$53:$B$54</c:f>
              <c:numCache>
                <c:formatCode>General</c:formatCode>
                <c:ptCount val="2"/>
                <c:pt idx="0">
                  <c:v>393.16</c:v>
                </c:pt>
                <c:pt idx="1">
                  <c:v>525.75</c:v>
                </c:pt>
              </c:numCache>
            </c:numRef>
          </c:val>
        </c:ser>
        <c:dLbls>
          <c:showLegendKey val="0"/>
          <c:showVal val="1"/>
          <c:showCatName val="0"/>
          <c:showSerName val="0"/>
          <c:showPercent val="0"/>
          <c:showBubbleSize val="0"/>
        </c:dLbls>
        <c:gapWidth val="219"/>
        <c:overlap val="-27"/>
        <c:axId val="238670208"/>
        <c:axId val="238780800"/>
      </c:barChart>
      <c:catAx>
        <c:axId val="238670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8780800"/>
        <c:crosses val="autoZero"/>
        <c:auto val="1"/>
        <c:lblAlgn val="ctr"/>
        <c:lblOffset val="100"/>
        <c:noMultiLvlLbl val="0"/>
      </c:catAx>
      <c:valAx>
        <c:axId val="23878080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86702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t>一般公共预算财政拨款支出决算结构</a:t>
            </a:r>
            <a:endParaRPr lang="zh-CN" altLang="en-US"/>
          </a:p>
        </c:rich>
      </c:tx>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Sheet1!$A$70:$A$74</c:f>
              <c:strCache>
                <c:ptCount val="5"/>
                <c:pt idx="0">
                  <c:v>社会保障和就业（类）</c:v>
                </c:pt>
                <c:pt idx="1">
                  <c:v>农林水（类）</c:v>
                </c:pt>
                <c:pt idx="2">
                  <c:v>商业服务业等支出（类）</c:v>
                </c:pt>
                <c:pt idx="3">
                  <c:v>住房保障（类）</c:v>
                </c:pt>
                <c:pt idx="4">
                  <c:v>卫生健康（类）</c:v>
                </c:pt>
              </c:strCache>
            </c:strRef>
          </c:cat>
          <c:val>
            <c:numRef>
              <c:f>Sheet1!$B$70:$B$74</c:f>
              <c:numCache>
                <c:formatCode>0.00%</c:formatCode>
                <c:ptCount val="5"/>
                <c:pt idx="0">
                  <c:v>0.042</c:v>
                </c:pt>
                <c:pt idx="1">
                  <c:v>0.639300000000001</c:v>
                </c:pt>
                <c:pt idx="2">
                  <c:v>0.2762</c:v>
                </c:pt>
                <c:pt idx="3">
                  <c:v>0.0248</c:v>
                </c:pt>
                <c:pt idx="4">
                  <c:v>0.0177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t>“三公”经费财政拨款支出结构</a:t>
            </a:r>
            <a:endParaRPr lang="zh-CN" altLang="en-US"/>
          </a:p>
        </c:rich>
      </c:tx>
      <c:layout>
        <c:manualLayout>
          <c:xMode val="edge"/>
          <c:yMode val="edge"/>
          <c:x val="0.348013724666343"/>
          <c:y val="0.0428571428571429"/>
        </c:manualLayout>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Sheet1!$A$19:$A$21</c:f>
              <c:strCache>
                <c:ptCount val="3"/>
                <c:pt idx="0">
                  <c:v>公务接待费</c:v>
                </c:pt>
                <c:pt idx="1">
                  <c:v>因公出国</c:v>
                </c:pt>
                <c:pt idx="2">
                  <c:v>公务用车购置及运行维护费</c:v>
                </c:pt>
              </c:strCache>
            </c:strRef>
          </c:cat>
          <c:val>
            <c:numRef>
              <c:f>Sheet1!$B$19:$B$21</c:f>
              <c:numCache>
                <c:formatCode>0.00%</c:formatCode>
                <c:ptCount val="3"/>
                <c:pt idx="0">
                  <c:v>1</c:v>
                </c:pt>
                <c:pt idx="1">
                  <c:v>0</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B3096FD-59EE-4FD7-B65B-B1AAC58601E4}">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43</Pages>
  <Words>17341</Words>
  <Characters>18529</Characters>
  <Lines>136</Lines>
  <Paragraphs>38</Paragraphs>
  <TotalTime>1</TotalTime>
  <ScaleCrop>false</ScaleCrop>
  <LinksUpToDate>false</LinksUpToDate>
  <CharactersWithSpaces>18657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2023-09-07T03:49:00Z</dcterms:created>
  <dc:creator>曹颖</dc:creator>
  <cp:lastModifiedBy>初</cp:lastModifiedBy>
  <cp:lastPrinted>2023-09-08T03:59:00Z</cp:lastPrinted>
  <dcterms:modified xsi:type="dcterms:W3CDTF">2024-08-13T08:01:53Z</dcterms:modified>
  <dc:title>阿坝州部门决算说明</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0504431101D3446BA1C85779DFA1E1C2_13</vt:lpwstr>
  </property>
</Properties>
</file>