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F041">
      <w:pPr>
        <w:spacing w:line="600" w:lineRule="exact"/>
        <w:outlineLvl w:val="0"/>
        <w:rPr>
          <w:rFonts w:ascii="方正小标宋简体" w:hAnsi="宋体" w:eastAsia="方正小标宋简体"/>
          <w:color w:val="000000"/>
          <w:sz w:val="72"/>
          <w:szCs w:val="72"/>
        </w:rPr>
      </w:pPr>
      <w:bookmarkStart w:id="0" w:name="_Toc15306267"/>
    </w:p>
    <w:p w14:paraId="50EBAAF4">
      <w:pPr>
        <w:jc w:val="center"/>
        <w:rPr>
          <w:rFonts w:ascii="黑体" w:hAnsi="黑体" w:eastAsia="黑体"/>
          <w:sz w:val="72"/>
          <w:szCs w:val="72"/>
        </w:rPr>
      </w:pPr>
      <w:bookmarkStart w:id="1" w:name="_Toc15396475"/>
      <w:bookmarkStart w:id="2" w:name="_Toc15377193"/>
      <w:bookmarkStart w:id="3" w:name="_Toc15377425"/>
      <w:bookmarkStart w:id="4" w:name="_Toc15378441"/>
      <w:bookmarkStart w:id="5" w:name="_Toc15396597"/>
      <w:r>
        <w:rPr>
          <w:rFonts w:hint="eastAsia" w:ascii="方正小标宋简体" w:eastAsia="方正小标宋简体"/>
          <w:sz w:val="72"/>
          <w:szCs w:val="72"/>
        </w:rPr>
        <w:t>202</w:t>
      </w:r>
      <w:r>
        <w:rPr>
          <w:rFonts w:hint="eastAsia" w:ascii="方正小标宋简体" w:eastAsia="方正小标宋简体"/>
          <w:sz w:val="72"/>
          <w:szCs w:val="72"/>
          <w:lang w:val="en-US" w:eastAsia="zh-CN"/>
        </w:rPr>
        <w:t>3</w:t>
      </w:r>
      <w:r>
        <w:rPr>
          <w:rFonts w:hint="eastAsia" w:ascii="方正小标宋简体" w:eastAsia="方正小标宋简体"/>
          <w:sz w:val="72"/>
          <w:szCs w:val="72"/>
        </w:rPr>
        <w:t>年度</w:t>
      </w:r>
      <w:bookmarkEnd w:id="1"/>
      <w:bookmarkEnd w:id="2"/>
      <w:bookmarkEnd w:id="3"/>
      <w:bookmarkEnd w:id="4"/>
      <w:bookmarkEnd w:id="5"/>
      <w:bookmarkStart w:id="6" w:name="_Toc15377426"/>
      <w:bookmarkStart w:id="7" w:name="_Toc15396476"/>
      <w:bookmarkStart w:id="8" w:name="_Toc15378442"/>
      <w:bookmarkStart w:id="9" w:name="_Toc15396598"/>
      <w:bookmarkStart w:id="10" w:name="_Toc15377194"/>
      <w:r>
        <w:rPr>
          <w:rFonts w:hint="eastAsia" w:ascii="方正小标宋简体" w:eastAsia="方正小标宋简体"/>
          <w:sz w:val="72"/>
          <w:szCs w:val="72"/>
          <w:lang w:eastAsia="zh-CN"/>
        </w:rPr>
        <w:t>四川省</w:t>
      </w:r>
      <w:r>
        <w:rPr>
          <w:rFonts w:hint="eastAsia" w:ascii="方正小标宋简体" w:eastAsia="方正小标宋简体"/>
          <w:sz w:val="72"/>
          <w:szCs w:val="72"/>
        </w:rPr>
        <w:t>阿坝州</w:t>
      </w:r>
    </w:p>
    <w:p w14:paraId="3D11F1F0">
      <w:pPr>
        <w:jc w:val="center"/>
        <w:rPr>
          <w:rFonts w:ascii="方正小标宋简体" w:eastAsia="方正小标宋简体"/>
          <w:sz w:val="72"/>
          <w:szCs w:val="72"/>
        </w:rPr>
      </w:pPr>
      <w:r>
        <w:rPr>
          <w:rFonts w:hint="eastAsia" w:ascii="方正小标宋简体" w:eastAsia="方正小标宋简体"/>
          <w:sz w:val="72"/>
          <w:szCs w:val="72"/>
        </w:rPr>
        <w:t>茂县</w:t>
      </w:r>
      <w:bookmarkEnd w:id="0"/>
      <w:bookmarkStart w:id="11" w:name="_Toc15306268"/>
      <w:r>
        <w:rPr>
          <w:rFonts w:hint="eastAsia" w:ascii="方正小标宋简体" w:eastAsia="方正小标宋简体"/>
          <w:sz w:val="72"/>
          <w:szCs w:val="72"/>
        </w:rPr>
        <w:t>供销合作社联合社</w:t>
      </w:r>
    </w:p>
    <w:p w14:paraId="0DDAF2D1">
      <w:pPr>
        <w:jc w:val="center"/>
        <w:rPr>
          <w:rFonts w:ascii="方正小标宋简体" w:eastAsia="方正小标宋简体"/>
          <w:sz w:val="72"/>
          <w:szCs w:val="72"/>
        </w:rPr>
      </w:pPr>
      <w:r>
        <w:rPr>
          <w:rFonts w:hint="eastAsia" w:ascii="方正小标宋简体" w:eastAsia="方正小标宋简体"/>
          <w:sz w:val="72"/>
          <w:szCs w:val="72"/>
          <w:lang w:eastAsia="zh-CN"/>
        </w:rPr>
        <w:t>单位</w:t>
      </w:r>
      <w:r>
        <w:rPr>
          <w:rFonts w:hint="eastAsia" w:ascii="方正小标宋简体" w:eastAsia="方正小标宋简体"/>
          <w:sz w:val="72"/>
          <w:szCs w:val="72"/>
        </w:rPr>
        <w:t>决算</w:t>
      </w:r>
      <w:bookmarkEnd w:id="6"/>
      <w:bookmarkEnd w:id="7"/>
      <w:bookmarkEnd w:id="8"/>
      <w:bookmarkEnd w:id="9"/>
      <w:bookmarkEnd w:id="10"/>
      <w:bookmarkEnd w:id="11"/>
    </w:p>
    <w:p w14:paraId="7FF48B8D">
      <w:pPr>
        <w:widowControl/>
        <w:jc w:val="center"/>
        <w:rPr>
          <w:rFonts w:ascii="方正小标宋简体" w:hAnsi="宋体" w:eastAsia="方正小标宋简体"/>
          <w:color w:val="000000"/>
          <w:sz w:val="36"/>
          <w:szCs w:val="36"/>
        </w:rPr>
      </w:pPr>
    </w:p>
    <w:p w14:paraId="502A6364">
      <w:pPr>
        <w:rPr>
          <w:rFonts w:ascii="方正小标宋简体" w:hAnsi="宋体" w:eastAsia="方正小标宋简体"/>
          <w:sz w:val="36"/>
          <w:szCs w:val="36"/>
        </w:rPr>
      </w:pPr>
    </w:p>
    <w:p w14:paraId="0CD43D92">
      <w:pPr>
        <w:rPr>
          <w:rFonts w:ascii="方正小标宋简体" w:hAnsi="宋体" w:eastAsia="方正小标宋简体"/>
          <w:sz w:val="36"/>
          <w:szCs w:val="36"/>
        </w:rPr>
      </w:pPr>
    </w:p>
    <w:p w14:paraId="7C1D7F29">
      <w:pPr>
        <w:rPr>
          <w:rFonts w:ascii="方正小标宋简体" w:hAnsi="宋体" w:eastAsia="方正小标宋简体"/>
          <w:sz w:val="36"/>
          <w:szCs w:val="36"/>
        </w:rPr>
      </w:pPr>
    </w:p>
    <w:p w14:paraId="0464C561">
      <w:pPr>
        <w:rPr>
          <w:rFonts w:ascii="方正小标宋简体" w:hAnsi="宋体" w:eastAsia="方正小标宋简体"/>
          <w:sz w:val="36"/>
          <w:szCs w:val="36"/>
        </w:rPr>
      </w:pPr>
    </w:p>
    <w:p w14:paraId="6AAFF673">
      <w:pPr>
        <w:rPr>
          <w:rFonts w:ascii="方正小标宋简体" w:hAnsi="宋体" w:eastAsia="方正小标宋简体"/>
          <w:sz w:val="36"/>
          <w:szCs w:val="36"/>
        </w:rPr>
      </w:pPr>
    </w:p>
    <w:p w14:paraId="459732EB">
      <w:pPr>
        <w:rPr>
          <w:rFonts w:ascii="方正小标宋简体" w:hAnsi="宋体" w:eastAsia="方正小标宋简体"/>
          <w:sz w:val="36"/>
          <w:szCs w:val="36"/>
        </w:rPr>
      </w:pPr>
    </w:p>
    <w:p w14:paraId="169A2872">
      <w:pPr>
        <w:rPr>
          <w:rFonts w:ascii="方正小标宋简体" w:hAnsi="宋体" w:eastAsia="方正小标宋简体"/>
          <w:sz w:val="36"/>
          <w:szCs w:val="36"/>
        </w:rPr>
      </w:pPr>
    </w:p>
    <w:p w14:paraId="7C4A6D86">
      <w:pPr>
        <w:rPr>
          <w:rFonts w:ascii="方正小标宋简体" w:hAnsi="宋体" w:eastAsia="方正小标宋简体"/>
          <w:sz w:val="36"/>
          <w:szCs w:val="36"/>
        </w:rPr>
      </w:pPr>
    </w:p>
    <w:p w14:paraId="069B81EF">
      <w:pPr>
        <w:rPr>
          <w:rFonts w:ascii="方正小标宋简体" w:hAnsi="宋体" w:eastAsia="方正小标宋简体"/>
          <w:sz w:val="36"/>
          <w:szCs w:val="36"/>
        </w:rPr>
      </w:pPr>
    </w:p>
    <w:p w14:paraId="2423A5F1">
      <w:pPr>
        <w:autoSpaceDE w:val="0"/>
        <w:autoSpaceDN w:val="0"/>
        <w:adjustRightInd w:val="0"/>
        <w:spacing w:line="576" w:lineRule="exact"/>
        <w:ind w:left="420" w:leftChars="200" w:firstLine="320" w:firstLineChars="100"/>
        <w:jc w:val="left"/>
        <w:rPr>
          <w:rFonts w:ascii="宋体" w:cs="仿宋_GB2312"/>
          <w:sz w:val="32"/>
          <w:szCs w:val="32"/>
        </w:rPr>
      </w:pPr>
      <w:r>
        <w:rPr>
          <w:rFonts w:hint="eastAsia" w:ascii="宋体" w:cs="仿宋_GB2312"/>
          <w:sz w:val="32"/>
          <w:szCs w:val="32"/>
        </w:rPr>
        <w:t>已经保密审查、内容审定，同意对外公开</w:t>
      </w:r>
    </w:p>
    <w:p w14:paraId="7A936944">
      <w:pPr>
        <w:widowControl/>
        <w:jc w:val="center"/>
        <w:rPr>
          <w:rFonts w:ascii="方正小标宋简体" w:hAnsi="宋体" w:eastAsia="方正小标宋简体"/>
          <w:color w:val="000000"/>
          <w:sz w:val="36"/>
          <w:szCs w:val="36"/>
        </w:rPr>
      </w:pPr>
    </w:p>
    <w:p w14:paraId="31783C1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1A8A8CC9">
      <w:pPr>
        <w:pStyle w:val="16"/>
        <w:jc w:val="center"/>
        <w:rPr>
          <w:rFonts w:ascii="仿宋_GB2312" w:eastAsia="仿宋_GB2312" w:hAnsiTheme="minorHAnsi"/>
          <w:b w:val="0"/>
          <w:bCs w:val="0"/>
          <w:sz w:val="24"/>
          <w:szCs w:val="24"/>
        </w:rPr>
      </w:pPr>
      <w:r>
        <w:rPr>
          <w:rFonts w:hint="eastAsia" w:ascii="仿宋_GB2312" w:eastAsia="仿宋_GB2312" w:hAnsiTheme="minorHAnsi"/>
          <w:b w:val="0"/>
          <w:bCs w:val="0"/>
          <w:sz w:val="24"/>
          <w:szCs w:val="24"/>
        </w:rPr>
        <w:t>公开时间：202</w:t>
      </w:r>
      <w:r>
        <w:rPr>
          <w:rFonts w:hint="eastAsia" w:ascii="仿宋_GB2312" w:eastAsia="仿宋_GB2312" w:hAnsiTheme="minorHAnsi"/>
          <w:b w:val="0"/>
          <w:bCs w:val="0"/>
          <w:sz w:val="24"/>
          <w:szCs w:val="24"/>
          <w:lang w:val="en-US" w:eastAsia="zh-CN"/>
        </w:rPr>
        <w:t>4</w:t>
      </w:r>
      <w:r>
        <w:rPr>
          <w:rFonts w:hint="eastAsia" w:ascii="仿宋_GB2312" w:eastAsia="仿宋_GB2312" w:hAnsiTheme="minorHAnsi"/>
          <w:b w:val="0"/>
          <w:bCs w:val="0"/>
          <w:sz w:val="24"/>
          <w:szCs w:val="24"/>
        </w:rPr>
        <w:t>年9 月</w:t>
      </w:r>
      <w:r>
        <w:rPr>
          <w:rFonts w:hint="eastAsia" w:ascii="仿宋_GB2312" w:eastAsia="仿宋_GB2312" w:hAnsiTheme="minorHAnsi"/>
          <w:b w:val="0"/>
          <w:bCs w:val="0"/>
          <w:sz w:val="24"/>
          <w:szCs w:val="24"/>
          <w:lang w:val="en-US" w:eastAsia="zh-CN"/>
        </w:rPr>
        <w:t>25</w:t>
      </w:r>
      <w:r>
        <w:rPr>
          <w:rFonts w:hint="eastAsia" w:ascii="仿宋_GB2312" w:eastAsia="仿宋_GB2312" w:hAnsiTheme="minorHAnsi"/>
          <w:b w:val="0"/>
          <w:bCs w:val="0"/>
          <w:sz w:val="24"/>
          <w:szCs w:val="24"/>
        </w:rPr>
        <w:t xml:space="preserve"> 日</w:t>
      </w:r>
    </w:p>
    <w:p w14:paraId="016FB95A">
      <w:pPr>
        <w:pStyle w:val="16"/>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TOC \o \u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 xml:space="preserve">第一部分 </w:t>
      </w:r>
      <w:r>
        <w:rPr>
          <w:rFonts w:hint="eastAsia" w:ascii="仿宋_GB2312" w:hAnsi="仿宋" w:eastAsia="仿宋_GB2312"/>
          <w:b w:val="0"/>
          <w:bCs w:val="0"/>
          <w:caps w:val="0"/>
          <w:smallCaps/>
          <w:lang w:eastAsia="zh-CN"/>
        </w:rPr>
        <w:t>单位</w:t>
      </w:r>
      <w:r>
        <w:rPr>
          <w:rFonts w:hint="eastAsia" w:ascii="仿宋_GB2312" w:hAnsi="仿宋" w:eastAsia="仿宋_GB2312"/>
          <w:b w:val="0"/>
          <w:bCs w:val="0"/>
          <w:caps w:val="0"/>
          <w:smallCaps/>
        </w:rPr>
        <w:t>概况</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PAGEREF _Toc79163851 \h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4</w:t>
      </w:r>
      <w:r>
        <w:rPr>
          <w:rFonts w:hint="eastAsia" w:ascii="仿宋_GB2312" w:hAnsi="仿宋" w:eastAsia="仿宋_GB2312"/>
          <w:b w:val="0"/>
          <w:bCs w:val="0"/>
          <w:caps w:val="0"/>
          <w:smallCaps/>
        </w:rPr>
        <w:fldChar w:fldCharType="end"/>
      </w:r>
    </w:p>
    <w:p w14:paraId="261BAD9F">
      <w:pPr>
        <w:pStyle w:val="20"/>
        <w:tabs>
          <w:tab w:val="right" w:leader="dot" w:pos="8296"/>
        </w:tabs>
        <w:rPr>
          <w:rFonts w:ascii="仿宋_GB2312" w:hAnsi="仿宋" w:eastAsia="仿宋_GB2312"/>
        </w:rPr>
      </w:pPr>
      <w:r>
        <w:rPr>
          <w:rFonts w:hint="eastAsia" w:ascii="仿宋_GB2312" w:hAnsi="仿宋" w:eastAsia="仿宋_GB2312"/>
        </w:rPr>
        <w:t>一、</w:t>
      </w:r>
      <w:r>
        <w:rPr>
          <w:rFonts w:hint="eastAsia" w:ascii="仿宋_GB2312" w:hAnsi="仿宋" w:eastAsia="仿宋_GB2312"/>
          <w:lang w:eastAsia="zh-CN"/>
        </w:rPr>
        <w:t>主要职责</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_Toc79163852 \h </w:instrText>
      </w:r>
      <w:r>
        <w:rPr>
          <w:rFonts w:hint="eastAsia" w:ascii="仿宋_GB2312" w:hAnsi="仿宋" w:eastAsia="仿宋_GB2312"/>
        </w:rPr>
        <w:fldChar w:fldCharType="separate"/>
      </w:r>
      <w:r>
        <w:rPr>
          <w:rFonts w:hint="eastAsia" w:ascii="仿宋_GB2312" w:hAnsi="仿宋" w:eastAsia="仿宋_GB2312"/>
        </w:rPr>
        <w:t>4</w:t>
      </w:r>
      <w:r>
        <w:rPr>
          <w:rFonts w:hint="eastAsia" w:ascii="仿宋_GB2312" w:hAnsi="仿宋" w:eastAsia="仿宋_GB2312"/>
        </w:rPr>
        <w:fldChar w:fldCharType="end"/>
      </w:r>
    </w:p>
    <w:p w14:paraId="792422D1">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二、机构设置</w:t>
      </w:r>
      <w:r>
        <w:rPr>
          <w:rFonts w:hint="eastAsia" w:ascii="仿宋_GB2312" w:hAnsi="仿宋" w:eastAsia="仿宋_GB2312"/>
        </w:rPr>
        <w:tab/>
      </w:r>
      <w:r>
        <w:rPr>
          <w:rFonts w:hint="eastAsia" w:ascii="仿宋_GB2312" w:hAnsi="仿宋" w:eastAsia="仿宋_GB2312"/>
          <w:lang w:val="en-US" w:eastAsia="zh-CN"/>
        </w:rPr>
        <w:t>5</w:t>
      </w:r>
    </w:p>
    <w:p w14:paraId="181DA90D">
      <w:pPr>
        <w:pStyle w:val="16"/>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第二部分 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年度</w:t>
      </w:r>
      <w:r>
        <w:rPr>
          <w:rFonts w:hint="eastAsia" w:ascii="仿宋_GB2312" w:hAnsi="仿宋" w:eastAsia="仿宋_GB2312"/>
          <w:b w:val="0"/>
          <w:bCs w:val="0"/>
          <w:caps w:val="0"/>
          <w:smallCaps/>
          <w:lang w:eastAsia="zh-CN"/>
        </w:rPr>
        <w:t>单位</w:t>
      </w:r>
      <w:r>
        <w:rPr>
          <w:rFonts w:hint="eastAsia" w:ascii="仿宋_GB2312" w:hAnsi="仿宋" w:eastAsia="仿宋_GB2312"/>
          <w:b w:val="0"/>
          <w:bCs w:val="0"/>
          <w:caps w:val="0"/>
          <w:smallCaps/>
        </w:rPr>
        <w:t>决算情况说明</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6</w:t>
      </w:r>
    </w:p>
    <w:p w14:paraId="579FF0BB">
      <w:pPr>
        <w:pStyle w:val="20"/>
        <w:tabs>
          <w:tab w:val="left" w:pos="840"/>
          <w:tab w:val="right" w:leader="dot" w:pos="8296"/>
        </w:tabs>
        <w:rPr>
          <w:rFonts w:hint="eastAsia" w:ascii="仿宋_GB2312" w:hAnsi="仿宋" w:eastAsia="仿宋_GB2312"/>
          <w:lang w:eastAsia="zh-CN"/>
        </w:rPr>
      </w:pPr>
      <w:r>
        <w:rPr>
          <w:rFonts w:hint="eastAsia" w:ascii="仿宋_GB2312" w:hAnsi="仿宋" w:eastAsia="仿宋_GB2312"/>
        </w:rPr>
        <w:t>一、</w:t>
      </w:r>
      <w:r>
        <w:rPr>
          <w:rFonts w:hint="eastAsia" w:ascii="仿宋_GB2312" w:hAnsi="仿宋" w:eastAsia="仿宋_GB2312"/>
        </w:rPr>
        <w:tab/>
      </w:r>
      <w:r>
        <w:rPr>
          <w:rFonts w:hint="eastAsia" w:ascii="仿宋_GB2312" w:hAnsi="仿宋" w:eastAsia="仿宋_GB2312"/>
        </w:rPr>
        <w:t>收入支出决算总体情况说明</w:t>
      </w:r>
      <w:r>
        <w:rPr>
          <w:rFonts w:hint="eastAsia" w:ascii="仿宋_GB2312" w:hAnsi="仿宋" w:eastAsia="仿宋_GB2312"/>
        </w:rPr>
        <w:tab/>
      </w:r>
      <w:r>
        <w:rPr>
          <w:rFonts w:hint="eastAsia" w:ascii="仿宋_GB2312" w:hAnsi="仿宋" w:eastAsia="仿宋_GB2312"/>
          <w:lang w:val="en-US" w:eastAsia="zh-CN"/>
        </w:rPr>
        <w:t>6</w:t>
      </w:r>
    </w:p>
    <w:p w14:paraId="69978F0B">
      <w:pPr>
        <w:pStyle w:val="20"/>
        <w:tabs>
          <w:tab w:val="left" w:pos="840"/>
          <w:tab w:val="right" w:leader="dot" w:pos="8296"/>
        </w:tabs>
        <w:rPr>
          <w:rFonts w:hint="eastAsia" w:ascii="仿宋_GB2312" w:hAnsi="仿宋" w:eastAsia="仿宋_GB2312"/>
          <w:lang w:eastAsia="zh-CN"/>
        </w:rPr>
      </w:pPr>
      <w:r>
        <w:rPr>
          <w:rFonts w:hint="eastAsia" w:ascii="仿宋_GB2312" w:hAnsi="仿宋" w:eastAsia="仿宋_GB2312"/>
        </w:rPr>
        <w:t>二、</w:t>
      </w:r>
      <w:r>
        <w:rPr>
          <w:rFonts w:hint="eastAsia" w:ascii="仿宋_GB2312" w:hAnsi="仿宋" w:eastAsia="仿宋_GB2312"/>
        </w:rPr>
        <w:tab/>
      </w:r>
      <w:r>
        <w:rPr>
          <w:rFonts w:hint="eastAsia" w:ascii="仿宋_GB2312" w:hAnsi="仿宋" w:eastAsia="仿宋_GB2312"/>
        </w:rPr>
        <w:t>收入决算情况说明</w:t>
      </w:r>
      <w:r>
        <w:rPr>
          <w:rFonts w:hint="eastAsia" w:ascii="仿宋_GB2312" w:hAnsi="仿宋" w:eastAsia="仿宋_GB2312"/>
        </w:rPr>
        <w:tab/>
      </w:r>
      <w:r>
        <w:rPr>
          <w:rFonts w:hint="eastAsia" w:ascii="仿宋_GB2312" w:hAnsi="仿宋" w:eastAsia="仿宋_GB2312"/>
          <w:lang w:val="en-US" w:eastAsia="zh-CN"/>
        </w:rPr>
        <w:t>7</w:t>
      </w:r>
    </w:p>
    <w:p w14:paraId="2E809527">
      <w:pPr>
        <w:pStyle w:val="20"/>
        <w:tabs>
          <w:tab w:val="left" w:pos="840"/>
          <w:tab w:val="right" w:leader="dot" w:pos="8296"/>
        </w:tabs>
        <w:rPr>
          <w:rFonts w:hint="eastAsia" w:ascii="仿宋_GB2312" w:hAnsi="仿宋" w:eastAsia="仿宋_GB2312"/>
          <w:lang w:eastAsia="zh-CN"/>
        </w:rPr>
      </w:pPr>
      <w:r>
        <w:rPr>
          <w:rFonts w:hint="eastAsia" w:ascii="仿宋_GB2312" w:hAnsi="仿宋" w:eastAsia="仿宋_GB2312"/>
        </w:rPr>
        <w:t>三、</w:t>
      </w:r>
      <w:r>
        <w:rPr>
          <w:rFonts w:hint="eastAsia" w:ascii="仿宋_GB2312" w:hAnsi="仿宋" w:eastAsia="仿宋_GB2312"/>
        </w:rPr>
        <w:tab/>
      </w:r>
      <w:r>
        <w:rPr>
          <w:rFonts w:hint="eastAsia" w:ascii="仿宋_GB2312" w:hAnsi="仿宋" w:eastAsia="仿宋_GB2312"/>
        </w:rPr>
        <w:t>支出决算情况说明</w:t>
      </w:r>
      <w:r>
        <w:rPr>
          <w:rFonts w:hint="eastAsia" w:ascii="仿宋_GB2312" w:hAnsi="仿宋" w:eastAsia="仿宋_GB2312"/>
        </w:rPr>
        <w:tab/>
      </w:r>
      <w:r>
        <w:rPr>
          <w:rFonts w:hint="eastAsia" w:ascii="仿宋_GB2312" w:hAnsi="仿宋" w:eastAsia="仿宋_GB2312"/>
          <w:lang w:val="en-US" w:eastAsia="zh-CN"/>
        </w:rPr>
        <w:t>7</w:t>
      </w:r>
    </w:p>
    <w:p w14:paraId="75BB5F85">
      <w:pPr>
        <w:pStyle w:val="20"/>
        <w:tabs>
          <w:tab w:val="right" w:leader="dot" w:pos="8296"/>
        </w:tabs>
        <w:rPr>
          <w:rFonts w:hint="eastAsia" w:ascii="仿宋_GB2312" w:hAnsi="仿宋" w:eastAsia="仿宋_GB2312"/>
          <w:lang w:eastAsia="zh-CN"/>
        </w:rPr>
      </w:pPr>
      <w:r>
        <w:rPr>
          <w:rFonts w:hint="eastAsia" w:ascii="仿宋_GB2312" w:hAnsi="仿宋" w:eastAsia="仿宋_GB2312"/>
        </w:rPr>
        <w:t>四、财政拨款收入支出决算总体情况说明</w:t>
      </w:r>
      <w:r>
        <w:rPr>
          <w:rFonts w:hint="eastAsia" w:ascii="仿宋_GB2312" w:hAnsi="仿宋" w:eastAsia="仿宋_GB2312"/>
        </w:rPr>
        <w:tab/>
      </w:r>
      <w:r>
        <w:rPr>
          <w:rFonts w:hint="eastAsia" w:ascii="仿宋_GB2312" w:hAnsi="仿宋" w:eastAsia="仿宋_GB2312"/>
          <w:lang w:val="en-US" w:eastAsia="zh-CN"/>
        </w:rPr>
        <w:t>8</w:t>
      </w:r>
    </w:p>
    <w:p w14:paraId="2B0362C7">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五、一般公共预算财政拨款支出决算情况说明</w:t>
      </w:r>
      <w:r>
        <w:rPr>
          <w:rFonts w:hint="eastAsia" w:ascii="仿宋_GB2312" w:hAnsi="仿宋" w:eastAsia="仿宋_GB2312"/>
        </w:rPr>
        <w:tab/>
      </w:r>
      <w:r>
        <w:rPr>
          <w:rFonts w:hint="eastAsia" w:ascii="仿宋_GB2312" w:hAnsi="仿宋" w:eastAsia="仿宋_GB2312"/>
          <w:lang w:val="en-US" w:eastAsia="zh-CN"/>
        </w:rPr>
        <w:t>9</w:t>
      </w:r>
    </w:p>
    <w:p w14:paraId="7E01C0E1">
      <w:pPr>
        <w:pStyle w:val="11"/>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（一）一般公共预算财政拨款支出决算总体情况</w:t>
      </w:r>
      <w:r>
        <w:rPr>
          <w:rFonts w:hint="eastAsia" w:ascii="仿宋_GB2312" w:hAnsi="仿宋" w:eastAsia="仿宋_GB2312"/>
          <w:i w:val="0"/>
          <w:iCs w:val="0"/>
          <w:smallCaps/>
        </w:rPr>
        <w:tab/>
      </w:r>
      <w:r>
        <w:rPr>
          <w:rFonts w:hint="eastAsia" w:ascii="仿宋_GB2312" w:hAnsi="仿宋" w:eastAsia="仿宋_GB2312"/>
          <w:i w:val="0"/>
          <w:iCs w:val="0"/>
          <w:smallCaps/>
          <w:lang w:val="en-US" w:eastAsia="zh-CN"/>
        </w:rPr>
        <w:t>9</w:t>
      </w:r>
    </w:p>
    <w:p w14:paraId="4FFC9A65">
      <w:pPr>
        <w:pStyle w:val="11"/>
        <w:tabs>
          <w:tab w:val="right" w:leader="dot" w:pos="8296"/>
        </w:tabs>
        <w:rPr>
          <w:rFonts w:hint="default" w:ascii="仿宋_GB2312" w:hAnsi="仿宋" w:eastAsia="仿宋_GB2312"/>
          <w:i w:val="0"/>
          <w:iCs w:val="0"/>
          <w:smallCaps/>
          <w:lang w:val="en-US" w:eastAsia="zh-CN"/>
        </w:rPr>
      </w:pPr>
      <w:r>
        <w:rPr>
          <w:rFonts w:hint="eastAsia" w:ascii="仿宋_GB2312" w:hAnsi="仿宋" w:eastAsia="仿宋_GB2312"/>
          <w:i w:val="0"/>
          <w:iCs w:val="0"/>
          <w:smallCaps/>
        </w:rPr>
        <w:t>（二）一般公共预算财政拨款支出决算结构情况</w:t>
      </w:r>
      <w:r>
        <w:rPr>
          <w:rFonts w:hint="eastAsia" w:ascii="仿宋_GB2312" w:hAnsi="仿宋" w:eastAsia="仿宋_GB2312"/>
          <w:i w:val="0"/>
          <w:iCs w:val="0"/>
          <w:smallCaps/>
        </w:rPr>
        <w:tab/>
      </w:r>
      <w:r>
        <w:rPr>
          <w:rFonts w:hint="eastAsia" w:ascii="仿宋_GB2312" w:hAnsi="仿宋" w:eastAsia="仿宋_GB2312"/>
          <w:i w:val="0"/>
          <w:iCs w:val="0"/>
          <w:smallCaps/>
          <w:lang w:val="en-US" w:eastAsia="zh-CN"/>
        </w:rPr>
        <w:t>10</w:t>
      </w:r>
    </w:p>
    <w:p w14:paraId="2CF5F895">
      <w:pPr>
        <w:pStyle w:val="11"/>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（三）一般公共预算财政拨款支出决算具体情况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0</w:t>
      </w:r>
    </w:p>
    <w:p w14:paraId="55A43173">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六、一般公共预算财政拨款基本支出决算情况说明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2</w:t>
      </w:r>
    </w:p>
    <w:p w14:paraId="0565A5AE">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七、</w:t>
      </w:r>
      <w:r>
        <w:rPr>
          <w:rFonts w:hint="eastAsia" w:ascii="仿宋_GB2312" w:hAnsi="仿宋" w:eastAsia="仿宋_GB2312"/>
          <w:lang w:eastAsia="zh-CN"/>
        </w:rPr>
        <w:t>财政拨款</w:t>
      </w:r>
      <w:r>
        <w:rPr>
          <w:rFonts w:hint="eastAsia" w:ascii="仿宋_GB2312" w:hAnsi="仿宋" w:eastAsia="仿宋_GB2312"/>
        </w:rPr>
        <w:t>“三公”经费支出决算情况说明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2</w:t>
      </w:r>
    </w:p>
    <w:p w14:paraId="5CF468D9">
      <w:pPr>
        <w:pStyle w:val="11"/>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（一）“三公”经费财政拨款支出决算总体情况说明</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2</w:t>
      </w:r>
    </w:p>
    <w:p w14:paraId="2A22FD96">
      <w:pPr>
        <w:pStyle w:val="11"/>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（二）“三公”经费财政拨款支出决算具体情况说明</w:t>
      </w:r>
      <w:r>
        <w:rPr>
          <w:rFonts w:hint="eastAsia" w:ascii="仿宋_GB2312" w:hAnsi="仿宋" w:eastAsia="仿宋_GB2312"/>
          <w:i w:val="0"/>
          <w:iCs w:val="0"/>
          <w:smallCaps/>
        </w:rPr>
        <w:tab/>
      </w:r>
      <w:r>
        <w:rPr>
          <w:rFonts w:hint="eastAsia" w:ascii="仿宋_GB2312" w:hAnsi="仿宋" w:eastAsia="仿宋_GB2312"/>
          <w:i w:val="0"/>
          <w:iCs w:val="0"/>
          <w:smallCaps/>
        </w:rPr>
        <w:fldChar w:fldCharType="begin"/>
      </w:r>
      <w:r>
        <w:rPr>
          <w:rFonts w:hint="eastAsia" w:ascii="仿宋_GB2312" w:hAnsi="仿宋" w:eastAsia="仿宋_GB2312"/>
          <w:i w:val="0"/>
          <w:iCs w:val="0"/>
          <w:smallCaps/>
        </w:rPr>
        <w:instrText xml:space="preserve"> PAGEREF _Toc79163871 \h </w:instrText>
      </w:r>
      <w:r>
        <w:rPr>
          <w:rFonts w:hint="eastAsia" w:ascii="仿宋_GB2312" w:hAnsi="仿宋" w:eastAsia="仿宋_GB2312"/>
          <w:i w:val="0"/>
          <w:iCs w:val="0"/>
          <w:smallCaps/>
        </w:rPr>
        <w:fldChar w:fldCharType="separate"/>
      </w:r>
      <w:r>
        <w:rPr>
          <w:rFonts w:hint="eastAsia" w:ascii="仿宋_GB2312" w:hAnsi="仿宋" w:eastAsia="仿宋_GB2312"/>
          <w:i w:val="0"/>
          <w:iCs w:val="0"/>
          <w:smallCaps/>
        </w:rPr>
        <w:t>12</w:t>
      </w:r>
      <w:r>
        <w:rPr>
          <w:rFonts w:hint="eastAsia" w:ascii="仿宋_GB2312" w:hAnsi="仿宋" w:eastAsia="仿宋_GB2312"/>
          <w:i w:val="0"/>
          <w:iCs w:val="0"/>
          <w:smallCaps/>
        </w:rPr>
        <w:fldChar w:fldCharType="end"/>
      </w:r>
    </w:p>
    <w:p w14:paraId="108EF00B">
      <w:pPr>
        <w:pStyle w:val="20"/>
        <w:tabs>
          <w:tab w:val="right" w:leader="dot" w:pos="8296"/>
        </w:tabs>
        <w:rPr>
          <w:rFonts w:ascii="仿宋_GB2312" w:hAnsi="仿宋" w:eastAsia="仿宋_GB2312"/>
        </w:rPr>
      </w:pPr>
      <w:r>
        <w:rPr>
          <w:rFonts w:hint="eastAsia" w:ascii="仿宋_GB2312" w:hAnsi="仿宋" w:eastAsia="仿宋_GB2312"/>
        </w:rPr>
        <w:t>八、政府性基金预算支出决算情况说明</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_Toc79163872 \h </w:instrText>
      </w:r>
      <w:r>
        <w:rPr>
          <w:rFonts w:hint="eastAsia" w:ascii="仿宋_GB2312" w:hAnsi="仿宋" w:eastAsia="仿宋_GB2312"/>
        </w:rPr>
        <w:fldChar w:fldCharType="separate"/>
      </w:r>
      <w:r>
        <w:rPr>
          <w:rFonts w:hint="eastAsia" w:ascii="仿宋_GB2312" w:hAnsi="仿宋" w:eastAsia="仿宋_GB2312"/>
        </w:rPr>
        <w:t>14</w:t>
      </w:r>
      <w:r>
        <w:rPr>
          <w:rFonts w:hint="eastAsia" w:ascii="仿宋_GB2312" w:hAnsi="仿宋" w:eastAsia="仿宋_GB2312"/>
        </w:rPr>
        <w:fldChar w:fldCharType="end"/>
      </w:r>
    </w:p>
    <w:p w14:paraId="21F8BCF4">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九、 国有资本经营预算支出决算情况说明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4</w:t>
      </w:r>
    </w:p>
    <w:p w14:paraId="01E3B23E">
      <w:pPr>
        <w:pStyle w:val="20"/>
        <w:tabs>
          <w:tab w:val="right" w:leader="dot" w:pos="8296"/>
        </w:tabs>
        <w:rPr>
          <w:rFonts w:hint="eastAsia" w:ascii="仿宋_GB2312" w:hAnsi="仿宋" w:eastAsia="仿宋_GB2312"/>
          <w:lang w:val="en-US" w:eastAsia="zh-CN"/>
        </w:rPr>
      </w:pPr>
      <w:r>
        <w:rPr>
          <w:rFonts w:hint="eastAsia" w:ascii="仿宋_GB2312" w:hAnsi="仿宋" w:eastAsia="仿宋_GB2312"/>
        </w:rPr>
        <w:t>十、其他重要事项的情况说明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4</w:t>
      </w:r>
    </w:p>
    <w:p w14:paraId="3B053725">
      <w:pPr>
        <w:pStyle w:val="11"/>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（一）机关运行经费支出情况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23D5740D">
      <w:pPr>
        <w:pStyle w:val="11"/>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（二）政府采购支出情况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79C95E63">
      <w:pPr>
        <w:pStyle w:val="11"/>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（三）国有资产占有使用情况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51F6070B">
      <w:pPr>
        <w:pStyle w:val="11"/>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（四）预算绩效管理情况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4</w:t>
      </w:r>
    </w:p>
    <w:p w14:paraId="73A3D087">
      <w:pPr>
        <w:pStyle w:val="16"/>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第三部分 名词解释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1</w:t>
      </w:r>
      <w:r>
        <w:rPr>
          <w:rFonts w:hint="eastAsia" w:ascii="仿宋_GB2312" w:hAnsi="仿宋" w:eastAsia="仿宋_GB2312"/>
          <w:b w:val="0"/>
          <w:bCs w:val="0"/>
          <w:caps w:val="0"/>
          <w:smallCaps/>
          <w:lang w:val="en-US" w:eastAsia="zh-CN"/>
        </w:rPr>
        <w:t>6</w:t>
      </w:r>
    </w:p>
    <w:p w14:paraId="176A38EE">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第四部分 附件</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77FCF84E">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附件1</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23A9A46A">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w:t>
      </w:r>
      <w:r>
        <w:rPr>
          <w:rFonts w:hint="eastAsia" w:ascii="仿宋_GB2312" w:hAnsi="仿宋" w:eastAsia="仿宋_GB2312"/>
          <w:b w:val="0"/>
          <w:bCs w:val="0"/>
          <w:caps w:val="0"/>
          <w:smallCaps/>
          <w:lang w:eastAsia="zh-CN"/>
        </w:rPr>
        <w:t>部门预算</w:t>
      </w:r>
      <w:r>
        <w:rPr>
          <w:rFonts w:hint="eastAsia" w:ascii="仿宋_GB2312" w:hAnsi="仿宋" w:eastAsia="仿宋_GB2312"/>
          <w:b w:val="0"/>
          <w:bCs w:val="0"/>
          <w:caps w:val="0"/>
          <w:smallCaps/>
        </w:rPr>
        <w:t>绩效自评报告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14:paraId="7D077017">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附件2</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28</w:t>
      </w:r>
    </w:p>
    <w:p w14:paraId="753C995D">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w:t>
      </w:r>
      <w:r>
        <w:rPr>
          <w:rFonts w:hint="eastAsia" w:ascii="仿宋_GB2312" w:hAnsi="仿宋" w:eastAsia="仿宋_GB2312"/>
          <w:b w:val="0"/>
          <w:bCs w:val="0"/>
          <w:caps w:val="0"/>
          <w:smallCaps/>
          <w:lang w:eastAsia="zh-CN"/>
        </w:rPr>
        <w:t>“茂农服”数字平台项目绩效评价</w:t>
      </w:r>
      <w:r>
        <w:rPr>
          <w:rFonts w:hint="eastAsia" w:ascii="仿宋_GB2312" w:hAnsi="仿宋" w:eastAsia="仿宋_GB2312"/>
          <w:b w:val="0"/>
          <w:bCs w:val="0"/>
          <w:caps w:val="0"/>
          <w:smallCaps/>
        </w:rPr>
        <w:t>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28</w:t>
      </w:r>
    </w:p>
    <w:p w14:paraId="23D5EABE">
      <w:pPr>
        <w:pStyle w:val="16"/>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附件3</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w:t>
      </w:r>
      <w:r>
        <w:rPr>
          <w:rFonts w:hint="eastAsia" w:ascii="仿宋_GB2312" w:hAnsi="仿宋" w:eastAsia="仿宋_GB2312"/>
          <w:b w:val="0"/>
          <w:bCs w:val="0"/>
          <w:caps w:val="0"/>
          <w:smallCaps/>
          <w:lang w:val="en-US" w:eastAsia="zh-CN"/>
        </w:rPr>
        <w:t>4</w:t>
      </w:r>
    </w:p>
    <w:p w14:paraId="05B5A1A9">
      <w:pPr>
        <w:pStyle w:val="16"/>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年茂县</w:t>
      </w:r>
      <w:r>
        <w:rPr>
          <w:rFonts w:hint="eastAsia" w:ascii="仿宋_GB2312" w:hAnsi="仿宋" w:eastAsia="仿宋_GB2312"/>
          <w:b w:val="0"/>
          <w:bCs w:val="0"/>
          <w:caps w:val="0"/>
          <w:smallCaps/>
          <w:lang w:eastAsia="zh-CN"/>
        </w:rPr>
        <w:t>交流交往交融项目绩效评价</w:t>
      </w:r>
      <w:r>
        <w:rPr>
          <w:rFonts w:hint="eastAsia" w:ascii="仿宋_GB2312" w:hAnsi="仿宋" w:eastAsia="仿宋_GB2312"/>
          <w:b w:val="0"/>
          <w:bCs w:val="0"/>
          <w:caps w:val="0"/>
          <w:smallCaps/>
        </w:rPr>
        <w:t>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w:t>
      </w:r>
      <w:r>
        <w:rPr>
          <w:rFonts w:hint="eastAsia" w:ascii="仿宋_GB2312" w:hAnsi="仿宋" w:eastAsia="仿宋_GB2312"/>
          <w:b w:val="0"/>
          <w:bCs w:val="0"/>
          <w:caps w:val="0"/>
          <w:smallCaps/>
          <w:lang w:val="en-US" w:eastAsia="zh-CN"/>
        </w:rPr>
        <w:t>4</w:t>
      </w:r>
    </w:p>
    <w:p w14:paraId="694CB37F">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附件4</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41</w:t>
      </w:r>
    </w:p>
    <w:p w14:paraId="1CF07D3C">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茂县供销社合作社联合社202</w:t>
      </w:r>
      <w:r>
        <w:rPr>
          <w:rFonts w:hint="eastAsia" w:ascii="仿宋_GB2312" w:hAnsi="仿宋" w:eastAsia="仿宋_GB2312"/>
          <w:b w:val="0"/>
          <w:bCs w:val="0"/>
          <w:caps w:val="0"/>
          <w:smallCaps/>
          <w:lang w:val="en-US" w:eastAsia="zh-CN"/>
        </w:rPr>
        <w:t>3</w:t>
      </w:r>
      <w:r>
        <w:rPr>
          <w:rFonts w:hint="eastAsia" w:ascii="仿宋_GB2312" w:hAnsi="仿宋" w:eastAsia="仿宋_GB2312"/>
          <w:b w:val="0"/>
          <w:bCs w:val="0"/>
          <w:caps w:val="0"/>
          <w:smallCaps/>
        </w:rPr>
        <w:t>年</w:t>
      </w:r>
      <w:r>
        <w:rPr>
          <w:rFonts w:hint="eastAsia" w:ascii="仿宋_GB2312" w:hAnsi="仿宋" w:eastAsia="仿宋_GB2312"/>
          <w:b w:val="0"/>
          <w:bCs w:val="0"/>
          <w:caps w:val="0"/>
          <w:smallCaps/>
          <w:lang w:eastAsia="zh-CN"/>
        </w:rPr>
        <w:t>茂县数字农业服务平台扩建项目绩效评价</w:t>
      </w:r>
      <w:r>
        <w:rPr>
          <w:rFonts w:hint="eastAsia" w:ascii="仿宋_GB2312" w:hAnsi="仿宋" w:eastAsia="仿宋_GB2312"/>
          <w:b w:val="0"/>
          <w:bCs w:val="0"/>
          <w:caps w:val="0"/>
          <w:smallCaps/>
        </w:rPr>
        <w:t>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41</w:t>
      </w:r>
    </w:p>
    <w:p w14:paraId="4F5547F9">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附件5</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48</w:t>
      </w:r>
    </w:p>
    <w:p w14:paraId="64B08006">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w:t>
      </w:r>
      <w:r>
        <w:rPr>
          <w:rFonts w:hint="eastAsia" w:ascii="仿宋_GB2312" w:hAnsi="仿宋" w:eastAsia="仿宋_GB2312"/>
          <w:b w:val="0"/>
          <w:bCs w:val="0"/>
          <w:caps w:val="0"/>
          <w:smallCaps/>
          <w:lang w:val="en-US" w:eastAsia="zh-CN"/>
        </w:rPr>
        <w:t>2023年</w:t>
      </w:r>
      <w:r>
        <w:rPr>
          <w:rFonts w:hint="eastAsia" w:ascii="仿宋_GB2312" w:hAnsi="仿宋" w:eastAsia="仿宋_GB2312"/>
          <w:b w:val="0"/>
          <w:bCs w:val="0"/>
          <w:caps w:val="0"/>
          <w:smallCaps/>
          <w:lang w:eastAsia="zh-CN"/>
        </w:rPr>
        <w:t>农资储备和价格补贴专项经费项目绩效评价</w:t>
      </w:r>
      <w:r>
        <w:rPr>
          <w:rFonts w:hint="eastAsia" w:ascii="仿宋_GB2312" w:hAnsi="仿宋" w:eastAsia="仿宋_GB2312"/>
          <w:b w:val="0"/>
          <w:bCs w:val="0"/>
          <w:caps w:val="0"/>
          <w:smallCaps/>
        </w:rPr>
        <w:t xml:space="preserve">报告. </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48</w:t>
      </w:r>
    </w:p>
    <w:p w14:paraId="1529E2DA">
      <w:pPr>
        <w:pStyle w:val="16"/>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第五部分 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55</w:t>
      </w:r>
    </w:p>
    <w:p w14:paraId="7FB00550">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一、收入支出决算总表</w:t>
      </w:r>
      <w:r>
        <w:rPr>
          <w:rFonts w:hint="eastAsia" w:ascii="仿宋_GB2312" w:hAnsi="仿宋" w:eastAsia="仿宋_GB2312"/>
        </w:rPr>
        <w:tab/>
      </w:r>
      <w:r>
        <w:rPr>
          <w:rFonts w:hint="eastAsia" w:ascii="仿宋_GB2312" w:hAnsi="仿宋" w:eastAsia="仿宋_GB2312"/>
          <w:lang w:val="en-US" w:eastAsia="zh-CN"/>
        </w:rPr>
        <w:t>55</w:t>
      </w:r>
    </w:p>
    <w:p w14:paraId="0CDC1A17">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二、收入决算表</w:t>
      </w:r>
      <w:r>
        <w:rPr>
          <w:rFonts w:hint="eastAsia" w:ascii="仿宋_GB2312" w:hAnsi="仿宋" w:eastAsia="仿宋_GB2312"/>
        </w:rPr>
        <w:tab/>
      </w:r>
      <w:r>
        <w:rPr>
          <w:rFonts w:hint="eastAsia" w:ascii="仿宋_GB2312" w:hAnsi="仿宋" w:eastAsia="仿宋_GB2312"/>
          <w:lang w:val="en-US" w:eastAsia="zh-CN"/>
        </w:rPr>
        <w:t>55</w:t>
      </w:r>
    </w:p>
    <w:p w14:paraId="68983B13">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三、支出决算表</w:t>
      </w:r>
      <w:r>
        <w:rPr>
          <w:rFonts w:hint="eastAsia" w:ascii="仿宋_GB2312" w:hAnsi="仿宋" w:eastAsia="仿宋_GB2312"/>
        </w:rPr>
        <w:tab/>
      </w:r>
      <w:r>
        <w:rPr>
          <w:rFonts w:hint="eastAsia" w:ascii="仿宋_GB2312" w:hAnsi="仿宋" w:eastAsia="仿宋_GB2312"/>
          <w:lang w:val="en-US" w:eastAsia="zh-CN"/>
        </w:rPr>
        <w:t>55</w:t>
      </w:r>
    </w:p>
    <w:p w14:paraId="2D7C65F3">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四、财政拨款收入支出决算总表</w:t>
      </w:r>
      <w:r>
        <w:rPr>
          <w:rFonts w:hint="eastAsia" w:ascii="仿宋_GB2312" w:hAnsi="仿宋" w:eastAsia="仿宋_GB2312"/>
        </w:rPr>
        <w:tab/>
      </w:r>
      <w:r>
        <w:rPr>
          <w:rFonts w:hint="eastAsia" w:ascii="仿宋_GB2312" w:hAnsi="仿宋" w:eastAsia="仿宋_GB2312"/>
          <w:lang w:val="en-US" w:eastAsia="zh-CN"/>
        </w:rPr>
        <w:t>55</w:t>
      </w:r>
    </w:p>
    <w:p w14:paraId="3B0659A9">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五、财政拨款支出决算明细表</w:t>
      </w:r>
      <w:r>
        <w:rPr>
          <w:rFonts w:hint="eastAsia" w:ascii="仿宋_GB2312" w:hAnsi="仿宋" w:eastAsia="仿宋_GB2312"/>
        </w:rPr>
        <w:tab/>
      </w:r>
      <w:r>
        <w:rPr>
          <w:rFonts w:hint="eastAsia" w:ascii="仿宋_GB2312" w:hAnsi="仿宋" w:eastAsia="仿宋_GB2312"/>
          <w:lang w:val="en-US" w:eastAsia="zh-CN"/>
        </w:rPr>
        <w:t>55</w:t>
      </w:r>
    </w:p>
    <w:p w14:paraId="5C87F280">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六、一般公共预算财政拨款支出决算表</w:t>
      </w:r>
      <w:r>
        <w:rPr>
          <w:rFonts w:hint="eastAsia" w:ascii="仿宋_GB2312" w:hAnsi="仿宋" w:eastAsia="仿宋_GB2312"/>
        </w:rPr>
        <w:tab/>
      </w:r>
      <w:r>
        <w:rPr>
          <w:rFonts w:hint="eastAsia" w:ascii="仿宋_GB2312" w:hAnsi="仿宋" w:eastAsia="仿宋_GB2312"/>
          <w:lang w:val="en-US" w:eastAsia="zh-CN"/>
        </w:rPr>
        <w:t>55</w:t>
      </w:r>
    </w:p>
    <w:p w14:paraId="04E615B4">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七、一般公共预算财政拨款支出决算明细表</w:t>
      </w:r>
      <w:r>
        <w:rPr>
          <w:rFonts w:hint="eastAsia" w:ascii="仿宋_GB2312" w:hAnsi="仿宋" w:eastAsia="仿宋_GB2312"/>
        </w:rPr>
        <w:tab/>
      </w:r>
      <w:r>
        <w:rPr>
          <w:rFonts w:hint="eastAsia" w:ascii="仿宋_GB2312" w:hAnsi="仿宋" w:eastAsia="仿宋_GB2312"/>
          <w:lang w:val="en-US" w:eastAsia="zh-CN"/>
        </w:rPr>
        <w:t>55</w:t>
      </w:r>
    </w:p>
    <w:p w14:paraId="47AB8EB3">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八、一般公共预算财政拨款基本支出决算表</w:t>
      </w:r>
      <w:r>
        <w:rPr>
          <w:rFonts w:hint="eastAsia" w:ascii="仿宋_GB2312" w:hAnsi="仿宋" w:eastAsia="仿宋_GB2312"/>
        </w:rPr>
        <w:tab/>
      </w:r>
      <w:r>
        <w:rPr>
          <w:rFonts w:hint="eastAsia" w:ascii="仿宋_GB2312" w:hAnsi="仿宋" w:eastAsia="仿宋_GB2312"/>
          <w:lang w:val="en-US" w:eastAsia="zh-CN"/>
        </w:rPr>
        <w:t>55</w:t>
      </w:r>
    </w:p>
    <w:p w14:paraId="5D646889">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九、一般公共预算财政拨款项目支出决算表</w:t>
      </w:r>
      <w:r>
        <w:rPr>
          <w:rFonts w:hint="eastAsia" w:ascii="仿宋_GB2312" w:hAnsi="仿宋" w:eastAsia="仿宋_GB2312"/>
        </w:rPr>
        <w:tab/>
      </w:r>
      <w:r>
        <w:rPr>
          <w:rFonts w:hint="eastAsia" w:ascii="仿宋_GB2312" w:hAnsi="仿宋" w:eastAsia="仿宋_GB2312"/>
          <w:lang w:val="en-US" w:eastAsia="zh-CN"/>
        </w:rPr>
        <w:t>55</w:t>
      </w:r>
    </w:p>
    <w:p w14:paraId="66F920AF">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十、政府性基金预算财政拨款收入支出决算表</w:t>
      </w:r>
      <w:r>
        <w:rPr>
          <w:rFonts w:hint="eastAsia" w:ascii="仿宋_GB2312" w:hAnsi="仿宋" w:eastAsia="仿宋_GB2312"/>
        </w:rPr>
        <w:tab/>
      </w:r>
      <w:r>
        <w:rPr>
          <w:rFonts w:hint="eastAsia" w:ascii="仿宋_GB2312" w:hAnsi="仿宋" w:eastAsia="仿宋_GB2312"/>
          <w:lang w:val="en-US" w:eastAsia="zh-CN"/>
        </w:rPr>
        <w:t>55</w:t>
      </w:r>
    </w:p>
    <w:p w14:paraId="1B3D1A66">
      <w:pPr>
        <w:pStyle w:val="20"/>
        <w:tabs>
          <w:tab w:val="right" w:leader="dot" w:pos="8296"/>
        </w:tabs>
        <w:rPr>
          <w:rFonts w:hint="default" w:ascii="仿宋_GB2312" w:hAnsi="仿宋" w:eastAsia="仿宋_GB2312"/>
          <w:lang w:val="en-US" w:eastAsia="zh-CN"/>
        </w:rPr>
      </w:pPr>
      <w:r>
        <w:rPr>
          <w:rFonts w:hint="eastAsia" w:ascii="仿宋_GB2312" w:hAnsi="仿宋" w:eastAsia="仿宋_GB2312"/>
        </w:rPr>
        <w:t>十</w:t>
      </w:r>
      <w:r>
        <w:rPr>
          <w:rFonts w:hint="eastAsia" w:ascii="仿宋_GB2312" w:hAnsi="仿宋" w:eastAsia="仿宋_GB2312"/>
          <w:lang w:eastAsia="zh-CN"/>
        </w:rPr>
        <w:t>一</w:t>
      </w:r>
      <w:r>
        <w:rPr>
          <w:rFonts w:hint="eastAsia" w:ascii="仿宋_GB2312" w:hAnsi="仿宋" w:eastAsia="仿宋_GB2312"/>
        </w:rPr>
        <w:t>、国有资本经营预算财政拨款</w:t>
      </w:r>
      <w:r>
        <w:rPr>
          <w:rFonts w:hint="eastAsia" w:ascii="仿宋_GB2312" w:hAnsi="仿宋" w:eastAsia="仿宋_GB2312"/>
          <w:lang w:eastAsia="zh-CN"/>
        </w:rPr>
        <w:t>收入</w:t>
      </w:r>
      <w:r>
        <w:rPr>
          <w:rFonts w:hint="eastAsia" w:ascii="仿宋_GB2312" w:hAnsi="仿宋" w:eastAsia="仿宋_GB2312"/>
        </w:rPr>
        <w:t>支出决算表</w:t>
      </w:r>
      <w:r>
        <w:rPr>
          <w:rFonts w:hint="eastAsia" w:ascii="仿宋_GB2312" w:hAnsi="仿宋" w:eastAsia="仿宋_GB2312"/>
        </w:rPr>
        <w:tab/>
      </w:r>
      <w:r>
        <w:rPr>
          <w:rFonts w:hint="eastAsia" w:ascii="仿宋_GB2312" w:hAnsi="仿宋" w:eastAsia="仿宋_GB2312"/>
          <w:lang w:val="en-US" w:eastAsia="zh-CN"/>
        </w:rPr>
        <w:t>55</w:t>
      </w:r>
    </w:p>
    <w:p w14:paraId="31B63BE4">
      <w:pPr>
        <w:pStyle w:val="20"/>
        <w:tabs>
          <w:tab w:val="right" w:leader="dot" w:pos="8296"/>
        </w:tabs>
        <w:rPr>
          <w:rFonts w:hint="default" w:ascii="仿宋_GB2312" w:hAnsi="仿宋" w:eastAsia="仿宋_GB2312"/>
          <w:sz w:val="32"/>
          <w:szCs w:val="32"/>
          <w:lang w:val="en-US" w:eastAsia="zh-CN"/>
        </w:rPr>
      </w:pPr>
      <w:r>
        <w:rPr>
          <w:rFonts w:hint="eastAsia" w:ascii="仿宋_GB2312" w:hAnsi="仿宋" w:eastAsia="仿宋_GB2312"/>
        </w:rPr>
        <w:t>十</w:t>
      </w:r>
      <w:r>
        <w:rPr>
          <w:rFonts w:hint="eastAsia" w:ascii="仿宋_GB2312" w:hAnsi="仿宋" w:eastAsia="仿宋_GB2312"/>
          <w:lang w:eastAsia="zh-CN"/>
        </w:rPr>
        <w:t>二</w:t>
      </w:r>
      <w:r>
        <w:rPr>
          <w:rFonts w:hint="eastAsia" w:ascii="仿宋_GB2312" w:hAnsi="仿宋" w:eastAsia="仿宋_GB2312"/>
        </w:rPr>
        <w:t>、国有资本经营预算财政拨款支出决算表</w:t>
      </w:r>
      <w:r>
        <w:rPr>
          <w:rFonts w:hint="eastAsia" w:ascii="仿宋_GB2312" w:hAnsi="仿宋" w:eastAsia="仿宋_GB2312"/>
        </w:rPr>
        <w:tab/>
      </w:r>
      <w:r>
        <w:rPr>
          <w:rFonts w:hint="eastAsia" w:ascii="仿宋_GB2312" w:hAnsi="仿宋" w:eastAsia="仿宋_GB2312"/>
          <w:lang w:val="en-US" w:eastAsia="zh-CN"/>
        </w:rPr>
        <w:t>55</w:t>
      </w:r>
    </w:p>
    <w:p w14:paraId="25A5878B">
      <w:pPr>
        <w:pStyle w:val="20"/>
        <w:tabs>
          <w:tab w:val="right" w:leader="dot" w:pos="8296"/>
        </w:tabs>
        <w:rPr>
          <w:rFonts w:hint="default" w:ascii="仿宋_GB2312" w:hAnsi="仿宋" w:eastAsia="仿宋_GB2312"/>
          <w:sz w:val="32"/>
          <w:szCs w:val="32"/>
          <w:lang w:val="en-US" w:eastAsia="zh-CN"/>
        </w:rPr>
      </w:pPr>
      <w:r>
        <w:rPr>
          <w:rFonts w:hint="eastAsia" w:ascii="仿宋_GB2312" w:hAnsi="仿宋" w:eastAsia="仿宋_GB2312"/>
          <w:smallCaps/>
          <w:sz w:val="20"/>
          <w:szCs w:val="20"/>
        </w:rPr>
        <w:fldChar w:fldCharType="end"/>
      </w:r>
      <w:bookmarkStart w:id="12" w:name="_Toc15396599"/>
      <w:bookmarkStart w:id="13" w:name="_Toc15377196"/>
      <w:r>
        <w:rPr>
          <w:rFonts w:hint="eastAsia" w:ascii="仿宋_GB2312" w:hAnsi="仿宋" w:eastAsia="仿宋_GB2312"/>
        </w:rPr>
        <w:t>十</w:t>
      </w:r>
      <w:r>
        <w:rPr>
          <w:rFonts w:hint="eastAsia" w:ascii="仿宋_GB2312" w:hAnsi="仿宋" w:eastAsia="仿宋_GB2312"/>
          <w:lang w:eastAsia="zh-CN"/>
        </w:rPr>
        <w:t>三</w:t>
      </w:r>
      <w:r>
        <w:rPr>
          <w:rFonts w:hint="eastAsia" w:ascii="仿宋_GB2312" w:hAnsi="仿宋" w:eastAsia="仿宋_GB2312"/>
        </w:rPr>
        <w:t>、</w:t>
      </w:r>
      <w:r>
        <w:rPr>
          <w:rFonts w:hint="eastAsia" w:ascii="仿宋_GB2312" w:hAnsi="仿宋" w:eastAsia="仿宋_GB2312"/>
          <w:lang w:eastAsia="zh-CN"/>
        </w:rPr>
        <w:t>财政拨款“三公”经费</w:t>
      </w:r>
      <w:r>
        <w:rPr>
          <w:rFonts w:hint="eastAsia" w:ascii="仿宋_GB2312" w:hAnsi="仿宋" w:eastAsia="仿宋_GB2312"/>
        </w:rPr>
        <w:t>支出决算表</w:t>
      </w:r>
      <w:r>
        <w:rPr>
          <w:rFonts w:hint="eastAsia" w:ascii="仿宋_GB2312" w:hAnsi="仿宋" w:eastAsia="仿宋_GB2312"/>
        </w:rPr>
        <w:tab/>
      </w:r>
      <w:r>
        <w:rPr>
          <w:rFonts w:hint="eastAsia" w:ascii="仿宋_GB2312" w:hAnsi="仿宋" w:eastAsia="仿宋_GB2312"/>
          <w:lang w:val="en-US" w:eastAsia="zh-CN"/>
        </w:rPr>
        <w:t>55</w:t>
      </w:r>
    </w:p>
    <w:p w14:paraId="02203694">
      <w:pPr>
        <w:widowControl/>
        <w:spacing w:line="440" w:lineRule="exact"/>
        <w:jc w:val="left"/>
        <w:rPr>
          <w:rFonts w:ascii="仿宋_GB2312" w:hAnsi="仿宋" w:eastAsia="仿宋_GB2312"/>
          <w:smallCaps/>
          <w:sz w:val="20"/>
          <w:szCs w:val="20"/>
        </w:rPr>
      </w:pPr>
    </w:p>
    <w:p w14:paraId="0F4AD0A4">
      <w:pPr>
        <w:widowControl/>
        <w:spacing w:line="440" w:lineRule="exact"/>
        <w:jc w:val="left"/>
        <w:rPr>
          <w:rFonts w:ascii="仿宋_GB2312" w:hAnsi="仿宋" w:eastAsia="仿宋_GB2312"/>
          <w:smallCaps/>
          <w:sz w:val="20"/>
          <w:szCs w:val="20"/>
        </w:rPr>
      </w:pPr>
    </w:p>
    <w:p w14:paraId="036C2012">
      <w:pPr>
        <w:widowControl/>
        <w:spacing w:line="440" w:lineRule="exact"/>
        <w:jc w:val="left"/>
        <w:rPr>
          <w:rFonts w:ascii="仿宋" w:hAnsi="仿宋" w:eastAsia="仿宋"/>
          <w:smallCaps/>
          <w:sz w:val="20"/>
          <w:szCs w:val="20"/>
        </w:rPr>
      </w:pPr>
    </w:p>
    <w:p w14:paraId="51AB36FB">
      <w:pPr>
        <w:widowControl/>
        <w:spacing w:line="440" w:lineRule="exact"/>
        <w:jc w:val="left"/>
        <w:rPr>
          <w:rFonts w:ascii="仿宋" w:hAnsi="仿宋" w:eastAsia="仿宋"/>
          <w:smallCaps/>
          <w:sz w:val="20"/>
          <w:szCs w:val="20"/>
        </w:rPr>
      </w:pPr>
    </w:p>
    <w:p w14:paraId="143EBB20">
      <w:pPr>
        <w:widowControl/>
        <w:spacing w:line="440" w:lineRule="exact"/>
        <w:jc w:val="left"/>
        <w:rPr>
          <w:rFonts w:ascii="仿宋" w:hAnsi="仿宋" w:eastAsia="仿宋"/>
          <w:smallCaps/>
          <w:sz w:val="20"/>
          <w:szCs w:val="20"/>
        </w:rPr>
      </w:pPr>
    </w:p>
    <w:p w14:paraId="1FC93307">
      <w:pPr>
        <w:widowControl/>
        <w:spacing w:line="440" w:lineRule="exact"/>
        <w:jc w:val="left"/>
        <w:rPr>
          <w:rFonts w:ascii="仿宋" w:hAnsi="仿宋" w:eastAsia="仿宋"/>
          <w:smallCaps/>
          <w:sz w:val="20"/>
          <w:szCs w:val="20"/>
        </w:rPr>
      </w:pPr>
    </w:p>
    <w:p w14:paraId="267772D7">
      <w:pPr>
        <w:widowControl/>
        <w:spacing w:line="440" w:lineRule="exact"/>
        <w:jc w:val="left"/>
        <w:rPr>
          <w:rFonts w:ascii="仿宋" w:hAnsi="仿宋" w:eastAsia="仿宋"/>
          <w:smallCaps/>
          <w:sz w:val="20"/>
          <w:szCs w:val="20"/>
        </w:rPr>
      </w:pPr>
    </w:p>
    <w:p w14:paraId="1890BEB4">
      <w:pPr>
        <w:widowControl/>
        <w:spacing w:line="440" w:lineRule="exact"/>
        <w:jc w:val="left"/>
        <w:rPr>
          <w:rFonts w:ascii="仿宋" w:hAnsi="仿宋" w:eastAsia="仿宋"/>
          <w:smallCaps/>
          <w:sz w:val="20"/>
          <w:szCs w:val="20"/>
        </w:rPr>
      </w:pPr>
    </w:p>
    <w:p w14:paraId="0189AC2A">
      <w:pPr>
        <w:widowControl/>
        <w:spacing w:line="440" w:lineRule="exact"/>
        <w:jc w:val="left"/>
        <w:rPr>
          <w:rFonts w:ascii="仿宋" w:hAnsi="仿宋" w:eastAsia="仿宋"/>
          <w:smallCaps/>
          <w:sz w:val="20"/>
          <w:szCs w:val="20"/>
        </w:rPr>
      </w:pPr>
    </w:p>
    <w:p w14:paraId="708EE0B5">
      <w:pPr>
        <w:widowControl/>
        <w:spacing w:line="440" w:lineRule="exact"/>
        <w:jc w:val="left"/>
        <w:rPr>
          <w:rFonts w:ascii="仿宋" w:hAnsi="仿宋" w:eastAsia="仿宋"/>
          <w:smallCaps/>
          <w:sz w:val="20"/>
          <w:szCs w:val="20"/>
        </w:rPr>
      </w:pPr>
    </w:p>
    <w:p w14:paraId="4F9B5966">
      <w:pPr>
        <w:widowControl/>
        <w:spacing w:line="440" w:lineRule="exact"/>
        <w:jc w:val="left"/>
        <w:rPr>
          <w:rFonts w:ascii="仿宋" w:hAnsi="仿宋" w:eastAsia="仿宋"/>
          <w:smallCaps/>
          <w:sz w:val="20"/>
          <w:szCs w:val="20"/>
        </w:rPr>
      </w:pPr>
    </w:p>
    <w:p w14:paraId="6E9811E3">
      <w:pPr>
        <w:widowControl/>
        <w:spacing w:line="440" w:lineRule="exact"/>
        <w:jc w:val="left"/>
        <w:rPr>
          <w:rFonts w:ascii="仿宋" w:hAnsi="仿宋" w:eastAsia="仿宋"/>
          <w:smallCaps/>
          <w:sz w:val="20"/>
          <w:szCs w:val="20"/>
        </w:rPr>
      </w:pPr>
    </w:p>
    <w:p w14:paraId="367D4E78">
      <w:pPr>
        <w:widowControl/>
        <w:spacing w:line="440" w:lineRule="exact"/>
        <w:jc w:val="left"/>
        <w:rPr>
          <w:rFonts w:ascii="仿宋" w:hAnsi="仿宋" w:eastAsia="仿宋"/>
          <w:smallCaps/>
          <w:sz w:val="20"/>
          <w:szCs w:val="20"/>
        </w:rPr>
      </w:pPr>
    </w:p>
    <w:p w14:paraId="64F29CCF">
      <w:pPr>
        <w:widowControl/>
        <w:spacing w:line="440" w:lineRule="exact"/>
        <w:jc w:val="left"/>
        <w:rPr>
          <w:rFonts w:ascii="仿宋" w:hAnsi="仿宋" w:eastAsia="仿宋"/>
          <w:smallCaps/>
          <w:sz w:val="20"/>
          <w:szCs w:val="20"/>
        </w:rPr>
      </w:pPr>
    </w:p>
    <w:p w14:paraId="6C043E1E">
      <w:pPr>
        <w:widowControl/>
        <w:spacing w:line="440" w:lineRule="exact"/>
        <w:jc w:val="left"/>
        <w:rPr>
          <w:rFonts w:ascii="仿宋" w:hAnsi="仿宋" w:eastAsia="仿宋"/>
          <w:smallCaps/>
          <w:sz w:val="20"/>
          <w:szCs w:val="20"/>
        </w:rPr>
      </w:pPr>
    </w:p>
    <w:p w14:paraId="75B6BA30">
      <w:pPr>
        <w:widowControl/>
        <w:spacing w:line="440" w:lineRule="exact"/>
        <w:jc w:val="left"/>
        <w:rPr>
          <w:rFonts w:ascii="仿宋" w:hAnsi="仿宋" w:eastAsia="仿宋"/>
          <w:smallCaps/>
          <w:sz w:val="20"/>
          <w:szCs w:val="20"/>
        </w:rPr>
      </w:pPr>
    </w:p>
    <w:p w14:paraId="04B2B1F8">
      <w:pPr>
        <w:widowControl/>
        <w:spacing w:line="440" w:lineRule="exact"/>
        <w:jc w:val="left"/>
        <w:rPr>
          <w:rFonts w:ascii="仿宋" w:hAnsi="仿宋" w:eastAsia="仿宋"/>
          <w:smallCaps/>
          <w:sz w:val="20"/>
          <w:szCs w:val="20"/>
        </w:rPr>
      </w:pPr>
    </w:p>
    <w:p w14:paraId="254F0E03">
      <w:pPr>
        <w:rPr>
          <w:rFonts w:ascii="方正小标宋简体" w:hAnsi="方正小标宋简体" w:eastAsia="方正小标宋简体" w:cs="方正小标宋简体"/>
          <w:sz w:val="44"/>
          <w:szCs w:val="44"/>
        </w:rPr>
      </w:pPr>
      <w:bookmarkStart w:id="14" w:name="_Toc79163851"/>
      <w:bookmarkStart w:id="15" w:name="_Toc79163601"/>
    </w:p>
    <w:p w14:paraId="0C390E88">
      <w:pPr>
        <w:pStyle w:val="18"/>
        <w:rPr>
          <w:rFonts w:ascii="方正小标宋简体" w:hAnsi="方正小标宋简体" w:eastAsia="方正小标宋简体" w:cs="方正小标宋简体"/>
          <w:sz w:val="44"/>
          <w:szCs w:val="44"/>
        </w:rPr>
      </w:pPr>
    </w:p>
    <w:p w14:paraId="6F613EE6">
      <w:pPr>
        <w:pStyle w:val="9"/>
      </w:pPr>
    </w:p>
    <w:p w14:paraId="38592512">
      <w:pPr>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概况</w:t>
      </w:r>
      <w:bookmarkEnd w:id="12"/>
      <w:bookmarkEnd w:id="13"/>
      <w:bookmarkEnd w:id="14"/>
      <w:bookmarkEnd w:id="15"/>
      <w:bookmarkStart w:id="16" w:name="_Toc15377197"/>
      <w:bookmarkStart w:id="17" w:name="_Toc79163852"/>
      <w:bookmarkStart w:id="18" w:name="_Toc79163602"/>
      <w:bookmarkStart w:id="19" w:name="_Toc15396600"/>
    </w:p>
    <w:p w14:paraId="43D982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p>
    <w:bookmarkEnd w:id="16"/>
    <w:bookmarkEnd w:id="17"/>
    <w:bookmarkEnd w:id="18"/>
    <w:bookmarkEnd w:id="19"/>
    <w:p w14:paraId="15CE2EAF">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主要职责</w:t>
      </w:r>
    </w:p>
    <w:p w14:paraId="068457DD">
      <w:pPr>
        <w:spacing w:line="576" w:lineRule="exact"/>
        <w:ind w:firstLine="640" w:firstLineChars="200"/>
        <w:rPr>
          <w:rFonts w:ascii="仿宋_GB2312" w:hAnsi="仿宋_GB2312" w:eastAsia="仿宋_GB2312" w:cs="仿宋_GB2312"/>
          <w:sz w:val="32"/>
          <w:szCs w:val="32"/>
        </w:rPr>
      </w:pPr>
      <w:bookmarkStart w:id="20" w:name="_Toc15396601"/>
      <w:bookmarkStart w:id="21" w:name="_Toc79163855"/>
      <w:bookmarkStart w:id="22" w:name="_Toc15377200"/>
      <w:bookmarkStart w:id="23" w:name="_Toc79163605"/>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宣传贯彻党中央、国务院、省委、省政府和州委、州政府及县委县政府有关农业、农村经济工作和社会发展方针政策，维护全县供销社的合法权益。</w:t>
      </w:r>
    </w:p>
    <w:p w14:paraId="299556C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研究和制定全县供销合作社发展规划，指导全县供销合作社的企业改革和发展。</w:t>
      </w:r>
    </w:p>
    <w:p w14:paraId="1F480BD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受县政府委托，对重要农业生产资料、农副产品经营进行组织、储备、调运工作，负责烟花爆竹和废旧物资再生资源的经营及社办工业的指导。</w:t>
      </w:r>
    </w:p>
    <w:p w14:paraId="6CE622E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负责对政策性商品经营资格审定、质量监督和行业管理及有关救灾物资的组织、储备、调运工作。</w:t>
      </w:r>
    </w:p>
    <w:p w14:paraId="178F740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协调同政府有关部门、社会组织的关系，研究供销合作经济运行中的重大问题，维护合作经济组织的合法权益。</w:t>
      </w:r>
    </w:p>
    <w:p w14:paraId="343B0A8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组织全县供销系统参与和推进农业产业化经营，加强农产品市场调查研究，培育农产品市场，组织发展专业合作社、消费合作社等中介服务组织，培育龙头企业，加强商品供求市场、信息服务体系建设。</w:t>
      </w:r>
    </w:p>
    <w:p w14:paraId="2910FE8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指导农村社会化服务体系建设，推进建立现代流通体系和现代营销方式，发展社区性、综合性、便民性社区综合服务社，满足农牧民生产、生活等社会化服务的需要。</w:t>
      </w:r>
    </w:p>
    <w:p w14:paraId="2565CC1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监督和管理社有资产，确保社有资产的保值、增值，对直属企业行使出资人的职权，依法享有资产受益、重大决策和选择经营管理者等权利。</w:t>
      </w:r>
    </w:p>
    <w:p w14:paraId="6275964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积极参与供销合作经济对外交流活动；承担县政府交办的其他事项。</w:t>
      </w:r>
    </w:p>
    <w:p w14:paraId="50987A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二、机构设置</w:t>
      </w:r>
      <w:bookmarkEnd w:id="20"/>
      <w:bookmarkEnd w:id="21"/>
      <w:bookmarkEnd w:id="22"/>
      <w:bookmarkEnd w:id="23"/>
    </w:p>
    <w:p w14:paraId="795687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bookmarkStart w:id="24" w:name="_Toc15396602"/>
      <w:bookmarkStart w:id="25" w:name="_Toc15377204"/>
      <w:bookmarkStart w:id="26" w:name="_Toc79163609"/>
      <w:bookmarkStart w:id="27" w:name="_Toc79163859"/>
      <w:r>
        <w:rPr>
          <w:rFonts w:hint="eastAsia" w:ascii="仿宋_GB2312" w:hAnsi="仿宋_GB2312" w:eastAsia="仿宋_GB2312" w:cs="仿宋_GB2312"/>
          <w:sz w:val="32"/>
          <w:szCs w:val="32"/>
        </w:rPr>
        <w:t>茂县供销</w:t>
      </w:r>
      <w:r>
        <w:rPr>
          <w:rFonts w:hint="eastAsia" w:ascii="仿宋_GB2312" w:hAnsi="仿宋_GB2312" w:eastAsia="仿宋_GB2312" w:cs="仿宋_GB2312"/>
          <w:sz w:val="32"/>
          <w:szCs w:val="32"/>
          <w:lang w:eastAsia="zh-CN"/>
        </w:rPr>
        <w:t>合作社联合</w:t>
      </w:r>
      <w:r>
        <w:rPr>
          <w:rFonts w:hint="eastAsia" w:ascii="仿宋_GB2312" w:hAnsi="仿宋_GB2312" w:eastAsia="仿宋_GB2312" w:cs="仿宋_GB2312"/>
          <w:sz w:val="32"/>
          <w:szCs w:val="32"/>
        </w:rPr>
        <w:t>社下属二级单位0个，其中行政单位0个，参照公务员法管理的事业单位0个，其他事业单位0个。</w:t>
      </w:r>
    </w:p>
    <w:p w14:paraId="33FDC7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无纳入202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决算编制范围的二级预算单位。</w:t>
      </w:r>
    </w:p>
    <w:p w14:paraId="1757C1C3">
      <w:pPr>
        <w:jc w:val="both"/>
        <w:rPr>
          <w:rFonts w:ascii="方正小标宋简体" w:hAnsi="方正小标宋简体" w:eastAsia="方正小标宋简体" w:cs="方正小标宋简体"/>
          <w:sz w:val="44"/>
          <w:szCs w:val="44"/>
        </w:rPr>
      </w:pPr>
    </w:p>
    <w:p w14:paraId="7F8643F5">
      <w:pPr>
        <w:jc w:val="center"/>
        <w:rPr>
          <w:rFonts w:hint="eastAsia" w:ascii="方正小标宋简体" w:hAnsi="方正小标宋简体" w:eastAsia="方正小标宋简体" w:cs="方正小标宋简体"/>
          <w:sz w:val="44"/>
          <w:szCs w:val="44"/>
        </w:rPr>
      </w:pPr>
    </w:p>
    <w:p w14:paraId="61FB7FC3">
      <w:pPr>
        <w:jc w:val="center"/>
        <w:rPr>
          <w:rFonts w:hint="eastAsia" w:ascii="方正小标宋简体" w:hAnsi="方正小标宋简体" w:eastAsia="方正小标宋简体" w:cs="方正小标宋简体"/>
          <w:sz w:val="44"/>
          <w:szCs w:val="44"/>
        </w:rPr>
      </w:pPr>
    </w:p>
    <w:p w14:paraId="2F5EE473">
      <w:pPr>
        <w:jc w:val="center"/>
        <w:rPr>
          <w:rFonts w:hint="eastAsia" w:ascii="方正小标宋简体" w:hAnsi="方正小标宋简体" w:eastAsia="方正小标宋简体" w:cs="方正小标宋简体"/>
          <w:sz w:val="44"/>
          <w:szCs w:val="44"/>
        </w:rPr>
      </w:pPr>
    </w:p>
    <w:p w14:paraId="163A687F">
      <w:pPr>
        <w:jc w:val="center"/>
        <w:rPr>
          <w:rFonts w:hint="eastAsia" w:ascii="方正小标宋简体" w:hAnsi="方正小标宋简体" w:eastAsia="方正小标宋简体" w:cs="方正小标宋简体"/>
          <w:sz w:val="44"/>
          <w:szCs w:val="44"/>
        </w:rPr>
      </w:pPr>
    </w:p>
    <w:p w14:paraId="0B84E4D4">
      <w:pPr>
        <w:jc w:val="center"/>
        <w:rPr>
          <w:rFonts w:hint="eastAsia" w:ascii="方正小标宋简体" w:hAnsi="方正小标宋简体" w:eastAsia="方正小标宋简体" w:cs="方正小标宋简体"/>
          <w:sz w:val="44"/>
          <w:szCs w:val="44"/>
        </w:rPr>
      </w:pPr>
    </w:p>
    <w:p w14:paraId="165677B3">
      <w:pPr>
        <w:jc w:val="center"/>
        <w:rPr>
          <w:rFonts w:hint="eastAsia" w:ascii="方正小标宋简体" w:hAnsi="方正小标宋简体" w:eastAsia="方正小标宋简体" w:cs="方正小标宋简体"/>
          <w:sz w:val="44"/>
          <w:szCs w:val="44"/>
        </w:rPr>
      </w:pPr>
    </w:p>
    <w:p w14:paraId="4462BBD9">
      <w:pPr>
        <w:jc w:val="center"/>
        <w:rPr>
          <w:rFonts w:hint="eastAsia" w:ascii="方正小标宋简体" w:hAnsi="方正小标宋简体" w:eastAsia="方正小标宋简体" w:cs="方正小标宋简体"/>
          <w:sz w:val="44"/>
          <w:szCs w:val="44"/>
        </w:rPr>
      </w:pPr>
    </w:p>
    <w:p w14:paraId="586A191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决算情况说明</w:t>
      </w:r>
      <w:bookmarkEnd w:id="24"/>
      <w:bookmarkEnd w:id="25"/>
      <w:bookmarkEnd w:id="26"/>
      <w:bookmarkEnd w:id="27"/>
    </w:p>
    <w:p w14:paraId="6A25B0CB">
      <w:pPr>
        <w:jc w:val="center"/>
      </w:pPr>
    </w:p>
    <w:p w14:paraId="08230865">
      <w:pPr>
        <w:pStyle w:val="39"/>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29"/>
          <w:rFonts w:ascii="黑体" w:hAnsi="黑体" w:eastAsia="黑体"/>
          <w:b w:val="0"/>
        </w:rPr>
      </w:pPr>
      <w:bookmarkStart w:id="28" w:name="_Toc15396603"/>
      <w:bookmarkStart w:id="29" w:name="_Toc79163860"/>
      <w:bookmarkStart w:id="30" w:name="_Toc79163610"/>
      <w:bookmarkStart w:id="31"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8"/>
      <w:bookmarkEnd w:id="29"/>
      <w:bookmarkEnd w:id="30"/>
      <w:bookmarkEnd w:id="31"/>
    </w:p>
    <w:p w14:paraId="60505A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年度收、支总计</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万元。与202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年相比，收、支总计各</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121.76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下降</w:t>
      </w:r>
      <w:r>
        <w:rPr>
          <w:rFonts w:hint="eastAsia" w:ascii="仿宋_GB2312" w:eastAsia="仿宋_GB2312" w:cs="仿宋_GB2312"/>
          <w:sz w:val="32"/>
          <w:szCs w:val="32"/>
          <w:lang w:val="en-US" w:eastAsia="zh-CN"/>
        </w:rPr>
        <w:t>23.16</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2022年茂农服建设项目资金276.7万元，2023年茂农服扩建项目资金142.58万元，因此2023年</w:t>
      </w:r>
      <w:r>
        <w:rPr>
          <w:rFonts w:hint="eastAsia" w:ascii="仿宋_GB2312" w:eastAsia="仿宋_GB2312" w:cs="仿宋_GB2312"/>
          <w:sz w:val="32"/>
          <w:szCs w:val="32"/>
        </w:rPr>
        <w:t>项目资金</w:t>
      </w:r>
      <w:r>
        <w:rPr>
          <w:rFonts w:hint="eastAsia" w:ascii="仿宋_GB2312" w:eastAsia="仿宋_GB2312" w:cs="仿宋_GB2312"/>
          <w:sz w:val="32"/>
          <w:szCs w:val="32"/>
          <w:lang w:eastAsia="zh-CN"/>
        </w:rPr>
        <w:t>减少，收支总计减少</w:t>
      </w:r>
      <w:r>
        <w:rPr>
          <w:rFonts w:hint="eastAsia" w:ascii="仿宋_GB2312" w:eastAsia="仿宋_GB2312" w:cs="仿宋_GB2312"/>
          <w:sz w:val="32"/>
          <w:szCs w:val="32"/>
        </w:rPr>
        <w:t>。</w:t>
      </w:r>
    </w:p>
    <w:p w14:paraId="242DD8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1</w:t>
      </w:r>
      <w:r>
        <w:rPr>
          <w:rFonts w:hint="eastAsia" w:ascii="仿宋_GB2312" w:eastAsia="仿宋_GB2312" w:cs="仿宋_GB2312"/>
          <w:sz w:val="32"/>
          <w:szCs w:val="32"/>
        </w:rPr>
        <w:t>：收、支决算总计变动情况图）（单位：万元）</w:t>
      </w:r>
    </w:p>
    <w:p w14:paraId="12FE93F9">
      <w:pPr>
        <w:ind w:firstLine="420" w:firstLineChars="200"/>
        <w:rPr>
          <w:rFonts w:ascii="仿宋_GB2312" w:eastAsia="仿宋_GB2312"/>
          <w:color w:val="000000"/>
          <w:sz w:val="32"/>
          <w:szCs w:val="32"/>
        </w:rPr>
      </w:pPr>
      <w:r>
        <w:drawing>
          <wp:inline distT="0" distB="0" distL="114300" distR="114300">
            <wp:extent cx="4572000" cy="2600325"/>
            <wp:effectExtent l="4445" t="4445" r="1460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333A5C">
      <w:pPr>
        <w:pStyle w:val="3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29"/>
          <w:rFonts w:ascii="黑体" w:hAnsi="黑体" w:eastAsia="黑体"/>
          <w:b w:val="0"/>
        </w:rPr>
      </w:pPr>
      <w:bookmarkStart w:id="32" w:name="_Toc79163611"/>
      <w:bookmarkStart w:id="33" w:name="_Toc79163861"/>
      <w:bookmarkStart w:id="34" w:name="_Toc15396604"/>
      <w:bookmarkStart w:id="35"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9"/>
          <w:rFonts w:hint="eastAsia" w:ascii="黑体" w:hAnsi="黑体" w:eastAsia="黑体"/>
          <w:b w:val="0"/>
        </w:rPr>
        <w:t>入决算情况说明</w:t>
      </w:r>
      <w:bookmarkEnd w:id="32"/>
      <w:bookmarkEnd w:id="33"/>
      <w:bookmarkEnd w:id="34"/>
      <w:bookmarkEnd w:id="35"/>
    </w:p>
    <w:p w14:paraId="4703DA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_GB2312" w:eastAsia="仿宋_GB2312" w:cs="仿宋_GB2312"/>
          <w:sz w:val="32"/>
          <w:szCs w:val="32"/>
          <w:lang w:eastAsia="zh-CN"/>
        </w:rPr>
        <w:t>2023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本年收入合计</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%；政府性基金预算财政拨款收入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r>
        <w:rPr>
          <w:rFonts w:hint="eastAsia" w:ascii="仿宋_GB2312" w:eastAsia="仿宋_GB2312" w:cs="仿宋_GB2312"/>
          <w:sz w:val="32"/>
          <w:szCs w:val="32"/>
          <w:lang w:eastAsia="zh-CN"/>
        </w:rPr>
        <w:t>国有资本经营预算财政拨款收入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%；上级补助收入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%；事业收入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%；经营收入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%；附属单位上缴收入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%；其他收入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p>
    <w:p w14:paraId="37258B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14:paraId="340D51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2</w:t>
      </w:r>
      <w:r>
        <w:rPr>
          <w:rFonts w:hint="eastAsia" w:ascii="仿宋_GB2312" w:eastAsia="仿宋_GB2312" w:cs="仿宋_GB2312"/>
          <w:sz w:val="32"/>
          <w:szCs w:val="32"/>
        </w:rPr>
        <w:t>：收入决算结构图）（单位：万元）</w:t>
      </w:r>
      <w:r>
        <w:rPr>
          <w:rFonts w:asci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347345</wp:posOffset>
            </wp:positionH>
            <wp:positionV relativeFrom="paragraph">
              <wp:posOffset>899795</wp:posOffset>
            </wp:positionV>
            <wp:extent cx="4572000" cy="2743200"/>
            <wp:effectExtent l="19050" t="0" r="19050" b="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3BBA317">
      <w:pPr>
        <w:spacing w:line="600" w:lineRule="exact"/>
        <w:rPr>
          <w:rFonts w:ascii="仿宋_GB2312" w:eastAsia="仿宋_GB2312"/>
          <w:color w:val="FF0000"/>
          <w:sz w:val="32"/>
          <w:szCs w:val="32"/>
        </w:rPr>
      </w:pPr>
    </w:p>
    <w:p w14:paraId="405F5722">
      <w:pPr>
        <w:pStyle w:val="3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29"/>
          <w:rFonts w:ascii="黑体" w:hAnsi="黑体" w:eastAsia="黑体"/>
          <w:b w:val="0"/>
        </w:rPr>
      </w:pPr>
      <w:bookmarkStart w:id="36" w:name="_Toc15377207"/>
      <w:bookmarkStart w:id="37" w:name="_Toc79163862"/>
      <w:bookmarkStart w:id="38" w:name="_Toc15396605"/>
      <w:bookmarkStart w:id="39" w:name="_Toc79163612"/>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9"/>
          <w:rFonts w:hint="eastAsia" w:ascii="黑体" w:hAnsi="黑体" w:eastAsia="黑体"/>
          <w:b w:val="0"/>
        </w:rPr>
        <w:t>出决算情况说明</w:t>
      </w:r>
      <w:bookmarkEnd w:id="36"/>
      <w:bookmarkEnd w:id="37"/>
      <w:bookmarkEnd w:id="38"/>
      <w:bookmarkEnd w:id="39"/>
    </w:p>
    <w:p w14:paraId="760484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_GB2312" w:eastAsia="仿宋_GB2312" w:cs="仿宋_GB2312"/>
          <w:sz w:val="32"/>
          <w:szCs w:val="32"/>
          <w:lang w:eastAsia="zh-CN"/>
        </w:rPr>
        <w:t>2023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本年支出合计</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万元，其中：基本支出</w:t>
      </w:r>
      <w:r>
        <w:rPr>
          <w:rFonts w:hint="eastAsia" w:ascii="仿宋_GB2312" w:eastAsia="仿宋_GB2312" w:cs="仿宋_GB2312"/>
          <w:sz w:val="32"/>
          <w:szCs w:val="32"/>
          <w:lang w:val="en-US" w:eastAsia="zh-CN"/>
        </w:rPr>
        <w:t>197.94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49</w:t>
      </w:r>
      <w:r>
        <w:rPr>
          <w:rFonts w:hint="eastAsia" w:ascii="仿宋_GB2312" w:eastAsia="仿宋_GB2312" w:cs="仿宋_GB2312"/>
          <w:sz w:val="32"/>
          <w:szCs w:val="32"/>
        </w:rPr>
        <w:t>%；项目支出</w:t>
      </w:r>
      <w:r>
        <w:rPr>
          <w:rFonts w:hint="eastAsia" w:ascii="仿宋_GB2312" w:eastAsia="仿宋_GB2312" w:cs="仿宋_GB2312"/>
          <w:sz w:val="32"/>
          <w:szCs w:val="32"/>
          <w:lang w:val="en-US" w:eastAsia="zh-CN"/>
        </w:rPr>
        <w:t>206.05</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51</w:t>
      </w:r>
      <w:r>
        <w:rPr>
          <w:rFonts w:hint="eastAsia" w:ascii="仿宋_GB2312" w:eastAsia="仿宋_GB2312" w:cs="仿宋_GB2312"/>
          <w:sz w:val="32"/>
          <w:szCs w:val="32"/>
        </w:rPr>
        <w:t>%；上缴上级支出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%；经营支出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%；对附属单位补助支出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p>
    <w:p w14:paraId="1FF47C19">
      <w:pPr>
        <w:spacing w:line="576" w:lineRule="atLeast"/>
        <w:ind w:firstLine="640" w:firstLineChars="200"/>
        <w:rPr>
          <w:rFonts w:ascii="仿宋_GB2312" w:eastAsia="仿宋_GB2312" w:cs="仿宋_GB2312"/>
          <w:sz w:val="32"/>
          <w:szCs w:val="32"/>
        </w:rPr>
      </w:pPr>
    </w:p>
    <w:p w14:paraId="151C1AD2">
      <w:pPr>
        <w:spacing w:line="576" w:lineRule="atLeast"/>
        <w:ind w:firstLine="640" w:firstLineChars="200"/>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3</w:t>
      </w:r>
      <w:r>
        <w:rPr>
          <w:rFonts w:hint="eastAsia" w:ascii="仿宋_GB2312" w:eastAsia="仿宋_GB2312" w:cs="仿宋_GB2312"/>
          <w:sz w:val="32"/>
          <w:szCs w:val="32"/>
        </w:rPr>
        <w:t>：支出决算结构图）（单位：万元）</w:t>
      </w:r>
    </w:p>
    <w:p w14:paraId="51B99ECF">
      <w:pPr>
        <w:ind w:firstLine="420" w:firstLineChars="200"/>
        <w:rPr>
          <w:rFonts w:ascii="仿宋_GB2312" w:eastAsia="仿宋_GB2312"/>
          <w:color w:val="FF0000"/>
          <w:sz w:val="32"/>
          <w:szCs w:val="32"/>
        </w:rPr>
      </w:pPr>
      <w:r>
        <w:drawing>
          <wp:inline distT="0" distB="0" distL="114300" distR="114300">
            <wp:extent cx="4595495" cy="3276600"/>
            <wp:effectExtent l="4445" t="4445" r="1016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8C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9"/>
          <w:rFonts w:ascii="黑体" w:hAnsi="黑体" w:eastAsia="黑体"/>
          <w:b w:val="0"/>
        </w:rPr>
      </w:pPr>
      <w:bookmarkStart w:id="40" w:name="_Toc79163863"/>
      <w:bookmarkStart w:id="41" w:name="_Toc79163613"/>
      <w:bookmarkStart w:id="42" w:name="_Toc15377208"/>
      <w:bookmarkStart w:id="43"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40"/>
      <w:bookmarkEnd w:id="41"/>
      <w:bookmarkEnd w:id="42"/>
      <w:bookmarkEnd w:id="43"/>
    </w:p>
    <w:p w14:paraId="4B3CC25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auto"/>
          <w:sz w:val="32"/>
          <w:szCs w:val="32"/>
          <w:highlight w:val="none"/>
        </w:rPr>
      </w:pPr>
      <w:r>
        <w:rPr>
          <w:rFonts w:hint="eastAsia" w:ascii="仿宋_GB2312" w:eastAsia="仿宋_GB2312" w:cs="仿宋_GB2312"/>
          <w:sz w:val="32"/>
          <w:szCs w:val="32"/>
          <w:lang w:eastAsia="zh-CN"/>
        </w:rPr>
        <w:t>2023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财政拨款收、支总计</w:t>
      </w:r>
      <w:r>
        <w:rPr>
          <w:rFonts w:hint="eastAsia" w:ascii="仿宋_GB2312" w:eastAsia="仿宋_GB2312" w:cs="仿宋_GB2312"/>
          <w:sz w:val="32"/>
          <w:szCs w:val="32"/>
          <w:lang w:eastAsia="zh-CN"/>
        </w:rPr>
        <w:t>均为</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万元。与</w:t>
      </w:r>
      <w:r>
        <w:rPr>
          <w:rFonts w:hint="eastAsia" w:ascii="仿宋_GB2312" w:eastAsia="仿宋_GB2312" w:cs="仿宋_GB2312"/>
          <w:sz w:val="32"/>
          <w:szCs w:val="32"/>
          <w:lang w:eastAsia="zh-CN"/>
        </w:rPr>
        <w:t>2022</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相比，财政拨款收、支总计各减少</w:t>
      </w:r>
      <w:r>
        <w:rPr>
          <w:rFonts w:hint="eastAsia" w:ascii="仿宋_GB2312" w:eastAsia="仿宋_GB2312" w:cs="仿宋_GB2312"/>
          <w:sz w:val="32"/>
          <w:szCs w:val="32"/>
          <w:lang w:val="en-US" w:eastAsia="zh-CN"/>
        </w:rPr>
        <w:t>121.76</w:t>
      </w:r>
      <w:r>
        <w:rPr>
          <w:rFonts w:hint="eastAsia" w:ascii="仿宋_GB2312" w:eastAsia="仿宋_GB2312" w:cs="仿宋_GB2312"/>
          <w:sz w:val="32"/>
          <w:szCs w:val="32"/>
        </w:rPr>
        <w:t>万元，下降</w:t>
      </w:r>
      <w:r>
        <w:rPr>
          <w:rFonts w:hint="eastAsia" w:ascii="仿宋_GB2312" w:eastAsia="仿宋_GB2312" w:cs="仿宋_GB2312"/>
          <w:sz w:val="32"/>
          <w:szCs w:val="32"/>
          <w:lang w:val="en-US" w:eastAsia="zh-CN"/>
        </w:rPr>
        <w:t>23.16</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2022年茂农服建设项目资金276.7万元，2023年茂农服扩建项目资金142.58万元，因此2023年</w:t>
      </w:r>
      <w:r>
        <w:rPr>
          <w:rFonts w:hint="eastAsia" w:ascii="仿宋_GB2312" w:eastAsia="仿宋_GB2312" w:cs="仿宋_GB2312"/>
          <w:sz w:val="32"/>
          <w:szCs w:val="32"/>
        </w:rPr>
        <w:t>项目资金</w:t>
      </w:r>
      <w:r>
        <w:rPr>
          <w:rFonts w:hint="eastAsia" w:ascii="仿宋_GB2312" w:eastAsia="仿宋_GB2312" w:cs="仿宋_GB2312"/>
          <w:sz w:val="32"/>
          <w:szCs w:val="32"/>
          <w:lang w:eastAsia="zh-CN"/>
        </w:rPr>
        <w:t>减少，收支总计减少。</w:t>
      </w:r>
    </w:p>
    <w:p w14:paraId="374251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14:paraId="4E4014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4</w:t>
      </w:r>
      <w:r>
        <w:rPr>
          <w:rFonts w:hint="eastAsia" w:ascii="仿宋_GB2312" w:eastAsia="仿宋_GB2312" w:cs="仿宋_GB2312"/>
          <w:sz w:val="32"/>
          <w:szCs w:val="32"/>
        </w:rPr>
        <w:t>：财政拨款收、支决算总计变动情况）（单位：万元）</w:t>
      </w:r>
    </w:p>
    <w:p w14:paraId="39131843">
      <w:pPr>
        <w:ind w:firstLine="420" w:firstLineChars="200"/>
        <w:rPr>
          <w:rFonts w:ascii="仿宋" w:hAnsi="仿宋" w:eastAsia="仿宋"/>
          <w:b/>
          <w:color w:val="00B050"/>
          <w:sz w:val="32"/>
          <w:szCs w:val="32"/>
        </w:rPr>
      </w:pPr>
      <w:r>
        <w:drawing>
          <wp:inline distT="0" distB="0" distL="114300" distR="114300">
            <wp:extent cx="4572000" cy="2600325"/>
            <wp:effectExtent l="4445" t="4445" r="14605"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E6DC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9"/>
          <w:rFonts w:ascii="黑体" w:hAnsi="黑体" w:eastAsia="黑体"/>
          <w:b w:val="0"/>
        </w:rPr>
      </w:pPr>
      <w:bookmarkStart w:id="44" w:name="_Toc79163614"/>
      <w:bookmarkStart w:id="45" w:name="_Toc79163864"/>
      <w:bookmarkStart w:id="46" w:name="_Toc15396607"/>
      <w:bookmarkStart w:id="4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44"/>
      <w:bookmarkEnd w:id="45"/>
      <w:bookmarkEnd w:id="46"/>
      <w:bookmarkEnd w:id="47"/>
    </w:p>
    <w:p w14:paraId="42996F2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48" w:name="_Toc79163615"/>
      <w:bookmarkStart w:id="49" w:name="_Toc79163865"/>
      <w:bookmarkStart w:id="50" w:name="_Toc15377210"/>
      <w:r>
        <w:rPr>
          <w:rFonts w:hint="eastAsia" w:ascii="楷体_GB2312" w:hAnsi="楷体_GB2312" w:eastAsia="楷体_GB2312" w:cs="楷体_GB2312"/>
          <w:b/>
          <w:bCs/>
          <w:sz w:val="32"/>
          <w:szCs w:val="32"/>
        </w:rPr>
        <w:t>（一）一般公共预算财政拨款支出决算总体情况</w:t>
      </w:r>
      <w:bookmarkEnd w:id="48"/>
      <w:bookmarkEnd w:id="49"/>
      <w:bookmarkEnd w:id="50"/>
    </w:p>
    <w:p w14:paraId="58262B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auto"/>
          <w:sz w:val="32"/>
          <w:szCs w:val="32"/>
          <w:highlight w:val="none"/>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年一般公共预算财政拨款支出</w:t>
      </w:r>
      <w:r>
        <w:rPr>
          <w:rFonts w:hint="eastAsia" w:ascii="仿宋_GB2312" w:eastAsia="仿宋_GB2312" w:cs="仿宋_GB2312"/>
          <w:sz w:val="32"/>
          <w:szCs w:val="32"/>
          <w:lang w:val="en-US" w:eastAsia="zh-CN"/>
        </w:rPr>
        <w:t>403.99</w:t>
      </w:r>
      <w:r>
        <w:rPr>
          <w:rFonts w:hint="eastAsia" w:ascii="仿宋_GB2312" w:eastAsia="仿宋_GB2312" w:cs="仿宋_GB2312"/>
          <w:sz w:val="32"/>
          <w:szCs w:val="32"/>
        </w:rPr>
        <w:t>万元，占本年支出合计的100%。与202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年相比，一般公共预算财政拨款</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121.76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下降</w:t>
      </w:r>
      <w:r>
        <w:rPr>
          <w:rFonts w:hint="eastAsia" w:ascii="仿宋_GB2312" w:eastAsia="仿宋_GB2312" w:cs="仿宋_GB2312"/>
          <w:sz w:val="32"/>
          <w:szCs w:val="32"/>
          <w:lang w:val="en-US" w:eastAsia="zh-CN"/>
        </w:rPr>
        <w:t>23.16</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2022年茂农服建设项目资金276.7万元，2023年茂农服扩建项目资金142.58万元，因此2023年</w:t>
      </w:r>
      <w:r>
        <w:rPr>
          <w:rFonts w:hint="eastAsia" w:ascii="仿宋_GB2312" w:eastAsia="仿宋_GB2312" w:cs="仿宋_GB2312"/>
          <w:sz w:val="32"/>
          <w:szCs w:val="32"/>
        </w:rPr>
        <w:t>项目资金</w:t>
      </w:r>
      <w:r>
        <w:rPr>
          <w:rFonts w:hint="eastAsia" w:ascii="仿宋_GB2312" w:eastAsia="仿宋_GB2312" w:cs="仿宋_GB2312"/>
          <w:sz w:val="32"/>
          <w:szCs w:val="32"/>
          <w:lang w:eastAsia="zh-CN"/>
        </w:rPr>
        <w:t>减少，收支总计减少。</w:t>
      </w:r>
    </w:p>
    <w:p w14:paraId="16D42E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14:paraId="2FAD9A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（图5：一般公共预算财政拨款支出决算变动情况）（单位：万元）</w:t>
      </w:r>
    </w:p>
    <w:p w14:paraId="36E93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p>
    <w:p w14:paraId="17CF792E">
      <w:pPr>
        <w:ind w:firstLine="420" w:firstLineChars="200"/>
        <w:rPr>
          <w:rFonts w:ascii="仿宋" w:hAnsi="仿宋" w:eastAsia="仿宋"/>
          <w:color w:val="000000"/>
          <w:sz w:val="32"/>
          <w:szCs w:val="32"/>
        </w:rPr>
      </w:pPr>
      <w:r>
        <w:drawing>
          <wp:inline distT="0" distB="0" distL="114300" distR="114300">
            <wp:extent cx="4572000" cy="2600325"/>
            <wp:effectExtent l="4445" t="4445" r="1460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B7BDE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51" w:name="_Toc15377211"/>
      <w:bookmarkStart w:id="52" w:name="_Toc79163616"/>
      <w:bookmarkStart w:id="53" w:name="_Toc79163866"/>
      <w:r>
        <w:rPr>
          <w:rFonts w:hint="eastAsia" w:ascii="楷体_GB2312" w:hAnsi="楷体_GB2312" w:eastAsia="楷体_GB2312" w:cs="楷体_GB2312"/>
          <w:b/>
          <w:bCs/>
          <w:sz w:val="32"/>
          <w:szCs w:val="32"/>
        </w:rPr>
        <w:t>（二）一般公共预算财政拨款支出决算结构情况</w:t>
      </w:r>
      <w:bookmarkEnd w:id="51"/>
      <w:bookmarkEnd w:id="52"/>
      <w:bookmarkEnd w:id="53"/>
    </w:p>
    <w:p w14:paraId="619768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403.99</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bCs/>
          <w:sz w:val="32"/>
          <w:szCs w:val="32"/>
        </w:rPr>
        <w:t>社会保障和就业支出（208）</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万元，占4.2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卫生健康支出（210）</w:t>
      </w:r>
      <w:r>
        <w:rPr>
          <w:rFonts w:hint="eastAsia" w:ascii="仿宋_GB2312" w:hAnsi="仿宋_GB2312" w:eastAsia="仿宋_GB2312" w:cs="仿宋_GB2312"/>
          <w:sz w:val="32"/>
          <w:szCs w:val="32"/>
          <w:lang w:val="en-US" w:eastAsia="zh-CN"/>
        </w:rPr>
        <w:t>14.65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3.63</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农林水</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（213）</w:t>
      </w:r>
      <w:r>
        <w:rPr>
          <w:rFonts w:hint="eastAsia" w:ascii="仿宋_GB2312" w:hAnsi="仿宋_GB2312" w:eastAsia="仿宋_GB2312" w:cs="仿宋_GB2312"/>
          <w:sz w:val="32"/>
          <w:szCs w:val="32"/>
          <w:lang w:val="en-US" w:eastAsia="zh-CN"/>
        </w:rPr>
        <w:t>206.05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商业服务业等支出（216）</w:t>
      </w:r>
      <w:r>
        <w:rPr>
          <w:rFonts w:hint="eastAsia" w:ascii="仿宋_GB2312" w:hAnsi="仿宋_GB2312" w:eastAsia="仿宋_GB2312" w:cs="仿宋_GB2312"/>
          <w:sz w:val="32"/>
          <w:szCs w:val="32"/>
          <w:lang w:val="en-US" w:eastAsia="zh-CN"/>
        </w:rPr>
        <w:t>152.35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37.71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住房保障支出（221）</w:t>
      </w:r>
      <w:r>
        <w:rPr>
          <w:rFonts w:hint="eastAsia" w:ascii="仿宋_GB2312" w:hAnsi="仿宋_GB2312" w:eastAsia="仿宋_GB2312" w:cs="仿宋_GB2312"/>
          <w:sz w:val="32"/>
          <w:szCs w:val="32"/>
          <w:lang w:val="en-US" w:eastAsia="zh-CN"/>
        </w:rPr>
        <w:t>13.94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3.45</w:t>
      </w:r>
      <w:r>
        <w:rPr>
          <w:rFonts w:hint="eastAsia" w:ascii="仿宋_GB2312" w:eastAsia="仿宋_GB2312" w:cs="仿宋_GB2312"/>
          <w:sz w:val="32"/>
          <w:szCs w:val="32"/>
        </w:rPr>
        <w:t>%。</w:t>
      </w:r>
    </w:p>
    <w:p w14:paraId="5522F7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（图</w:t>
      </w:r>
      <w:r>
        <w:rPr>
          <w:rFonts w:ascii="仿宋_GB2312" w:eastAsia="仿宋_GB2312" w:cs="仿宋_GB2312"/>
          <w:sz w:val="32"/>
          <w:szCs w:val="32"/>
        </w:rPr>
        <w:t>6</w:t>
      </w:r>
      <w:r>
        <w:rPr>
          <w:rFonts w:hint="eastAsia" w:ascii="仿宋_GB2312" w:eastAsia="仿宋_GB2312" w:cs="仿宋_GB2312"/>
          <w:sz w:val="32"/>
          <w:szCs w:val="32"/>
        </w:rPr>
        <w:t>：一般公共预算财政拨款支出决算结构）（单位：万元）</w:t>
      </w:r>
    </w:p>
    <w:p w14:paraId="2693A2D7">
      <w:pPr>
        <w:ind w:firstLine="420" w:firstLineChars="200"/>
        <w:rPr>
          <w:rFonts w:ascii="仿宋" w:hAnsi="仿宋" w:eastAsia="仿宋"/>
          <w:color w:val="000000"/>
          <w:sz w:val="32"/>
          <w:szCs w:val="32"/>
        </w:rPr>
      </w:pPr>
      <w:r>
        <w:drawing>
          <wp:inline distT="0" distB="0" distL="114300" distR="114300">
            <wp:extent cx="4667250" cy="2314575"/>
            <wp:effectExtent l="5080" t="5080" r="13970" b="444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76773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54" w:name="_Toc79163617"/>
      <w:bookmarkStart w:id="55" w:name="_Toc15377212"/>
      <w:bookmarkStart w:id="56" w:name="_Toc79163867"/>
      <w:r>
        <w:rPr>
          <w:rFonts w:hint="eastAsia" w:ascii="楷体_GB2312" w:hAnsi="楷体_GB2312" w:eastAsia="楷体_GB2312" w:cs="楷体_GB2312"/>
          <w:b/>
          <w:bCs/>
          <w:sz w:val="32"/>
          <w:szCs w:val="32"/>
        </w:rPr>
        <w:t>（三）一般公共预算财政拨款支出决算具体情况</w:t>
      </w:r>
      <w:bookmarkEnd w:id="54"/>
      <w:bookmarkEnd w:id="55"/>
      <w:bookmarkEnd w:id="56"/>
    </w:p>
    <w:p w14:paraId="10A265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val="0"/>
          <w:bCs w:val="0"/>
          <w:sz w:val="32"/>
          <w:szCs w:val="32"/>
        </w:rPr>
      </w:pPr>
      <w:bookmarkStart w:id="57" w:name="_Toc15377444"/>
      <w:bookmarkStart w:id="58" w:name="_Toc15378460"/>
      <w:bookmarkStart w:id="59" w:name="_Toc15377213"/>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年一般公共预算支出决算数为</w:t>
      </w:r>
      <w:r>
        <w:rPr>
          <w:rFonts w:hint="eastAsia" w:ascii="仿宋_GB2312" w:hAnsi="仿宋_GB2312" w:eastAsia="仿宋_GB2312" w:cs="仿宋_GB2312"/>
          <w:b w:val="0"/>
          <w:bCs w:val="0"/>
          <w:sz w:val="32"/>
          <w:szCs w:val="32"/>
          <w:lang w:val="en-US" w:eastAsia="zh-CN"/>
        </w:rPr>
        <w:t>403.99</w:t>
      </w:r>
      <w:r>
        <w:rPr>
          <w:rFonts w:hint="eastAsia" w:ascii="仿宋_GB2312" w:hAnsi="仿宋_GB2312" w:eastAsia="仿宋_GB2312" w:cs="仿宋_GB2312"/>
          <w:b w:val="0"/>
          <w:bCs w:val="0"/>
          <w:sz w:val="32"/>
          <w:szCs w:val="32"/>
        </w:rPr>
        <w:t>万元，完成预算100%。其中：</w:t>
      </w:r>
      <w:bookmarkEnd w:id="57"/>
      <w:bookmarkEnd w:id="58"/>
      <w:bookmarkEnd w:id="59"/>
    </w:p>
    <w:p w14:paraId="4357D88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color w:val="000000"/>
          <w:sz w:val="32"/>
          <w:szCs w:val="32"/>
        </w:rPr>
      </w:pPr>
      <w:r>
        <w:rPr>
          <w:rStyle w:val="26"/>
          <w:rFonts w:hint="eastAsia" w:ascii="仿宋_GB2312" w:hAnsi="仿宋_GB2312" w:eastAsia="仿宋_GB2312" w:cs="仿宋_GB2312"/>
          <w:bCs/>
          <w:color w:val="000000"/>
          <w:sz w:val="32"/>
          <w:szCs w:val="32"/>
        </w:rPr>
        <w:t>1.社会保障和就业支出（208）行政事业单位养老支出（20805）机关事业单位基本养老保险支出（2080505）</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11.32</w:t>
      </w:r>
      <w:r>
        <w:rPr>
          <w:rStyle w:val="26"/>
          <w:rFonts w:hint="eastAsia" w:ascii="仿宋_GB2312" w:hAnsi="仿宋_GB2312" w:eastAsia="仿宋_GB2312" w:cs="仿宋_GB2312"/>
          <w:b w:val="0"/>
          <w:bCs/>
          <w:color w:val="000000"/>
          <w:sz w:val="32"/>
          <w:szCs w:val="32"/>
        </w:rPr>
        <w:t>万元，完成预算100%，决算数与预算数持平。</w:t>
      </w:r>
    </w:p>
    <w:p w14:paraId="563C562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color w:val="000000"/>
          <w:sz w:val="32"/>
          <w:szCs w:val="32"/>
        </w:rPr>
      </w:pPr>
      <w:r>
        <w:rPr>
          <w:rStyle w:val="26"/>
          <w:rFonts w:hint="eastAsia" w:ascii="仿宋_GB2312" w:hAnsi="仿宋_GB2312" w:eastAsia="仿宋_GB2312" w:cs="仿宋_GB2312"/>
          <w:bCs/>
          <w:color w:val="000000"/>
          <w:sz w:val="32"/>
          <w:szCs w:val="32"/>
        </w:rPr>
        <w:t>2.社会保障和就业支出（208）行政事业单位养老支出（20805）机关事业单位职业年金缴费支出（2080506）</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5.67</w:t>
      </w:r>
      <w:r>
        <w:rPr>
          <w:rStyle w:val="26"/>
          <w:rFonts w:hint="eastAsia" w:ascii="仿宋_GB2312" w:hAnsi="仿宋_GB2312" w:eastAsia="仿宋_GB2312" w:cs="仿宋_GB2312"/>
          <w:b w:val="0"/>
          <w:bCs/>
          <w:color w:val="000000"/>
          <w:sz w:val="32"/>
          <w:szCs w:val="32"/>
        </w:rPr>
        <w:t>万元，完成预算100%，决算数与预算数持平。</w:t>
      </w:r>
    </w:p>
    <w:p w14:paraId="4648A4D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rPr>
        <w:t>3.</w:t>
      </w:r>
      <w:r>
        <w:rPr>
          <w:rFonts w:hint="eastAsia" w:ascii="仿宋_GB2312" w:hAnsi="仿宋_GB2312" w:eastAsia="仿宋_GB2312" w:cs="仿宋_GB2312"/>
          <w:b/>
          <w:bCs/>
          <w:color w:val="000000"/>
          <w:sz w:val="32"/>
          <w:szCs w:val="32"/>
        </w:rPr>
        <w:t>卫生健康支出</w:t>
      </w:r>
      <w:r>
        <w:rPr>
          <w:rStyle w:val="26"/>
          <w:rFonts w:hint="eastAsia" w:ascii="仿宋_GB2312" w:hAnsi="仿宋_GB2312" w:eastAsia="仿宋_GB2312" w:cs="仿宋_GB2312"/>
          <w:bCs/>
          <w:color w:val="000000"/>
          <w:sz w:val="32"/>
          <w:szCs w:val="32"/>
        </w:rPr>
        <w:t>（210）行政事业单位医疗（21011）行政单位医疗2101101）</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14.65</w:t>
      </w:r>
      <w:r>
        <w:rPr>
          <w:rStyle w:val="26"/>
          <w:rFonts w:hint="eastAsia" w:ascii="仿宋_GB2312" w:hAnsi="仿宋_GB2312" w:eastAsia="仿宋_GB2312" w:cs="仿宋_GB2312"/>
          <w:b w:val="0"/>
          <w:bCs/>
          <w:color w:val="000000"/>
          <w:sz w:val="32"/>
          <w:szCs w:val="32"/>
        </w:rPr>
        <w:t>万元，完成预算100%决算数与预算数持平。</w:t>
      </w:r>
    </w:p>
    <w:p w14:paraId="2DF46D7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color w:val="000000"/>
          <w:sz w:val="32"/>
          <w:szCs w:val="32"/>
        </w:rPr>
      </w:pPr>
      <w:r>
        <w:rPr>
          <w:rStyle w:val="26"/>
          <w:rFonts w:hint="eastAsia" w:ascii="仿宋_GB2312" w:hAnsi="仿宋_GB2312" w:eastAsia="仿宋_GB2312" w:cs="仿宋_GB2312"/>
          <w:bCs/>
          <w:color w:val="000000"/>
          <w:sz w:val="32"/>
          <w:szCs w:val="32"/>
          <w:lang w:val="en-US" w:eastAsia="zh-CN"/>
        </w:rPr>
        <w:t>4</w:t>
      </w:r>
      <w:r>
        <w:rPr>
          <w:rStyle w:val="26"/>
          <w:rFonts w:hint="eastAsia" w:ascii="仿宋_GB2312" w:hAnsi="仿宋_GB2312" w:eastAsia="仿宋_GB2312" w:cs="仿宋_GB2312"/>
          <w:bCs/>
          <w:color w:val="000000"/>
          <w:sz w:val="32"/>
          <w:szCs w:val="32"/>
        </w:rPr>
        <w:t>.农林水支出（213）农业农村（21301）其他农业农村支出（2130199</w:t>
      </w:r>
      <w:r>
        <w:rPr>
          <w:rStyle w:val="26"/>
          <w:rFonts w:ascii="仿宋_GB2312" w:hAnsi="仿宋_GB2312" w:eastAsia="仿宋_GB2312" w:cs="仿宋_GB2312"/>
          <w:bCs/>
          <w:color w:val="000000"/>
          <w:sz w:val="32"/>
          <w:szCs w:val="32"/>
        </w:rPr>
        <w:t>）</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36</w:t>
      </w:r>
      <w:r>
        <w:rPr>
          <w:rStyle w:val="26"/>
          <w:rFonts w:hint="eastAsia" w:ascii="仿宋_GB2312" w:hAnsi="仿宋_GB2312" w:eastAsia="仿宋_GB2312" w:cs="仿宋_GB2312"/>
          <w:b w:val="0"/>
          <w:bCs/>
          <w:color w:val="000000"/>
          <w:sz w:val="32"/>
          <w:szCs w:val="32"/>
        </w:rPr>
        <w:t>万元，完成预算100%，决算数与预算数持平。</w:t>
      </w:r>
    </w:p>
    <w:p w14:paraId="58B8B5D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lang w:val="en-US" w:eastAsia="zh-CN"/>
        </w:rPr>
        <w:t>5</w:t>
      </w:r>
      <w:r>
        <w:rPr>
          <w:rStyle w:val="26"/>
          <w:rFonts w:hint="eastAsia" w:ascii="仿宋_GB2312" w:hAnsi="仿宋_GB2312" w:eastAsia="仿宋_GB2312" w:cs="仿宋_GB2312"/>
          <w:bCs/>
          <w:color w:val="000000"/>
          <w:sz w:val="32"/>
          <w:szCs w:val="32"/>
        </w:rPr>
        <w:t>.农林水支出（213）巩固脱贫衔接乡村振兴（21305）其他巩固脱贫攻坚衔接乡村振兴支出（2130599）:</w:t>
      </w:r>
      <w:r>
        <w:rPr>
          <w:rStyle w:val="26"/>
          <w:rFonts w:hint="eastAsia" w:ascii="仿宋_GB2312" w:hAnsi="仿宋_GB2312" w:eastAsia="仿宋_GB2312" w:cs="仿宋_GB2312"/>
          <w:b w:val="0"/>
          <w:bCs/>
          <w:color w:val="000000"/>
          <w:sz w:val="32"/>
          <w:szCs w:val="32"/>
        </w:rPr>
        <w:t xml:space="preserve"> 支出决算为</w:t>
      </w:r>
      <w:r>
        <w:rPr>
          <w:rStyle w:val="26"/>
          <w:rFonts w:hint="eastAsia" w:ascii="仿宋_GB2312" w:hAnsi="仿宋_GB2312" w:eastAsia="仿宋_GB2312" w:cs="仿宋_GB2312"/>
          <w:b w:val="0"/>
          <w:bCs/>
          <w:color w:val="000000"/>
          <w:sz w:val="32"/>
          <w:szCs w:val="32"/>
          <w:lang w:val="en-US" w:eastAsia="zh-CN"/>
        </w:rPr>
        <w:t>170.05</w:t>
      </w:r>
      <w:r>
        <w:rPr>
          <w:rStyle w:val="26"/>
          <w:rFonts w:hint="eastAsia" w:ascii="仿宋_GB2312" w:hAnsi="仿宋_GB2312" w:eastAsia="仿宋_GB2312" w:cs="仿宋_GB2312"/>
          <w:b w:val="0"/>
          <w:bCs/>
          <w:color w:val="000000"/>
          <w:sz w:val="32"/>
          <w:szCs w:val="32"/>
        </w:rPr>
        <w:t>万元，完成预算100%，决算数与预算数持平。</w:t>
      </w:r>
    </w:p>
    <w:p w14:paraId="172FDA7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lang w:val="en-US" w:eastAsia="zh-CN"/>
        </w:rPr>
        <w:t>6</w:t>
      </w:r>
      <w:r>
        <w:rPr>
          <w:rStyle w:val="26"/>
          <w:rFonts w:hint="eastAsia" w:ascii="仿宋_GB2312" w:hAnsi="仿宋_GB2312" w:eastAsia="仿宋_GB2312" w:cs="仿宋_GB2312"/>
          <w:bCs/>
          <w:color w:val="000000"/>
          <w:sz w:val="32"/>
          <w:szCs w:val="32"/>
        </w:rPr>
        <w:t>.商业服务业等支出（216）商业流通事务（21602）行政运行（2160201）</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152.35</w:t>
      </w:r>
      <w:r>
        <w:rPr>
          <w:rStyle w:val="26"/>
          <w:rFonts w:hint="eastAsia" w:ascii="仿宋_GB2312" w:hAnsi="仿宋_GB2312" w:eastAsia="仿宋_GB2312" w:cs="仿宋_GB2312"/>
          <w:b w:val="0"/>
          <w:bCs/>
          <w:color w:val="000000"/>
          <w:sz w:val="32"/>
          <w:szCs w:val="32"/>
        </w:rPr>
        <w:t>万元，完成预算100%，决算数与预算数持平。</w:t>
      </w:r>
    </w:p>
    <w:p w14:paraId="7335100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lang w:val="en-US" w:eastAsia="zh-CN"/>
        </w:rPr>
        <w:t>7</w:t>
      </w:r>
      <w:r>
        <w:rPr>
          <w:rStyle w:val="26"/>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住房保障支出</w:t>
      </w:r>
      <w:r>
        <w:rPr>
          <w:rStyle w:val="26"/>
          <w:rFonts w:hint="eastAsia" w:ascii="仿宋_GB2312" w:hAnsi="仿宋_GB2312" w:eastAsia="仿宋_GB2312" w:cs="仿宋_GB2312"/>
          <w:bCs/>
          <w:color w:val="000000"/>
          <w:sz w:val="32"/>
          <w:szCs w:val="32"/>
        </w:rPr>
        <w:t>（221）住房改革支出（22102）住房公积金（2210201）</w:t>
      </w:r>
      <w:r>
        <w:rPr>
          <w:rStyle w:val="26"/>
          <w:rFonts w:hint="eastAsia" w:ascii="仿宋_GB2312" w:hAnsi="仿宋_GB2312" w:eastAsia="仿宋_GB2312" w:cs="仿宋_GB2312"/>
          <w:b w:val="0"/>
          <w:bCs/>
          <w:color w:val="000000"/>
          <w:sz w:val="32"/>
          <w:szCs w:val="32"/>
        </w:rPr>
        <w:t>支出决算为</w:t>
      </w:r>
      <w:r>
        <w:rPr>
          <w:rStyle w:val="26"/>
          <w:rFonts w:hint="eastAsia" w:ascii="仿宋_GB2312" w:hAnsi="仿宋_GB2312" w:eastAsia="仿宋_GB2312" w:cs="仿宋_GB2312"/>
          <w:b w:val="0"/>
          <w:bCs/>
          <w:color w:val="000000"/>
          <w:sz w:val="32"/>
          <w:szCs w:val="32"/>
          <w:lang w:val="en-US" w:eastAsia="zh-CN"/>
        </w:rPr>
        <w:t>12.93</w:t>
      </w:r>
      <w:r>
        <w:rPr>
          <w:rStyle w:val="26"/>
          <w:rFonts w:hint="eastAsia" w:ascii="仿宋_GB2312" w:hAnsi="仿宋_GB2312" w:eastAsia="仿宋_GB2312" w:cs="仿宋_GB2312"/>
          <w:b w:val="0"/>
          <w:bCs/>
          <w:color w:val="000000"/>
          <w:sz w:val="32"/>
          <w:szCs w:val="32"/>
        </w:rPr>
        <w:t>万元，完成预算100%，决算数与预算数持平。</w:t>
      </w:r>
    </w:p>
    <w:p w14:paraId="7A116E8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color w:val="000000"/>
          <w:sz w:val="32"/>
          <w:szCs w:val="32"/>
        </w:rPr>
      </w:pPr>
      <w:r>
        <w:rPr>
          <w:rStyle w:val="26"/>
          <w:rFonts w:hint="eastAsia" w:ascii="仿宋_GB2312" w:hAnsi="仿宋_GB2312" w:eastAsia="仿宋_GB2312" w:cs="仿宋_GB2312"/>
          <w:bCs/>
          <w:color w:val="000000"/>
          <w:sz w:val="32"/>
          <w:szCs w:val="32"/>
          <w:lang w:val="en-US" w:eastAsia="zh-CN"/>
        </w:rPr>
        <w:t>8</w:t>
      </w:r>
      <w:r>
        <w:rPr>
          <w:rStyle w:val="26"/>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住房保障支出</w:t>
      </w:r>
      <w:r>
        <w:rPr>
          <w:rStyle w:val="26"/>
          <w:rFonts w:hint="eastAsia" w:ascii="仿宋_GB2312" w:hAnsi="仿宋_GB2312" w:eastAsia="仿宋_GB2312" w:cs="仿宋_GB2312"/>
          <w:bCs/>
          <w:color w:val="000000"/>
          <w:sz w:val="32"/>
          <w:szCs w:val="32"/>
        </w:rPr>
        <w:t>（221）住房改革支出（22102）购房补贴（2210203）</w:t>
      </w:r>
      <w:r>
        <w:rPr>
          <w:rStyle w:val="26"/>
          <w:rFonts w:hint="eastAsia" w:ascii="仿宋_GB2312" w:hAnsi="仿宋_GB2312" w:eastAsia="仿宋_GB2312" w:cs="仿宋_GB2312"/>
          <w:b w:val="0"/>
          <w:bCs/>
          <w:color w:val="000000"/>
          <w:sz w:val="32"/>
          <w:szCs w:val="32"/>
        </w:rPr>
        <w:t>支出决算为1.02万元，完成预算100%，决算数与预算数持平。</w:t>
      </w:r>
    </w:p>
    <w:p w14:paraId="11DC05A5">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29"/>
        </w:rPr>
      </w:pPr>
      <w:bookmarkStart w:id="60" w:name="_Toc15377214"/>
      <w:bookmarkStart w:id="61" w:name="_Toc79163618"/>
      <w:bookmarkStart w:id="62" w:name="_Toc79163868"/>
      <w:bookmarkStart w:id="6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60"/>
      <w:bookmarkEnd w:id="61"/>
      <w:bookmarkEnd w:id="62"/>
      <w:bookmarkEnd w:id="63"/>
      <w:r>
        <w:rPr>
          <w:rStyle w:val="29"/>
          <w:rFonts w:ascii="黑体" w:hAnsi="黑体" w:eastAsia="黑体"/>
          <w:b w:val="0"/>
        </w:rPr>
        <w:tab/>
      </w:r>
    </w:p>
    <w:p w14:paraId="5663DB93">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197.94</w:t>
      </w:r>
      <w:r>
        <w:rPr>
          <w:rFonts w:hint="eastAsia" w:ascii="仿宋_GB2312" w:hAnsi="仿宋_GB2312" w:eastAsia="仿宋_GB2312" w:cs="仿宋_GB2312"/>
          <w:color w:val="000000"/>
          <w:sz w:val="32"/>
          <w:szCs w:val="32"/>
        </w:rPr>
        <w:t>万元，其中：</w:t>
      </w:r>
    </w:p>
    <w:p w14:paraId="617582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191.54</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39.3</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37.43</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eastAsia="zh-CN"/>
        </w:rPr>
        <w:t>45.84</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11.33</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5.67</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14.65</w:t>
      </w:r>
      <w:r>
        <w:rPr>
          <w:rFonts w:hint="eastAsia" w:ascii="仿宋_GB2312" w:hAnsi="仿宋_GB2312" w:eastAsia="仿宋_GB2312" w:cs="仿宋_GB2312"/>
          <w:sz w:val="32"/>
          <w:szCs w:val="32"/>
        </w:rPr>
        <w:t>万元、其他社会保障缴费</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12.93</w:t>
      </w:r>
      <w:r>
        <w:rPr>
          <w:rFonts w:hint="eastAsia" w:ascii="仿宋_GB2312" w:hAnsi="仿宋_GB2312" w:eastAsia="仿宋_GB2312" w:cs="仿宋_GB2312"/>
          <w:sz w:val="32"/>
          <w:szCs w:val="32"/>
        </w:rPr>
        <w:t>万元、医疗费</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万元、抚恤金</w:t>
      </w:r>
      <w:r>
        <w:rPr>
          <w:rFonts w:hint="eastAsia" w:ascii="仿宋_GB2312" w:hAnsi="仿宋_GB2312" w:eastAsia="仿宋_GB2312" w:cs="仿宋_GB2312"/>
          <w:sz w:val="32"/>
          <w:szCs w:val="32"/>
          <w:lang w:val="en-US" w:eastAsia="zh-CN"/>
        </w:rPr>
        <w:t>6.25</w:t>
      </w:r>
      <w:r>
        <w:rPr>
          <w:rFonts w:hint="eastAsia" w:ascii="仿宋_GB2312" w:hAnsi="仿宋_GB2312" w:eastAsia="仿宋_GB2312" w:cs="仿宋_GB2312"/>
          <w:sz w:val="32"/>
          <w:szCs w:val="32"/>
        </w:rPr>
        <w:t>万元、生活补助</w:t>
      </w:r>
      <w:r>
        <w:rPr>
          <w:rFonts w:hint="eastAsia" w:ascii="仿宋_GB2312" w:hAnsi="仿宋_GB2312" w:eastAsia="仿宋_GB2312" w:cs="仿宋_GB2312"/>
          <w:sz w:val="32"/>
          <w:szCs w:val="32"/>
          <w:lang w:val="en-US" w:eastAsia="zh-CN"/>
        </w:rPr>
        <w:t>14.04</w:t>
      </w:r>
      <w:r>
        <w:rPr>
          <w:rFonts w:hint="eastAsia" w:ascii="仿宋_GB2312" w:hAnsi="仿宋_GB2312" w:eastAsia="仿宋_GB2312" w:cs="仿宋_GB2312"/>
          <w:sz w:val="32"/>
          <w:szCs w:val="32"/>
        </w:rPr>
        <w:t>万元、医疗费补助</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万元、奖励金0.01万元。</w:t>
      </w:r>
    </w:p>
    <w:p w14:paraId="292DF7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4.5万元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万元、公务接待费0.1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w:t>
      </w:r>
    </w:p>
    <w:p w14:paraId="16D5E01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29"/>
          <w:rFonts w:ascii="黑体" w:hAnsi="黑体" w:eastAsia="黑体"/>
          <w:b w:val="0"/>
        </w:rPr>
      </w:pPr>
      <w:bookmarkStart w:id="64" w:name="_Toc15377215"/>
      <w:bookmarkStart w:id="65" w:name="_Toc79163619"/>
      <w:bookmarkStart w:id="66" w:name="_Toc79163869"/>
      <w:bookmarkStart w:id="67" w:name="_Toc15396609"/>
      <w:r>
        <w:rPr>
          <w:rStyle w:val="29"/>
          <w:rFonts w:hint="eastAsia" w:ascii="黑体" w:hAnsi="黑体" w:eastAsia="黑体"/>
          <w:b w:val="0"/>
          <w:bCs w:val="0"/>
          <w:lang w:eastAsia="zh-CN"/>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4"/>
      <w:bookmarkEnd w:id="65"/>
      <w:bookmarkEnd w:id="66"/>
      <w:bookmarkEnd w:id="67"/>
    </w:p>
    <w:p w14:paraId="0A2901B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68" w:name="_Toc15377216"/>
      <w:bookmarkStart w:id="69" w:name="_Toc79163620"/>
      <w:bookmarkStart w:id="70" w:name="_Toc79163870"/>
      <w:r>
        <w:rPr>
          <w:rFonts w:hint="eastAsia" w:ascii="楷体_GB2312" w:hAnsi="楷体_GB2312" w:eastAsia="楷体_GB2312" w:cs="楷体_GB2312"/>
          <w:b/>
          <w:bCs/>
          <w:sz w:val="32"/>
          <w:szCs w:val="32"/>
        </w:rPr>
        <w:t>（一）“三公”经费财政拨款支出决算总体情况说明</w:t>
      </w:r>
      <w:bookmarkEnd w:id="68"/>
      <w:bookmarkEnd w:id="69"/>
      <w:bookmarkEnd w:id="70"/>
    </w:p>
    <w:p w14:paraId="2C3D7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“三公”经费财政拨款支出决算为</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较上年度</w:t>
      </w:r>
      <w:r>
        <w:rPr>
          <w:rFonts w:hint="eastAsia" w:ascii="仿宋_GB2312" w:hAnsi="仿宋_GB2312" w:eastAsia="仿宋_GB2312" w:cs="仿宋_GB2312"/>
          <w:sz w:val="32"/>
          <w:szCs w:val="32"/>
          <w:lang w:val="en-US" w:eastAsia="zh-CN"/>
        </w:rPr>
        <w:t>减少0.01万元，下降7.14%。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预算数持平。</w:t>
      </w:r>
    </w:p>
    <w:p w14:paraId="3A59EC8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71" w:name="_Toc79163621"/>
      <w:bookmarkStart w:id="72" w:name="_Toc15377217"/>
      <w:bookmarkStart w:id="73" w:name="_Toc79163871"/>
      <w:r>
        <w:rPr>
          <w:rFonts w:hint="eastAsia" w:ascii="楷体_GB2312" w:hAnsi="楷体_GB2312" w:eastAsia="楷体_GB2312" w:cs="楷体_GB2312"/>
          <w:b/>
          <w:bCs/>
          <w:sz w:val="32"/>
          <w:szCs w:val="32"/>
        </w:rPr>
        <w:t>（二）“三公”经费财政拨款支出决算具体情况说明</w:t>
      </w:r>
      <w:bookmarkEnd w:id="71"/>
      <w:bookmarkEnd w:id="72"/>
      <w:bookmarkEnd w:id="73"/>
    </w:p>
    <w:p w14:paraId="61868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0974D9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（图7：“三公”经费财政拨款支出结构）（单位：万元）</w:t>
      </w:r>
    </w:p>
    <w:p w14:paraId="533E1A1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595495" cy="2838450"/>
            <wp:effectExtent l="19050" t="0" r="14287" b="0"/>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250F1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1.因公出国（境）经费支出</w:t>
      </w:r>
      <w:r>
        <w:rPr>
          <w:rFonts w:hint="eastAsia" w:ascii="仿宋_GB2312" w:hAnsi="仿宋_GB2312" w:eastAsia="仿宋_GB2312" w:cs="仿宋_GB2312"/>
          <w:color w:val="000000"/>
          <w:sz w:val="32"/>
          <w:szCs w:val="32"/>
          <w:highlight w:val="none"/>
        </w:rPr>
        <w:t>0万元，全年安排因公出国（境）团组0次，出国（境）0人</w:t>
      </w:r>
      <w:r>
        <w:rPr>
          <w:rFonts w:hint="eastAsia" w:ascii="仿宋_GB2312" w:hAnsi="仿宋_GB2312" w:eastAsia="仿宋_GB2312" w:cs="仿宋_GB2312"/>
          <w:color w:val="000000"/>
          <w:sz w:val="32"/>
          <w:szCs w:val="32"/>
          <w:highlight w:val="none"/>
          <w:lang w:eastAsia="zh-CN"/>
        </w:rPr>
        <w:t>，无变化。</w:t>
      </w:r>
    </w:p>
    <w:p w14:paraId="779FE155">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b/>
          <w:bCs/>
          <w:color w:val="000000"/>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，无变化。</w:t>
      </w:r>
    </w:p>
    <w:p w14:paraId="75659027">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公务用车购置</w:t>
      </w:r>
      <w:r>
        <w:rPr>
          <w:rFonts w:hint="eastAsia" w:ascii="仿宋_GB2312" w:hAnsi="仿宋_GB2312" w:eastAsia="仿宋_GB2312" w:cs="仿宋_GB2312"/>
          <w:b/>
          <w:bCs/>
          <w:color w:val="000000"/>
          <w:sz w:val="32"/>
          <w:szCs w:val="32"/>
          <w:highlight w:val="none"/>
          <w:lang w:eastAsia="zh-CN"/>
        </w:rPr>
        <w:t>费支出</w:t>
      </w:r>
      <w:r>
        <w:rPr>
          <w:rFonts w:hint="eastAsia" w:ascii="仿宋_GB2312" w:hAnsi="仿宋_GB2312" w:eastAsia="仿宋_GB2312" w:cs="仿宋_GB2312"/>
          <w:color w:val="000000"/>
          <w:sz w:val="32"/>
          <w:szCs w:val="32"/>
          <w:highlight w:val="none"/>
          <w:lang w:val="en-US" w:eastAsia="zh-CN"/>
        </w:rPr>
        <w:t>0万元，无变化；</w:t>
      </w:r>
      <w:r>
        <w:rPr>
          <w:rFonts w:hint="eastAsia" w:ascii="仿宋_GB2312" w:hAnsi="仿宋_GB2312" w:eastAsia="仿宋_GB2312" w:cs="仿宋_GB2312"/>
          <w:b/>
          <w:bCs/>
          <w:color w:val="000000"/>
          <w:sz w:val="32"/>
          <w:szCs w:val="32"/>
          <w:highlight w:val="none"/>
          <w:lang w:val="en-US" w:eastAsia="zh-CN"/>
        </w:rPr>
        <w:t>公务用车</w:t>
      </w:r>
      <w:r>
        <w:rPr>
          <w:rFonts w:hint="eastAsia" w:ascii="仿宋_GB2312" w:hAnsi="仿宋_GB2312" w:eastAsia="仿宋_GB2312" w:cs="仿宋_GB2312"/>
          <w:b/>
          <w:bCs/>
          <w:color w:val="000000"/>
          <w:sz w:val="32"/>
          <w:szCs w:val="32"/>
          <w:highlight w:val="none"/>
        </w:rPr>
        <w:t>运行费</w:t>
      </w:r>
      <w:r>
        <w:rPr>
          <w:rFonts w:hint="eastAsia" w:ascii="仿宋_GB2312" w:hAnsi="仿宋_GB2312" w:eastAsia="仿宋_GB2312" w:cs="仿宋_GB2312"/>
          <w:color w:val="000000"/>
          <w:sz w:val="32"/>
          <w:szCs w:val="32"/>
          <w:highlight w:val="none"/>
        </w:rPr>
        <w:t>支出0万元</w:t>
      </w:r>
      <w:r>
        <w:rPr>
          <w:rFonts w:hint="eastAsia" w:ascii="仿宋_GB2312" w:hAnsi="仿宋_GB2312" w:eastAsia="仿宋_GB2312" w:cs="仿宋_GB2312"/>
          <w:color w:val="000000"/>
          <w:sz w:val="32"/>
          <w:szCs w:val="32"/>
          <w:highlight w:val="none"/>
          <w:lang w:eastAsia="zh-CN"/>
        </w:rPr>
        <w:t>，无变化。</w:t>
      </w:r>
    </w:p>
    <w:p w14:paraId="349D26FF">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rPr>
        <w:t>3.公务接待费支出</w:t>
      </w:r>
      <w:r>
        <w:rPr>
          <w:rFonts w:hint="eastAsia" w:ascii="仿宋_GB2312" w:hAnsi="仿宋_GB2312" w:eastAsia="仿宋_GB2312" w:cs="仿宋_GB2312"/>
          <w:color w:val="000000"/>
          <w:sz w:val="32"/>
          <w:szCs w:val="32"/>
          <w:highlight w:val="none"/>
        </w:rPr>
        <w:t>0.1</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万元，完成预算100%。公务接待费支出决算比202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减少</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lang w:val="en-US" w:eastAsia="zh-CN"/>
        </w:rPr>
        <w:t>01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lang w:val="en-US" w:eastAsia="zh-CN"/>
        </w:rPr>
        <w:t>7.14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相比</w:t>
      </w:r>
      <w:r>
        <w:rPr>
          <w:rFonts w:hint="eastAsia" w:ascii="仿宋_GB2312" w:hAnsi="仿宋_GB2312" w:eastAsia="仿宋_GB2312" w:cs="仿宋_GB2312"/>
          <w:color w:val="000000"/>
          <w:sz w:val="32"/>
          <w:szCs w:val="32"/>
          <w:highlight w:val="none"/>
          <w:lang w:val="en-US" w:eastAsia="zh-CN"/>
        </w:rPr>
        <w:t>2022年</w:t>
      </w:r>
      <w:r>
        <w:rPr>
          <w:rFonts w:hint="eastAsia" w:ascii="仿宋_GB2312" w:hAnsi="仿宋_GB2312" w:eastAsia="仿宋_GB2312" w:cs="仿宋_GB2312"/>
          <w:color w:val="000000"/>
          <w:sz w:val="32"/>
          <w:szCs w:val="32"/>
          <w:highlight w:val="none"/>
          <w:lang w:eastAsia="zh-CN"/>
        </w:rPr>
        <w:t>接待</w:t>
      </w:r>
      <w:r>
        <w:rPr>
          <w:rFonts w:hint="eastAsia" w:ascii="仿宋_GB2312" w:hAnsi="仿宋_GB2312" w:eastAsia="仿宋_GB2312" w:cs="仿宋_GB2312"/>
          <w:color w:val="000000"/>
          <w:sz w:val="32"/>
          <w:szCs w:val="32"/>
          <w:highlight w:val="none"/>
          <w:lang w:val="en-US" w:eastAsia="zh-CN"/>
        </w:rPr>
        <w:t>10人次,2023年接待7人次，接待人数减少，支出减少。</w:t>
      </w:r>
    </w:p>
    <w:p w14:paraId="2D79165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国内公务接待支出</w:t>
      </w:r>
      <w:r>
        <w:rPr>
          <w:rFonts w:hint="eastAsia" w:ascii="仿宋_GB2312" w:hAnsi="仿宋_GB2312" w:eastAsia="仿宋_GB2312" w:cs="仿宋_GB2312"/>
          <w:color w:val="000000"/>
          <w:sz w:val="32"/>
          <w:szCs w:val="32"/>
          <w:highlight w:val="none"/>
        </w:rPr>
        <w:t>0.1</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万元，主要用于业务接待的用餐费。国内公务接待1批次，</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人次（不包括陪同人员），共计支出0.1</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具体内容包括：接待202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年10月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省、州供销社来我社对政策制度建设、供销为农服务综合平台试点县建设推进、推进三社融合、加强基层社建设、县域流通服务网络建设、农资农产品销售体系建设、数字供销建设、安全生产等情况开展调研工作。</w:t>
      </w:r>
    </w:p>
    <w:p w14:paraId="2E09732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color w:val="FF0000"/>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，无变化。</w:t>
      </w:r>
    </w:p>
    <w:p w14:paraId="6C0E2F9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29"/>
          <w:rFonts w:ascii="黑体" w:hAnsi="黑体" w:eastAsia="黑体"/>
          <w:highlight w:val="none"/>
        </w:rPr>
      </w:pPr>
      <w:bookmarkStart w:id="74" w:name="_Toc15377218"/>
      <w:bookmarkStart w:id="75" w:name="_Toc15396610"/>
      <w:bookmarkStart w:id="76" w:name="_Toc79163622"/>
      <w:bookmarkStart w:id="77" w:name="_Toc79163872"/>
      <w:r>
        <w:rPr>
          <w:rFonts w:hint="eastAsia" w:ascii="黑体" w:eastAsia="黑体"/>
          <w:color w:val="000000"/>
          <w:sz w:val="32"/>
          <w:szCs w:val="32"/>
          <w:highlight w:val="none"/>
        </w:rPr>
        <w:t>八、</w:t>
      </w:r>
      <w:r>
        <w:rPr>
          <w:rStyle w:val="29"/>
          <w:rFonts w:hint="eastAsia" w:ascii="黑体" w:hAnsi="黑体" w:eastAsia="黑体"/>
          <w:b w:val="0"/>
          <w:highlight w:val="none"/>
        </w:rPr>
        <w:t>政府性基金预算支出决算情况说明</w:t>
      </w:r>
      <w:bookmarkEnd w:id="74"/>
      <w:bookmarkEnd w:id="75"/>
      <w:bookmarkEnd w:id="76"/>
      <w:bookmarkEnd w:id="77"/>
    </w:p>
    <w:p w14:paraId="784720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因我社不涉及</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预算支出，所以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年政府性基金预算拨款支出0万元。</w:t>
      </w:r>
    </w:p>
    <w:p w14:paraId="194AC0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9"/>
          <w:rFonts w:ascii="黑体" w:hAnsi="黑体" w:eastAsia="黑体"/>
          <w:b w:val="0"/>
          <w:highlight w:val="none"/>
        </w:rPr>
      </w:pPr>
      <w:bookmarkStart w:id="78" w:name="_Toc15377219"/>
      <w:bookmarkStart w:id="79" w:name="_Toc79163873"/>
      <w:bookmarkStart w:id="80" w:name="_Toc79163623"/>
      <w:bookmarkStart w:id="81" w:name="_Toc15396611"/>
      <w:r>
        <w:rPr>
          <w:rStyle w:val="29"/>
          <w:rFonts w:hint="eastAsia" w:ascii="黑体" w:hAnsi="黑体" w:eastAsia="黑体"/>
          <w:b w:val="0"/>
          <w:highlight w:val="none"/>
          <w:lang w:eastAsia="zh-CN"/>
        </w:rPr>
        <w:t>九、</w:t>
      </w:r>
      <w:r>
        <w:rPr>
          <w:rStyle w:val="29"/>
          <w:rFonts w:hint="eastAsia" w:ascii="黑体" w:hAnsi="黑体" w:eastAsia="黑体"/>
          <w:b w:val="0"/>
          <w:highlight w:val="none"/>
        </w:rPr>
        <w:t>国有资本经营预算支出决算情况说明</w:t>
      </w:r>
      <w:bookmarkEnd w:id="78"/>
      <w:bookmarkEnd w:id="79"/>
      <w:bookmarkEnd w:id="80"/>
      <w:bookmarkEnd w:id="81"/>
    </w:p>
    <w:p w14:paraId="763818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因我社不涉及国有资本经营预算支出，所以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年国有资本经营预算拨款支出0万元。</w:t>
      </w:r>
    </w:p>
    <w:p w14:paraId="3A3A83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9"/>
          <w:rFonts w:ascii="黑体" w:hAnsi="黑体" w:eastAsia="黑体"/>
        </w:rPr>
      </w:pPr>
      <w:bookmarkStart w:id="82" w:name="_Toc15377221"/>
      <w:bookmarkStart w:id="83" w:name="_Toc15396612"/>
      <w:bookmarkStart w:id="84" w:name="_Toc79163874"/>
      <w:bookmarkStart w:id="85" w:name="_Toc79163624"/>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82"/>
      <w:bookmarkEnd w:id="83"/>
      <w:bookmarkEnd w:id="84"/>
      <w:bookmarkEnd w:id="85"/>
    </w:p>
    <w:p w14:paraId="39CA63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86" w:name="_Toc79163625"/>
      <w:bookmarkStart w:id="87" w:name="_Toc79163875"/>
      <w:bookmarkStart w:id="88" w:name="_Toc15377222"/>
      <w:r>
        <w:rPr>
          <w:rFonts w:hint="eastAsia" w:ascii="楷体_GB2312" w:hAnsi="楷体_GB2312" w:eastAsia="楷体_GB2312" w:cs="楷体_GB2312"/>
          <w:b/>
          <w:bCs/>
          <w:sz w:val="32"/>
          <w:szCs w:val="32"/>
        </w:rPr>
        <w:t>（一）机关运行经费支出情况</w:t>
      </w:r>
      <w:bookmarkEnd w:id="86"/>
      <w:bookmarkEnd w:id="87"/>
      <w:bookmarkEnd w:id="88"/>
    </w:p>
    <w:p w14:paraId="3991B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年，茂县供销社机关运行经费支出</w:t>
      </w:r>
      <w:r>
        <w:rPr>
          <w:rFonts w:hint="eastAsia" w:ascii="仿宋_GB2312" w:hAnsi="仿宋_GB2312" w:eastAsia="仿宋_GB2312" w:cs="仿宋_GB2312"/>
          <w:sz w:val="32"/>
          <w:szCs w:val="32"/>
          <w:highlight w:val="none"/>
          <w:lang w:val="en-US" w:eastAsia="zh-CN"/>
        </w:rPr>
        <w:t>6.4</w:t>
      </w:r>
      <w:r>
        <w:rPr>
          <w:rFonts w:hint="eastAsia" w:ascii="仿宋_GB2312" w:hAnsi="仿宋_GB2312" w:eastAsia="仿宋_GB2312" w:cs="仿宋_GB2312"/>
          <w:sz w:val="32"/>
          <w:szCs w:val="32"/>
          <w:highlight w:val="none"/>
          <w:lang w:eastAsia="zh-CN"/>
        </w:rPr>
        <w:t>万元，比202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年增加</w:t>
      </w:r>
      <w:r>
        <w:rPr>
          <w:rFonts w:hint="eastAsia" w:ascii="仿宋_GB2312" w:hAnsi="仿宋_GB2312" w:eastAsia="仿宋_GB2312" w:cs="仿宋_GB2312"/>
          <w:sz w:val="32"/>
          <w:szCs w:val="32"/>
          <w:highlight w:val="none"/>
          <w:lang w:val="en-US" w:eastAsia="zh-CN"/>
        </w:rPr>
        <w:t>0.79</w:t>
      </w:r>
      <w:r>
        <w:rPr>
          <w:rFonts w:hint="eastAsia" w:ascii="仿宋_GB2312" w:hAnsi="仿宋_GB2312" w:eastAsia="仿宋_GB2312" w:cs="仿宋_GB2312"/>
          <w:sz w:val="32"/>
          <w:szCs w:val="32"/>
          <w:highlight w:val="none"/>
          <w:lang w:eastAsia="zh-CN"/>
        </w:rPr>
        <w:t>万元，增加</w:t>
      </w:r>
      <w:r>
        <w:rPr>
          <w:rFonts w:hint="eastAsia" w:ascii="仿宋_GB2312" w:hAnsi="仿宋_GB2312" w:eastAsia="仿宋_GB2312" w:cs="仿宋_GB2312"/>
          <w:sz w:val="32"/>
          <w:szCs w:val="32"/>
          <w:highlight w:val="none"/>
          <w:lang w:val="en-US" w:eastAsia="zh-CN"/>
        </w:rPr>
        <w:t>14.08</w:t>
      </w:r>
      <w:r>
        <w:rPr>
          <w:rFonts w:hint="eastAsia" w:ascii="仿宋_GB2312" w:hAnsi="仿宋_GB2312" w:eastAsia="仿宋_GB2312" w:cs="仿宋_GB2312"/>
          <w:sz w:val="32"/>
          <w:szCs w:val="32"/>
          <w:highlight w:val="none"/>
          <w:lang w:eastAsia="zh-CN"/>
        </w:rPr>
        <w:t>%。主要原因是我社新增驻村人员一名，相应机关运行经费增加。</w:t>
      </w:r>
    </w:p>
    <w:p w14:paraId="7F223B7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highlight w:val="none"/>
        </w:rPr>
      </w:pPr>
      <w:bookmarkStart w:id="89" w:name="_Toc15377223"/>
      <w:bookmarkStart w:id="90" w:name="_Toc79163626"/>
      <w:bookmarkStart w:id="91" w:name="_Toc79163876"/>
      <w:r>
        <w:rPr>
          <w:rFonts w:hint="eastAsia" w:ascii="楷体_GB2312" w:hAnsi="楷体_GB2312" w:eastAsia="楷体_GB2312" w:cs="楷体_GB2312"/>
          <w:b/>
          <w:bCs/>
          <w:sz w:val="32"/>
          <w:szCs w:val="32"/>
          <w:highlight w:val="none"/>
        </w:rPr>
        <w:t>（二）政府采购支出情况</w:t>
      </w:r>
      <w:bookmarkEnd w:id="89"/>
      <w:bookmarkEnd w:id="90"/>
      <w:bookmarkEnd w:id="91"/>
    </w:p>
    <w:p w14:paraId="1B2118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年，政府采购支出总额</w:t>
      </w:r>
      <w:r>
        <w:rPr>
          <w:rFonts w:hint="eastAsia" w:ascii="仿宋_GB2312" w:hAnsi="仿宋_GB2312" w:eastAsia="仿宋_GB2312" w:cs="仿宋_GB2312"/>
          <w:sz w:val="32"/>
          <w:szCs w:val="32"/>
          <w:highlight w:val="none"/>
          <w:lang w:val="en-US" w:eastAsia="zh-CN"/>
        </w:rPr>
        <w:t>139.77</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139.77</w:t>
      </w:r>
      <w:r>
        <w:rPr>
          <w:rFonts w:hint="eastAsia" w:ascii="仿宋_GB2312" w:hAnsi="仿宋_GB2312" w:eastAsia="仿宋_GB2312" w:cs="仿宋_GB2312"/>
          <w:sz w:val="32"/>
          <w:szCs w:val="32"/>
          <w:highlight w:val="none"/>
        </w:rPr>
        <w:t>万元、政府采购工程支出0万元、政府采购服务支出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139.77</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139.77</w:t>
      </w:r>
      <w:r>
        <w:rPr>
          <w:rFonts w:hint="eastAsia" w:ascii="仿宋_GB2312" w:hAnsi="仿宋_GB2312" w:eastAsia="仿宋_GB2312" w:cs="仿宋_GB2312"/>
          <w:sz w:val="32"/>
          <w:szCs w:val="32"/>
          <w:highlight w:val="none"/>
        </w:rPr>
        <w:t>万元，占合同的</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p>
    <w:p w14:paraId="66EB6B8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bookmarkStart w:id="92" w:name="_Toc15377224"/>
      <w:bookmarkStart w:id="93" w:name="_Toc79163877"/>
      <w:bookmarkStart w:id="94" w:name="_Toc79163627"/>
      <w:r>
        <w:rPr>
          <w:rFonts w:hint="eastAsia" w:ascii="楷体_GB2312" w:hAnsi="楷体_GB2312" w:eastAsia="楷体_GB2312" w:cs="楷体_GB2312"/>
          <w:b/>
          <w:bCs/>
          <w:sz w:val="32"/>
          <w:szCs w:val="32"/>
        </w:rPr>
        <w:t>（三）国有资产占有使用情况</w:t>
      </w:r>
      <w:bookmarkEnd w:id="92"/>
      <w:bookmarkEnd w:id="93"/>
      <w:bookmarkEnd w:id="94"/>
    </w:p>
    <w:p w14:paraId="61AD08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年12月31日，茂县供销合作社联合社共有车辆0辆。</w:t>
      </w:r>
    </w:p>
    <w:p w14:paraId="7F4BED6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highlight w:val="none"/>
        </w:rPr>
      </w:pPr>
      <w:bookmarkStart w:id="95" w:name="_Toc79163878"/>
      <w:bookmarkStart w:id="96" w:name="_Toc79163628"/>
      <w:r>
        <w:rPr>
          <w:rFonts w:hint="eastAsia" w:ascii="楷体_GB2312" w:hAnsi="楷体_GB2312" w:eastAsia="楷体_GB2312" w:cs="楷体_GB2312"/>
          <w:b/>
          <w:bCs/>
          <w:sz w:val="32"/>
          <w:szCs w:val="32"/>
          <w:highlight w:val="none"/>
        </w:rPr>
        <w:t>（四）预算绩效管理情况</w:t>
      </w:r>
      <w:bookmarkEnd w:id="95"/>
      <w:bookmarkEnd w:id="96"/>
    </w:p>
    <w:p w14:paraId="5C25BA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根据预算绩效管理要求，本部门（单位）在年初预算编制阶段，组织对202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年茂县供销合作社“茂农服”数字平台项目、202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年茂县数字农业服务平台扩建</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茂县供销合作社联合社交流交往交融项目、2023年农资储备和价格补贴专项经费项目开展了预算事前绩效评估，对4个项目编制了绩效目标，预算执行过程中，选取该项目开展绩效监控，年终执行完毕后，对该项目开展了绩效目标完成情况自评，</w:t>
      </w:r>
      <w:r>
        <w:rPr>
          <w:rFonts w:ascii="仿宋_GB2312" w:hAnsi="仿宋_GB2312" w:eastAsia="仿宋_GB2312" w:cs="仿宋_GB2312"/>
          <w:sz w:val="32"/>
          <w:szCs w:val="32"/>
          <w:highlight w:val="none"/>
        </w:rPr>
        <w:t>绩效自评表详见第四部分附件</w:t>
      </w:r>
      <w:r>
        <w:rPr>
          <w:rFonts w:hint="eastAsia" w:ascii="仿宋_GB2312" w:hAnsi="仿宋_GB2312" w:eastAsia="仿宋_GB2312" w:cs="仿宋_GB2312"/>
          <w:sz w:val="32"/>
          <w:szCs w:val="32"/>
          <w:highlight w:val="none"/>
        </w:rPr>
        <w:t>。</w:t>
      </w:r>
    </w:p>
    <w:p w14:paraId="080A4B90">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p w14:paraId="2F8248B4">
      <w:pPr>
        <w:pStyle w:val="2"/>
        <w:rPr>
          <w:rFonts w:ascii="仿宋_GB2312" w:hAnsi="仿宋_GB2312" w:eastAsia="仿宋_GB2312" w:cs="仿宋_GB2312"/>
          <w:sz w:val="32"/>
          <w:szCs w:val="32"/>
        </w:rPr>
      </w:pPr>
    </w:p>
    <w:p w14:paraId="3B1A6029">
      <w:pPr>
        <w:rPr>
          <w:rFonts w:ascii="仿宋_GB2312" w:hAnsi="仿宋_GB2312" w:eastAsia="仿宋_GB2312" w:cs="仿宋_GB2312"/>
          <w:sz w:val="32"/>
          <w:szCs w:val="32"/>
        </w:rPr>
      </w:pPr>
    </w:p>
    <w:p w14:paraId="3246F30F">
      <w:pPr>
        <w:pStyle w:val="2"/>
        <w:rPr>
          <w:rFonts w:ascii="仿宋_GB2312" w:hAnsi="仿宋_GB2312" w:eastAsia="仿宋_GB2312" w:cs="仿宋_GB2312"/>
          <w:sz w:val="32"/>
          <w:szCs w:val="32"/>
        </w:rPr>
      </w:pPr>
    </w:p>
    <w:p w14:paraId="61DEC723">
      <w:pPr>
        <w:rPr>
          <w:rFonts w:ascii="仿宋_GB2312" w:hAnsi="仿宋_GB2312" w:eastAsia="仿宋_GB2312" w:cs="仿宋_GB2312"/>
          <w:sz w:val="32"/>
          <w:szCs w:val="32"/>
        </w:rPr>
      </w:pPr>
    </w:p>
    <w:p w14:paraId="5F5C45B4">
      <w:pPr>
        <w:pStyle w:val="2"/>
        <w:rPr>
          <w:rFonts w:ascii="仿宋_GB2312" w:hAnsi="仿宋_GB2312" w:eastAsia="仿宋_GB2312" w:cs="仿宋_GB2312"/>
          <w:sz w:val="32"/>
          <w:szCs w:val="32"/>
        </w:rPr>
      </w:pPr>
    </w:p>
    <w:p w14:paraId="0E9BADC4">
      <w:pPr>
        <w:rPr>
          <w:rFonts w:ascii="仿宋_GB2312" w:hAnsi="仿宋_GB2312" w:eastAsia="仿宋_GB2312" w:cs="仿宋_GB2312"/>
          <w:sz w:val="32"/>
          <w:szCs w:val="32"/>
        </w:rPr>
      </w:pPr>
    </w:p>
    <w:p w14:paraId="7B5C4D6C">
      <w:pPr>
        <w:pStyle w:val="2"/>
        <w:rPr>
          <w:rFonts w:ascii="仿宋_GB2312" w:hAnsi="仿宋_GB2312" w:eastAsia="仿宋_GB2312" w:cs="仿宋_GB2312"/>
          <w:sz w:val="32"/>
          <w:szCs w:val="32"/>
        </w:rPr>
      </w:pPr>
    </w:p>
    <w:p w14:paraId="6BF6DBA7">
      <w:pPr>
        <w:rPr>
          <w:rFonts w:ascii="仿宋_GB2312" w:hAnsi="仿宋_GB2312" w:eastAsia="仿宋_GB2312" w:cs="仿宋_GB2312"/>
          <w:sz w:val="32"/>
          <w:szCs w:val="32"/>
        </w:rPr>
      </w:pPr>
    </w:p>
    <w:p w14:paraId="7DF86C0A">
      <w:pPr>
        <w:pStyle w:val="2"/>
        <w:rPr>
          <w:rFonts w:ascii="仿宋_GB2312" w:hAnsi="仿宋_GB2312" w:eastAsia="仿宋_GB2312" w:cs="仿宋_GB2312"/>
          <w:sz w:val="32"/>
          <w:szCs w:val="32"/>
        </w:rPr>
      </w:pPr>
    </w:p>
    <w:p w14:paraId="7A00DD49">
      <w:pPr>
        <w:rPr>
          <w:rFonts w:ascii="仿宋_GB2312" w:hAnsi="仿宋_GB2312" w:eastAsia="仿宋_GB2312" w:cs="仿宋_GB2312"/>
          <w:sz w:val="32"/>
          <w:szCs w:val="32"/>
        </w:rPr>
      </w:pPr>
    </w:p>
    <w:p w14:paraId="6E757433">
      <w:pPr>
        <w:pStyle w:val="2"/>
        <w:rPr>
          <w:rFonts w:ascii="仿宋_GB2312" w:hAnsi="仿宋_GB2312" w:eastAsia="仿宋_GB2312" w:cs="仿宋_GB2312"/>
          <w:sz w:val="32"/>
          <w:szCs w:val="32"/>
        </w:rPr>
      </w:pPr>
    </w:p>
    <w:p w14:paraId="05273E61">
      <w:pPr>
        <w:rPr>
          <w:rFonts w:ascii="仿宋_GB2312" w:hAnsi="仿宋_GB2312" w:eastAsia="仿宋_GB2312" w:cs="仿宋_GB2312"/>
          <w:sz w:val="32"/>
          <w:szCs w:val="32"/>
        </w:rPr>
      </w:pPr>
    </w:p>
    <w:p w14:paraId="7EEA3655">
      <w:pPr>
        <w:pStyle w:val="2"/>
        <w:rPr>
          <w:rFonts w:ascii="仿宋_GB2312" w:hAnsi="仿宋_GB2312" w:eastAsia="仿宋_GB2312" w:cs="仿宋_GB2312"/>
          <w:sz w:val="32"/>
          <w:szCs w:val="32"/>
        </w:rPr>
      </w:pPr>
    </w:p>
    <w:p w14:paraId="3045E780">
      <w:pPr>
        <w:rPr>
          <w:rFonts w:ascii="仿宋_GB2312" w:hAnsi="仿宋_GB2312" w:eastAsia="仿宋_GB2312" w:cs="仿宋_GB2312"/>
          <w:sz w:val="32"/>
          <w:szCs w:val="32"/>
        </w:rPr>
      </w:pPr>
    </w:p>
    <w:p w14:paraId="09671F3F">
      <w:pPr>
        <w:pStyle w:val="2"/>
      </w:pPr>
    </w:p>
    <w:p w14:paraId="382E7D0F">
      <w:pPr>
        <w:numPr>
          <w:ilvl w:val="0"/>
          <w:numId w:val="0"/>
        </w:numPr>
        <w:spacing w:line="600" w:lineRule="exact"/>
        <w:ind w:left="2730" w:leftChars="0"/>
        <w:outlineLvl w:val="0"/>
        <w:rPr>
          <w:rStyle w:val="28"/>
          <w:rFonts w:hint="eastAsia" w:ascii="方正小标宋简体" w:hAnsi="方正小标宋简体" w:eastAsia="方正小标宋简体" w:cs="方正小标宋简体"/>
          <w:b w:val="0"/>
        </w:rPr>
      </w:pPr>
      <w:bookmarkStart w:id="97" w:name="_Toc79163629"/>
      <w:bookmarkStart w:id="98" w:name="_Toc15377225"/>
      <w:bookmarkStart w:id="99" w:name="_Toc15396613"/>
      <w:bookmarkStart w:id="100" w:name="_Toc79163879"/>
      <w:r>
        <w:rPr>
          <w:rFonts w:hint="eastAsia" w:ascii="方正小标宋简体" w:hAnsi="方正小标宋简体" w:eastAsia="方正小标宋简体" w:cs="方正小标宋简体"/>
          <w:color w:val="000000"/>
          <w:sz w:val="44"/>
          <w:szCs w:val="44"/>
          <w:lang w:eastAsia="zh-CN"/>
        </w:rPr>
        <w:t>第三部分</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名</w:t>
      </w:r>
      <w:r>
        <w:rPr>
          <w:rStyle w:val="28"/>
          <w:rFonts w:hint="eastAsia" w:ascii="方正小标宋简体" w:hAnsi="方正小标宋简体" w:eastAsia="方正小标宋简体" w:cs="方正小标宋简体"/>
          <w:b w:val="0"/>
        </w:rPr>
        <w:t>词解释</w:t>
      </w:r>
      <w:bookmarkEnd w:id="97"/>
      <w:bookmarkEnd w:id="98"/>
      <w:bookmarkEnd w:id="99"/>
      <w:bookmarkEnd w:id="100"/>
    </w:p>
    <w:p w14:paraId="76B6DFBC">
      <w:pPr>
        <w:spacing w:line="600" w:lineRule="exact"/>
        <w:jc w:val="left"/>
        <w:rPr>
          <w:rFonts w:ascii="宋体"/>
          <w:b/>
          <w:color w:val="000000"/>
          <w:sz w:val="44"/>
          <w:szCs w:val="44"/>
        </w:rPr>
      </w:pPr>
    </w:p>
    <w:p w14:paraId="6A641E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财政拨款收入：指单位从同级财政部门取得的财政预算资金。</w:t>
      </w:r>
    </w:p>
    <w:p w14:paraId="5ADF02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事业收入：指事业单位开展专业业务活动及辅助活动取得的收入。</w:t>
      </w:r>
    </w:p>
    <w:p w14:paraId="04D4F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经营收入：指事业单位在专业业务活动及其辅助活动之外开展非独立核算经营活动取得的收入。</w:t>
      </w:r>
    </w:p>
    <w:p w14:paraId="026C07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其他收入：指单位取得的除上述收入以外的各项收入。</w:t>
      </w:r>
    </w:p>
    <w:p w14:paraId="194D3C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使用非财政拨款结余：指事业单位使用以前年度积累的非财政拨款结余弥补当年收支差额的金额。</w:t>
      </w:r>
      <w:r>
        <w:rPr>
          <w:rFonts w:ascii="仿宋_GB2312" w:hAnsi="仿宋_GB2312" w:eastAsia="仿宋_GB2312" w:cs="仿宋_GB2312"/>
          <w:sz w:val="32"/>
          <w:szCs w:val="32"/>
        </w:rPr>
        <w:t xml:space="preserve"> </w:t>
      </w:r>
    </w:p>
    <w:p w14:paraId="1B3DC8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年初结转和结余：指以前年度尚未完成、结转到本年按有关规定继续使用的资金。</w:t>
      </w:r>
      <w:r>
        <w:rPr>
          <w:rFonts w:ascii="仿宋_GB2312" w:hAnsi="仿宋_GB2312" w:eastAsia="仿宋_GB2312" w:cs="仿宋_GB2312"/>
          <w:sz w:val="32"/>
          <w:szCs w:val="32"/>
        </w:rPr>
        <w:t xml:space="preserve"> </w:t>
      </w:r>
    </w:p>
    <w:p w14:paraId="337DA6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14:paraId="467A47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、年末结转和结余：指单位按有关规定结转到下年或以后年度继续使用的资金。</w:t>
      </w:r>
    </w:p>
    <w:p w14:paraId="766B9B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9.一般公共服务商业服务业（类）商业流通事务（款）行政运行（项）：指</w:t>
      </w:r>
      <w:r>
        <w:rPr>
          <w:rFonts w:ascii="仿宋_GB2312" w:hAnsi="仿宋_GB2312" w:eastAsia="仿宋_GB2312" w:cs="仿宋_GB2312"/>
          <w:sz w:val="32"/>
          <w:szCs w:val="32"/>
        </w:rPr>
        <w:t>用于保障机构正常运行、开展日常工作</w:t>
      </w:r>
      <w:r>
        <w:rPr>
          <w:rFonts w:hint="eastAsia" w:ascii="仿宋_GB2312" w:hAnsi="仿宋_GB2312" w:eastAsia="仿宋_GB2312" w:cs="仿宋_GB2312"/>
          <w:sz w:val="32"/>
          <w:szCs w:val="32"/>
        </w:rPr>
        <w:t>的基本支出。</w:t>
      </w:r>
    </w:p>
    <w:p w14:paraId="6E2226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10.一般公共服务商业服务业（类）商业流通事务（款）其他商业流通事务（项）：指其他用于商业流通事务方面的支出。</w:t>
      </w:r>
    </w:p>
    <w:p w14:paraId="7EF6E4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11.一般公共服务商业服务业（类）商业流通事务（款）民贸民品贷款贴息（项）：指对从事民贸民品生产销售企业贷款贴息。</w:t>
      </w:r>
    </w:p>
    <w:p w14:paraId="1258B7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12.社会保障和就业（类）行政事业单位离退休（款）机关事业单位基本养老保险缴费（项）：指部门实施养老保险制度由单位缴纳的养老保险费的支出。 </w:t>
      </w:r>
    </w:p>
    <w:p w14:paraId="629F80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13.社会保障和就业（类）行政事业单位离退休（款）机关事业单位职业年金缴费（项）：指部门实施养老保险制度由单位缴纳的职业年金的支出。 </w:t>
      </w:r>
    </w:p>
    <w:p w14:paraId="4D5B1F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14.医疗卫生与计划生育（类）行政事业单位医疗（款）行政单位医疗（项）：指厅机关及参公管理事业单位用于缴纳单位基本医疗保险支出。 </w:t>
      </w:r>
    </w:p>
    <w:p w14:paraId="45A004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15.住房保障支出（类）住房公积金（款）住房公积金（项）：指行政事业单位按规定为职工缴纳的住房公积金。</w:t>
      </w:r>
    </w:p>
    <w:p w14:paraId="076EFB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16.住房保障支出（类）住房改革支出（款）住房公积金住房改革支出（款）购房补贴（项）：指行政事业单位按规定为职工支付的购房补贴。</w:t>
      </w:r>
    </w:p>
    <w:p w14:paraId="6EEF4F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17.农林水支出（类）农业（款）农业生产支持补贴（项）：指反映对种粮农民直接补贴，对农业生产资料补贴、技术物化补贴，推广先进适用农机农艺技术等方面支出。</w:t>
      </w:r>
    </w:p>
    <w:p w14:paraId="050FA4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18.农林水支出（类）农业（款）其他农业支出（项）：指反映其他用于农业方面的支出。</w:t>
      </w:r>
    </w:p>
    <w:p w14:paraId="1899CB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基本支出：指为保障机构正常运转、完成日常工作任务而发生的人员支出和公用支出。</w:t>
      </w:r>
    </w:p>
    <w:p w14:paraId="0F5EC4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项目支出：指在基本支出之外为完成特定行政任务和事业发展目标所发生的支出。</w:t>
      </w:r>
      <w:r>
        <w:rPr>
          <w:rFonts w:ascii="仿宋_GB2312" w:hAnsi="仿宋_GB2312" w:eastAsia="仿宋_GB2312" w:cs="仿宋_GB2312"/>
          <w:sz w:val="32"/>
          <w:szCs w:val="32"/>
        </w:rPr>
        <w:t xml:space="preserve"> </w:t>
      </w:r>
    </w:p>
    <w:p w14:paraId="5DC57C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F57E0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5F1F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olor w:val="000000"/>
          <w:sz w:val="44"/>
          <w:szCs w:val="44"/>
        </w:rPr>
      </w:pPr>
      <w:r>
        <w:rPr>
          <w:rFonts w:hint="eastAsia" w:ascii="仿宋_GB2312" w:hAnsi="仿宋_GB2312" w:eastAsia="仿宋_GB2312" w:cs="仿宋_GB2312"/>
          <w:sz w:val="32"/>
          <w:szCs w:val="32"/>
        </w:rPr>
        <w:t>23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01" w:name="_Toc15396614"/>
      <w:bookmarkStart w:id="102" w:name="_Toc79163880"/>
      <w:bookmarkStart w:id="103" w:name="_Toc79163630"/>
      <w:bookmarkStart w:id="104" w:name="_Toc15377226"/>
    </w:p>
    <w:p w14:paraId="02D6C057">
      <w:pPr>
        <w:spacing w:line="576" w:lineRule="exact"/>
        <w:rPr>
          <w:rFonts w:ascii="黑体" w:hAnsi="黑体" w:eastAsia="黑体"/>
          <w:color w:val="000000"/>
          <w:sz w:val="44"/>
          <w:szCs w:val="44"/>
        </w:rPr>
      </w:pPr>
    </w:p>
    <w:p w14:paraId="2B10B206">
      <w:pPr>
        <w:pStyle w:val="2"/>
        <w:rPr>
          <w:rFonts w:ascii="黑体" w:hAnsi="黑体" w:eastAsia="黑体"/>
          <w:color w:val="000000"/>
          <w:sz w:val="44"/>
          <w:szCs w:val="44"/>
        </w:rPr>
      </w:pPr>
    </w:p>
    <w:p w14:paraId="48E20311">
      <w:pPr>
        <w:rPr>
          <w:rFonts w:ascii="黑体" w:hAnsi="黑体" w:eastAsia="黑体"/>
          <w:color w:val="000000"/>
          <w:sz w:val="44"/>
          <w:szCs w:val="44"/>
        </w:rPr>
      </w:pPr>
    </w:p>
    <w:p w14:paraId="4E9C97AB">
      <w:pPr>
        <w:pStyle w:val="2"/>
        <w:rPr>
          <w:rFonts w:ascii="黑体" w:hAnsi="黑体" w:eastAsia="黑体"/>
          <w:color w:val="000000"/>
          <w:sz w:val="44"/>
          <w:szCs w:val="44"/>
        </w:rPr>
      </w:pPr>
    </w:p>
    <w:p w14:paraId="31FD1454">
      <w:pPr>
        <w:rPr>
          <w:rFonts w:ascii="黑体" w:hAnsi="黑体" w:eastAsia="黑体"/>
          <w:color w:val="000000"/>
          <w:sz w:val="44"/>
          <w:szCs w:val="44"/>
        </w:rPr>
      </w:pPr>
    </w:p>
    <w:p w14:paraId="166CD3F7">
      <w:pPr>
        <w:pStyle w:val="2"/>
        <w:rPr>
          <w:rFonts w:ascii="黑体" w:hAnsi="黑体" w:eastAsia="黑体"/>
          <w:color w:val="000000"/>
          <w:sz w:val="44"/>
          <w:szCs w:val="44"/>
        </w:rPr>
      </w:pPr>
    </w:p>
    <w:p w14:paraId="12702BB7"/>
    <w:p w14:paraId="1411D075">
      <w:pPr>
        <w:spacing w:line="600" w:lineRule="exact"/>
        <w:jc w:val="center"/>
        <w:outlineLvl w:val="0"/>
        <w:rPr>
          <w:rStyle w:val="28"/>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28"/>
          <w:rFonts w:hint="eastAsia" w:ascii="方正小标宋简体" w:hAnsi="方正小标宋简体" w:eastAsia="方正小标宋简体" w:cs="方正小标宋简体"/>
          <w:b w:val="0"/>
        </w:rPr>
        <w:t>四部分 附件</w:t>
      </w:r>
      <w:bookmarkEnd w:id="101"/>
      <w:bookmarkEnd w:id="102"/>
      <w:bookmarkEnd w:id="103"/>
    </w:p>
    <w:p w14:paraId="2D66784B">
      <w:pPr>
        <w:spacing w:line="600" w:lineRule="exact"/>
        <w:jc w:val="left"/>
        <w:outlineLvl w:val="0"/>
        <w:rPr>
          <w:rFonts w:hint="eastAsia" w:ascii="黑体" w:hAnsi="黑体" w:eastAsia="黑体" w:cs="黑体"/>
          <w:color w:val="000000"/>
          <w:sz w:val="32"/>
          <w:szCs w:val="32"/>
        </w:rPr>
      </w:pPr>
      <w:bookmarkStart w:id="105" w:name="_Toc79163885"/>
      <w:bookmarkStart w:id="106" w:name="_Toc79163635"/>
      <w:bookmarkStart w:id="107" w:name="_Toc15396618"/>
      <w:r>
        <w:rPr>
          <w:rFonts w:hint="eastAsia" w:ascii="黑体" w:hAnsi="黑体" w:eastAsia="黑体" w:cs="黑体"/>
          <w:color w:val="000000"/>
          <w:sz w:val="32"/>
          <w:szCs w:val="32"/>
        </w:rPr>
        <w:t>附件1</w:t>
      </w:r>
    </w:p>
    <w:p w14:paraId="25D71DE9">
      <w:pPr>
        <w:keepNext w:val="0"/>
        <w:keepLines w:val="0"/>
        <w:pageBreakBefore w:val="0"/>
        <w:widowControl/>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茂县供销合作社联合社</w:t>
      </w:r>
    </w:p>
    <w:p w14:paraId="4A0E9FAE">
      <w:pPr>
        <w:keepNext w:val="0"/>
        <w:keepLines w:val="0"/>
        <w:pageBreakBefore w:val="0"/>
        <w:widowControl/>
        <w:kinsoku/>
        <w:wordWrap/>
        <w:overflowPunct/>
        <w:topLinePunct w:val="0"/>
        <w:autoSpaceDE/>
        <w:autoSpaceDN/>
        <w:bidi w:val="0"/>
        <w:spacing w:line="576" w:lineRule="exact"/>
        <w:contextualSpacing/>
        <w:jc w:val="center"/>
        <w:textAlignment w:val="auto"/>
        <w:rPr>
          <w:rFonts w:eastAsia="方正小标宋简体"/>
          <w:bCs/>
          <w:sz w:val="44"/>
          <w:szCs w:val="44"/>
          <w:shd w:val="clear" w:color="auto" w:fill="FFFFFF"/>
        </w:rPr>
      </w:pPr>
      <w:r>
        <w:rPr>
          <w:rFonts w:hint="eastAsia" w:ascii="方正小标宋简体" w:hAnsi="宋体" w:eastAsia="方正小标宋简体"/>
          <w:sz w:val="44"/>
          <w:szCs w:val="44"/>
          <w:shd w:val="clear" w:color="auto" w:fill="FFFFFF"/>
        </w:rPr>
        <w:t>202</w:t>
      </w:r>
      <w:r>
        <w:rPr>
          <w:rFonts w:hint="eastAsia" w:ascii="方正小标宋简体" w:hAnsi="宋体" w:eastAsia="方正小标宋简体"/>
          <w:sz w:val="44"/>
          <w:szCs w:val="44"/>
          <w:shd w:val="clear" w:color="auto" w:fill="FFFFFF"/>
          <w:lang w:val="en-US" w:eastAsia="zh-CN"/>
        </w:rPr>
        <w:t>3</w:t>
      </w:r>
      <w:r>
        <w:rPr>
          <w:rFonts w:hint="eastAsia" w:ascii="方正小标宋简体" w:hAnsi="宋体" w:eastAsia="方正小标宋简体"/>
          <w:sz w:val="44"/>
          <w:szCs w:val="44"/>
          <w:shd w:val="clear" w:color="auto" w:fill="FFFFFF"/>
        </w:rPr>
        <w:t>年</w:t>
      </w:r>
      <w:r>
        <w:rPr>
          <w:rFonts w:hint="eastAsia" w:ascii="方正小标宋简体" w:hAnsi="宋体" w:eastAsia="方正小标宋简体"/>
          <w:sz w:val="44"/>
          <w:szCs w:val="44"/>
          <w:shd w:val="clear" w:color="auto" w:fill="FFFFFF"/>
          <w:lang w:eastAsia="zh-CN"/>
        </w:rPr>
        <w:t>单位预算</w:t>
      </w:r>
      <w:r>
        <w:rPr>
          <w:rFonts w:hint="eastAsia" w:ascii="方正小标宋简体" w:hAnsi="宋体" w:eastAsia="方正小标宋简体"/>
          <w:sz w:val="44"/>
          <w:szCs w:val="44"/>
          <w:shd w:val="clear" w:color="auto" w:fill="FFFFFF"/>
        </w:rPr>
        <w:t>绩效自评报告</w:t>
      </w:r>
    </w:p>
    <w:p w14:paraId="5CD701F9">
      <w:pPr>
        <w:keepNext w:val="0"/>
        <w:keepLines w:val="0"/>
        <w:pageBreakBefore w:val="0"/>
        <w:widowControl/>
        <w:kinsoku/>
        <w:wordWrap/>
        <w:overflowPunct/>
        <w:topLinePunct w:val="0"/>
        <w:autoSpaceDE/>
        <w:autoSpaceDN/>
        <w:bidi w:val="0"/>
        <w:adjustRightInd w:val="0"/>
        <w:snapToGrid w:val="0"/>
        <w:spacing w:line="576" w:lineRule="exact"/>
        <w:ind w:firstLine="480" w:firstLineChars="200"/>
        <w:contextualSpacing/>
        <w:jc w:val="left"/>
        <w:textAlignment w:val="auto"/>
        <w:rPr>
          <w:rFonts w:eastAsia="黑体"/>
          <w:color w:val="000000"/>
          <w:kern w:val="0"/>
          <w:sz w:val="24"/>
          <w:szCs w:val="32"/>
          <w:shd w:val="clear" w:color="auto" w:fill="FFFFFF"/>
        </w:rPr>
      </w:pPr>
    </w:p>
    <w:p w14:paraId="57F449B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sz w:val="32"/>
          <w:szCs w:val="32"/>
        </w:rPr>
      </w:pPr>
      <w:r>
        <w:rPr>
          <w:rFonts w:hint="eastAsia" w:eastAsia="黑体"/>
          <w:color w:val="000000"/>
          <w:kern w:val="0"/>
          <w:sz w:val="32"/>
          <w:szCs w:val="32"/>
          <w:shd w:val="clear" w:color="auto" w:fill="FFFFFF"/>
          <w:lang w:val="zh-CN"/>
        </w:rPr>
        <w:t>一、部门</w:t>
      </w:r>
      <w:r>
        <w:rPr>
          <w:rFonts w:eastAsia="黑体"/>
          <w:color w:val="000000"/>
          <w:kern w:val="0"/>
          <w:sz w:val="32"/>
          <w:szCs w:val="32"/>
          <w:shd w:val="clear" w:color="auto" w:fill="FFFFFF"/>
          <w:lang w:val="zh-CN"/>
        </w:rPr>
        <w:t>基本情况</w:t>
      </w:r>
    </w:p>
    <w:p w14:paraId="794EEC7A">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textAlignment w:val="auto"/>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w:t>
      </w:r>
      <w:r>
        <w:rPr>
          <w:rFonts w:eastAsia="楷体_GB2312"/>
          <w:b/>
          <w:bCs/>
          <w:color w:val="000000"/>
          <w:kern w:val="0"/>
          <w:sz w:val="32"/>
          <w:szCs w:val="32"/>
          <w:shd w:val="clear" w:color="auto" w:fill="FFFFFF"/>
          <w:lang w:val="zh-CN"/>
        </w:rPr>
        <w:t>机构组成</w:t>
      </w:r>
    </w:p>
    <w:p w14:paraId="3DC7990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eastAsia="仿宋_GB2312"/>
          <w:sz w:val="32"/>
          <w:szCs w:val="32"/>
        </w:rPr>
      </w:pPr>
      <w:r>
        <w:rPr>
          <w:rFonts w:hint="eastAsia" w:ascii="仿宋_GB2312" w:hAnsi="宋体" w:eastAsia="仿宋_GB2312" w:cs="宋体"/>
          <w:color w:val="000000"/>
          <w:kern w:val="0"/>
          <w:sz w:val="32"/>
          <w:szCs w:val="32"/>
          <w:shd w:val="clear" w:color="auto" w:fill="FFFFFF"/>
          <w:lang w:val="zh-CN"/>
        </w:rPr>
        <w:t>茂县供销合作社联合社内设办公室、计财审计股、综合股</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zh-CN"/>
        </w:rPr>
        <w:t>社务指导</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业务发展、物业管理、安全法制</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zh-CN"/>
        </w:rPr>
        <w:t>。</w:t>
      </w:r>
    </w:p>
    <w:p w14:paraId="0969B1FF">
      <w:pPr>
        <w:keepNext w:val="0"/>
        <w:keepLines w:val="0"/>
        <w:pageBreakBefore w:val="0"/>
        <w:kinsoku/>
        <w:wordWrap/>
        <w:overflowPunct/>
        <w:topLinePunct w:val="0"/>
        <w:autoSpaceDE/>
        <w:autoSpaceDN/>
        <w:bidi w:val="0"/>
        <w:spacing w:line="576" w:lineRule="exact"/>
        <w:ind w:firstLine="643" w:firstLineChars="200"/>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（二）机构职能</w:t>
      </w:r>
    </w:p>
    <w:p w14:paraId="3F6C05DD">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1.宣传贯彻党中央、国务院、省委、省政府和州委、州政府及县委、县政府有关农业、农村经济工作和社会发展方针政策，维护全县供销社的合法权益。</w:t>
      </w:r>
    </w:p>
    <w:p w14:paraId="001FAF8C">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2.研究和制定全县供销合作社发展规划，指导全县供销合作社的企业改革和发展。加快体制、机制创新、探索社会主义市场经济条件下合作经济的多种实现形式。</w:t>
      </w:r>
    </w:p>
    <w:p w14:paraId="119A948C">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受政府委托，对重要农业生产资料、农副产品经营进行组织、储备、调运工作，负责烟花爆竹和废旧物资再生资源的经营及社办工业的指导。负责对政策性商品经营资格审定、质量监督和行业管理及有关救灾物资的组织、储备、调运工作。</w:t>
      </w:r>
    </w:p>
    <w:p w14:paraId="3EDF7FF2">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4.协调同政府有关部门、社会组织的关系，研究供销社合作经济运行的重大问题；了解、反映供销合作社系统和农牧民群众的意见和要求；维护合作经济组织的合法权益。</w:t>
      </w:r>
    </w:p>
    <w:p w14:paraId="69A56081">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5.组织全县供销系统参与和推进农业产业化经营，加强农产品市场调查研究，培育农产品市场，组织发展专业合作社、消费合作社等中介服务组织，培育龙头企业，加强商品供求市场，信息服务体系建设。                                        </w:t>
      </w:r>
    </w:p>
    <w:p w14:paraId="20FBCE1E">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6.指导农村社会化服务体系建设，推进建立现代化流通体系和现代化营销方式，发展社区性、综合性、便民性社区综合服务社，满足农牧民生产、生活等社会化服务的需要。</w:t>
      </w:r>
    </w:p>
    <w:p w14:paraId="3CA472AB">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7.监督和管理社有资产，确保社有资产的保值、增值，对直属企业行使出资人的职权，依法享有资产受益、重大决策和选择经营管理者等权利。</w:t>
      </w:r>
    </w:p>
    <w:p w14:paraId="4D5AE099">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8.积极参与供销合作经济对外交流活动。</w:t>
      </w:r>
    </w:p>
    <w:p w14:paraId="54EBFA6B">
      <w:pPr>
        <w:keepNext w:val="0"/>
        <w:keepLines w:val="0"/>
        <w:pageBreakBefore w:val="0"/>
        <w:kinsoku/>
        <w:wordWrap/>
        <w:overflowPunct/>
        <w:topLinePunct w:val="0"/>
        <w:autoSpaceDE/>
        <w:autoSpaceDN/>
        <w:bidi w:val="0"/>
        <w:spacing w:line="576" w:lineRule="exact"/>
        <w:ind w:firstLine="640" w:firstLineChars="200"/>
        <w:textAlignment w:val="auto"/>
        <w:rPr>
          <w:rFonts w:eastAsia="楷体_GB2312"/>
          <w:b/>
          <w:bCs/>
          <w:color w:val="000000"/>
          <w:kern w:val="0"/>
          <w:sz w:val="32"/>
          <w:szCs w:val="32"/>
          <w:shd w:val="clear" w:color="auto" w:fill="FFFFFF"/>
          <w:lang w:val="zh-CN"/>
        </w:rPr>
      </w:pPr>
      <w:r>
        <w:rPr>
          <w:rFonts w:hint="eastAsia" w:ascii="仿宋_GB2312" w:hAnsi="仿宋_GB2312" w:eastAsia="仿宋_GB2312" w:cs="仿宋_GB2312"/>
          <w:sz w:val="32"/>
          <w:szCs w:val="32"/>
        </w:rPr>
        <w:t>9.承担县政府交办的其他事项。</w:t>
      </w:r>
    </w:p>
    <w:p w14:paraId="6BF2DBB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p>
    <w:p w14:paraId="1C028D1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eastAsia="仿宋_GB2312"/>
          <w:sz w:val="32"/>
          <w:szCs w:val="32"/>
        </w:rPr>
      </w:pPr>
      <w:r>
        <w:rPr>
          <w:rFonts w:hint="eastAsia" w:ascii="仿宋_GB2312" w:hAnsi="宋体" w:eastAsia="仿宋_GB2312" w:cs="宋体"/>
          <w:color w:val="000000"/>
          <w:kern w:val="0"/>
          <w:sz w:val="32"/>
          <w:szCs w:val="32"/>
          <w:shd w:val="clear" w:color="auto" w:fill="FFFFFF"/>
          <w:lang w:val="zh-CN" w:eastAsia="zh-CN"/>
        </w:rPr>
        <w:t>茂县</w:t>
      </w:r>
      <w:r>
        <w:rPr>
          <w:rFonts w:hint="eastAsia" w:ascii="仿宋_GB2312" w:hAnsi="宋体" w:eastAsia="仿宋_GB2312" w:cs="宋体"/>
          <w:color w:val="000000"/>
          <w:kern w:val="0"/>
          <w:sz w:val="32"/>
          <w:szCs w:val="32"/>
          <w:shd w:val="clear" w:color="auto" w:fill="FFFFFF"/>
          <w:lang w:val="zh-CN"/>
        </w:rPr>
        <w:t>供销合作社联合社机关事业编制</w:t>
      </w:r>
      <w:r>
        <w:rPr>
          <w:rFonts w:hint="eastAsia" w:ascii="仿宋_GB2312" w:hAnsi="宋体" w:eastAsia="仿宋_GB2312" w:cs="宋体"/>
          <w:color w:val="000000"/>
          <w:kern w:val="0"/>
          <w:sz w:val="32"/>
          <w:szCs w:val="32"/>
          <w:shd w:val="clear" w:color="auto" w:fill="FFFFFF"/>
        </w:rPr>
        <w:t>10</w:t>
      </w:r>
      <w:r>
        <w:rPr>
          <w:rFonts w:hint="eastAsia" w:ascii="仿宋_GB2312" w:hAnsi="宋体" w:eastAsia="仿宋_GB2312" w:cs="宋体"/>
          <w:color w:val="000000"/>
          <w:kern w:val="0"/>
          <w:sz w:val="32"/>
          <w:szCs w:val="32"/>
          <w:shd w:val="clear" w:color="auto" w:fill="FFFFFF"/>
          <w:lang w:val="zh-CN"/>
        </w:rPr>
        <w:t>人，实有在职职工</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人。</w:t>
      </w:r>
    </w:p>
    <w:p w14:paraId="5602099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14:paraId="76B77D27">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p>
    <w:p w14:paraId="6E21977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楷体_GB2312"/>
          <w:b/>
          <w:bCs/>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eastAsia="zh-CN"/>
        </w:rPr>
        <w:t>茂县</w:t>
      </w:r>
      <w:r>
        <w:rPr>
          <w:rFonts w:hint="eastAsia" w:ascii="仿宋_GB2312" w:hAnsi="宋体" w:eastAsia="仿宋_GB2312" w:cs="宋体"/>
          <w:color w:val="000000"/>
          <w:kern w:val="0"/>
          <w:sz w:val="32"/>
          <w:szCs w:val="32"/>
          <w:shd w:val="clear" w:color="auto" w:fill="FFFFFF"/>
          <w:lang w:val="zh-CN"/>
        </w:rPr>
        <w:t>供销合作社联合社</w:t>
      </w:r>
      <w:r>
        <w:rPr>
          <w:rFonts w:hint="eastAsia" w:ascii="仿宋_GB2312" w:hAnsi="仿宋_GB2312" w:eastAsia="仿宋_GB2312" w:cs="仿宋_GB2312"/>
          <w:b w:val="0"/>
          <w:bCs w:val="0"/>
          <w:color w:val="000000"/>
          <w:kern w:val="0"/>
          <w:sz w:val="32"/>
          <w:szCs w:val="32"/>
          <w:shd w:val="clear" w:color="auto" w:fill="FFFFFF"/>
          <w:lang w:val="zh-CN" w:eastAsia="zh-CN"/>
        </w:rPr>
        <w:t>2023年年初预算收入</w:t>
      </w:r>
      <w:r>
        <w:rPr>
          <w:rFonts w:hint="eastAsia" w:ascii="仿宋_GB2312" w:hAnsi="仿宋_GB2312" w:eastAsia="仿宋_GB2312" w:cs="仿宋_GB2312"/>
          <w:b w:val="0"/>
          <w:bCs w:val="0"/>
          <w:color w:val="000000"/>
          <w:kern w:val="0"/>
          <w:sz w:val="32"/>
          <w:szCs w:val="32"/>
          <w:shd w:val="clear" w:color="auto" w:fill="FFFFFF"/>
          <w:lang w:val="en-US" w:eastAsia="zh-CN"/>
        </w:rPr>
        <w:t>160.13万元，</w:t>
      </w:r>
      <w:r>
        <w:rPr>
          <w:rFonts w:hint="eastAsia" w:ascii="仿宋_GB2312" w:hAnsi="仿宋_GB2312" w:eastAsia="仿宋_GB2312" w:cs="仿宋_GB2312"/>
          <w:b w:val="0"/>
          <w:bCs w:val="0"/>
          <w:color w:val="000000"/>
          <w:kern w:val="0"/>
          <w:sz w:val="32"/>
          <w:szCs w:val="32"/>
          <w:shd w:val="clear" w:color="auto" w:fill="FFFFFF"/>
          <w:lang w:val="zh-CN" w:eastAsia="zh-CN"/>
        </w:rPr>
        <w:t>决算报表收入</w:t>
      </w:r>
      <w:r>
        <w:rPr>
          <w:rFonts w:hint="eastAsia" w:ascii="仿宋_GB2312" w:hAnsi="仿宋_GB2312" w:eastAsia="仿宋_GB2312" w:cs="仿宋_GB2312"/>
          <w:b w:val="0"/>
          <w:bCs w:val="0"/>
          <w:color w:val="000000"/>
          <w:kern w:val="0"/>
          <w:sz w:val="32"/>
          <w:szCs w:val="32"/>
          <w:shd w:val="clear" w:color="auto" w:fill="FFFFFF"/>
          <w:lang w:val="en-US" w:eastAsia="zh-CN"/>
        </w:rPr>
        <w:t>403.99万元</w:t>
      </w:r>
      <w:r>
        <w:rPr>
          <w:rFonts w:hint="eastAsia" w:ascii="仿宋_GB2312" w:hAnsi="仿宋_GB2312" w:eastAsia="仿宋_GB2312" w:cs="仿宋_GB2312"/>
          <w:b w:val="0"/>
          <w:bCs w:val="0"/>
          <w:color w:val="000000"/>
          <w:kern w:val="0"/>
          <w:sz w:val="32"/>
          <w:szCs w:val="32"/>
          <w:shd w:val="clear" w:color="auto" w:fill="FFFFFF"/>
          <w:lang w:val="zh-CN" w:eastAsia="zh-CN"/>
        </w:rPr>
        <w:t>。</w:t>
      </w:r>
    </w:p>
    <w:p w14:paraId="07BA5DB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p>
    <w:p w14:paraId="3F0CEC2C">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sz w:val="32"/>
          <w:szCs w:val="32"/>
          <w:lang w:val="zh-CN"/>
        </w:rPr>
      </w:pPr>
      <w:r>
        <w:rPr>
          <w:rFonts w:hint="eastAsia" w:ascii="仿宋_GB2312" w:hAnsi="宋体" w:eastAsia="仿宋_GB2312" w:cs="宋体"/>
          <w:color w:val="000000"/>
          <w:kern w:val="0"/>
          <w:sz w:val="32"/>
          <w:szCs w:val="32"/>
          <w:shd w:val="clear" w:color="auto" w:fill="FFFFFF"/>
          <w:lang w:val="zh-CN" w:eastAsia="zh-CN"/>
        </w:rPr>
        <w:t>茂县</w:t>
      </w:r>
      <w:r>
        <w:rPr>
          <w:rFonts w:hint="eastAsia" w:ascii="仿宋_GB2312" w:hAnsi="宋体" w:eastAsia="仿宋_GB2312" w:cs="宋体"/>
          <w:color w:val="000000"/>
          <w:kern w:val="0"/>
          <w:sz w:val="32"/>
          <w:szCs w:val="32"/>
          <w:shd w:val="clear" w:color="auto" w:fill="FFFFFF"/>
          <w:lang w:val="zh-CN"/>
        </w:rPr>
        <w:t>供销合作社联合社</w:t>
      </w:r>
      <w:r>
        <w:rPr>
          <w:rFonts w:hint="eastAsia" w:ascii="仿宋_GB2312" w:hAnsi="仿宋_GB2312" w:eastAsia="仿宋_GB2312" w:cs="仿宋_GB2312"/>
          <w:b w:val="0"/>
          <w:bCs w:val="0"/>
          <w:color w:val="000000"/>
          <w:kern w:val="0"/>
          <w:sz w:val="32"/>
          <w:szCs w:val="32"/>
          <w:shd w:val="clear" w:color="auto" w:fill="FFFFFF"/>
          <w:lang w:val="zh-CN" w:eastAsia="zh-CN"/>
        </w:rPr>
        <w:t>2023年年初预算</w:t>
      </w:r>
      <w:r>
        <w:rPr>
          <w:rFonts w:hint="eastAsia" w:eastAsia="仿宋_GB2312"/>
          <w:sz w:val="32"/>
          <w:szCs w:val="32"/>
        </w:rPr>
        <w:t>支出</w:t>
      </w:r>
      <w:r>
        <w:rPr>
          <w:rFonts w:hint="eastAsia" w:ascii="仿宋_GB2312" w:hAnsi="仿宋_GB2312" w:eastAsia="仿宋_GB2312" w:cs="仿宋_GB2312"/>
          <w:b w:val="0"/>
          <w:bCs w:val="0"/>
          <w:color w:val="000000"/>
          <w:kern w:val="0"/>
          <w:sz w:val="32"/>
          <w:szCs w:val="32"/>
          <w:shd w:val="clear" w:color="auto" w:fill="FFFFFF"/>
          <w:lang w:val="en-US" w:eastAsia="zh-CN"/>
        </w:rPr>
        <w:t>160.13万元，</w:t>
      </w:r>
      <w:r>
        <w:rPr>
          <w:rFonts w:hint="eastAsia" w:ascii="仿宋_GB2312" w:hAnsi="仿宋_GB2312" w:eastAsia="仿宋_GB2312" w:cs="仿宋_GB2312"/>
          <w:b w:val="0"/>
          <w:bCs w:val="0"/>
          <w:color w:val="000000"/>
          <w:kern w:val="0"/>
          <w:sz w:val="32"/>
          <w:szCs w:val="32"/>
          <w:shd w:val="clear" w:color="auto" w:fill="FFFFFF"/>
          <w:lang w:val="zh-CN" w:eastAsia="zh-CN"/>
        </w:rPr>
        <w:t>决算报表</w:t>
      </w:r>
      <w:r>
        <w:rPr>
          <w:rFonts w:hint="eastAsia" w:eastAsia="仿宋_GB2312"/>
          <w:sz w:val="32"/>
          <w:szCs w:val="32"/>
        </w:rPr>
        <w:t>支出</w:t>
      </w:r>
      <w:r>
        <w:rPr>
          <w:rFonts w:hint="eastAsia" w:ascii="仿宋_GB2312" w:hAnsi="仿宋_GB2312" w:eastAsia="仿宋_GB2312" w:cs="仿宋_GB2312"/>
          <w:b w:val="0"/>
          <w:bCs w:val="0"/>
          <w:color w:val="000000"/>
          <w:kern w:val="0"/>
          <w:sz w:val="32"/>
          <w:szCs w:val="32"/>
          <w:shd w:val="clear" w:color="auto" w:fill="FFFFFF"/>
          <w:lang w:val="en-US" w:eastAsia="zh-CN"/>
        </w:rPr>
        <w:t>403.99万元</w:t>
      </w:r>
      <w:r>
        <w:rPr>
          <w:rFonts w:hint="eastAsia" w:ascii="仿宋_GB2312" w:hAnsi="仿宋_GB2312" w:eastAsia="仿宋_GB2312" w:cs="仿宋_GB2312"/>
          <w:b w:val="0"/>
          <w:bCs w:val="0"/>
          <w:color w:val="000000"/>
          <w:kern w:val="0"/>
          <w:sz w:val="32"/>
          <w:szCs w:val="32"/>
          <w:shd w:val="clear" w:color="auto" w:fill="FFFFFF"/>
          <w:lang w:val="zh-CN" w:eastAsia="zh-CN"/>
        </w:rPr>
        <w:t>。</w:t>
      </w:r>
    </w:p>
    <w:p w14:paraId="205AD600">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sz w:val="32"/>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w:t>
      </w:r>
      <w:r>
        <w:rPr>
          <w:rFonts w:eastAsia="楷体_GB2312"/>
          <w:b/>
          <w:sz w:val="32"/>
          <w:szCs w:val="32"/>
        </w:rPr>
        <w:t>结余分配和结转结余情况</w:t>
      </w:r>
    </w:p>
    <w:p w14:paraId="4458A81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eastAsia="zh-CN"/>
        </w:rPr>
        <w:t>茂县</w:t>
      </w:r>
      <w:r>
        <w:rPr>
          <w:rFonts w:hint="eastAsia" w:ascii="仿宋_GB2312" w:hAnsi="宋体" w:eastAsia="仿宋_GB2312" w:cs="宋体"/>
          <w:color w:val="000000"/>
          <w:kern w:val="0"/>
          <w:sz w:val="32"/>
          <w:szCs w:val="32"/>
          <w:shd w:val="clear" w:color="auto" w:fill="FFFFFF"/>
          <w:lang w:val="zh-CN"/>
        </w:rPr>
        <w:t>供销合作社联合社无结余分配和结余结转。</w:t>
      </w:r>
    </w:p>
    <w:p w14:paraId="5DFB51D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三、部门预算绩效分析</w:t>
      </w:r>
    </w:p>
    <w:p w14:paraId="5A561016">
      <w:pPr>
        <w:keepNext w:val="0"/>
        <w:keepLines w:val="0"/>
        <w:pageBreakBefore w:val="0"/>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仿宋_GB2312"/>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749712C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严格按照相关财务规定要求，加强财务管理。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eastAsia="zh-CN"/>
        </w:rPr>
        <w:t>在规定的时间之内报送绩效管理相关工作，报送资料齐全。</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在编制预算时，按时填报部门整体支出、项目支出绩效目标申报表。绩效目标申报表目标设置要合理，要符合项目特点，描述清晰明确，要填报新增重大政策、重大项目目标申报表。</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对预算执行中进行有效绩效跟踪监控的。</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认真开展项目支出、财政政策、部门整体支出事后绩效自评工作。</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及时整改绩效评价存在的问题，并及时报送整改报告。</w:t>
      </w:r>
    </w:p>
    <w:p w14:paraId="2818C1A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履职效能。针对部门整体绩效目标中选定3-5个核心职能目标，我们进行了全面的绩效分析。通过对比实际完成情况与预设目标，整体目标完成率达到</w:t>
      </w:r>
      <w:r>
        <w:rPr>
          <w:rFonts w:hint="eastAsia" w:ascii="仿宋_GB2312" w:hAnsi="仿宋_GB2312" w:eastAsia="仿宋_GB2312" w:cs="仿宋_GB2312"/>
          <w:sz w:val="32"/>
          <w:szCs w:val="32"/>
          <w:lang w:val="en-US" w:eastAsia="zh-CN"/>
        </w:rPr>
        <w:t>100%，超过预期目标。</w:t>
      </w:r>
    </w:p>
    <w:p w14:paraId="3ADD01A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楷体_GB2312" w:hAnsi="楷体_GB2312" w:eastAsia="楷体_GB2312" w:cs="楷体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预算管理。在预算管理方面，我们重点分析了预算编制质量，预算编制质量得到了显著提升、支出执行进度符合预期，预算年终结余控制在合理范围内，未出现大额结余或超支情况。同时，我们严格执行一般性支出控制政策，有效降低了非必要支出</w:t>
      </w:r>
      <w:r>
        <w:rPr>
          <w:rFonts w:hint="eastAsia" w:eastAsia="仿宋_GB2312"/>
          <w:color w:val="000000"/>
          <w:kern w:val="0"/>
          <w:sz w:val="32"/>
          <w:szCs w:val="32"/>
          <w:shd w:val="clear" w:color="auto" w:fill="FFFFFF"/>
          <w:lang w:val="zh-CN"/>
        </w:rPr>
        <w:t>。</w:t>
      </w:r>
    </w:p>
    <w:p w14:paraId="7AA9CF6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财务管理。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14:paraId="7B40C01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资产管理。围绕资产变化率、资产利用率和资产盘活率进行了绩效分析。这些指标直接关联到资产的运营效率和价值实现。通过绩效分析，能够及时了解资产的使用情况和价值变化，从而采取相应措施提高资产利用率和盘活率。这有助于优化资产配置，提升整体资产价值。</w:t>
      </w:r>
    </w:p>
    <w:p w14:paraId="18986D4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eastAsia="仿宋_GB2312"/>
          <w:sz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采购管理。提高效率和节约资金，通过整合采购项目线上、线下流转审核程序，优化采购流程，实现全流程电子化，加强采购预算编制、采购活动组织、政策功能落实等内容的审核，严格防范采购项目增加隐形债务风险。此外，通过开展专项整治，全面提升采购治理水平，规范采购代理机构行为，强化采购监督管理水平，确保采购活动的透明度和效率。</w:t>
      </w:r>
    </w:p>
    <w:p w14:paraId="650126AE">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部门预算项目绩效分析</w:t>
      </w:r>
    </w:p>
    <w:p w14:paraId="4965F374">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本单位认真对部门预算项目绩效简要做了以下分析，情况如下：</w:t>
      </w:r>
    </w:p>
    <w:p w14:paraId="41AE09AF">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color w:val="000000"/>
          <w:kern w:val="0"/>
          <w:sz w:val="32"/>
          <w:szCs w:val="32"/>
          <w:highlight w:val="none"/>
          <w:shd w:val="clear" w:color="auto" w:fill="FFFFFF"/>
          <w:lang w:val="zh-CN"/>
        </w:rPr>
      </w:pPr>
      <w:r>
        <w:rPr>
          <w:rFonts w:eastAsia="仿宋_GB2312"/>
          <w:color w:val="000000"/>
          <w:kern w:val="0"/>
          <w:sz w:val="32"/>
          <w:szCs w:val="32"/>
          <w:highlight w:val="none"/>
          <w:shd w:val="clear" w:color="auto" w:fill="FFFFFF"/>
        </w:rPr>
        <w:t>常年项目绩效分析。</w:t>
      </w:r>
      <w:r>
        <w:rPr>
          <w:rFonts w:eastAsia="仿宋_GB2312"/>
          <w:color w:val="000000"/>
          <w:kern w:val="0"/>
          <w:sz w:val="32"/>
          <w:szCs w:val="32"/>
          <w:highlight w:val="none"/>
          <w:shd w:val="clear" w:color="auto" w:fill="FFFFFF"/>
          <w:lang w:val="zh-CN"/>
        </w:rPr>
        <w:t>该类项目总数</w:t>
      </w:r>
      <w:r>
        <w:rPr>
          <w:rFonts w:hint="eastAsia" w:eastAsia="仿宋_GB2312"/>
          <w:color w:val="000000"/>
          <w:kern w:val="0"/>
          <w:sz w:val="32"/>
          <w:szCs w:val="32"/>
          <w:highlight w:val="none"/>
          <w:shd w:val="clear" w:color="auto" w:fill="FFFFFF"/>
          <w:lang w:val="en-US" w:eastAsia="zh-CN"/>
        </w:rPr>
        <w:t>0</w:t>
      </w:r>
      <w:r>
        <w:rPr>
          <w:rFonts w:eastAsia="仿宋_GB2312"/>
          <w:color w:val="000000"/>
          <w:kern w:val="0"/>
          <w:sz w:val="32"/>
          <w:szCs w:val="32"/>
          <w:highlight w:val="none"/>
          <w:shd w:val="clear" w:color="auto" w:fill="FFFFFF"/>
          <w:lang w:val="zh-CN"/>
        </w:rPr>
        <w:t>个，涉及预算总金额</w:t>
      </w:r>
      <w:r>
        <w:rPr>
          <w:rFonts w:eastAsia="仿宋_GB2312"/>
          <w:color w:val="000000"/>
          <w:kern w:val="0"/>
          <w:sz w:val="32"/>
          <w:szCs w:val="32"/>
          <w:highlight w:val="none"/>
          <w:shd w:val="clear" w:color="auto" w:fill="FFFFFF"/>
        </w:rPr>
        <w:t xml:space="preserve"> </w:t>
      </w:r>
      <w:r>
        <w:rPr>
          <w:rFonts w:hint="eastAsia" w:eastAsia="仿宋_GB2312"/>
          <w:color w:val="000000"/>
          <w:kern w:val="0"/>
          <w:sz w:val="32"/>
          <w:szCs w:val="32"/>
          <w:highlight w:val="none"/>
          <w:shd w:val="clear" w:color="auto" w:fill="FFFFFF"/>
          <w:lang w:val="en-US" w:eastAsia="zh-CN"/>
        </w:rPr>
        <w:t>0</w:t>
      </w:r>
      <w:r>
        <w:rPr>
          <w:rFonts w:eastAsia="仿宋_GB2312"/>
          <w:color w:val="000000"/>
          <w:kern w:val="0"/>
          <w:sz w:val="32"/>
          <w:szCs w:val="32"/>
          <w:highlight w:val="none"/>
          <w:shd w:val="clear" w:color="auto" w:fill="FFFFFF"/>
          <w:lang w:val="zh-CN"/>
        </w:rPr>
        <w:t>万元，其中：预算结余率大于</w:t>
      </w:r>
      <w:r>
        <w:rPr>
          <w:rFonts w:eastAsia="仿宋_GB2312"/>
          <w:color w:val="000000"/>
          <w:kern w:val="0"/>
          <w:sz w:val="32"/>
          <w:szCs w:val="32"/>
          <w:highlight w:val="none"/>
          <w:shd w:val="clear" w:color="auto" w:fill="FFFFFF"/>
        </w:rPr>
        <w:t>10%</w:t>
      </w:r>
      <w:r>
        <w:rPr>
          <w:rFonts w:eastAsia="仿宋_GB2312"/>
          <w:color w:val="000000"/>
          <w:kern w:val="0"/>
          <w:sz w:val="32"/>
          <w:szCs w:val="32"/>
          <w:highlight w:val="none"/>
          <w:shd w:val="clear" w:color="auto" w:fill="FFFFFF"/>
          <w:lang w:val="zh-CN"/>
        </w:rPr>
        <w:t>的项目共计</w:t>
      </w:r>
      <w:r>
        <w:rPr>
          <w:rFonts w:hint="eastAsia" w:eastAsia="仿宋_GB2312"/>
          <w:color w:val="000000"/>
          <w:kern w:val="0"/>
          <w:sz w:val="32"/>
          <w:szCs w:val="32"/>
          <w:highlight w:val="none"/>
          <w:shd w:val="clear" w:color="auto" w:fill="FFFFFF"/>
          <w:lang w:val="en-US" w:eastAsia="zh-CN"/>
        </w:rPr>
        <w:t>0</w:t>
      </w:r>
      <w:r>
        <w:rPr>
          <w:rFonts w:eastAsia="仿宋_GB2312"/>
          <w:color w:val="000000"/>
          <w:kern w:val="0"/>
          <w:sz w:val="32"/>
          <w:szCs w:val="32"/>
          <w:highlight w:val="none"/>
          <w:shd w:val="clear" w:color="auto" w:fill="FFFFFF"/>
          <w:lang w:val="zh-CN"/>
        </w:rPr>
        <w:t>个。</w:t>
      </w:r>
    </w:p>
    <w:p w14:paraId="0302F194">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highlight w:val="none"/>
          <w:shd w:val="clear" w:color="auto" w:fill="FFFFFF"/>
          <w:lang w:val="en-US" w:eastAsia="zh-CN"/>
        </w:rPr>
      </w:pPr>
      <w:r>
        <w:rPr>
          <w:rFonts w:ascii="Times New Roman" w:hAnsi="Times New Roman" w:eastAsia="仿宋_GB2312" w:cs="Times New Roman"/>
          <w:color w:val="000000"/>
          <w:kern w:val="0"/>
          <w:sz w:val="32"/>
          <w:szCs w:val="32"/>
          <w:highlight w:val="none"/>
          <w:shd w:val="clear" w:color="auto" w:fill="FFFFFF"/>
        </w:rPr>
        <w:t>阶段</w:t>
      </w:r>
      <w:r>
        <w:rPr>
          <w:rFonts w:hint="eastAsia" w:ascii="Times New Roman" w:hAnsi="Times New Roman" w:eastAsia="仿宋_GB2312" w:cs="Times New Roman"/>
          <w:color w:val="000000"/>
          <w:kern w:val="0"/>
          <w:sz w:val="32"/>
          <w:szCs w:val="32"/>
          <w:highlight w:val="none"/>
          <w:shd w:val="clear" w:color="auto" w:fill="FFFFFF"/>
        </w:rPr>
        <w:t>（</w:t>
      </w:r>
      <w:r>
        <w:rPr>
          <w:rFonts w:ascii="Times New Roman" w:hAnsi="Times New Roman" w:eastAsia="仿宋_GB2312" w:cs="Times New Roman"/>
          <w:color w:val="000000"/>
          <w:kern w:val="0"/>
          <w:sz w:val="32"/>
          <w:szCs w:val="32"/>
          <w:highlight w:val="none"/>
          <w:shd w:val="clear" w:color="auto" w:fill="FFFFFF"/>
        </w:rPr>
        <w:t>一次性</w:t>
      </w:r>
      <w:r>
        <w:rPr>
          <w:rFonts w:hint="eastAsia" w:ascii="Times New Roman" w:hAnsi="Times New Roman" w:eastAsia="仿宋_GB2312" w:cs="Times New Roman"/>
          <w:color w:val="000000"/>
          <w:kern w:val="0"/>
          <w:sz w:val="32"/>
          <w:szCs w:val="32"/>
          <w:highlight w:val="none"/>
          <w:shd w:val="clear" w:color="auto" w:fill="FFFFFF"/>
        </w:rPr>
        <w:t>）</w:t>
      </w:r>
      <w:r>
        <w:rPr>
          <w:rFonts w:ascii="Times New Roman" w:hAnsi="Times New Roman" w:eastAsia="仿宋_GB2312" w:cs="Times New Roman"/>
          <w:color w:val="000000"/>
          <w:kern w:val="0"/>
          <w:sz w:val="32"/>
          <w:szCs w:val="32"/>
          <w:highlight w:val="none"/>
          <w:shd w:val="clear" w:color="auto" w:fill="FFFFFF"/>
        </w:rPr>
        <w:t>项目绩效分析。</w:t>
      </w:r>
      <w:r>
        <w:rPr>
          <w:rFonts w:ascii="Times New Roman" w:hAnsi="Times New Roman" w:eastAsia="仿宋_GB2312" w:cs="Times New Roman"/>
          <w:color w:val="000000"/>
          <w:kern w:val="0"/>
          <w:sz w:val="32"/>
          <w:szCs w:val="32"/>
          <w:highlight w:val="none"/>
          <w:shd w:val="clear" w:color="auto" w:fill="FFFFFF"/>
          <w:lang w:val="zh-CN"/>
        </w:rPr>
        <w:t>该类项目总数</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ascii="Times New Roman" w:hAnsi="Times New Roman" w:eastAsia="仿宋_GB2312" w:cs="Times New Roman"/>
          <w:color w:val="000000"/>
          <w:kern w:val="0"/>
          <w:sz w:val="32"/>
          <w:szCs w:val="32"/>
          <w:highlight w:val="none"/>
          <w:shd w:val="clear" w:color="auto" w:fill="FFFFFF"/>
          <w:lang w:val="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206.05</w:t>
      </w:r>
      <w:r>
        <w:rPr>
          <w:rFonts w:ascii="Times New Roman" w:hAnsi="Times New Roman" w:eastAsia="仿宋_GB2312" w:cs="Times New Roman"/>
          <w:color w:val="000000"/>
          <w:kern w:val="0"/>
          <w:sz w:val="32"/>
          <w:szCs w:val="32"/>
          <w:highlight w:val="none"/>
          <w:shd w:val="clear" w:color="auto" w:fill="FFFFFF"/>
          <w:lang w:val="zh-CN"/>
        </w:rPr>
        <w:t>万元，1</w:t>
      </w:r>
      <w:r>
        <w:rPr>
          <w:rFonts w:hint="eastAsia" w:ascii="Times New Roman" w:hAnsi="Times New Roman" w:eastAsia="仿宋_GB2312" w:cs="Times New Roman"/>
          <w:color w:val="000000"/>
          <w:kern w:val="0"/>
          <w:sz w:val="32"/>
          <w:szCs w:val="32"/>
          <w:highlight w:val="none"/>
          <w:shd w:val="clear" w:color="auto" w:fill="FFFFFF"/>
          <w:lang w:val="zh-CN"/>
        </w:rPr>
        <w:t>—</w:t>
      </w:r>
      <w:r>
        <w:rPr>
          <w:rFonts w:ascii="Times New Roman" w:hAnsi="Times New Roman" w:eastAsia="仿宋_GB2312" w:cs="Times New Roman"/>
          <w:color w:val="000000"/>
          <w:kern w:val="0"/>
          <w:sz w:val="32"/>
          <w:szCs w:val="32"/>
          <w:highlight w:val="none"/>
          <w:shd w:val="clear" w:color="auto" w:fill="FFFFFF"/>
          <w:lang w:val="zh-CN"/>
        </w:rPr>
        <w:t>1</w:t>
      </w:r>
      <w:r>
        <w:rPr>
          <w:rFonts w:ascii="Times New Roman" w:hAnsi="Times New Roman" w:eastAsia="仿宋_GB2312" w:cs="Times New Roman"/>
          <w:color w:val="000000"/>
          <w:kern w:val="0"/>
          <w:sz w:val="32"/>
          <w:szCs w:val="32"/>
          <w:highlight w:val="none"/>
          <w:shd w:val="clear" w:color="auto" w:fill="FFFFFF"/>
        </w:rPr>
        <w:t>2</w:t>
      </w:r>
      <w:r>
        <w:rPr>
          <w:rFonts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100</w:t>
      </w:r>
      <w:r>
        <w:rPr>
          <w:rFonts w:ascii="Times New Roman" w:hAnsi="Times New Roman" w:eastAsia="仿宋_GB2312" w:cs="Times New Roman"/>
          <w:color w:val="000000"/>
          <w:kern w:val="0"/>
          <w:sz w:val="32"/>
          <w:szCs w:val="32"/>
          <w:highlight w:val="none"/>
          <w:shd w:val="clear" w:color="auto" w:fill="FFFFFF"/>
        </w:rPr>
        <w:t xml:space="preserve"> </w:t>
      </w:r>
      <w:r>
        <w:rPr>
          <w:rFonts w:ascii="Times New Roman" w:hAnsi="Times New Roman" w:eastAsia="仿宋_GB2312" w:cs="Times New Roman"/>
          <w:color w:val="000000"/>
          <w:kern w:val="0"/>
          <w:sz w:val="32"/>
          <w:szCs w:val="32"/>
          <w:highlight w:val="none"/>
          <w:shd w:val="clear" w:color="auto" w:fill="FFFFFF"/>
          <w:lang w:val="zh-CN"/>
        </w:rPr>
        <w:t>%，其中：预算结余率大于</w:t>
      </w:r>
      <w:r>
        <w:rPr>
          <w:rFonts w:ascii="Times New Roman" w:hAnsi="Times New Roman" w:eastAsia="仿宋_GB2312" w:cs="Times New Roman"/>
          <w:color w:val="000000"/>
          <w:kern w:val="0"/>
          <w:sz w:val="32"/>
          <w:szCs w:val="32"/>
          <w:highlight w:val="none"/>
          <w:shd w:val="clear" w:color="auto" w:fill="FFFFFF"/>
        </w:rPr>
        <w:t>10%</w:t>
      </w:r>
      <w:r>
        <w:rPr>
          <w:rFonts w:ascii="Times New Roman" w:hAnsi="Times New Roman" w:eastAsia="仿宋_GB2312" w:cs="Times New Roman"/>
          <w:color w:val="000000"/>
          <w:kern w:val="0"/>
          <w:sz w:val="32"/>
          <w:szCs w:val="32"/>
          <w:highlight w:val="none"/>
          <w:shd w:val="clear" w:color="auto" w:fill="FFFFFF"/>
          <w:lang w:val="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ascii="Times New Roman" w:hAnsi="Times New Roman" w:eastAsia="仿宋_GB2312" w:cs="Times New Roman"/>
          <w:color w:val="000000"/>
          <w:kern w:val="0"/>
          <w:sz w:val="32"/>
          <w:szCs w:val="32"/>
          <w:highlight w:val="none"/>
          <w:shd w:val="clear" w:color="auto" w:fill="FFFFFF"/>
          <w:lang w:val="zh-CN"/>
        </w:rPr>
        <w:t>个。</w:t>
      </w:r>
    </w:p>
    <w:p w14:paraId="0225D8B6">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在项目启动之前，通过一系列科学、合理的规划来确定项目的可行性和必要性。决策程序需市场调研、风险评估、资源评估、技术可行性分析等，目标设置要具体、可衡量、可达成、相关性强、时限明确等原则。这些目标将成为项目执行过程中的指导方向，也是后续绩效评估的基准。一旦项目决策通过，项目将被正式纳入管理系统中。此时，需要进行初步的绩效分析，以评估项目预期成果与资源投入之间的匹配度，以及项目可能带来的长期效益。有助于进一步细化项目计划，确保项目资源得到合理分配，并为后续的项目执行和监控奠定基础。</w:t>
      </w:r>
    </w:p>
    <w:p w14:paraId="428D9486">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2.项目执行</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b/>
          <w:bCs/>
          <w:sz w:val="32"/>
          <w:szCs w:val="32"/>
          <w:lang w:val="zh-CN" w:eastAsia="zh-CN"/>
        </w:rPr>
        <w:t>一是</w:t>
      </w:r>
      <w:r>
        <w:rPr>
          <w:rFonts w:hint="eastAsia" w:ascii="仿宋_GB2312" w:hAnsi="仿宋_GB2312" w:eastAsia="仿宋_GB2312" w:cs="仿宋_GB2312"/>
          <w:sz w:val="32"/>
          <w:szCs w:val="32"/>
          <w:lang w:val="zh-CN" w:eastAsia="zh-CN"/>
        </w:rPr>
        <w:t>项目启动之初，需基于详细的项目计划制定科学合理的资金预算，明确各项开支的预期额度及时间安排。预算编制完成后，需经过严格的审批流程，确保预算的合理性和可行性。</w:t>
      </w:r>
      <w:r>
        <w:rPr>
          <w:rFonts w:hint="eastAsia" w:ascii="仿宋_GB2312" w:hAnsi="仿宋_GB2312" w:eastAsia="仿宋_GB2312" w:cs="仿宋_GB2312"/>
          <w:b/>
          <w:bCs/>
          <w:sz w:val="32"/>
          <w:szCs w:val="32"/>
          <w:lang w:val="zh-CN" w:eastAsia="zh-CN"/>
        </w:rPr>
        <w:t>二是</w:t>
      </w:r>
      <w:r>
        <w:rPr>
          <w:rFonts w:hint="eastAsia" w:ascii="仿宋_GB2312" w:hAnsi="仿宋_GB2312" w:eastAsia="仿宋_GB2312" w:cs="仿宋_GB2312"/>
          <w:sz w:val="32"/>
          <w:szCs w:val="32"/>
          <w:lang w:val="zh-CN" w:eastAsia="zh-CN"/>
        </w:rPr>
        <w:t>项目实施过程中，需建立有效的资金监控系统，实时跟踪资金使用情况，确保资金流与项目进度相匹配。通过精细化的成本管理和资源优化配置，减少不必要的开支，提高资金使用效率。同时，鼓励采用创新的成本控制方法，以最小的成本实现最大的项目价值。</w:t>
      </w:r>
      <w:r>
        <w:rPr>
          <w:rFonts w:hint="eastAsia" w:ascii="仿宋_GB2312" w:hAnsi="仿宋_GB2312" w:eastAsia="仿宋_GB2312" w:cs="仿宋_GB2312"/>
          <w:b/>
          <w:bCs/>
          <w:sz w:val="32"/>
          <w:szCs w:val="32"/>
          <w:lang w:val="zh-CN" w:eastAsia="zh-CN"/>
        </w:rPr>
        <w:t>三是</w:t>
      </w:r>
      <w:r>
        <w:rPr>
          <w:rFonts w:hint="eastAsia" w:ascii="仿宋_GB2312" w:hAnsi="仿宋_GB2312" w:eastAsia="仿宋_GB2312" w:cs="仿宋_GB2312"/>
          <w:sz w:val="32"/>
          <w:szCs w:val="32"/>
          <w:lang w:val="zh-CN" w:eastAsia="zh-CN"/>
        </w:rPr>
        <w:t>项目执行过程中难免会遇到各种变更需求，包括需求变更、范围变更、进度变更等。需建立完善的变更管理机制，明确变更申请、评估、审批及实施的流程确保项目有序进行。</w:t>
      </w:r>
    </w:p>
    <w:p w14:paraId="12241C66">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目标实现。目标设定与明确项目启动之初，需明确项目的总体目标及具体可量化的子目标。目标应清晰、具体、可衡量并与项目愿景和组织战略紧密相连。明确的目标为项目执行提供方向，也为后续的绩效分析奠定了基础。在项目执行过程中，需定期跟踪各项目标的完成情况。通过收集项目数据、进度报告，对比分析实际完成情况与计划目标的差距。这一过程有助于及时发现潜在问题，为采取必要的调整措施提供依据。当发现实际完成情况与计划目标存在偏差时，需进行深入的目标偏离分析。</w:t>
      </w:r>
    </w:p>
    <w:p w14:paraId="03EACE12">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）重点领域绩效分析</w:t>
      </w:r>
    </w:p>
    <w:p w14:paraId="1CB7F8C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eastAsia="楷体_GB2312"/>
          <w:color w:val="000000"/>
          <w:kern w:val="0"/>
          <w:sz w:val="32"/>
          <w:szCs w:val="32"/>
          <w:shd w:val="clear" w:color="auto" w:fill="FFFFFF"/>
          <w:lang w:eastAsia="zh-CN"/>
        </w:rPr>
      </w:pPr>
      <w:r>
        <w:rPr>
          <w:rFonts w:hint="eastAsia" w:eastAsia="楷体_GB2312"/>
          <w:sz w:val="32"/>
          <w:szCs w:val="32"/>
          <w:lang w:eastAsia="zh-CN"/>
        </w:rPr>
        <w:t>无</w:t>
      </w:r>
    </w:p>
    <w:p w14:paraId="27921AAB">
      <w:pPr>
        <w:keepNext w:val="0"/>
        <w:keepLines w:val="0"/>
        <w:pageBreakBefore w:val="0"/>
        <w:kinsoku/>
        <w:wordWrap/>
        <w:overflowPunct/>
        <w:topLinePunct w:val="0"/>
        <w:autoSpaceDE/>
        <w:autoSpaceDN/>
        <w:bidi w:val="0"/>
        <w:snapToGrid w:val="0"/>
        <w:spacing w:line="576" w:lineRule="exact"/>
        <w:ind w:firstLine="643" w:firstLineChars="200"/>
        <w:textAlignment w:val="auto"/>
        <w:rPr>
          <w:rFonts w:eastAsia="楷体_GB2312"/>
          <w:b/>
          <w:bCs/>
          <w:sz w:val="32"/>
          <w:szCs w:val="32"/>
          <w:lang w:val="zh-CN"/>
        </w:rPr>
      </w:pPr>
      <w:r>
        <w:rPr>
          <w:rFonts w:eastAsia="楷体_GB2312"/>
          <w:b/>
          <w:bCs/>
          <w:sz w:val="32"/>
          <w:szCs w:val="32"/>
          <w:lang w:val="zh-CN"/>
        </w:rPr>
        <w:t>（四）绩效结果应用情况</w:t>
      </w:r>
    </w:p>
    <w:p w14:paraId="3796BA2E">
      <w:pPr>
        <w:keepNext w:val="0"/>
        <w:keepLines w:val="0"/>
        <w:pageBreakBefore w:val="0"/>
        <w:kinsoku/>
        <w:wordWrap/>
        <w:overflowPunct/>
        <w:topLinePunct w:val="0"/>
        <w:autoSpaceDE/>
        <w:autoSpaceDN/>
        <w:bidi w:val="0"/>
        <w:snapToGrid w:val="0"/>
        <w:spacing w:line="576"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eastAsia="zh-CN"/>
        </w:rPr>
        <w:t>绩效自评结果将作为以后年度</w:t>
      </w:r>
      <w:r>
        <w:rPr>
          <w:rFonts w:hint="eastAsia" w:ascii="仿宋_GB2312" w:hAnsi="仿宋_GB2312" w:eastAsia="仿宋_GB2312" w:cs="仿宋_GB2312"/>
          <w:sz w:val="32"/>
          <w:szCs w:val="32"/>
          <w:lang w:val="en-US" w:eastAsia="zh-CN"/>
        </w:rPr>
        <w:t>项目立项和经费支持的重要依据，也作为财</w:t>
      </w:r>
      <w:bookmarkStart w:id="134" w:name="_GoBack"/>
      <w:bookmarkEnd w:id="134"/>
      <w:r>
        <w:rPr>
          <w:rFonts w:hint="eastAsia" w:ascii="仿宋_GB2312" w:hAnsi="仿宋_GB2312" w:eastAsia="仿宋_GB2312" w:cs="仿宋_GB2312"/>
          <w:sz w:val="32"/>
          <w:szCs w:val="32"/>
          <w:lang w:val="en-US" w:eastAsia="zh-CN"/>
        </w:rPr>
        <w:t>政部门对单位项目预算的重要参考。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绩效自评结果公开将按照财政部门的统一要求，对绩效评价情况予以公开。</w:t>
      </w:r>
    </w:p>
    <w:p w14:paraId="60FDCD8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4224E11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54B0695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ascii="仿宋_GB2312" w:hAnsi="宋体" w:eastAsia="仿宋_GB2312" w:cs="宋体"/>
          <w:color w:val="000000"/>
          <w:kern w:val="0"/>
          <w:sz w:val="32"/>
          <w:szCs w:val="32"/>
          <w:shd w:val="clear" w:color="auto" w:fill="FFFFFF"/>
        </w:rPr>
      </w:pPr>
      <w:r>
        <w:rPr>
          <w:rFonts w:hint="eastAsia" w:ascii="仿宋_GB2312" w:hAnsi="仿宋_GB2312" w:eastAsia="仿宋_GB2312" w:cs="仿宋_GB2312"/>
          <w:sz w:val="32"/>
          <w:szCs w:val="32"/>
          <w:lang w:val="zh-CN" w:eastAsia="zh-CN"/>
        </w:rPr>
        <w:t>供销社</w:t>
      </w:r>
      <w:r>
        <w:rPr>
          <w:rFonts w:hint="eastAsia" w:ascii="仿宋_GB2312" w:hAnsi="仿宋_GB2312" w:eastAsia="仿宋_GB2312" w:cs="仿宋_GB2312"/>
          <w:sz w:val="32"/>
          <w:szCs w:val="32"/>
          <w:lang w:val="en-US" w:eastAsia="zh-CN"/>
        </w:rPr>
        <w:t>认真做好年度财政资金的预算编制工作，在资金使用和管理方面，进一步强化资金统筹，优化结构，明确开支范围，细化资金用途，</w:t>
      </w:r>
      <w:r>
        <w:rPr>
          <w:rFonts w:hint="eastAsia" w:ascii="仿宋_GB2312" w:hAnsi="宋体" w:eastAsia="仿宋_GB2312" w:cs="宋体"/>
          <w:color w:val="000000"/>
          <w:kern w:val="0"/>
          <w:sz w:val="32"/>
          <w:szCs w:val="32"/>
          <w:shd w:val="clear" w:color="auto" w:fill="FFFFFF"/>
          <w:lang w:val="zh-CN"/>
        </w:rPr>
        <w:t>坚持为“三农”服务办社宗旨，提升为农服务功能；坚持以市场经济为导向，提升企业市场竞争力；坚持稳中求进的工作基调，推进供销社综合改革发展，取得了较好的成效。</w:t>
      </w:r>
      <w:r>
        <w:rPr>
          <w:rFonts w:hint="eastAsia" w:ascii="仿宋_GB2312" w:hAnsi="宋体" w:eastAsia="仿宋_GB2312" w:cs="宋体"/>
          <w:color w:val="000000"/>
          <w:kern w:val="0"/>
          <w:sz w:val="32"/>
          <w:szCs w:val="32"/>
          <w:shd w:val="clear" w:color="auto" w:fill="FFFFFF"/>
        </w:rPr>
        <w:t>2023</w:t>
      </w:r>
      <w:r>
        <w:rPr>
          <w:rFonts w:hint="eastAsia" w:ascii="仿宋_GB2312" w:hAnsi="宋体" w:eastAsia="仿宋_GB2312" w:cs="宋体"/>
          <w:color w:val="000000"/>
          <w:kern w:val="0"/>
          <w:sz w:val="32"/>
          <w:szCs w:val="32"/>
          <w:shd w:val="clear" w:color="auto" w:fill="FFFFFF"/>
          <w:lang w:val="zh-CN"/>
        </w:rPr>
        <w:t>年茂县供销合作社联合社整体支出绩效评价自查自评结果良好</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仿宋_GB2312" w:eastAsia="仿宋_GB2312" w:cs="仿宋_GB2312"/>
          <w:sz w:val="32"/>
          <w:szCs w:val="32"/>
          <w:lang w:val="en-US" w:eastAsia="zh-CN"/>
        </w:rPr>
        <w:t>整体上完成了年初设定的绩效目标，保障了单位的正常运转，降低了运行成本，促进了社会和谐稳定，充分发挥了财政资金的经济效益、社会效益。</w:t>
      </w:r>
    </w:p>
    <w:p w14:paraId="6F086E8C">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14:paraId="3E15E00C">
      <w:pPr>
        <w:keepNext w:val="0"/>
        <w:keepLines w:val="0"/>
        <w:pageBreakBefore w:val="0"/>
        <w:widowControl/>
        <w:kinsoku/>
        <w:wordWrap/>
        <w:overflowPunct/>
        <w:topLinePunct w:val="0"/>
        <w:autoSpaceDE/>
        <w:autoSpaceDN/>
        <w:bidi w:val="0"/>
        <w:adjustRightInd w:val="0"/>
        <w:snapToGrid w:val="0"/>
        <w:spacing w:line="576" w:lineRule="exact"/>
        <w:ind w:firstLine="608" w:firstLineChars="200"/>
        <w:contextualSpacing/>
        <w:jc w:val="left"/>
        <w:textAlignment w:val="auto"/>
        <w:rPr>
          <w:rFonts w:hint="eastAsia" w:ascii="仿宋_GB2312" w:hAnsi="仿宋_GB2312" w:eastAsia="仿宋_GB2312" w:cs="仿宋_GB2312"/>
          <w:w w:val="95"/>
          <w:kern w:val="0"/>
          <w:sz w:val="32"/>
          <w:szCs w:val="32"/>
        </w:rPr>
      </w:pPr>
      <w:r>
        <w:rPr>
          <w:rFonts w:hint="eastAsia" w:ascii="仿宋_GB2312" w:hAnsi="仿宋_GB2312" w:eastAsia="仿宋_GB2312" w:cs="仿宋_GB2312"/>
          <w:w w:val="95"/>
          <w:kern w:val="0"/>
          <w:sz w:val="32"/>
          <w:szCs w:val="32"/>
        </w:rPr>
        <w:t>预算绩效观念不深入，思想认识有误区。对预算绩效管理的认知不到位，存在“两轻两重”的惯性思维，重视资金分配而忽视资金使用效率。专业人员匮乏，规范管理有盲点。</w:t>
      </w:r>
    </w:p>
    <w:p w14:paraId="3EBAD79E">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w:t>
      </w:r>
      <w:r>
        <w:rPr>
          <w:rFonts w:hint="eastAsia" w:eastAsia="楷体_GB2312"/>
          <w:b/>
          <w:bCs/>
          <w:color w:val="000000"/>
          <w:kern w:val="0"/>
          <w:sz w:val="32"/>
          <w:szCs w:val="32"/>
          <w:shd w:val="clear" w:color="auto" w:fill="FFFFFF"/>
          <w:lang w:val="zh-CN"/>
        </w:rPr>
        <w:t>）</w:t>
      </w:r>
      <w:r>
        <w:rPr>
          <w:rFonts w:eastAsia="楷体_GB2312"/>
          <w:b/>
          <w:bCs/>
          <w:color w:val="000000"/>
          <w:kern w:val="0"/>
          <w:sz w:val="32"/>
          <w:szCs w:val="32"/>
          <w:shd w:val="clear" w:color="auto" w:fill="FFFFFF"/>
          <w:lang w:val="zh-CN"/>
        </w:rPr>
        <w:t>改进建议</w:t>
      </w:r>
    </w:p>
    <w:p w14:paraId="76DCB363">
      <w:pPr>
        <w:keepNext w:val="0"/>
        <w:keepLines w:val="0"/>
        <w:pageBreakBefore w:val="0"/>
        <w:kinsoku/>
        <w:wordWrap/>
        <w:overflowPunct/>
        <w:topLinePunct w:val="0"/>
        <w:autoSpaceDE/>
        <w:autoSpaceDN/>
        <w:bidi w:val="0"/>
        <w:spacing w:line="576" w:lineRule="exact"/>
        <w:ind w:firstLine="608" w:firstLineChars="200"/>
        <w:contextualSpacing/>
        <w:textAlignment w:val="auto"/>
        <w:rPr>
          <w:rFonts w:hint="eastAsia" w:ascii="仿宋_GB2312" w:hAnsi="仿宋_GB2312" w:eastAsia="仿宋_GB2312" w:cs="仿宋_GB2312"/>
          <w:w w:val="95"/>
          <w:kern w:val="0"/>
          <w:sz w:val="32"/>
          <w:szCs w:val="32"/>
        </w:rPr>
      </w:pPr>
      <w:r>
        <w:rPr>
          <w:rFonts w:hint="eastAsia" w:ascii="仿宋_GB2312" w:hAnsi="仿宋_GB2312" w:eastAsia="仿宋_GB2312" w:cs="仿宋_GB2312"/>
          <w:w w:val="95"/>
          <w:kern w:val="0"/>
          <w:sz w:val="32"/>
          <w:szCs w:val="32"/>
        </w:rPr>
        <w:t>通过召开会议、举办业务讲座等多种形式，提高</w:t>
      </w:r>
      <w:r>
        <w:rPr>
          <w:rFonts w:hint="eastAsia" w:ascii="仿宋_GB2312" w:hAnsi="仿宋_GB2312" w:eastAsia="仿宋_GB2312" w:cs="仿宋_GB2312"/>
          <w:w w:val="95"/>
          <w:kern w:val="0"/>
          <w:sz w:val="32"/>
          <w:szCs w:val="32"/>
          <w:lang w:eastAsia="zh-CN"/>
        </w:rPr>
        <w:t>我社</w:t>
      </w:r>
      <w:r>
        <w:rPr>
          <w:rFonts w:hint="eastAsia" w:ascii="仿宋_GB2312" w:hAnsi="仿宋_GB2312" w:eastAsia="仿宋_GB2312" w:cs="仿宋_GB2312"/>
          <w:w w:val="95"/>
          <w:kern w:val="0"/>
          <w:sz w:val="32"/>
          <w:szCs w:val="32"/>
        </w:rPr>
        <w:t>领导和财务人员</w:t>
      </w:r>
      <w:r>
        <w:rPr>
          <w:rFonts w:hint="eastAsia" w:ascii="仿宋_GB2312" w:hAnsi="仿宋_GB2312" w:eastAsia="仿宋_GB2312" w:cs="仿宋_GB2312"/>
          <w:w w:val="95"/>
          <w:kern w:val="0"/>
          <w:sz w:val="32"/>
          <w:szCs w:val="32"/>
          <w:lang w:eastAsia="zh-CN"/>
        </w:rPr>
        <w:t>、项目人员</w:t>
      </w:r>
      <w:r>
        <w:rPr>
          <w:rFonts w:hint="eastAsia" w:ascii="仿宋_GB2312" w:hAnsi="仿宋_GB2312" w:eastAsia="仿宋_GB2312" w:cs="仿宋_GB2312"/>
          <w:w w:val="95"/>
          <w:kern w:val="0"/>
          <w:sz w:val="32"/>
          <w:szCs w:val="32"/>
        </w:rPr>
        <w:t>的预算绩效管理意识，确保绩效理念深入人心。通过培训和教育，提高预算单位财务人员</w:t>
      </w:r>
      <w:r>
        <w:rPr>
          <w:rFonts w:hint="eastAsia" w:ascii="仿宋_GB2312" w:hAnsi="仿宋_GB2312" w:eastAsia="仿宋_GB2312" w:cs="仿宋_GB2312"/>
          <w:w w:val="95"/>
          <w:kern w:val="0"/>
          <w:sz w:val="32"/>
          <w:szCs w:val="32"/>
          <w:lang w:eastAsia="zh-CN"/>
        </w:rPr>
        <w:t>和项目人员</w:t>
      </w:r>
      <w:r>
        <w:rPr>
          <w:rFonts w:hint="eastAsia" w:ascii="仿宋_GB2312" w:hAnsi="仿宋_GB2312" w:eastAsia="仿宋_GB2312" w:cs="仿宋_GB2312"/>
          <w:w w:val="95"/>
          <w:kern w:val="0"/>
          <w:sz w:val="32"/>
          <w:szCs w:val="32"/>
        </w:rPr>
        <w:t>的专业素养，确保管理工作的高效执行。</w:t>
      </w:r>
    </w:p>
    <w:p w14:paraId="6BFEA46D">
      <w:pPr>
        <w:keepNext w:val="0"/>
        <w:keepLines w:val="0"/>
        <w:pageBreakBefore w:val="0"/>
        <w:widowControl w:val="0"/>
        <w:kinsoku/>
        <w:wordWrap/>
        <w:overflowPunct/>
        <w:topLinePunct w:val="0"/>
        <w:autoSpaceDE/>
        <w:autoSpaceDN/>
        <w:bidi w:val="0"/>
        <w:spacing w:line="576" w:lineRule="exact"/>
        <w:ind w:left="1060" w:leftChars="200" w:hanging="640" w:hangingChars="200"/>
        <w:jc w:val="both"/>
        <w:textAlignment w:val="auto"/>
        <w:rPr>
          <w:rFonts w:ascii="Times New Roman" w:hAnsi="Times New Roman" w:eastAsia="仿宋_GB2312" w:cs="Times New Roman"/>
          <w:kern w:val="2"/>
          <w:sz w:val="32"/>
          <w:szCs w:val="24"/>
          <w:lang w:val="en-US" w:eastAsia="zh-CN" w:bidi="ar-SA"/>
        </w:rPr>
      </w:pPr>
    </w:p>
    <w:p w14:paraId="1873CF4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rPr>
      </w:pPr>
      <w:r>
        <w:rPr>
          <w:rFonts w:hint="eastAsia" w:eastAsia="仿宋_GB2312"/>
          <w:color w:val="000000"/>
          <w:kern w:val="0"/>
          <w:sz w:val="32"/>
          <w:szCs w:val="32"/>
          <w:shd w:val="clear" w:color="auto" w:fill="FFFFFF"/>
        </w:rPr>
        <w:t>附表：</w:t>
      </w:r>
      <w:r>
        <w:rPr>
          <w:rFonts w:eastAsia="仿宋_GB2312"/>
          <w:color w:val="000000"/>
          <w:kern w:val="0"/>
          <w:sz w:val="32"/>
          <w:szCs w:val="32"/>
          <w:shd w:val="clear" w:color="auto" w:fill="FFFFFF"/>
        </w:rPr>
        <w:t>部门整体支出绩效目标完成情况自评表</w:t>
      </w:r>
      <w:r>
        <w:rPr>
          <w:rFonts w:eastAsia="仿宋_GB2312"/>
          <w:color w:val="000000"/>
          <w:kern w:val="0"/>
          <w:sz w:val="32"/>
          <w:szCs w:val="32"/>
          <w:shd w:val="clear" w:color="auto" w:fill="FFFFFF"/>
        </w:rPr>
        <w:br w:type="page"/>
      </w:r>
      <w:r>
        <w:rPr>
          <w:rFonts w:hint="eastAsia" w:ascii="黑体" w:hAnsi="黑体" w:eastAsia="黑体" w:cs="黑体"/>
          <w:sz w:val="32"/>
        </w:rPr>
        <w:t>附表</w:t>
      </w:r>
    </w:p>
    <w:tbl>
      <w:tblPr>
        <w:tblStyle w:val="23"/>
        <w:tblW w:w="8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3"/>
        <w:gridCol w:w="1135"/>
        <w:gridCol w:w="1138"/>
        <w:gridCol w:w="1293"/>
        <w:gridCol w:w="448"/>
        <w:gridCol w:w="912"/>
        <w:gridCol w:w="747"/>
        <w:gridCol w:w="530"/>
        <w:gridCol w:w="504"/>
        <w:gridCol w:w="650"/>
      </w:tblGrid>
      <w:tr w14:paraId="6841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8260" w:type="dxa"/>
            <w:gridSpan w:val="10"/>
            <w:tcBorders>
              <w:top w:val="nil"/>
              <w:left w:val="nil"/>
              <w:bottom w:val="nil"/>
              <w:right w:val="nil"/>
            </w:tcBorders>
            <w:shd w:val="clear" w:color="auto" w:fill="auto"/>
            <w:vAlign w:val="center"/>
          </w:tcPr>
          <w:p w14:paraId="30229C3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部门整体支出绩效目标表</w:t>
            </w:r>
          </w:p>
        </w:tc>
      </w:tr>
      <w:tr w14:paraId="63D6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60" w:type="dxa"/>
            <w:gridSpan w:val="10"/>
            <w:tcBorders>
              <w:top w:val="nil"/>
              <w:left w:val="nil"/>
              <w:bottom w:val="nil"/>
              <w:right w:val="nil"/>
            </w:tcBorders>
            <w:shd w:val="clear" w:color="auto" w:fill="auto"/>
            <w:vAlign w:val="center"/>
          </w:tcPr>
          <w:p w14:paraId="5B9DF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78EA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260" w:type="dxa"/>
            <w:gridSpan w:val="10"/>
            <w:tcBorders>
              <w:top w:val="nil"/>
              <w:left w:val="nil"/>
              <w:bottom w:val="single" w:color="000000" w:sz="4" w:space="0"/>
              <w:right w:val="nil"/>
            </w:tcBorders>
            <w:shd w:val="clear" w:color="auto" w:fill="auto"/>
            <w:vAlign w:val="center"/>
          </w:tcPr>
          <w:p w14:paraId="52F205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AC7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5B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E19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r>
      <w:tr w14:paraId="172E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FE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CE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AC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8B3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5773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44A4">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64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160.13</w:t>
            </w:r>
          </w:p>
        </w:tc>
        <w:tc>
          <w:tcPr>
            <w:tcW w:w="2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B87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160.13</w:t>
            </w:r>
          </w:p>
        </w:tc>
        <w:tc>
          <w:tcPr>
            <w:tcW w:w="2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E0D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B2A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F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3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A5C7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深入推进综合改革，提升为农服务能力。;加快体制、机制创新;有效的开展调运、储备重要物质工作;维护合作经济组织的合法权益;推进农业产业化经营;推进建立现代化流通体系和现代化营销方式;确保社有资产的保值、增值;加强对外经济合作;完成好上级主管部门、县委县政府交办的其他工作;</w:t>
            </w:r>
          </w:p>
        </w:tc>
      </w:tr>
      <w:tr w14:paraId="3B04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CC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1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506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7FFC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4221">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6B8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加强项目建设和储备</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DC76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申报项目资金，开展</w:t>
            </w:r>
            <w:r>
              <w:rPr>
                <w:rFonts w:hint="eastAsia" w:ascii="宋体" w:hAnsi="宋体" w:eastAsia="宋体" w:cs="宋体"/>
                <w:i w:val="0"/>
                <w:iCs w:val="0"/>
                <w:color w:val="000000"/>
                <w:kern w:val="0"/>
                <w:sz w:val="18"/>
                <w:szCs w:val="18"/>
                <w:u w:val="none"/>
                <w:lang w:val="en-US" w:eastAsia="zh-CN" w:bidi="ar"/>
              </w:rPr>
              <w:t>茂县</w:t>
            </w:r>
            <w:r>
              <w:rPr>
                <w:rFonts w:ascii="宋体" w:hAnsi="宋体" w:eastAsia="宋体" w:cs="宋体"/>
                <w:i w:val="0"/>
                <w:iCs w:val="0"/>
                <w:color w:val="000000"/>
                <w:kern w:val="0"/>
                <w:sz w:val="18"/>
                <w:szCs w:val="18"/>
                <w:u w:val="none"/>
                <w:lang w:val="en-US" w:eastAsia="zh-CN" w:bidi="ar"/>
              </w:rPr>
              <w:t>农特产品推介，拓宽茂县农产品销路，使农户增收致富。</w:t>
            </w:r>
          </w:p>
        </w:tc>
      </w:tr>
      <w:tr w14:paraId="3936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D1A72">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AA3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深化企业改革发展</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5CD6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深化企业改革发展，转型企业经营模式和方向，采取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技物结合</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的方式，强化服务职能。</w:t>
            </w:r>
          </w:p>
        </w:tc>
      </w:tr>
      <w:tr w14:paraId="3120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DAFD">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E1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加强政治理论学习，强化党建引领</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162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建立健全学习制度，深入学习贯彻党的二十大精神，认真履行</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一岗双责</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，扎实推进党风廉政建设和反腐败工作。</w:t>
            </w:r>
          </w:p>
        </w:tc>
      </w:tr>
      <w:tr w14:paraId="47A4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15A1">
            <w:pPr>
              <w:jc w:val="center"/>
              <w:rPr>
                <w:rFonts w:hint="eastAsia" w:ascii="宋体" w:hAnsi="宋体" w:eastAsia="宋体" w:cs="宋体"/>
                <w:i w:val="0"/>
                <w:iCs w:val="0"/>
                <w:color w:val="000000"/>
                <w:sz w:val="18"/>
                <w:szCs w:val="18"/>
                <w:u w:val="none"/>
              </w:rPr>
            </w:pP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57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w:t>
            </w:r>
          </w:p>
        </w:tc>
        <w:tc>
          <w:tcPr>
            <w:tcW w:w="50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236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持续做好二不寨村和供销系统的”五防一安全“和群众的矛盾化解暨安全稳定工作，切实维护人民群众生命财产安全。</w:t>
            </w:r>
          </w:p>
        </w:tc>
      </w:tr>
      <w:tr w14:paraId="3974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5B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3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8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41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5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8B2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实际完成数</w:t>
            </w:r>
          </w:p>
        </w:tc>
      </w:tr>
      <w:tr w14:paraId="26B9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701F">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80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3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13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在规定时限内完成所需项目申报工作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A1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62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1C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90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4A4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1DB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B0BD">
            <w:pPr>
              <w:jc w:val="cente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E7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53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F5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拓宽茂县农产品销路，使农户增收致富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E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12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7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E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107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66E4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6AC0">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68D0">
            <w:pPr>
              <w:jc w:val="left"/>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F8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32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积极有效解决服务对象及供销系统相关问题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D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9C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1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3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75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AAA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ECA9">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4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8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F5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服务对象对我社服务满意度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B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6D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08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4E1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r>
      <w:tr w14:paraId="61A7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AD96">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0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1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EFE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以农资补贴形式，在我社购买肥料每100元享受5元补贴，减少农民5%的投入成本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0D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8C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CA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5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2ED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bl>
    <w:p w14:paraId="47CBA406">
      <w:pPr>
        <w:pStyle w:val="9"/>
        <w:ind w:left="0" w:leftChars="0" w:firstLine="0" w:firstLineChars="0"/>
        <w:rPr>
          <w:rFonts w:ascii="Times New Roman" w:eastAsia="黑体"/>
          <w:sz w:val="24"/>
          <w:szCs w:val="24"/>
        </w:rPr>
      </w:pPr>
    </w:p>
    <w:p w14:paraId="7690BA52">
      <w:pPr>
        <w:pStyle w:val="9"/>
        <w:ind w:left="0" w:leftChars="0" w:firstLine="0" w:firstLineChars="0"/>
        <w:rPr>
          <w:rFonts w:ascii="Times New Roman" w:eastAsia="黑体"/>
          <w:sz w:val="24"/>
          <w:szCs w:val="24"/>
        </w:rPr>
      </w:pPr>
    </w:p>
    <w:p w14:paraId="64B501EC">
      <w:pPr>
        <w:pStyle w:val="9"/>
        <w:ind w:left="0" w:leftChars="0" w:firstLine="0" w:firstLineChars="0"/>
        <w:rPr>
          <w:rFonts w:ascii="Times New Roman" w:eastAsia="黑体"/>
          <w:sz w:val="24"/>
          <w:szCs w:val="24"/>
        </w:rPr>
      </w:pPr>
    </w:p>
    <w:p w14:paraId="27E7523E">
      <w:pPr>
        <w:pStyle w:val="9"/>
        <w:ind w:left="0" w:leftChars="0" w:firstLine="0" w:firstLineChars="0"/>
        <w:rPr>
          <w:rFonts w:ascii="Times New Roman" w:eastAsia="黑体"/>
          <w:sz w:val="24"/>
          <w:szCs w:val="24"/>
        </w:rPr>
      </w:pPr>
    </w:p>
    <w:p w14:paraId="744CDEC1">
      <w:pPr>
        <w:pStyle w:val="9"/>
        <w:ind w:left="0" w:leftChars="0" w:firstLine="0" w:firstLineChars="0"/>
        <w:rPr>
          <w:rFonts w:ascii="Times New Roman" w:eastAsia="黑体"/>
          <w:sz w:val="24"/>
          <w:szCs w:val="24"/>
        </w:rPr>
      </w:pPr>
    </w:p>
    <w:p w14:paraId="4064BA6B">
      <w:pPr>
        <w:pStyle w:val="9"/>
        <w:ind w:left="0" w:leftChars="0" w:firstLine="0" w:firstLineChars="0"/>
        <w:rPr>
          <w:rFonts w:ascii="Times New Roman" w:eastAsia="黑体"/>
          <w:sz w:val="24"/>
          <w:szCs w:val="24"/>
        </w:rPr>
      </w:pPr>
    </w:p>
    <w:p w14:paraId="03E4B0B5">
      <w:pPr>
        <w:pStyle w:val="9"/>
        <w:ind w:left="0" w:leftChars="0" w:firstLine="0" w:firstLineChars="0"/>
        <w:rPr>
          <w:rFonts w:ascii="Times New Roman" w:eastAsia="黑体"/>
          <w:sz w:val="24"/>
          <w:szCs w:val="24"/>
        </w:rPr>
      </w:pPr>
    </w:p>
    <w:p w14:paraId="3A10430D">
      <w:pPr>
        <w:pStyle w:val="9"/>
        <w:ind w:left="0" w:leftChars="0" w:firstLine="0" w:firstLineChars="0"/>
        <w:rPr>
          <w:rFonts w:ascii="Times New Roman" w:eastAsia="黑体"/>
          <w:sz w:val="24"/>
          <w:szCs w:val="24"/>
        </w:rPr>
      </w:pPr>
    </w:p>
    <w:p w14:paraId="0C31DA1B">
      <w:pPr>
        <w:pStyle w:val="9"/>
        <w:ind w:left="0" w:leftChars="0" w:firstLine="0" w:firstLineChars="0"/>
        <w:rPr>
          <w:rFonts w:ascii="Times New Roman" w:eastAsia="黑体"/>
          <w:sz w:val="24"/>
          <w:szCs w:val="24"/>
        </w:rPr>
      </w:pPr>
    </w:p>
    <w:p w14:paraId="2FC49A81">
      <w:pPr>
        <w:pStyle w:val="9"/>
        <w:ind w:left="0" w:leftChars="0" w:firstLine="0" w:firstLineChars="0"/>
        <w:rPr>
          <w:rFonts w:ascii="Times New Roman" w:eastAsia="黑体"/>
          <w:sz w:val="24"/>
          <w:szCs w:val="24"/>
        </w:rPr>
      </w:pPr>
    </w:p>
    <w:p w14:paraId="427919AA">
      <w:pPr>
        <w:pStyle w:val="9"/>
        <w:ind w:left="0" w:leftChars="0" w:firstLine="0" w:firstLineChars="0"/>
        <w:rPr>
          <w:rFonts w:ascii="Times New Roman" w:eastAsia="黑体"/>
          <w:sz w:val="24"/>
          <w:szCs w:val="24"/>
        </w:rPr>
      </w:pPr>
    </w:p>
    <w:p w14:paraId="3185C3F5">
      <w:pPr>
        <w:pStyle w:val="9"/>
        <w:ind w:left="0" w:leftChars="0" w:firstLine="0" w:firstLineChars="0"/>
        <w:rPr>
          <w:rFonts w:ascii="Times New Roman" w:eastAsia="黑体"/>
          <w:sz w:val="24"/>
          <w:szCs w:val="24"/>
        </w:rPr>
      </w:pPr>
    </w:p>
    <w:p w14:paraId="4691AB92">
      <w:pPr>
        <w:pStyle w:val="9"/>
        <w:ind w:left="0" w:leftChars="0" w:firstLine="0" w:firstLineChars="0"/>
        <w:rPr>
          <w:rFonts w:ascii="Times New Roman" w:eastAsia="黑体"/>
          <w:sz w:val="24"/>
          <w:szCs w:val="24"/>
        </w:rPr>
      </w:pPr>
    </w:p>
    <w:p w14:paraId="51AAA7DF">
      <w:pPr>
        <w:pStyle w:val="9"/>
        <w:ind w:left="0" w:leftChars="0" w:firstLine="0" w:firstLineChars="0"/>
        <w:rPr>
          <w:rFonts w:ascii="Times New Roman" w:eastAsia="黑体"/>
          <w:sz w:val="24"/>
          <w:szCs w:val="24"/>
        </w:rPr>
      </w:pPr>
    </w:p>
    <w:p w14:paraId="788B7EAC">
      <w:pPr>
        <w:pStyle w:val="9"/>
        <w:ind w:left="0" w:leftChars="0" w:firstLine="0" w:firstLineChars="0"/>
        <w:rPr>
          <w:rFonts w:ascii="Times New Roman" w:eastAsia="黑体"/>
          <w:sz w:val="24"/>
          <w:szCs w:val="24"/>
        </w:rPr>
      </w:pPr>
    </w:p>
    <w:p w14:paraId="0CBA8A3D">
      <w:pPr>
        <w:pStyle w:val="9"/>
        <w:ind w:left="0" w:leftChars="0" w:firstLine="0" w:firstLineChars="0"/>
        <w:rPr>
          <w:rFonts w:ascii="Times New Roman" w:eastAsia="黑体"/>
          <w:sz w:val="24"/>
          <w:szCs w:val="24"/>
        </w:rPr>
      </w:pPr>
    </w:p>
    <w:p w14:paraId="0E97D9C1">
      <w:pPr>
        <w:pStyle w:val="9"/>
        <w:ind w:left="0" w:leftChars="0" w:firstLine="0" w:firstLineChars="0"/>
        <w:rPr>
          <w:rFonts w:ascii="Times New Roman" w:eastAsia="黑体"/>
          <w:sz w:val="24"/>
          <w:szCs w:val="24"/>
        </w:rPr>
      </w:pPr>
    </w:p>
    <w:p w14:paraId="39CC26A5">
      <w:pPr>
        <w:pStyle w:val="9"/>
        <w:ind w:left="0" w:leftChars="0" w:firstLine="0" w:firstLineChars="0"/>
        <w:rPr>
          <w:rFonts w:ascii="Times New Roman" w:eastAsia="黑体"/>
          <w:sz w:val="24"/>
          <w:szCs w:val="24"/>
        </w:rPr>
      </w:pPr>
    </w:p>
    <w:p w14:paraId="71570ADC">
      <w:pPr>
        <w:pStyle w:val="9"/>
        <w:ind w:left="0" w:leftChars="0" w:firstLine="0" w:firstLineChars="0"/>
        <w:rPr>
          <w:rFonts w:ascii="Times New Roman" w:eastAsia="黑体"/>
          <w:sz w:val="24"/>
          <w:szCs w:val="24"/>
        </w:rPr>
      </w:pPr>
    </w:p>
    <w:p w14:paraId="2F4D92C6">
      <w:pPr>
        <w:pStyle w:val="9"/>
        <w:ind w:left="0" w:leftChars="0" w:firstLine="0" w:firstLineChars="0"/>
        <w:rPr>
          <w:rFonts w:ascii="Times New Roman" w:eastAsia="黑体"/>
          <w:sz w:val="24"/>
          <w:szCs w:val="24"/>
        </w:rPr>
      </w:pPr>
    </w:p>
    <w:p w14:paraId="53EDEB49">
      <w:pPr>
        <w:pStyle w:val="9"/>
        <w:ind w:left="0" w:leftChars="0" w:firstLine="0" w:firstLineChars="0"/>
        <w:rPr>
          <w:rFonts w:ascii="Times New Roman" w:eastAsia="黑体"/>
          <w:sz w:val="24"/>
          <w:szCs w:val="24"/>
        </w:rPr>
      </w:pPr>
    </w:p>
    <w:p w14:paraId="0D6297DF">
      <w:pPr>
        <w:pStyle w:val="9"/>
        <w:ind w:left="0" w:leftChars="0" w:firstLine="0" w:firstLineChars="0"/>
        <w:rPr>
          <w:rFonts w:ascii="Times New Roman" w:eastAsia="黑体"/>
          <w:sz w:val="24"/>
          <w:szCs w:val="24"/>
        </w:rPr>
      </w:pPr>
    </w:p>
    <w:p w14:paraId="4D4D1F38">
      <w:pPr>
        <w:pStyle w:val="9"/>
        <w:ind w:left="0" w:leftChars="0" w:firstLine="0" w:firstLineChars="0"/>
        <w:rPr>
          <w:rFonts w:ascii="Times New Roman" w:eastAsia="黑体"/>
          <w:sz w:val="24"/>
          <w:szCs w:val="24"/>
        </w:rPr>
      </w:pPr>
    </w:p>
    <w:p w14:paraId="2960CB4B">
      <w:pPr>
        <w:pStyle w:val="9"/>
        <w:ind w:left="0" w:leftChars="0" w:firstLine="0" w:firstLineChars="0"/>
        <w:rPr>
          <w:rFonts w:ascii="Times New Roman" w:eastAsia="黑体"/>
          <w:sz w:val="24"/>
          <w:szCs w:val="24"/>
        </w:rPr>
      </w:pPr>
    </w:p>
    <w:p w14:paraId="21EAAC9E">
      <w:pPr>
        <w:pStyle w:val="9"/>
        <w:ind w:left="0" w:leftChars="0" w:firstLine="0" w:firstLineChars="0"/>
        <w:rPr>
          <w:rFonts w:ascii="Times New Roman" w:eastAsia="黑体"/>
          <w:sz w:val="24"/>
          <w:szCs w:val="24"/>
        </w:rPr>
      </w:pPr>
    </w:p>
    <w:p w14:paraId="3950026E">
      <w:pPr>
        <w:pStyle w:val="9"/>
        <w:ind w:left="0" w:leftChars="0" w:firstLine="0" w:firstLineChars="0"/>
        <w:rPr>
          <w:rFonts w:ascii="Times New Roman" w:eastAsia="黑体"/>
          <w:sz w:val="24"/>
          <w:szCs w:val="24"/>
        </w:rPr>
      </w:pPr>
    </w:p>
    <w:p w14:paraId="76A7E9E5">
      <w:pPr>
        <w:pStyle w:val="9"/>
        <w:ind w:left="0" w:leftChars="0" w:firstLine="0" w:firstLineChars="0"/>
        <w:rPr>
          <w:rFonts w:ascii="Times New Roman" w:eastAsia="黑体"/>
          <w:sz w:val="24"/>
          <w:szCs w:val="24"/>
        </w:rPr>
      </w:pPr>
    </w:p>
    <w:p w14:paraId="16DEA337">
      <w:pPr>
        <w:pStyle w:val="9"/>
        <w:ind w:left="0" w:leftChars="0" w:firstLine="0" w:firstLineChars="0"/>
        <w:rPr>
          <w:rFonts w:ascii="Times New Roman" w:eastAsia="黑体"/>
          <w:sz w:val="24"/>
          <w:szCs w:val="24"/>
        </w:rPr>
      </w:pPr>
    </w:p>
    <w:p w14:paraId="559E2870">
      <w:pPr>
        <w:spacing w:line="600" w:lineRule="exact"/>
        <w:jc w:val="lef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38314F72">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茂县供销合作社联合社</w:t>
      </w:r>
    </w:p>
    <w:p w14:paraId="1EE98DA0">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“茂农服”数字平台项目绩效评价报告</w:t>
      </w:r>
    </w:p>
    <w:p w14:paraId="60F3F562">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lang w:val="zh-CN" w:eastAsia="zh-CN" w:bidi="ar-SA"/>
        </w:rPr>
      </w:pPr>
    </w:p>
    <w:p w14:paraId="597FE45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E837557">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14:paraId="4A1F037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cs="Times New Roman"/>
          <w:kern w:val="2"/>
          <w:sz w:val="32"/>
          <w:szCs w:val="32"/>
          <w:u w:val="none"/>
          <w:lang w:eastAsia="zh-CN"/>
        </w:rPr>
      </w:pPr>
      <w:r>
        <w:rPr>
          <w:rFonts w:hint="eastAsia" w:ascii="仿宋_GB2312" w:eastAsia="仿宋_GB2312" w:cs="Times New Roman"/>
          <w:kern w:val="2"/>
          <w:sz w:val="32"/>
          <w:szCs w:val="32"/>
          <w:u w:val="none"/>
          <w:lang w:val="en-US" w:eastAsia="zh-CN"/>
        </w:rPr>
        <w:t>根据《浙江省平湖市、四川省茂县战略框架合作协议》，为进一步加快茂县数字农业发展，2022年2月向县对口支援和省内对口帮扶工作领导小组申请《关于审定&lt;茂县数字农业服务平台项目实施方案&gt;（茂供〔2022〕9号文件）》，3月下达了《关于&lt;茂县2022年浙江对口支援项目资金预安排的函&gt;（茂受援办函〔2022〕6号）文件》安排资金290万元。</w:t>
      </w:r>
    </w:p>
    <w:p w14:paraId="11720A25">
      <w:pPr>
        <w:keepNext w:val="0"/>
        <w:keepLines w:val="0"/>
        <w:pageBreakBefore w:val="0"/>
        <w:kinsoku/>
        <w:wordWrap/>
        <w:overflowPunct/>
        <w:topLinePunct w:val="0"/>
        <w:autoSpaceDE/>
        <w:autoSpaceDN/>
        <w:bidi w:val="0"/>
        <w:spacing w:line="576" w:lineRule="exact"/>
        <w:ind w:firstLine="645"/>
        <w:textAlignment w:val="auto"/>
        <w:rPr>
          <w:rFonts w:ascii="楷体_GB2312" w:hAnsi="宋体" w:eastAsia="楷体_GB2312"/>
          <w:b/>
          <w:sz w:val="32"/>
          <w:szCs w:val="32"/>
        </w:rPr>
      </w:pPr>
      <w:r>
        <w:rPr>
          <w:rFonts w:hint="eastAsia" w:ascii="楷体_GB2312" w:hAnsi="宋体" w:eastAsia="楷体_GB2312"/>
          <w:b/>
          <w:sz w:val="32"/>
          <w:szCs w:val="32"/>
          <w:lang w:val="zh-CN"/>
        </w:rPr>
        <w:t>（二）</w:t>
      </w:r>
      <w:r>
        <w:rPr>
          <w:rFonts w:ascii="楷体_GB2312" w:hAnsi="宋体" w:eastAsia="楷体_GB2312"/>
          <w:b/>
          <w:sz w:val="32"/>
          <w:szCs w:val="32"/>
        </w:rPr>
        <w:t>实施目的及支持方向</w:t>
      </w:r>
    </w:p>
    <w:p w14:paraId="3760F552">
      <w:pPr>
        <w:keepNext w:val="0"/>
        <w:keepLines w:val="0"/>
        <w:pageBreakBefore w:val="0"/>
        <w:kinsoku/>
        <w:wordWrap/>
        <w:overflowPunct/>
        <w:topLinePunct w:val="0"/>
        <w:autoSpaceDE/>
        <w:autoSpaceDN/>
        <w:bidi w:val="0"/>
        <w:spacing w:line="576" w:lineRule="exact"/>
        <w:ind w:firstLine="645"/>
        <w:textAlignment w:val="auto"/>
        <w:rPr>
          <w:rFonts w:hint="eastAsia" w:ascii="仿宋_GB2312" w:hAnsi="Times New Roman" w:eastAsia="仿宋_GB2312" w:cs="仿宋_GB2312"/>
          <w:sz w:val="32"/>
          <w:szCs w:val="32"/>
          <w:lang w:val="zh-CN" w:eastAsia="zh-CN"/>
        </w:rPr>
      </w:pPr>
      <w:r>
        <w:rPr>
          <w:rFonts w:hint="eastAsia" w:ascii="仿宋_GB2312" w:eastAsia="仿宋_GB2312"/>
          <w:sz w:val="32"/>
          <w:szCs w:val="32"/>
        </w:rPr>
        <w:t>按照《数字乡村发展战略纲要》的有关要求，积极推进乡村数字化建设，以数字化手段为乡村振兴和现代农业发展赋能</w:t>
      </w:r>
      <w:r>
        <w:rPr>
          <w:rFonts w:hint="eastAsia" w:ascii="仿宋" w:eastAsia="仿宋" w:cs="仿宋"/>
          <w:sz w:val="32"/>
          <w:szCs w:val="32"/>
        </w:rPr>
        <w:t>。</w:t>
      </w:r>
      <w:r>
        <w:rPr>
          <w:rFonts w:hint="eastAsia" w:ascii="仿宋_GB2312" w:eastAsia="仿宋_GB2312" w:cs="Times New Roman"/>
          <w:kern w:val="2"/>
          <w:sz w:val="32"/>
          <w:szCs w:val="32"/>
          <w:u w:val="none"/>
        </w:rPr>
        <w:t>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p>
    <w:p w14:paraId="27CF718A">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楷体_GB2312" w:hAnsi="宋体" w:eastAsia="楷体_GB2312"/>
          <w:b/>
          <w:sz w:val="32"/>
          <w:szCs w:val="32"/>
        </w:rPr>
      </w:pPr>
      <w:r>
        <w:rPr>
          <w:rFonts w:hint="eastAsia" w:ascii="楷体_GB2312" w:hAnsi="宋体" w:eastAsia="楷体_GB2312"/>
          <w:b/>
          <w:sz w:val="32"/>
          <w:szCs w:val="32"/>
          <w:lang w:val="zh-CN"/>
        </w:rPr>
        <w:t>（三）</w:t>
      </w:r>
      <w:r>
        <w:rPr>
          <w:rFonts w:ascii="楷体_GB2312" w:hAnsi="宋体" w:eastAsia="楷体_GB2312"/>
          <w:b/>
          <w:sz w:val="32"/>
          <w:szCs w:val="32"/>
        </w:rPr>
        <w:t>预算安排及分配管理</w:t>
      </w:r>
    </w:p>
    <w:p w14:paraId="2576BF8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eastAsia="仿宋_GB2312" w:cs="Times New Roman"/>
          <w:kern w:val="2"/>
          <w:sz w:val="32"/>
          <w:szCs w:val="32"/>
          <w:u w:val="none"/>
        </w:rPr>
        <w:t>预算</w:t>
      </w:r>
      <w:r>
        <w:rPr>
          <w:rFonts w:hint="eastAsia" w:ascii="仿宋_GB2312" w:eastAsia="仿宋_GB2312" w:cs="Times New Roman"/>
          <w:kern w:val="2"/>
          <w:sz w:val="32"/>
          <w:szCs w:val="32"/>
          <w:u w:val="none"/>
          <w:lang w:val="en-US" w:eastAsia="zh-CN"/>
        </w:rPr>
        <w:t>安排资金320</w:t>
      </w:r>
      <w:r>
        <w:rPr>
          <w:rFonts w:hint="eastAsia" w:ascii="仿宋_GB2312" w:eastAsia="仿宋_GB2312" w:cs="Times New Roman"/>
          <w:kern w:val="2"/>
          <w:sz w:val="32"/>
          <w:szCs w:val="32"/>
          <w:u w:val="none"/>
        </w:rPr>
        <w:t>万元，</w:t>
      </w:r>
      <w:r>
        <w:rPr>
          <w:rFonts w:hint="eastAsia" w:ascii="仿宋_GB2312" w:eastAsia="仿宋_GB2312" w:cs="Times New Roman"/>
          <w:kern w:val="2"/>
          <w:sz w:val="32"/>
          <w:szCs w:val="32"/>
          <w:u w:val="none"/>
          <w:lang w:val="en-US" w:eastAsia="zh-CN"/>
        </w:rPr>
        <w:t>其中：</w:t>
      </w:r>
      <w:r>
        <w:rPr>
          <w:rFonts w:hint="eastAsia" w:ascii="仿宋_GB2312" w:eastAsia="仿宋_GB2312" w:cs="Times New Roman"/>
          <w:kern w:val="2"/>
          <w:sz w:val="32"/>
          <w:szCs w:val="32"/>
          <w:u w:val="none"/>
        </w:rPr>
        <w:t>基础设备设施</w:t>
      </w:r>
      <w:r>
        <w:rPr>
          <w:rFonts w:hint="eastAsia" w:ascii="仿宋_GB2312" w:eastAsia="仿宋_GB2312" w:cs="Times New Roman"/>
          <w:kern w:val="2"/>
          <w:sz w:val="32"/>
          <w:szCs w:val="32"/>
          <w:u w:val="none"/>
          <w:lang w:val="en-US" w:eastAsia="zh-CN"/>
        </w:rPr>
        <w:t>及</w:t>
      </w:r>
      <w:r>
        <w:rPr>
          <w:rFonts w:hint="eastAsia" w:ascii="仿宋_GB2312" w:eastAsia="仿宋_GB2312" w:cs="Times New Roman"/>
          <w:kern w:val="2"/>
          <w:sz w:val="32"/>
          <w:szCs w:val="32"/>
          <w:u w:val="none"/>
          <w:lang w:eastAsia="zh-CN"/>
        </w:rPr>
        <w:t>茂县数字农业服务平台</w:t>
      </w:r>
      <w:r>
        <w:rPr>
          <w:rFonts w:hint="eastAsia" w:ascii="仿宋_GB2312" w:eastAsia="仿宋_GB2312" w:cs="Times New Roman"/>
          <w:kern w:val="2"/>
          <w:sz w:val="32"/>
          <w:szCs w:val="32"/>
          <w:u w:val="none"/>
          <w:lang w:val="en-US" w:eastAsia="zh-CN"/>
        </w:rPr>
        <w:t>252</w:t>
      </w:r>
      <w:r>
        <w:rPr>
          <w:rFonts w:hint="eastAsia" w:ascii="仿宋_GB2312" w:eastAsia="仿宋_GB2312" w:cs="Times New Roman"/>
          <w:kern w:val="2"/>
          <w:sz w:val="32"/>
          <w:szCs w:val="32"/>
          <w:u w:val="none"/>
          <w:lang w:eastAsia="zh-CN"/>
        </w:rPr>
        <w:t>万元、</w:t>
      </w:r>
      <w:r>
        <w:rPr>
          <w:rFonts w:hint="eastAsia" w:ascii="仿宋_GB2312" w:eastAsia="仿宋_GB2312" w:cs="Times New Roman"/>
          <w:kern w:val="2"/>
          <w:sz w:val="32"/>
          <w:szCs w:val="32"/>
          <w:u w:val="none"/>
          <w:lang w:val="en-US" w:eastAsia="zh-CN"/>
        </w:rPr>
        <w:t>三社融合资金50万元、</w:t>
      </w:r>
      <w:r>
        <w:rPr>
          <w:rFonts w:hint="eastAsia" w:ascii="仿宋_GB2312" w:eastAsia="仿宋_GB2312" w:cs="Times New Roman"/>
          <w:kern w:val="2"/>
          <w:sz w:val="32"/>
          <w:szCs w:val="32"/>
          <w:u w:val="none"/>
          <w:lang w:eastAsia="zh-CN"/>
        </w:rPr>
        <w:t>二类费用</w:t>
      </w:r>
      <w:r>
        <w:rPr>
          <w:rFonts w:hint="eastAsia" w:ascii="仿宋_GB2312" w:eastAsia="仿宋_GB2312" w:cs="Times New Roman"/>
          <w:kern w:val="2"/>
          <w:sz w:val="32"/>
          <w:szCs w:val="32"/>
          <w:u w:val="none"/>
          <w:lang w:val="en-US" w:eastAsia="zh-CN"/>
        </w:rPr>
        <w:t>18</w:t>
      </w:r>
      <w:r>
        <w:rPr>
          <w:rFonts w:hint="eastAsia" w:ascii="仿宋_GB2312" w:eastAsia="仿宋_GB2312" w:cs="Times New Roman"/>
          <w:kern w:val="2"/>
          <w:sz w:val="32"/>
          <w:szCs w:val="32"/>
          <w:u w:val="none"/>
          <w:lang w:eastAsia="zh-CN"/>
        </w:rPr>
        <w:t>万元。</w:t>
      </w:r>
    </w:p>
    <w:p w14:paraId="57C5868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二、评价实施</w:t>
      </w:r>
    </w:p>
    <w:p w14:paraId="785220A9">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（一）评价目的</w:t>
      </w:r>
    </w:p>
    <w:p w14:paraId="09778E70">
      <w:pPr>
        <w:keepNext w:val="0"/>
        <w:keepLines w:val="0"/>
        <w:pageBreakBefore w:val="0"/>
        <w:kinsoku/>
        <w:wordWrap/>
        <w:overflowPunct/>
        <w:topLinePunct w:val="0"/>
        <w:autoSpaceDE/>
        <w:autoSpaceDN/>
        <w:bidi w:val="0"/>
        <w:spacing w:line="576" w:lineRule="exact"/>
        <w:ind w:firstLine="640"/>
        <w:textAlignment w:val="auto"/>
        <w:rPr>
          <w:rFonts w:eastAsia="仿宋_GB2312"/>
          <w:sz w:val="32"/>
          <w:szCs w:val="32"/>
        </w:rPr>
      </w:pPr>
      <w:r>
        <w:rPr>
          <w:rFonts w:hint="eastAsia" w:eastAsia="仿宋_GB2312"/>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14:paraId="5DAFA6DA">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（二）预设问题及评价重点</w:t>
      </w:r>
    </w:p>
    <w:p w14:paraId="37C289F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eastAsia="仿宋_GB2312"/>
          <w:sz w:val="32"/>
          <w:szCs w:val="32"/>
        </w:rPr>
      </w:pPr>
      <w:r>
        <w:rPr>
          <w:rFonts w:hint="eastAsia" w:ascii="仿宋_GB2312" w:hAnsi="仿宋_GB2312" w:eastAsia="仿宋_GB2312" w:cs="仿宋_GB2312"/>
          <w:kern w:val="2"/>
          <w:sz w:val="32"/>
          <w:szCs w:val="32"/>
          <w:lang w:val="en-US" w:eastAsia="zh-CN"/>
        </w:rPr>
        <w:t>2022年</w:t>
      </w:r>
      <w:r>
        <w:rPr>
          <w:rFonts w:hint="eastAsia" w:ascii="仿宋_GB2312" w:eastAsia="仿宋_GB2312" w:cs="Times New Roman"/>
          <w:kern w:val="2"/>
          <w:sz w:val="32"/>
          <w:szCs w:val="32"/>
          <w:u w:val="none"/>
        </w:rPr>
        <w:t>茂县数字农业服务平台项目</w:t>
      </w:r>
      <w:r>
        <w:rPr>
          <w:rFonts w:hint="eastAsia" w:eastAsia="仿宋_GB2312"/>
          <w:sz w:val="32"/>
          <w:szCs w:val="32"/>
        </w:rPr>
        <w:t>资金支出使用全过程</w:t>
      </w:r>
      <w:r>
        <w:rPr>
          <w:rFonts w:hint="eastAsia" w:eastAsia="仿宋_GB2312"/>
          <w:sz w:val="32"/>
          <w:szCs w:val="32"/>
          <w:lang w:eastAsia="zh-CN"/>
        </w:rPr>
        <w:t>规范。</w:t>
      </w:r>
    </w:p>
    <w:p w14:paraId="39BF9A01">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（三）评价选点</w:t>
      </w:r>
    </w:p>
    <w:p w14:paraId="2E32E25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eastAsia="仿宋_GB2312"/>
          <w:sz w:val="32"/>
          <w:szCs w:val="32"/>
          <w:lang w:val="zh-CN"/>
        </w:rPr>
      </w:pPr>
      <w:r>
        <w:rPr>
          <w:rFonts w:hint="eastAsia" w:eastAsia="仿宋_GB2312"/>
          <w:sz w:val="32"/>
          <w:szCs w:val="32"/>
          <w:lang w:val="zh-CN"/>
        </w:rPr>
        <w:t>茂县供销合作社联合社</w:t>
      </w:r>
    </w:p>
    <w:p w14:paraId="77BD638D">
      <w:pPr>
        <w:keepNext w:val="0"/>
        <w:keepLines w:val="0"/>
        <w:pageBreakBefore w:val="0"/>
        <w:numPr>
          <w:ilvl w:val="0"/>
          <w:numId w:val="3"/>
        </w:numPr>
        <w:kinsoku/>
        <w:wordWrap/>
        <w:overflowPunct/>
        <w:topLinePunct w:val="0"/>
        <w:autoSpaceDE/>
        <w:autoSpaceDN/>
        <w:bidi w:val="0"/>
        <w:spacing w:line="576" w:lineRule="exact"/>
        <w:ind w:firstLine="64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评价方法</w:t>
      </w:r>
    </w:p>
    <w:p w14:paraId="0C353822">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eastAsia="仿宋_GB2312"/>
          <w:sz w:val="32"/>
          <w:szCs w:val="32"/>
        </w:rPr>
      </w:pPr>
      <w:r>
        <w:rPr>
          <w:rFonts w:hint="eastAsia" w:ascii="Times New Roman" w:hAnsi="Times New Roman" w:eastAsia="仿宋_GB2312" w:cs="Times New Roman"/>
          <w:sz w:val="32"/>
          <w:szCs w:val="32"/>
          <w:lang w:eastAsia="zh-CN"/>
        </w:rPr>
        <w:t>采用</w:t>
      </w:r>
      <w:r>
        <w:rPr>
          <w:rFonts w:eastAsia="仿宋_GB2312"/>
          <w:sz w:val="32"/>
          <w:szCs w:val="32"/>
        </w:rPr>
        <w:t>单位自评法</w:t>
      </w:r>
      <w:r>
        <w:rPr>
          <w:rFonts w:hint="eastAsia" w:eastAsia="仿宋_GB2312"/>
          <w:sz w:val="32"/>
          <w:szCs w:val="32"/>
        </w:rPr>
        <w:t>。</w:t>
      </w:r>
    </w:p>
    <w:p w14:paraId="68CFE1F5">
      <w:pPr>
        <w:keepNext w:val="0"/>
        <w:keepLines w:val="0"/>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14:paraId="5FB7F5B0">
      <w:pPr>
        <w:keepNext w:val="0"/>
        <w:keepLines w:val="0"/>
        <w:pageBreakBefore w:val="0"/>
        <w:kinsoku/>
        <w:wordWrap/>
        <w:overflowPunct/>
        <w:topLinePunct w:val="0"/>
        <w:autoSpaceDE/>
        <w:autoSpaceDN/>
        <w:bidi w:val="0"/>
        <w:spacing w:line="576" w:lineRule="exact"/>
        <w:ind w:firstLine="640"/>
        <w:textAlignment w:val="auto"/>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14:paraId="04EC31ED">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eastAsia="仿宋_GB2312"/>
          <w:sz w:val="32"/>
          <w:szCs w:val="32"/>
        </w:rPr>
        <w:t>1.项目决策。决策程序</w:t>
      </w:r>
      <w:r>
        <w:rPr>
          <w:rFonts w:hint="eastAsia" w:eastAsia="仿宋_GB2312"/>
          <w:sz w:val="32"/>
          <w:szCs w:val="32"/>
          <w:lang w:eastAsia="zh-CN"/>
        </w:rPr>
        <w:t>严密，</w:t>
      </w:r>
      <w:r>
        <w:rPr>
          <w:rFonts w:hint="eastAsia" w:eastAsia="仿宋_GB2312"/>
          <w:sz w:val="32"/>
          <w:szCs w:val="32"/>
        </w:rPr>
        <w:t>符合资金管理基本规范和决策程序要求</w:t>
      </w:r>
      <w:r>
        <w:rPr>
          <w:rFonts w:hint="eastAsia" w:eastAsia="仿宋_GB2312"/>
          <w:sz w:val="32"/>
          <w:szCs w:val="32"/>
          <w:lang w:eastAsia="zh-CN"/>
        </w:rPr>
        <w:t>。</w:t>
      </w:r>
      <w:r>
        <w:rPr>
          <w:rFonts w:hint="eastAsia" w:eastAsia="仿宋_GB2312"/>
          <w:sz w:val="32"/>
          <w:szCs w:val="32"/>
        </w:rPr>
        <w:t>规划论证符合中省要求、项目绩效目标设置科学合理</w:t>
      </w:r>
      <w:r>
        <w:rPr>
          <w:rFonts w:hint="eastAsia" w:eastAsia="仿宋_GB2312"/>
          <w:sz w:val="32"/>
          <w:szCs w:val="32"/>
          <w:lang w:eastAsia="zh-CN"/>
        </w:rPr>
        <w:t>。</w:t>
      </w:r>
      <w:r>
        <w:rPr>
          <w:rFonts w:hint="eastAsia" w:eastAsia="仿宋_GB2312"/>
          <w:sz w:val="32"/>
          <w:szCs w:val="32"/>
        </w:rPr>
        <w:t>资金投向与项目总体规划、相关行业事业发展相匹配。</w:t>
      </w:r>
    </w:p>
    <w:p w14:paraId="3750CB11">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ascii="楷体_GB2312" w:hAnsi="楷体_GB2312" w:eastAsia="楷体_GB2312" w:cs="楷体_GB2312"/>
          <w:sz w:val="32"/>
          <w:szCs w:val="32"/>
        </w:rPr>
        <w:t>2.</w:t>
      </w:r>
      <w:r>
        <w:rPr>
          <w:rFonts w:hint="eastAsia" w:eastAsia="仿宋_GB2312"/>
          <w:sz w:val="32"/>
          <w:szCs w:val="32"/>
        </w:rPr>
        <w:t>项目管理。项目资金分配因素选取、权重设置、区域分布，项目管理、审批符合管理要求、绩效监管按中省要求全面完成绩效目标（含事前评估）、绩效评价。</w:t>
      </w:r>
    </w:p>
    <w:p w14:paraId="38257493">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3.</w:t>
      </w:r>
      <w:r>
        <w:rPr>
          <w:rFonts w:hint="eastAsia" w:eastAsia="仿宋_GB2312"/>
          <w:sz w:val="32"/>
          <w:szCs w:val="32"/>
        </w:rPr>
        <w:t>项目实施。</w:t>
      </w:r>
      <w:r>
        <w:rPr>
          <w:rFonts w:hint="eastAsia" w:eastAsia="仿宋_GB2312"/>
          <w:sz w:val="32"/>
          <w:szCs w:val="32"/>
          <w:lang w:eastAsia="zh-CN"/>
        </w:rPr>
        <w:t>财政资金拨付率</w:t>
      </w:r>
      <w:r>
        <w:rPr>
          <w:rFonts w:hint="eastAsia" w:eastAsia="仿宋_GB2312"/>
          <w:sz w:val="32"/>
          <w:szCs w:val="32"/>
          <w:lang w:val="en-US" w:eastAsia="zh-CN"/>
        </w:rPr>
        <w:t>100%，使用率100%，无地方配套资金。</w:t>
      </w:r>
    </w:p>
    <w:p w14:paraId="2D9AF9F1">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4.</w:t>
      </w:r>
      <w:r>
        <w:rPr>
          <w:rFonts w:hint="eastAsia" w:eastAsia="仿宋_GB2312"/>
          <w:sz w:val="32"/>
          <w:szCs w:val="32"/>
        </w:rPr>
        <w:t>项目结果。完成预期目标，实施结果。与绩效目标相匹配</w:t>
      </w:r>
      <w:r>
        <w:rPr>
          <w:rFonts w:hint="eastAsia" w:eastAsia="仿宋_GB2312"/>
          <w:sz w:val="32"/>
          <w:szCs w:val="32"/>
          <w:lang w:eastAsia="zh-CN"/>
        </w:rPr>
        <w:t>。</w:t>
      </w:r>
    </w:p>
    <w:p w14:paraId="447DC98F">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14:paraId="0D626931">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1.</w:t>
      </w:r>
      <w:r>
        <w:rPr>
          <w:rFonts w:hint="eastAsia" w:eastAsia="仿宋_GB2312"/>
          <w:sz w:val="32"/>
          <w:szCs w:val="32"/>
        </w:rPr>
        <w:t>产业发展。与省委省政府支持重点、产业支持政策符合、对相关企业（机构）成长性的促进作用。</w:t>
      </w:r>
    </w:p>
    <w:p w14:paraId="57F4BCEC">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w:t>
      </w:r>
      <w:r>
        <w:rPr>
          <w:rFonts w:hint="eastAsia" w:eastAsia="仿宋_GB2312"/>
          <w:sz w:val="32"/>
          <w:szCs w:val="32"/>
          <w:lang w:val="zh-CN"/>
        </w:rPr>
        <w:t>行政运转。按规定用途、适用范围进行本地区专项资金分配。</w:t>
      </w:r>
    </w:p>
    <w:p w14:paraId="6D57E9F6">
      <w:pPr>
        <w:keepNext w:val="0"/>
        <w:keepLines w:val="0"/>
        <w:pageBreakBefore w:val="0"/>
        <w:kinsoku/>
        <w:wordWrap/>
        <w:overflowPunct/>
        <w:topLinePunct w:val="0"/>
        <w:autoSpaceDE/>
        <w:autoSpaceDN/>
        <w:bidi w:val="0"/>
        <w:spacing w:line="576" w:lineRule="exact"/>
        <w:ind w:firstLine="640"/>
        <w:textAlignment w:val="auto"/>
        <w:rPr>
          <w:rFonts w:eastAsia="楷体_GB2312"/>
          <w:b/>
          <w:bCs/>
          <w:color w:val="000000"/>
          <w:kern w:val="0"/>
          <w:sz w:val="32"/>
          <w:szCs w:val="32"/>
          <w:shd w:val="clear" w:color="auto" w:fill="FFFFFF"/>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rPr>
        <w:t>个性指标</w:t>
      </w:r>
      <w:r>
        <w:rPr>
          <w:rFonts w:eastAsia="楷体_GB2312"/>
          <w:b/>
          <w:bCs/>
          <w:color w:val="000000"/>
          <w:kern w:val="0"/>
          <w:sz w:val="32"/>
          <w:szCs w:val="32"/>
          <w:shd w:val="clear" w:color="auto" w:fill="FFFFFF"/>
          <w:lang w:val="zh-CN"/>
        </w:rPr>
        <w:t>绩效分析</w:t>
      </w:r>
    </w:p>
    <w:p w14:paraId="0DF5DF47">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eastAsia="仿宋_GB2312"/>
          <w:sz w:val="32"/>
          <w:szCs w:val="32"/>
          <w:lang w:val="zh-CN"/>
        </w:rPr>
        <w:t>根据项目设定指标如实完成。</w:t>
      </w:r>
    </w:p>
    <w:p w14:paraId="3DE45A7C">
      <w:pPr>
        <w:keepNext w:val="0"/>
        <w:keepLines w:val="0"/>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14:paraId="68AC3167">
      <w:pPr>
        <w:keepNext w:val="0"/>
        <w:keepLines w:val="0"/>
        <w:pageBreakBefore w:val="0"/>
        <w:kinsoku/>
        <w:wordWrap/>
        <w:overflowPunct/>
        <w:topLinePunct w:val="0"/>
        <w:autoSpaceDE/>
        <w:autoSpaceDN/>
        <w:bidi w:val="0"/>
        <w:spacing w:line="576" w:lineRule="exact"/>
        <w:ind w:left="49" w:firstLine="640" w:firstLineChars="200"/>
        <w:textAlignment w:val="auto"/>
        <w:rPr>
          <w:rFonts w:hint="eastAsia" w:ascii="仿宋_GB2312" w:hAnsi="仿宋_GB2312" w:eastAsia="仿宋_GB2312" w:cs="仿宋_GB2312"/>
          <w:kern w:val="2"/>
          <w:sz w:val="32"/>
          <w:szCs w:val="32"/>
        </w:rPr>
      </w:pPr>
      <w:r>
        <w:rPr>
          <w:rFonts w:hint="eastAsia" w:ascii="仿宋_GB2312" w:eastAsia="仿宋_GB2312" w:cs="Times New Roman"/>
          <w:kern w:val="2"/>
          <w:sz w:val="32"/>
          <w:szCs w:val="32"/>
          <w:u w:val="none"/>
        </w:rPr>
        <w:t>综合前述评估内容来看，该</w:t>
      </w:r>
      <w:r>
        <w:rPr>
          <w:rFonts w:hint="eastAsia" w:ascii="仿宋_GB2312" w:eastAsia="仿宋_GB2312" w:cs="Times New Roman"/>
          <w:color w:val="auto"/>
          <w:kern w:val="2"/>
          <w:sz w:val="32"/>
          <w:szCs w:val="32"/>
          <w:u w:val="none"/>
        </w:rPr>
        <w:t>项目</w:t>
      </w:r>
      <w:r>
        <w:rPr>
          <w:rFonts w:hint="eastAsia" w:ascii="仿宋_GB2312" w:eastAsia="仿宋_GB2312" w:cs="Times New Roman"/>
          <w:color w:val="auto"/>
          <w:kern w:val="2"/>
          <w:sz w:val="32"/>
          <w:szCs w:val="32"/>
          <w:u w:val="none"/>
          <w:lang w:val="en-US" w:eastAsia="zh-CN"/>
        </w:rPr>
        <w:t>依据</w:t>
      </w:r>
      <w:r>
        <w:rPr>
          <w:rFonts w:hint="eastAsia" w:ascii="仿宋_GB2312" w:eastAsia="仿宋_GB2312" w:cs="Times New Roman"/>
          <w:kern w:val="2"/>
          <w:sz w:val="32"/>
          <w:szCs w:val="32"/>
          <w:u w:val="none"/>
        </w:rPr>
        <w:t>充分，绩效目标明确，具备实施条件，具有公共性，符合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r>
        <w:rPr>
          <w:rFonts w:hint="eastAsia" w:ascii="仿宋_GB2312" w:eastAsia="仿宋_GB2312" w:cs="Times New Roman"/>
          <w:kern w:val="2"/>
          <w:sz w:val="32"/>
          <w:szCs w:val="32"/>
          <w:u w:val="none"/>
          <w:lang w:val="en-US" w:eastAsia="zh-CN"/>
        </w:rPr>
        <w:t>项目</w:t>
      </w:r>
      <w:r>
        <w:rPr>
          <w:rFonts w:hint="eastAsia" w:ascii="仿宋_GB2312" w:eastAsia="仿宋_GB2312" w:cs="Times New Roman"/>
          <w:kern w:val="2"/>
          <w:sz w:val="32"/>
          <w:szCs w:val="32"/>
          <w:u w:val="none"/>
        </w:rPr>
        <w:t>预算控制在</w:t>
      </w:r>
      <w:r>
        <w:rPr>
          <w:rFonts w:hint="eastAsia" w:ascii="仿宋_GB2312" w:eastAsia="仿宋_GB2312" w:cs="Times New Roman"/>
          <w:kern w:val="2"/>
          <w:sz w:val="32"/>
          <w:szCs w:val="32"/>
          <w:u w:val="none"/>
          <w:lang w:val="en-US" w:eastAsia="zh-CN"/>
        </w:rPr>
        <w:t>320</w:t>
      </w:r>
      <w:r>
        <w:rPr>
          <w:rFonts w:hint="eastAsia" w:ascii="仿宋_GB2312" w:eastAsia="仿宋_GB2312" w:cs="Times New Roman"/>
          <w:kern w:val="2"/>
          <w:sz w:val="32"/>
          <w:szCs w:val="32"/>
          <w:u w:val="none"/>
        </w:rPr>
        <w:t>万元以内</w:t>
      </w:r>
      <w:r>
        <w:rPr>
          <w:rFonts w:hint="eastAsia" w:ascii="仿宋_GB2312" w:eastAsia="仿宋_GB2312" w:cs="Times New Roman"/>
          <w:kern w:val="2"/>
          <w:sz w:val="32"/>
          <w:szCs w:val="32"/>
          <w:u w:val="none"/>
          <w:lang w:eastAsia="zh-CN"/>
        </w:rPr>
        <w:t>，</w:t>
      </w:r>
      <w:r>
        <w:rPr>
          <w:rFonts w:hint="eastAsia" w:ascii="仿宋_GB2312" w:eastAsia="仿宋_GB2312" w:cs="Times New Roman"/>
          <w:kern w:val="2"/>
          <w:sz w:val="32"/>
          <w:szCs w:val="32"/>
          <w:u w:val="none"/>
        </w:rPr>
        <w:t>申请资金</w:t>
      </w:r>
      <w:r>
        <w:rPr>
          <w:rFonts w:hint="eastAsia" w:ascii="仿宋_GB2312" w:eastAsia="仿宋_GB2312" w:cs="Times New Roman"/>
          <w:kern w:val="2"/>
          <w:sz w:val="32"/>
          <w:szCs w:val="32"/>
          <w:u w:val="none"/>
          <w:lang w:val="en-US" w:eastAsia="zh-CN"/>
        </w:rPr>
        <w:t>为290</w:t>
      </w:r>
      <w:r>
        <w:rPr>
          <w:rFonts w:hint="eastAsia" w:ascii="仿宋_GB2312" w:eastAsia="仿宋_GB2312" w:cs="Times New Roman"/>
          <w:kern w:val="2"/>
          <w:sz w:val="32"/>
          <w:szCs w:val="32"/>
          <w:u w:val="none"/>
        </w:rPr>
        <w:t xml:space="preserve"> 万元。我单位将进一步加强运行监控</w:t>
      </w:r>
      <w:r>
        <w:rPr>
          <w:rFonts w:hint="eastAsia" w:ascii="仿宋_GB2312" w:eastAsia="仿宋_GB2312" w:cs="Times New Roman"/>
          <w:kern w:val="2"/>
          <w:sz w:val="32"/>
          <w:szCs w:val="32"/>
          <w:u w:val="none"/>
          <w:lang w:eastAsia="zh-CN"/>
        </w:rPr>
        <w:t>，</w:t>
      </w:r>
      <w:r>
        <w:rPr>
          <w:rFonts w:hint="eastAsia" w:ascii="仿宋_GB2312" w:eastAsia="仿宋_GB2312" w:cs="Times New Roman"/>
          <w:kern w:val="2"/>
          <w:sz w:val="32"/>
          <w:szCs w:val="32"/>
          <w:u w:val="none"/>
        </w:rPr>
        <w:t>提升预算绩效管理水平</w:t>
      </w:r>
      <w:r>
        <w:rPr>
          <w:rFonts w:hint="eastAsia" w:ascii="仿宋_GB2312" w:eastAsia="仿宋_GB2312" w:cs="Times New Roman"/>
          <w:kern w:val="2"/>
          <w:sz w:val="32"/>
          <w:szCs w:val="32"/>
          <w:u w:val="none"/>
          <w:lang w:eastAsia="zh-CN"/>
        </w:rPr>
        <w:t>。</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eastAsia="仿宋_GB2312" w:cs="仿宋_GB2312"/>
          <w:kern w:val="0"/>
          <w:position w:val="0"/>
          <w:sz w:val="32"/>
          <w:szCs w:val="32"/>
          <w:highlight w:val="none"/>
          <w:u w:val="none"/>
          <w:shd w:val="clear" w:color="auto" w:fill="FFFFFF"/>
          <w:lang w:val="en-US" w:eastAsia="zh-CN" w:bidi="ar-SA"/>
        </w:rPr>
        <w:t>95</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14:paraId="06D9573D">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eastAsia="仿宋_GB2312"/>
          <w:color w:val="000000"/>
          <w:kern w:val="0"/>
          <w:sz w:val="32"/>
          <w:szCs w:val="32"/>
          <w:shd w:val="clear" w:color="auto" w:fill="FFFFFF"/>
          <w:lang w:val="zh-CN"/>
        </w:rPr>
      </w:pPr>
    </w:p>
    <w:p w14:paraId="74C9F475">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附表：1.项目资金分配涉及所有点位自评得分情况表</w:t>
      </w:r>
    </w:p>
    <w:p w14:paraId="6F17555F">
      <w:pPr>
        <w:keepNext w:val="0"/>
        <w:keepLines w:val="0"/>
        <w:pageBreakBefore w:val="0"/>
        <w:kinsoku/>
        <w:wordWrap/>
        <w:overflowPunct/>
        <w:topLinePunct w:val="0"/>
        <w:autoSpaceDE/>
        <w:autoSpaceDN/>
        <w:bidi w:val="0"/>
        <w:snapToGrid w:val="0"/>
        <w:spacing w:line="576" w:lineRule="exact"/>
        <w:ind w:firstLine="1600" w:firstLineChars="500"/>
        <w:textAlignment w:val="auto"/>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2.专项预算项目绩效目标完成情况自评表</w:t>
      </w:r>
    </w:p>
    <w:p w14:paraId="157AF025">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cs="Times New Roman"/>
          <w:kern w:val="2"/>
          <w:sz w:val="32"/>
          <w:szCs w:val="32"/>
          <w:u w:val="none"/>
          <w:lang w:val="en-US" w:eastAsia="zh-CN"/>
        </w:rPr>
      </w:pPr>
    </w:p>
    <w:p w14:paraId="4F04D425">
      <w:pPr>
        <w:keepNext w:val="0"/>
        <w:keepLines w:val="0"/>
        <w:pageBreakBefore w:val="0"/>
        <w:kinsoku/>
        <w:wordWrap/>
        <w:overflowPunct/>
        <w:topLinePunct w:val="0"/>
        <w:autoSpaceDE/>
        <w:autoSpaceDN/>
        <w:bidi w:val="0"/>
        <w:spacing w:line="576" w:lineRule="exact"/>
        <w:ind w:firstLine="4480" w:firstLineChars="1400"/>
        <w:textAlignment w:val="auto"/>
        <w:rPr>
          <w:rFonts w:hint="default" w:ascii="仿宋_GB2312" w:eastAsia="仿宋_GB2312" w:cs="Times New Roman"/>
          <w:kern w:val="2"/>
          <w:sz w:val="32"/>
          <w:szCs w:val="32"/>
          <w:u w:val="none"/>
          <w:lang w:val="en-US" w:eastAsia="zh-CN"/>
        </w:rPr>
      </w:pPr>
      <w:r>
        <w:rPr>
          <w:rFonts w:hint="eastAsia" w:ascii="仿宋_GB2312" w:eastAsia="仿宋_GB2312" w:cs="Times New Roman"/>
          <w:kern w:val="2"/>
          <w:sz w:val="32"/>
          <w:szCs w:val="32"/>
          <w:u w:val="none"/>
          <w:lang w:val="en-US" w:eastAsia="zh-CN"/>
        </w:rPr>
        <w:t>茂县供销合作社联合社</w:t>
      </w:r>
    </w:p>
    <w:p w14:paraId="39670407">
      <w:pPr>
        <w:keepNext w:val="0"/>
        <w:keepLines w:val="0"/>
        <w:pageBreakBefore w:val="0"/>
        <w:kinsoku/>
        <w:wordWrap/>
        <w:overflowPunct/>
        <w:topLinePunct w:val="0"/>
        <w:autoSpaceDE/>
        <w:autoSpaceDN/>
        <w:bidi w:val="0"/>
        <w:snapToGrid w:val="0"/>
        <w:spacing w:line="576" w:lineRule="exact"/>
        <w:ind w:firstLine="4800" w:firstLineChars="1500"/>
        <w:textAlignment w:val="auto"/>
        <w:rPr>
          <w:rFonts w:eastAsia="仿宋_GB2312"/>
          <w:color w:val="000000"/>
          <w:kern w:val="0"/>
          <w:sz w:val="32"/>
          <w:szCs w:val="32"/>
          <w:shd w:val="clear" w:color="auto" w:fill="FFFFFF"/>
          <w:lang w:val="zh-CN"/>
        </w:rPr>
      </w:pPr>
      <w:r>
        <w:rPr>
          <w:rFonts w:hint="eastAsia" w:ascii="仿宋_GB2312" w:eastAsia="仿宋_GB2312" w:cs="仿宋_GB2312"/>
          <w:sz w:val="32"/>
          <w:szCs w:val="32"/>
          <w:lang w:val="en-US" w:eastAsia="zh-CN"/>
        </w:rPr>
        <w:t>2024年8月8日</w:t>
      </w:r>
    </w:p>
    <w:p w14:paraId="485F7CCC">
      <w:pPr>
        <w:keepNext w:val="0"/>
        <w:keepLines w:val="0"/>
        <w:pageBreakBefore w:val="0"/>
        <w:kinsoku/>
        <w:wordWrap/>
        <w:overflowPunct/>
        <w:topLinePunct w:val="0"/>
        <w:autoSpaceDE/>
        <w:autoSpaceDN/>
        <w:bidi w:val="0"/>
        <w:spacing w:line="576" w:lineRule="exact"/>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br w:type="page"/>
      </w:r>
    </w:p>
    <w:p w14:paraId="15E3FEE9">
      <w:pPr>
        <w:widowControl/>
        <w:adjustRightInd w:val="0"/>
        <w:snapToGrid w:val="0"/>
        <w:spacing w:line="578"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47AE2386">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3E41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ABD7500">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14:paraId="047BEC66">
            <w:pPr>
              <w:spacing w:line="300" w:lineRule="exact"/>
              <w:jc w:val="center"/>
              <w:rPr>
                <w:rFonts w:ascii="黑体" w:hAnsi="黑体" w:eastAsia="黑体" w:cs="黑体"/>
                <w:sz w:val="24"/>
                <w:szCs w:val="24"/>
                <w:lang w:val="en"/>
              </w:rPr>
            </w:pPr>
            <w:r>
              <w:rPr>
                <w:rFonts w:hint="eastAsia" w:ascii="黑体" w:hAnsi="黑体" w:eastAsia="黑体" w:cs="黑体"/>
                <w:sz w:val="24"/>
                <w:szCs w:val="24"/>
              </w:rPr>
              <w:t>项目资金末端分配点位</w:t>
            </w:r>
          </w:p>
        </w:tc>
        <w:tc>
          <w:tcPr>
            <w:tcW w:w="2861" w:type="dxa"/>
          </w:tcPr>
          <w:p w14:paraId="69F34D83">
            <w:pPr>
              <w:spacing w:line="300" w:lineRule="exact"/>
              <w:jc w:val="center"/>
              <w:rPr>
                <w:rFonts w:ascii="黑体" w:hAnsi="黑体" w:eastAsia="黑体" w:cs="黑体"/>
                <w:sz w:val="24"/>
                <w:szCs w:val="24"/>
              </w:rPr>
            </w:pPr>
            <w:r>
              <w:rPr>
                <w:rFonts w:hint="eastAsia" w:ascii="黑体" w:hAnsi="黑体" w:eastAsia="黑体" w:cs="黑体"/>
                <w:sz w:val="24"/>
                <w:szCs w:val="24"/>
                <w:lang w:val="en"/>
              </w:rPr>
              <w:t>自评得分（百分制）</w:t>
            </w:r>
          </w:p>
        </w:tc>
        <w:tc>
          <w:tcPr>
            <w:tcW w:w="993" w:type="dxa"/>
          </w:tcPr>
          <w:p w14:paraId="70FA430A">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14:paraId="3AD1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1123" w:type="dxa"/>
          </w:tcPr>
          <w:p w14:paraId="2C3997C0">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14:paraId="13851B7C">
            <w:pPr>
              <w:spacing w:line="300" w:lineRule="exact"/>
              <w:rPr>
                <w:rFonts w:ascii="宋体" w:hAnsi="宋体" w:eastAsia="仿宋_GB2312" w:cs="宋体"/>
                <w:sz w:val="24"/>
                <w:szCs w:val="24"/>
                <w:lang w:val="en"/>
              </w:rPr>
            </w:pPr>
            <w:r>
              <w:rPr>
                <w:rFonts w:hint="eastAsia" w:ascii="仿宋_GB2312" w:eastAsia="仿宋_GB2312" w:cs="Times New Roman"/>
                <w:kern w:val="2"/>
                <w:sz w:val="32"/>
                <w:szCs w:val="21"/>
                <w:u w:val="none"/>
              </w:rPr>
              <w:t>茂县数字农业服务平台</w:t>
            </w:r>
          </w:p>
        </w:tc>
        <w:tc>
          <w:tcPr>
            <w:tcW w:w="2861" w:type="dxa"/>
          </w:tcPr>
          <w:p w14:paraId="4FBFFA3F">
            <w:pPr>
              <w:spacing w:line="300" w:lineRule="exact"/>
              <w:jc w:val="center"/>
              <w:rPr>
                <w:rFonts w:hint="default" w:ascii="宋体" w:hAnsi="宋体" w:eastAsia="仿宋_GB2312" w:cs="宋体"/>
                <w:sz w:val="24"/>
                <w:szCs w:val="24"/>
                <w:lang w:val="en-US" w:eastAsia="zh-CN"/>
              </w:rPr>
            </w:pPr>
            <w:r>
              <w:rPr>
                <w:rFonts w:hint="eastAsia" w:ascii="宋体" w:hAnsi="宋体" w:eastAsia="仿宋_GB2312" w:cs="宋体"/>
                <w:sz w:val="24"/>
                <w:szCs w:val="24"/>
                <w:lang w:val="en-US" w:eastAsia="zh-CN"/>
              </w:rPr>
              <w:t>95</w:t>
            </w:r>
          </w:p>
        </w:tc>
        <w:tc>
          <w:tcPr>
            <w:tcW w:w="993" w:type="dxa"/>
          </w:tcPr>
          <w:p w14:paraId="3C4252E5">
            <w:pPr>
              <w:spacing w:line="300" w:lineRule="exact"/>
              <w:rPr>
                <w:rFonts w:ascii="宋体" w:hAnsi="宋体" w:eastAsia="仿宋_GB2312" w:cs="宋体"/>
                <w:sz w:val="24"/>
                <w:szCs w:val="24"/>
              </w:rPr>
            </w:pPr>
          </w:p>
        </w:tc>
      </w:tr>
      <w:tr w14:paraId="689C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103C065">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14:paraId="598DE7A4">
            <w:pPr>
              <w:spacing w:line="300" w:lineRule="exact"/>
              <w:rPr>
                <w:rFonts w:ascii="宋体" w:hAnsi="宋体" w:eastAsia="仿宋_GB2312" w:cs="宋体"/>
                <w:sz w:val="24"/>
                <w:szCs w:val="24"/>
                <w:lang w:val="en"/>
              </w:rPr>
            </w:pPr>
          </w:p>
        </w:tc>
        <w:tc>
          <w:tcPr>
            <w:tcW w:w="2861" w:type="dxa"/>
          </w:tcPr>
          <w:p w14:paraId="1D5E3E21">
            <w:pPr>
              <w:spacing w:line="300" w:lineRule="exact"/>
              <w:rPr>
                <w:rFonts w:ascii="宋体" w:hAnsi="宋体" w:eastAsia="仿宋_GB2312" w:cs="宋体"/>
                <w:sz w:val="24"/>
                <w:szCs w:val="24"/>
                <w:lang w:val="en"/>
              </w:rPr>
            </w:pPr>
          </w:p>
        </w:tc>
        <w:tc>
          <w:tcPr>
            <w:tcW w:w="993" w:type="dxa"/>
          </w:tcPr>
          <w:p w14:paraId="7C549EB6">
            <w:pPr>
              <w:spacing w:line="300" w:lineRule="exact"/>
              <w:rPr>
                <w:rFonts w:ascii="宋体" w:hAnsi="宋体" w:eastAsia="仿宋_GB2312" w:cs="宋体"/>
                <w:sz w:val="24"/>
                <w:szCs w:val="24"/>
              </w:rPr>
            </w:pPr>
          </w:p>
        </w:tc>
      </w:tr>
      <w:tr w14:paraId="2A9A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B334476">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14:paraId="77A7AEB5">
            <w:pPr>
              <w:spacing w:line="300" w:lineRule="exact"/>
              <w:rPr>
                <w:rFonts w:ascii="宋体" w:hAnsi="宋体" w:eastAsia="仿宋_GB2312" w:cs="宋体"/>
                <w:sz w:val="24"/>
                <w:szCs w:val="24"/>
                <w:lang w:val="en"/>
              </w:rPr>
            </w:pPr>
          </w:p>
        </w:tc>
        <w:tc>
          <w:tcPr>
            <w:tcW w:w="2861" w:type="dxa"/>
          </w:tcPr>
          <w:p w14:paraId="1EFB1EBA">
            <w:pPr>
              <w:spacing w:line="300" w:lineRule="exact"/>
              <w:rPr>
                <w:rFonts w:ascii="宋体" w:hAnsi="宋体" w:eastAsia="仿宋_GB2312" w:cs="宋体"/>
                <w:sz w:val="24"/>
                <w:szCs w:val="24"/>
                <w:lang w:val="en"/>
              </w:rPr>
            </w:pPr>
          </w:p>
        </w:tc>
        <w:tc>
          <w:tcPr>
            <w:tcW w:w="993" w:type="dxa"/>
          </w:tcPr>
          <w:p w14:paraId="7C3D55EE">
            <w:pPr>
              <w:spacing w:line="300" w:lineRule="exact"/>
              <w:rPr>
                <w:rFonts w:ascii="宋体" w:hAnsi="宋体" w:eastAsia="仿宋_GB2312" w:cs="宋体"/>
                <w:sz w:val="24"/>
                <w:szCs w:val="24"/>
              </w:rPr>
            </w:pPr>
          </w:p>
        </w:tc>
      </w:tr>
      <w:tr w14:paraId="0F50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9C8D242">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14:paraId="364C3AE7">
            <w:pPr>
              <w:spacing w:line="300" w:lineRule="exact"/>
              <w:rPr>
                <w:rFonts w:ascii="宋体" w:hAnsi="宋体" w:eastAsia="仿宋_GB2312" w:cs="宋体"/>
                <w:sz w:val="24"/>
                <w:szCs w:val="24"/>
                <w:lang w:val="en"/>
              </w:rPr>
            </w:pPr>
          </w:p>
        </w:tc>
        <w:tc>
          <w:tcPr>
            <w:tcW w:w="2861" w:type="dxa"/>
          </w:tcPr>
          <w:p w14:paraId="3CB4B3B0">
            <w:pPr>
              <w:spacing w:line="300" w:lineRule="exact"/>
              <w:rPr>
                <w:rFonts w:ascii="宋体" w:hAnsi="宋体" w:eastAsia="仿宋_GB2312" w:cs="宋体"/>
                <w:sz w:val="24"/>
                <w:szCs w:val="24"/>
                <w:lang w:val="en"/>
              </w:rPr>
            </w:pPr>
          </w:p>
        </w:tc>
        <w:tc>
          <w:tcPr>
            <w:tcW w:w="993" w:type="dxa"/>
          </w:tcPr>
          <w:p w14:paraId="3B625EB6">
            <w:pPr>
              <w:spacing w:line="300" w:lineRule="exact"/>
              <w:rPr>
                <w:rFonts w:ascii="宋体" w:hAnsi="宋体" w:eastAsia="仿宋_GB2312" w:cs="宋体"/>
                <w:sz w:val="24"/>
                <w:szCs w:val="24"/>
              </w:rPr>
            </w:pPr>
          </w:p>
        </w:tc>
      </w:tr>
      <w:tr w14:paraId="77D0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751E660">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14:paraId="79503FCE">
            <w:pPr>
              <w:spacing w:line="300" w:lineRule="exact"/>
              <w:rPr>
                <w:rFonts w:ascii="宋体" w:hAnsi="宋体" w:eastAsia="仿宋_GB2312" w:cs="宋体"/>
                <w:sz w:val="24"/>
                <w:szCs w:val="24"/>
                <w:lang w:val="en"/>
              </w:rPr>
            </w:pPr>
          </w:p>
        </w:tc>
        <w:tc>
          <w:tcPr>
            <w:tcW w:w="2861" w:type="dxa"/>
          </w:tcPr>
          <w:p w14:paraId="75C94007">
            <w:pPr>
              <w:spacing w:line="300" w:lineRule="exact"/>
              <w:rPr>
                <w:rFonts w:ascii="宋体" w:hAnsi="宋体" w:eastAsia="仿宋_GB2312" w:cs="宋体"/>
                <w:sz w:val="24"/>
                <w:szCs w:val="24"/>
                <w:lang w:val="en"/>
              </w:rPr>
            </w:pPr>
          </w:p>
        </w:tc>
        <w:tc>
          <w:tcPr>
            <w:tcW w:w="993" w:type="dxa"/>
          </w:tcPr>
          <w:p w14:paraId="07EDEAC1">
            <w:pPr>
              <w:spacing w:line="300" w:lineRule="exact"/>
              <w:rPr>
                <w:rFonts w:ascii="宋体" w:hAnsi="宋体" w:eastAsia="仿宋_GB2312" w:cs="宋体"/>
                <w:sz w:val="24"/>
                <w:szCs w:val="24"/>
              </w:rPr>
            </w:pPr>
          </w:p>
        </w:tc>
      </w:tr>
      <w:tr w14:paraId="0C3F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6603A00">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14:paraId="2659973A">
            <w:pPr>
              <w:spacing w:line="300" w:lineRule="exact"/>
              <w:rPr>
                <w:rFonts w:ascii="宋体" w:hAnsi="宋体" w:eastAsia="仿宋_GB2312" w:cs="宋体"/>
                <w:sz w:val="24"/>
                <w:szCs w:val="24"/>
                <w:lang w:val="en"/>
              </w:rPr>
            </w:pPr>
          </w:p>
        </w:tc>
        <w:tc>
          <w:tcPr>
            <w:tcW w:w="2861" w:type="dxa"/>
          </w:tcPr>
          <w:p w14:paraId="2ED88BCA">
            <w:pPr>
              <w:spacing w:line="300" w:lineRule="exact"/>
              <w:rPr>
                <w:rFonts w:ascii="宋体" w:hAnsi="宋体" w:eastAsia="仿宋_GB2312" w:cs="宋体"/>
                <w:sz w:val="24"/>
                <w:szCs w:val="24"/>
                <w:lang w:val="en"/>
              </w:rPr>
            </w:pPr>
          </w:p>
        </w:tc>
        <w:tc>
          <w:tcPr>
            <w:tcW w:w="993" w:type="dxa"/>
          </w:tcPr>
          <w:p w14:paraId="68EE74EE">
            <w:pPr>
              <w:spacing w:line="300" w:lineRule="exact"/>
              <w:rPr>
                <w:rFonts w:ascii="宋体" w:hAnsi="宋体" w:eastAsia="仿宋_GB2312" w:cs="宋体"/>
                <w:sz w:val="24"/>
                <w:szCs w:val="24"/>
              </w:rPr>
            </w:pPr>
          </w:p>
        </w:tc>
      </w:tr>
      <w:tr w14:paraId="48BB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38D774D">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14:paraId="5115D993">
            <w:pPr>
              <w:spacing w:line="300" w:lineRule="exact"/>
              <w:rPr>
                <w:rFonts w:ascii="宋体" w:hAnsi="宋体" w:eastAsia="仿宋_GB2312" w:cs="宋体"/>
                <w:sz w:val="24"/>
                <w:szCs w:val="24"/>
                <w:lang w:val="en"/>
              </w:rPr>
            </w:pPr>
          </w:p>
        </w:tc>
        <w:tc>
          <w:tcPr>
            <w:tcW w:w="2861" w:type="dxa"/>
          </w:tcPr>
          <w:p w14:paraId="7BFAF3B5">
            <w:pPr>
              <w:spacing w:line="300" w:lineRule="exact"/>
              <w:rPr>
                <w:rFonts w:ascii="宋体" w:hAnsi="宋体" w:eastAsia="仿宋_GB2312" w:cs="宋体"/>
                <w:sz w:val="24"/>
                <w:szCs w:val="24"/>
                <w:lang w:val="en"/>
              </w:rPr>
            </w:pPr>
          </w:p>
        </w:tc>
        <w:tc>
          <w:tcPr>
            <w:tcW w:w="993" w:type="dxa"/>
          </w:tcPr>
          <w:p w14:paraId="566A4527">
            <w:pPr>
              <w:spacing w:line="300" w:lineRule="exact"/>
              <w:rPr>
                <w:rFonts w:ascii="宋体" w:hAnsi="宋体" w:eastAsia="仿宋_GB2312" w:cs="宋体"/>
                <w:sz w:val="24"/>
                <w:szCs w:val="24"/>
              </w:rPr>
            </w:pPr>
          </w:p>
        </w:tc>
      </w:tr>
      <w:tr w14:paraId="043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106AED0">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14:paraId="0D538F86">
            <w:pPr>
              <w:spacing w:line="300" w:lineRule="exact"/>
              <w:rPr>
                <w:rFonts w:ascii="宋体" w:hAnsi="宋体" w:eastAsia="仿宋_GB2312" w:cs="宋体"/>
                <w:sz w:val="24"/>
                <w:szCs w:val="24"/>
                <w:lang w:val="en"/>
              </w:rPr>
            </w:pPr>
          </w:p>
        </w:tc>
        <w:tc>
          <w:tcPr>
            <w:tcW w:w="2861" w:type="dxa"/>
          </w:tcPr>
          <w:p w14:paraId="3251C8B0">
            <w:pPr>
              <w:spacing w:line="300" w:lineRule="exact"/>
              <w:rPr>
                <w:rFonts w:ascii="宋体" w:hAnsi="宋体" w:eastAsia="仿宋_GB2312" w:cs="宋体"/>
                <w:sz w:val="24"/>
                <w:szCs w:val="24"/>
                <w:lang w:val="en"/>
              </w:rPr>
            </w:pPr>
          </w:p>
        </w:tc>
        <w:tc>
          <w:tcPr>
            <w:tcW w:w="993" w:type="dxa"/>
          </w:tcPr>
          <w:p w14:paraId="7BD6AAFC">
            <w:pPr>
              <w:spacing w:line="300" w:lineRule="exact"/>
              <w:rPr>
                <w:rFonts w:ascii="宋体" w:hAnsi="宋体" w:eastAsia="仿宋_GB2312" w:cs="宋体"/>
                <w:sz w:val="24"/>
                <w:szCs w:val="24"/>
              </w:rPr>
            </w:pPr>
          </w:p>
        </w:tc>
      </w:tr>
      <w:tr w14:paraId="6FB8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F3F4932">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14:paraId="031493A9">
            <w:pPr>
              <w:spacing w:line="300" w:lineRule="exact"/>
              <w:rPr>
                <w:rFonts w:ascii="宋体" w:hAnsi="宋体" w:eastAsia="仿宋_GB2312" w:cs="宋体"/>
                <w:sz w:val="24"/>
                <w:szCs w:val="24"/>
                <w:lang w:val="en"/>
              </w:rPr>
            </w:pPr>
          </w:p>
        </w:tc>
        <w:tc>
          <w:tcPr>
            <w:tcW w:w="2861" w:type="dxa"/>
          </w:tcPr>
          <w:p w14:paraId="0DF0E13E">
            <w:pPr>
              <w:spacing w:line="300" w:lineRule="exact"/>
              <w:rPr>
                <w:rFonts w:ascii="宋体" w:hAnsi="宋体" w:eastAsia="仿宋_GB2312" w:cs="宋体"/>
                <w:sz w:val="24"/>
                <w:szCs w:val="24"/>
                <w:lang w:val="en"/>
              </w:rPr>
            </w:pPr>
          </w:p>
        </w:tc>
        <w:tc>
          <w:tcPr>
            <w:tcW w:w="993" w:type="dxa"/>
          </w:tcPr>
          <w:p w14:paraId="65E0EFE7">
            <w:pPr>
              <w:spacing w:line="300" w:lineRule="exact"/>
              <w:rPr>
                <w:rFonts w:ascii="宋体" w:hAnsi="宋体" w:eastAsia="仿宋_GB2312" w:cs="宋体"/>
                <w:sz w:val="24"/>
                <w:szCs w:val="24"/>
              </w:rPr>
            </w:pPr>
          </w:p>
        </w:tc>
      </w:tr>
    </w:tbl>
    <w:p w14:paraId="20ED4864">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备注：1.项目资金末端分配点位包括本部门、部门下属单位及一次性单位等。</w:t>
      </w:r>
    </w:p>
    <w:p w14:paraId="0C41CC7B">
      <w:pPr>
        <w:numPr>
          <w:ilvl w:val="0"/>
          <w:numId w:val="4"/>
        </w:numPr>
        <w:spacing w:line="400" w:lineRule="exact"/>
        <w:ind w:firstLine="630" w:firstLineChars="300"/>
        <w:jc w:val="left"/>
        <w:rPr>
          <w:rFonts w:hint="eastAsia" w:ascii="宋体" w:hAnsi="宋体" w:eastAsia="宋体" w:cs="宋体"/>
          <w:sz w:val="21"/>
          <w:szCs w:val="21"/>
        </w:rPr>
      </w:pPr>
      <w:r>
        <w:rPr>
          <w:rFonts w:hint="eastAsia" w:ascii="宋体" w:hAnsi="宋体" w:eastAsia="宋体" w:cs="宋体"/>
          <w:sz w:val="21"/>
          <w:szCs w:val="21"/>
        </w:rPr>
        <w:t>自评得分（百分制）从高到低划分为优、良、中、差四个档次，各个档次数量占比分别为20%、20%、55%、5%，且不同档次间得分分值应体现差异化，同档次得分分值相同的比例不超过该档次总数量的10%。</w:t>
      </w:r>
    </w:p>
    <w:p w14:paraId="4178D357">
      <w:pPr>
        <w:pStyle w:val="2"/>
        <w:widowControl w:val="0"/>
        <w:numPr>
          <w:ilvl w:val="0"/>
          <w:numId w:val="0"/>
        </w:numPr>
        <w:jc w:val="both"/>
      </w:pPr>
    </w:p>
    <w:p w14:paraId="2029CE66"/>
    <w:p w14:paraId="09AE13B6">
      <w:pPr>
        <w:pStyle w:val="2"/>
      </w:pPr>
    </w:p>
    <w:p w14:paraId="2CFCA054"/>
    <w:p w14:paraId="00B1379B">
      <w:pPr>
        <w:pStyle w:val="2"/>
      </w:pPr>
    </w:p>
    <w:p w14:paraId="4C060AC0"/>
    <w:p w14:paraId="69827943">
      <w:pPr>
        <w:pStyle w:val="2"/>
      </w:pPr>
    </w:p>
    <w:p w14:paraId="2B126A7E"/>
    <w:p w14:paraId="707617C2">
      <w:pPr>
        <w:pStyle w:val="2"/>
      </w:pPr>
    </w:p>
    <w:p w14:paraId="0CE8E3FB"/>
    <w:p w14:paraId="52E03E93">
      <w:pPr>
        <w:pStyle w:val="2"/>
      </w:pPr>
    </w:p>
    <w:p w14:paraId="047F8C97"/>
    <w:p w14:paraId="64CD4F3F">
      <w:pPr>
        <w:pStyle w:val="2"/>
      </w:pPr>
    </w:p>
    <w:p w14:paraId="0502C61A"/>
    <w:p w14:paraId="3935DCB5">
      <w:pPr>
        <w:pStyle w:val="2"/>
      </w:pPr>
    </w:p>
    <w:p w14:paraId="7CA05F85">
      <w:pPr>
        <w:pStyle w:val="2"/>
      </w:pPr>
    </w:p>
    <w:p w14:paraId="509C42A9"/>
    <w:tbl>
      <w:tblPr>
        <w:tblStyle w:val="23"/>
        <w:tblW w:w="8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050"/>
        <w:gridCol w:w="929"/>
        <w:gridCol w:w="1138"/>
        <w:gridCol w:w="403"/>
        <w:gridCol w:w="834"/>
        <w:gridCol w:w="409"/>
        <w:gridCol w:w="863"/>
        <w:gridCol w:w="495"/>
        <w:gridCol w:w="495"/>
        <w:gridCol w:w="1357"/>
      </w:tblGrid>
      <w:tr w14:paraId="08DF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294CB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A74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85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34E5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51322322T000006476422-茂县供销合作社“茂农服”数字平台项目</w:t>
            </w:r>
          </w:p>
        </w:tc>
      </w:tr>
      <w:tr w14:paraId="587D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BF6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16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863" w:type="dxa"/>
            <w:tcBorders>
              <w:top w:val="nil"/>
              <w:left w:val="nil"/>
              <w:bottom w:val="nil"/>
              <w:right w:val="nil"/>
            </w:tcBorders>
            <w:shd w:val="clear" w:color="auto" w:fill="auto"/>
            <w:vAlign w:val="center"/>
          </w:tcPr>
          <w:p w14:paraId="2718DFC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82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6B27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03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FB8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163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48E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47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D977">
            <w:pP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89909">
            <w:pPr>
              <w:rPr>
                <w:rFonts w:hint="eastAsia" w:ascii="宋体" w:hAnsi="宋体" w:eastAsia="宋体" w:cs="宋体"/>
                <w:i w:val="0"/>
                <w:iCs w:val="0"/>
                <w:color w:val="000000"/>
                <w:sz w:val="18"/>
                <w:szCs w:val="18"/>
                <w:u w:val="none"/>
              </w:rPr>
            </w:pPr>
          </w:p>
        </w:tc>
        <w:tc>
          <w:tcPr>
            <w:tcW w:w="3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B7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进一步做好茂县为农服务和监管工作</w:t>
            </w:r>
          </w:p>
        </w:tc>
        <w:tc>
          <w:tcPr>
            <w:tcW w:w="3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858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通过建立溯源基地，搭建销售系统，安装智慧农资一体机及三社融合发展，进一步提升了为农服务和监管工作。</w:t>
            </w:r>
          </w:p>
        </w:tc>
      </w:tr>
      <w:tr w14:paraId="24DB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E7E4">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37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795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根据2022年实施的茂县数字农业服务平台项目，遵照合同于2023年11月完成资金支付。</w:t>
            </w:r>
          </w:p>
        </w:tc>
      </w:tr>
      <w:tr w14:paraId="7C66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0E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C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7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00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0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0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4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F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B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FD00">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8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6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A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CB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0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0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5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FFBE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D4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EF0DB">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B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7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8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2C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5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9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2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4A10">
            <w:pPr>
              <w:rPr>
                <w:rFonts w:hint="eastAsia" w:ascii="黑体" w:hAnsi="黑体" w:eastAsia="黑体" w:cs="黑体"/>
                <w:i/>
                <w:iCs/>
                <w:color w:val="000000"/>
                <w:sz w:val="18"/>
                <w:szCs w:val="18"/>
                <w:u w:val="none"/>
              </w:rPr>
            </w:pPr>
          </w:p>
        </w:tc>
      </w:tr>
      <w:tr w14:paraId="383F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D90E">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B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D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D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53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3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D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7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B98F">
            <w:pPr>
              <w:rPr>
                <w:rFonts w:hint="eastAsia" w:ascii="黑体" w:hAnsi="黑体" w:eastAsia="黑体" w:cs="黑体"/>
                <w:i/>
                <w:iCs/>
                <w:color w:val="000000"/>
                <w:sz w:val="18"/>
                <w:szCs w:val="18"/>
                <w:u w:val="none"/>
              </w:rPr>
            </w:pPr>
          </w:p>
        </w:tc>
      </w:tr>
      <w:tr w14:paraId="217A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766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C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31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F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D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1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2EA9">
            <w:pPr>
              <w:rPr>
                <w:rFonts w:hint="eastAsia" w:ascii="黑体" w:hAnsi="黑体" w:eastAsia="黑体" w:cs="黑体"/>
                <w:i/>
                <w:iCs/>
                <w:color w:val="000000"/>
                <w:sz w:val="18"/>
                <w:szCs w:val="18"/>
                <w:u w:val="none"/>
              </w:rPr>
            </w:pPr>
          </w:p>
        </w:tc>
      </w:tr>
      <w:tr w14:paraId="6D86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E8A69">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A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806E">
            <w:pPr>
              <w:jc w:val="center"/>
              <w:rPr>
                <w:rFonts w:hint="eastAsia" w:ascii="微软雅黑" w:hAnsi="微软雅黑" w:eastAsia="微软雅黑" w:cs="微软雅黑"/>
                <w:i/>
                <w:iCs/>
                <w:color w:val="000000"/>
                <w:sz w:val="16"/>
                <w:szCs w:val="16"/>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40B2">
            <w:pPr>
              <w:jc w:val="center"/>
              <w:rPr>
                <w:rFonts w:hint="eastAsia" w:ascii="微软雅黑" w:hAnsi="微软雅黑" w:eastAsia="微软雅黑" w:cs="微软雅黑"/>
                <w:i/>
                <w:iCs/>
                <w:color w:val="000000"/>
                <w:sz w:val="16"/>
                <w:szCs w:val="16"/>
                <w:u w:val="none"/>
              </w:rPr>
            </w:pPr>
          </w:p>
        </w:tc>
        <w:tc>
          <w:tcPr>
            <w:tcW w:w="1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4A982">
            <w:pPr>
              <w:jc w:val="center"/>
              <w:rPr>
                <w:rFonts w:hint="eastAsia" w:ascii="微软雅黑" w:hAnsi="微软雅黑" w:eastAsia="微软雅黑" w:cs="微软雅黑"/>
                <w:i/>
                <w:iCs/>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A2A3">
            <w:pPr>
              <w:jc w:val="center"/>
              <w:rPr>
                <w:rFonts w:hint="eastAsia" w:ascii="微软雅黑" w:hAnsi="微软雅黑" w:eastAsia="微软雅黑" w:cs="微软雅黑"/>
                <w:i/>
                <w:iCs/>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E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2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FFAA">
            <w:pPr>
              <w:rPr>
                <w:rFonts w:hint="eastAsia" w:ascii="黑体" w:hAnsi="黑体" w:eastAsia="黑体" w:cs="黑体"/>
                <w:i/>
                <w:iCs/>
                <w:color w:val="000000"/>
                <w:sz w:val="18"/>
                <w:szCs w:val="18"/>
                <w:u w:val="none"/>
              </w:rPr>
            </w:pPr>
          </w:p>
        </w:tc>
      </w:tr>
      <w:tr w14:paraId="59BA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D3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8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E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4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B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8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1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68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F0AC">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02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0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优化茂县农资管理和服务能力</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D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E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0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0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B9A1">
            <w:pPr>
              <w:jc w:val="center"/>
              <w:rPr>
                <w:rFonts w:hint="eastAsia" w:ascii="微软雅黑" w:hAnsi="微软雅黑" w:eastAsia="微软雅黑" w:cs="微软雅黑"/>
                <w:i/>
                <w:iCs/>
                <w:color w:val="000000"/>
                <w:sz w:val="16"/>
                <w:szCs w:val="16"/>
                <w:u w:val="none"/>
              </w:rPr>
            </w:pPr>
          </w:p>
        </w:tc>
      </w:tr>
      <w:tr w14:paraId="36CC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987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229C">
            <w:pPr>
              <w:jc w:val="center"/>
              <w:rPr>
                <w:rFonts w:hint="eastAsia" w:ascii="宋体" w:hAnsi="宋体" w:eastAsia="宋体" w:cs="宋体"/>
                <w:i w:val="0"/>
                <w:iCs w:val="0"/>
                <w:color w:val="000000"/>
                <w:sz w:val="18"/>
                <w:szCs w:val="18"/>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3F7D">
            <w:pPr>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7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实现农产品可追溯</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B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3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4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0A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D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C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EFB1">
            <w:pPr>
              <w:jc w:val="center"/>
              <w:rPr>
                <w:rFonts w:hint="eastAsia" w:ascii="微软雅黑" w:hAnsi="微软雅黑" w:eastAsia="微软雅黑" w:cs="微软雅黑"/>
                <w:i/>
                <w:iCs/>
                <w:color w:val="000000"/>
                <w:sz w:val="16"/>
                <w:szCs w:val="16"/>
                <w:u w:val="none"/>
              </w:rPr>
            </w:pPr>
          </w:p>
        </w:tc>
      </w:tr>
      <w:tr w14:paraId="2B7F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D4F6D">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99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7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提升茂县农产品品牌影响力，拓展农产品销售渠道</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3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578">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F2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B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7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AF40">
            <w:pPr>
              <w:jc w:val="center"/>
              <w:rPr>
                <w:rFonts w:hint="eastAsia" w:ascii="微软雅黑" w:hAnsi="微软雅黑" w:eastAsia="微软雅黑" w:cs="微软雅黑"/>
                <w:i/>
                <w:iCs/>
                <w:color w:val="000000"/>
                <w:sz w:val="16"/>
                <w:szCs w:val="16"/>
                <w:u w:val="none"/>
              </w:rPr>
            </w:pPr>
          </w:p>
        </w:tc>
      </w:tr>
      <w:tr w14:paraId="4E4D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9444">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A1FD">
            <w:pPr>
              <w:jc w:val="center"/>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1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F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控制生产过程中化肥与农药的投入，保障产品品质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6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B24">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5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A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9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E889">
            <w:pPr>
              <w:jc w:val="center"/>
              <w:rPr>
                <w:rFonts w:hint="eastAsia" w:ascii="微软雅黑" w:hAnsi="微软雅黑" w:eastAsia="微软雅黑" w:cs="微软雅黑"/>
                <w:i/>
                <w:iCs/>
                <w:color w:val="000000"/>
                <w:sz w:val="16"/>
                <w:szCs w:val="16"/>
                <w:u w:val="none"/>
              </w:rPr>
            </w:pPr>
          </w:p>
        </w:tc>
      </w:tr>
      <w:tr w14:paraId="526E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4CE2">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8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C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3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农户销售农产品满意度指标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9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C6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7B65">
            <w:pPr>
              <w:jc w:val="center"/>
              <w:rPr>
                <w:rFonts w:hint="eastAsia" w:ascii="微软雅黑" w:hAnsi="微软雅黑" w:eastAsia="微软雅黑" w:cs="微软雅黑"/>
                <w:i/>
                <w:iCs/>
                <w:color w:val="000000"/>
                <w:sz w:val="16"/>
                <w:szCs w:val="16"/>
                <w:u w:val="none"/>
              </w:rPr>
            </w:pPr>
          </w:p>
        </w:tc>
      </w:tr>
      <w:tr w14:paraId="50CC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B4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7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72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F28">
            <w:pPr>
              <w:rPr>
                <w:rFonts w:hint="eastAsia" w:ascii="宋体" w:hAnsi="宋体" w:eastAsia="宋体" w:cs="宋体"/>
                <w:i w:val="0"/>
                <w:iCs w:val="0"/>
                <w:color w:val="000000"/>
                <w:sz w:val="18"/>
                <w:szCs w:val="18"/>
                <w:u w:val="none"/>
              </w:rPr>
            </w:pPr>
          </w:p>
        </w:tc>
      </w:tr>
      <w:tr w14:paraId="6EC2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4402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根据采购安装合同预定，该笔资金支付符合合同约定，并按项目资金管理办法完成支付，自评得分100分。</w:t>
            </w:r>
          </w:p>
        </w:tc>
      </w:tr>
      <w:tr w14:paraId="4704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D18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07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E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0659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BE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D40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项目负责人：何福涛</w:t>
            </w:r>
          </w:p>
        </w:tc>
        <w:tc>
          <w:tcPr>
            <w:tcW w:w="44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0128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r w14:paraId="5AEA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nil"/>
              <w:left w:val="nil"/>
              <w:bottom w:val="nil"/>
              <w:right w:val="nil"/>
            </w:tcBorders>
            <w:shd w:val="clear" w:color="auto" w:fill="auto"/>
            <w:vAlign w:val="center"/>
          </w:tcPr>
          <w:p w14:paraId="70678F19">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745B2A72">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14:paraId="64FFEADE">
            <w:pPr>
              <w:rPr>
                <w:rFonts w:hint="eastAsia" w:ascii="宋体" w:hAnsi="宋体" w:eastAsia="宋体" w:cs="宋体"/>
                <w:i w:val="0"/>
                <w:iCs w:val="0"/>
                <w:color w:val="000000"/>
                <w:sz w:val="18"/>
                <w:szCs w:val="18"/>
                <w:u w:val="none"/>
              </w:rPr>
            </w:pPr>
          </w:p>
        </w:tc>
        <w:tc>
          <w:tcPr>
            <w:tcW w:w="1138" w:type="dxa"/>
            <w:tcBorders>
              <w:top w:val="nil"/>
              <w:left w:val="nil"/>
              <w:bottom w:val="nil"/>
              <w:right w:val="nil"/>
            </w:tcBorders>
            <w:shd w:val="clear" w:color="auto" w:fill="auto"/>
            <w:vAlign w:val="center"/>
          </w:tcPr>
          <w:p w14:paraId="29E03598">
            <w:pPr>
              <w:rPr>
                <w:rFonts w:hint="eastAsia" w:ascii="宋体" w:hAnsi="宋体" w:eastAsia="宋体" w:cs="宋体"/>
                <w:i w:val="0"/>
                <w:iCs w:val="0"/>
                <w:color w:val="000000"/>
                <w:sz w:val="18"/>
                <w:szCs w:val="18"/>
                <w:u w:val="none"/>
              </w:rPr>
            </w:pPr>
          </w:p>
        </w:tc>
        <w:tc>
          <w:tcPr>
            <w:tcW w:w="403" w:type="dxa"/>
            <w:tcBorders>
              <w:top w:val="nil"/>
              <w:left w:val="nil"/>
              <w:bottom w:val="nil"/>
              <w:right w:val="nil"/>
            </w:tcBorders>
            <w:shd w:val="clear" w:color="auto" w:fill="auto"/>
            <w:vAlign w:val="center"/>
          </w:tcPr>
          <w:p w14:paraId="26D9907F">
            <w:pPr>
              <w:rPr>
                <w:rFonts w:hint="eastAsia" w:ascii="宋体" w:hAnsi="宋体" w:eastAsia="宋体" w:cs="宋体"/>
                <w:i w:val="0"/>
                <w:iCs w:val="0"/>
                <w:color w:val="000000"/>
                <w:sz w:val="18"/>
                <w:szCs w:val="18"/>
                <w:u w:val="none"/>
              </w:rPr>
            </w:pPr>
          </w:p>
        </w:tc>
        <w:tc>
          <w:tcPr>
            <w:tcW w:w="834" w:type="dxa"/>
            <w:tcBorders>
              <w:top w:val="nil"/>
              <w:left w:val="nil"/>
              <w:bottom w:val="nil"/>
              <w:right w:val="nil"/>
            </w:tcBorders>
            <w:shd w:val="clear" w:color="auto" w:fill="auto"/>
            <w:vAlign w:val="center"/>
          </w:tcPr>
          <w:p w14:paraId="6AAB9F30">
            <w:pPr>
              <w:rPr>
                <w:rFonts w:hint="eastAsia" w:ascii="宋体" w:hAnsi="宋体" w:eastAsia="宋体" w:cs="宋体"/>
                <w:i w:val="0"/>
                <w:iCs w:val="0"/>
                <w:color w:val="000000"/>
                <w:sz w:val="18"/>
                <w:szCs w:val="18"/>
                <w:u w:val="none"/>
              </w:rPr>
            </w:pPr>
          </w:p>
        </w:tc>
        <w:tc>
          <w:tcPr>
            <w:tcW w:w="409" w:type="dxa"/>
            <w:tcBorders>
              <w:top w:val="nil"/>
              <w:left w:val="nil"/>
              <w:bottom w:val="nil"/>
              <w:right w:val="nil"/>
            </w:tcBorders>
            <w:shd w:val="clear" w:color="auto" w:fill="auto"/>
            <w:vAlign w:val="center"/>
          </w:tcPr>
          <w:p w14:paraId="111EF83F">
            <w:pPr>
              <w:rPr>
                <w:rFonts w:hint="eastAsia" w:ascii="宋体" w:hAnsi="宋体" w:eastAsia="宋体" w:cs="宋体"/>
                <w:i w:val="0"/>
                <w:iCs w:val="0"/>
                <w:color w:val="000000"/>
                <w:sz w:val="18"/>
                <w:szCs w:val="18"/>
                <w:u w:val="none"/>
              </w:rPr>
            </w:pPr>
          </w:p>
        </w:tc>
        <w:tc>
          <w:tcPr>
            <w:tcW w:w="863" w:type="dxa"/>
            <w:tcBorders>
              <w:top w:val="nil"/>
              <w:left w:val="nil"/>
              <w:bottom w:val="nil"/>
              <w:right w:val="nil"/>
            </w:tcBorders>
            <w:shd w:val="clear" w:color="auto" w:fill="auto"/>
            <w:vAlign w:val="center"/>
          </w:tcPr>
          <w:p w14:paraId="48AC479F">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16439687">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shd w:val="clear" w:color="auto" w:fill="auto"/>
            <w:vAlign w:val="center"/>
          </w:tcPr>
          <w:p w14:paraId="436ED8EF">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039F7073">
            <w:pPr>
              <w:rPr>
                <w:rFonts w:hint="eastAsia" w:ascii="宋体" w:hAnsi="宋体" w:eastAsia="宋体" w:cs="宋体"/>
                <w:i w:val="0"/>
                <w:iCs w:val="0"/>
                <w:color w:val="000000"/>
                <w:sz w:val="18"/>
                <w:szCs w:val="18"/>
                <w:u w:val="none"/>
              </w:rPr>
            </w:pPr>
          </w:p>
        </w:tc>
      </w:tr>
    </w:tbl>
    <w:p w14:paraId="2BA2D9FE"/>
    <w:p w14:paraId="500A32DF">
      <w:pPr>
        <w:pStyle w:val="2"/>
      </w:pPr>
    </w:p>
    <w:p w14:paraId="4A8610AA"/>
    <w:p w14:paraId="54097A9D">
      <w:pPr>
        <w:pStyle w:val="2"/>
      </w:pPr>
    </w:p>
    <w:p w14:paraId="7E390ACB"/>
    <w:p w14:paraId="07CC61D0">
      <w:pPr>
        <w:pStyle w:val="2"/>
      </w:pPr>
    </w:p>
    <w:p w14:paraId="33536288"/>
    <w:p w14:paraId="4E870C31">
      <w:pPr>
        <w:pStyle w:val="2"/>
      </w:pPr>
    </w:p>
    <w:p w14:paraId="01D6D1B6"/>
    <w:p w14:paraId="70827407">
      <w:pPr>
        <w:pStyle w:val="2"/>
      </w:pPr>
    </w:p>
    <w:p w14:paraId="3B28B3E0"/>
    <w:p w14:paraId="335C9DAF">
      <w:pPr>
        <w:pStyle w:val="2"/>
      </w:pPr>
    </w:p>
    <w:p w14:paraId="74854331"/>
    <w:p w14:paraId="05D1A65D">
      <w:pPr>
        <w:pStyle w:val="2"/>
      </w:pPr>
    </w:p>
    <w:p w14:paraId="195A9FCF"/>
    <w:p w14:paraId="6AD69CE1">
      <w:pPr>
        <w:pStyle w:val="2"/>
      </w:pPr>
    </w:p>
    <w:p w14:paraId="457967D2"/>
    <w:p w14:paraId="49518E93">
      <w:pPr>
        <w:pStyle w:val="2"/>
      </w:pPr>
    </w:p>
    <w:p w14:paraId="222D634B">
      <w:pPr>
        <w:spacing w:line="600" w:lineRule="exact"/>
        <w:jc w:val="left"/>
        <w:outlineLvl w:val="0"/>
        <w:rPr>
          <w:rFonts w:hint="eastAsia" w:ascii="方正小标宋简体" w:hAnsi="方正小标宋简体" w:eastAsia="方正小标宋简体" w:cs="方正小标宋简体"/>
          <w:kern w:val="2"/>
          <w:sz w:val="44"/>
          <w:szCs w:val="44"/>
          <w:lang w:val="en-US" w:eastAsia="zh-CN"/>
        </w:rPr>
      </w:pPr>
      <w:r>
        <w:rPr>
          <w:rFonts w:hint="eastAsia" w:ascii="黑体" w:hAnsi="黑体" w:eastAsia="黑体" w:cs="黑体"/>
          <w:color w:val="000000"/>
          <w:sz w:val="32"/>
          <w:szCs w:val="32"/>
          <w:lang w:val="en-US" w:eastAsia="zh-CN"/>
        </w:rPr>
        <w:t>附件3</w:t>
      </w:r>
    </w:p>
    <w:p w14:paraId="41E851C0">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茂县供销合作社联合社</w:t>
      </w:r>
    </w:p>
    <w:p w14:paraId="7D7FA1A6">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交流交往交融项目绩效评</w:t>
      </w:r>
      <w:r>
        <w:rPr>
          <w:rFonts w:hint="eastAsia" w:ascii="方正小标宋简体" w:hAnsi="方正小标宋简体" w:eastAsia="方正小标宋简体" w:cs="方正小标宋简体"/>
          <w:kern w:val="2"/>
          <w:sz w:val="44"/>
          <w:szCs w:val="44"/>
          <w:lang w:val="en-US" w:eastAsia="zh-CN"/>
        </w:rPr>
        <w:t>价</w:t>
      </w:r>
      <w:r>
        <w:rPr>
          <w:rFonts w:hint="eastAsia" w:ascii="方正小标宋简体" w:hAnsi="方正小标宋简体" w:eastAsia="方正小标宋简体" w:cs="方正小标宋简体"/>
          <w:kern w:val="2"/>
          <w:sz w:val="44"/>
          <w:szCs w:val="44"/>
        </w:rPr>
        <w:t>报告</w:t>
      </w:r>
    </w:p>
    <w:p w14:paraId="16A42294">
      <w:pPr>
        <w:adjustRightInd w:val="0"/>
        <w:snapToGrid w:val="0"/>
        <w:spacing w:line="578" w:lineRule="exact"/>
        <w:ind w:firstLine="640" w:firstLineChars="200"/>
        <w:rPr>
          <w:rFonts w:hint="eastAsia" w:ascii="黑体" w:hAnsi="宋体" w:eastAsia="黑体" w:cs="宋体"/>
          <w:kern w:val="0"/>
          <w:sz w:val="32"/>
          <w:szCs w:val="32"/>
        </w:rPr>
      </w:pPr>
    </w:p>
    <w:p w14:paraId="3DBA31A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宋体"/>
          <w:kern w:val="0"/>
          <w:sz w:val="32"/>
          <w:szCs w:val="32"/>
          <w:lang w:val="zh-CN"/>
        </w:rPr>
      </w:pPr>
      <w:r>
        <w:rPr>
          <w:rFonts w:hint="eastAsia" w:ascii="黑体" w:hAnsi="宋体" w:eastAsia="黑体" w:cs="宋体"/>
          <w:kern w:val="0"/>
          <w:sz w:val="32"/>
          <w:szCs w:val="32"/>
        </w:rPr>
        <w:t>一、</w:t>
      </w:r>
      <w:r>
        <w:rPr>
          <w:rFonts w:hint="eastAsia" w:ascii="黑体" w:hAnsi="宋体" w:eastAsia="黑体" w:cs="宋体"/>
          <w:kern w:val="0"/>
          <w:sz w:val="32"/>
          <w:szCs w:val="32"/>
          <w:lang w:val="zh-CN"/>
        </w:rPr>
        <w:t>项目概况</w:t>
      </w:r>
    </w:p>
    <w:p w14:paraId="7EE9364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（一）设立背景及基本情况</w:t>
      </w:r>
    </w:p>
    <w:p w14:paraId="2E4596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u w:val="none"/>
          <w:lang w:eastAsia="zh-CN"/>
        </w:rPr>
      </w:pPr>
      <w:r>
        <w:rPr>
          <w:rFonts w:hint="eastAsia" w:ascii="仿宋_GB2312" w:eastAsia="仿宋_GB2312" w:cs="宋体"/>
          <w:kern w:val="0"/>
          <w:sz w:val="32"/>
          <w:szCs w:val="32"/>
          <w:lang w:val="en-US" w:eastAsia="zh-CN"/>
        </w:rPr>
        <w:t>根据脱贫攻坚同乡村振兴有效衔接，依托</w:t>
      </w:r>
      <w:r>
        <w:rPr>
          <w:rFonts w:hint="eastAsia" w:ascii="仿宋_GB2312" w:eastAsia="仿宋_GB2312" w:cs="宋体"/>
          <w:kern w:val="0"/>
          <w:sz w:val="32"/>
          <w:szCs w:val="32"/>
        </w:rPr>
        <w:t>《平湖-茂县东西部协作框架协议》《供销合作暨数字农业和服务平台共建协议》等相关</w:t>
      </w:r>
      <w:r>
        <w:rPr>
          <w:rFonts w:ascii="仿宋_GB2312" w:eastAsia="仿宋_GB2312" w:cs="宋体"/>
          <w:kern w:val="0"/>
          <w:sz w:val="32"/>
          <w:szCs w:val="32"/>
        </w:rPr>
        <w:t>要求</w:t>
      </w:r>
      <w:r>
        <w:rPr>
          <w:rFonts w:hint="eastAsia" w:ascii="仿宋_GB2312" w:eastAsia="仿宋_GB2312" w:cs="宋体"/>
          <w:kern w:val="0"/>
          <w:sz w:val="32"/>
          <w:szCs w:val="32"/>
        </w:rPr>
        <w:t>，</w:t>
      </w:r>
      <w:r>
        <w:rPr>
          <w:rFonts w:ascii="仿宋_GB2312" w:eastAsia="仿宋_GB2312" w:cs="宋体"/>
          <w:kern w:val="0"/>
          <w:sz w:val="32"/>
          <w:szCs w:val="32"/>
        </w:rPr>
        <w:t>结合2022年实施</w:t>
      </w:r>
      <w:r>
        <w:rPr>
          <w:rFonts w:hint="eastAsia" w:ascii="仿宋_GB2312" w:eastAsia="仿宋_GB2312" w:cs="宋体"/>
          <w:kern w:val="0"/>
          <w:sz w:val="32"/>
          <w:szCs w:val="32"/>
        </w:rPr>
        <w:t>“茂农服”</w:t>
      </w:r>
      <w:r>
        <w:rPr>
          <w:rFonts w:ascii="仿宋_GB2312" w:eastAsia="仿宋_GB2312" w:cs="宋体"/>
          <w:kern w:val="0"/>
          <w:sz w:val="32"/>
          <w:szCs w:val="32"/>
        </w:rPr>
        <w:t>交流交往交融项目取得的成效，</w:t>
      </w:r>
      <w:r>
        <w:rPr>
          <w:rFonts w:hint="eastAsia" w:ascii="仿宋_GB2312" w:hAnsi="仿宋_GB2312" w:eastAsia="仿宋_GB2312" w:cs="仿宋_GB2312"/>
          <w:kern w:val="2"/>
          <w:sz w:val="32"/>
          <w:szCs w:val="32"/>
          <w:lang w:val="en-US" w:eastAsia="zh-CN"/>
        </w:rPr>
        <w:t>2022年</w:t>
      </w:r>
      <w:r>
        <w:rPr>
          <w:rFonts w:hint="eastAsia" w:ascii="仿宋_GB2312" w:hAnsi="仿宋_GB2312" w:eastAsia="仿宋_GB2312" w:cs="仿宋_GB2312"/>
          <w:kern w:val="2"/>
          <w:sz w:val="32"/>
          <w:szCs w:val="32"/>
          <w:u w:val="none"/>
          <w:lang w:val="en-US" w:eastAsia="zh-CN"/>
        </w:rPr>
        <w:t>向县对口支援和省内对口帮扶工作领导小组提交《</w:t>
      </w:r>
      <w:r>
        <w:rPr>
          <w:rFonts w:hint="eastAsia" w:ascii="仿宋_GB2312" w:hAnsi="仿宋_GB2312" w:eastAsia="仿宋_GB2312" w:cs="仿宋_GB2312"/>
          <w:kern w:val="2"/>
          <w:sz w:val="32"/>
          <w:szCs w:val="32"/>
          <w:lang w:val="en-US" w:eastAsia="zh-CN"/>
        </w:rPr>
        <w:t>茂县供销合作社联合社交流交往交融项目》</w:t>
      </w:r>
      <w:r>
        <w:rPr>
          <w:rFonts w:hint="eastAsia" w:ascii="仿宋_GB2312" w:hAnsi="仿宋_GB2312" w:eastAsia="仿宋_GB2312" w:cs="仿宋_GB2312"/>
          <w:kern w:val="2"/>
          <w:sz w:val="32"/>
          <w:szCs w:val="32"/>
          <w:u w:val="none"/>
          <w:lang w:val="en-US" w:eastAsia="zh-CN"/>
        </w:rPr>
        <w:t>审定的请示</w:t>
      </w:r>
      <w:r>
        <w:rPr>
          <w:rFonts w:hint="eastAsia" w:ascii="仿宋_GB2312" w:hAnsi="仿宋_GB2312" w:eastAsia="仿宋_GB2312" w:cs="仿宋_GB2312"/>
          <w:kern w:val="2"/>
          <w:sz w:val="32"/>
          <w:szCs w:val="32"/>
          <w:u w:val="none"/>
          <w:lang w:eastAsia="zh-CN"/>
        </w:rPr>
        <w:t>，通过《茂县对口支援和省内对口帮扶工作领导小组第六次会议》，</w:t>
      </w:r>
      <w:r>
        <w:rPr>
          <w:rFonts w:hint="eastAsia" w:ascii="仿宋_GB2312" w:hAnsi="仿宋_GB2312" w:eastAsia="仿宋_GB2312" w:cs="仿宋_GB2312"/>
          <w:kern w:val="2"/>
          <w:sz w:val="32"/>
          <w:szCs w:val="32"/>
          <w:u w:val="none"/>
          <w:lang w:val="en-US" w:eastAsia="zh-CN"/>
        </w:rPr>
        <w:t>确定按照方案实施</w:t>
      </w:r>
      <w:r>
        <w:rPr>
          <w:rFonts w:hint="eastAsia" w:ascii="仿宋_GB2312" w:hAnsi="仿宋_GB2312" w:eastAsia="仿宋_GB2312" w:cs="仿宋_GB2312"/>
          <w:kern w:val="2"/>
          <w:sz w:val="32"/>
          <w:szCs w:val="32"/>
          <w:u w:val="none"/>
          <w:lang w:eastAsia="zh-CN"/>
        </w:rPr>
        <w:t>。</w:t>
      </w:r>
    </w:p>
    <w:p w14:paraId="21038E5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（二）实施目的及支持方向</w:t>
      </w:r>
    </w:p>
    <w:p w14:paraId="355C4D0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Times New Roman" w:eastAsia="仿宋_GB2312" w:cs="仿宋_GB2312"/>
          <w:kern w:val="0"/>
          <w:sz w:val="32"/>
          <w:szCs w:val="32"/>
          <w:lang w:val="zh-CN" w:eastAsia="zh-CN"/>
        </w:rPr>
      </w:pPr>
      <w:r>
        <w:rPr>
          <w:rFonts w:hint="eastAsia" w:ascii="仿宋_GB2312" w:eastAsia="仿宋_GB2312" w:cs="宋体"/>
          <w:kern w:val="0"/>
          <w:sz w:val="32"/>
          <w:szCs w:val="32"/>
        </w:rPr>
        <w:t>持续深化供销合作社综合改革，不断健全为农服务功能，</w:t>
      </w:r>
      <w:r>
        <w:rPr>
          <w:rFonts w:ascii="仿宋_GB2312" w:eastAsia="仿宋_GB2312" w:cs="宋体"/>
          <w:kern w:val="0"/>
          <w:sz w:val="32"/>
          <w:szCs w:val="32"/>
        </w:rPr>
        <w:t>为</w:t>
      </w:r>
      <w:r>
        <w:rPr>
          <w:rFonts w:hint="eastAsia" w:ascii="仿宋_GB2312" w:eastAsia="仿宋_GB2312" w:cs="宋体"/>
          <w:kern w:val="0"/>
          <w:sz w:val="32"/>
          <w:szCs w:val="32"/>
        </w:rPr>
        <w:t>持续推进茂县农产品的品质和拓宽销售渠道，助</w:t>
      </w:r>
      <w:r>
        <w:rPr>
          <w:rFonts w:ascii="仿宋_GB2312" w:eastAsia="仿宋_GB2312" w:cs="宋体"/>
          <w:kern w:val="0"/>
          <w:sz w:val="32"/>
          <w:szCs w:val="32"/>
        </w:rPr>
        <w:t>推</w:t>
      </w:r>
      <w:r>
        <w:rPr>
          <w:rFonts w:hint="eastAsia" w:ascii="仿宋_GB2312" w:eastAsia="仿宋_GB2312" w:cs="仿宋_GB2312"/>
          <w:kern w:val="0"/>
          <w:sz w:val="32"/>
          <w:szCs w:val="32"/>
        </w:rPr>
        <w:t>乡村振兴</w:t>
      </w:r>
      <w:r>
        <w:rPr>
          <w:rFonts w:ascii="仿宋_GB2312" w:eastAsia="仿宋_GB2312" w:cs="仿宋_GB2312"/>
          <w:kern w:val="0"/>
          <w:sz w:val="32"/>
          <w:szCs w:val="32"/>
        </w:rPr>
        <w:t>，</w:t>
      </w:r>
      <w:r>
        <w:rPr>
          <w:rFonts w:hint="eastAsia" w:ascii="仿宋_GB2312" w:eastAsia="仿宋_GB2312" w:cs="宋体"/>
          <w:kern w:val="0"/>
          <w:sz w:val="32"/>
          <w:szCs w:val="32"/>
        </w:rPr>
        <w:t>在结对助农、服务资源共享、农业品牌共推、数字转型共谋等方面深化协作，加强与</w:t>
      </w:r>
      <w:r>
        <w:rPr>
          <w:rFonts w:hint="eastAsia" w:ascii="仿宋_GB2312" w:eastAsia="仿宋_GB2312" w:cs="仿宋_GB2312"/>
          <w:kern w:val="0"/>
          <w:sz w:val="32"/>
          <w:szCs w:val="32"/>
        </w:rPr>
        <w:t>企业对接,把茂县的特色农产品卖到浙江、上海，增加农民收入，助推两地农民共同致富。</w:t>
      </w:r>
      <w:r>
        <w:rPr>
          <w:rFonts w:hint="eastAsia" w:ascii="仿宋_GB2312" w:eastAsia="仿宋_GB2312" w:cs="Times New Roman"/>
          <w:kern w:val="2"/>
          <w:sz w:val="32"/>
          <w:szCs w:val="32"/>
          <w:u w:val="none"/>
        </w:rPr>
        <w:t>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p>
    <w:p w14:paraId="2D6DF12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（三）预算安排及分配管理</w:t>
      </w:r>
    </w:p>
    <w:p w14:paraId="712402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预算</w:t>
      </w:r>
      <w:r>
        <w:rPr>
          <w:rFonts w:hint="eastAsia" w:ascii="仿宋_GB2312" w:eastAsia="仿宋_GB2312" w:cs="仿宋_GB2312"/>
          <w:kern w:val="0"/>
          <w:sz w:val="32"/>
          <w:szCs w:val="32"/>
          <w:lang w:val="en-US" w:eastAsia="zh-CN"/>
        </w:rPr>
        <w:t>资金安排：20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其中：第一期技术培训12060元、第二期赴平湖考察学习费用54699元、第三期赴平湖考察学习费用21392元、农产平品鉴推介费30678元、农产品运输费（含燃油费）81171元。</w:t>
      </w:r>
    </w:p>
    <w:p w14:paraId="11D7711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（四）项目绩效目标设置</w:t>
      </w:r>
    </w:p>
    <w:p w14:paraId="00EA2B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val="zh-CN"/>
        </w:rPr>
        <w:t>茂县供销合作社联合社于</w:t>
      </w:r>
      <w:r>
        <w:rPr>
          <w:rFonts w:hint="eastAsia" w:ascii="仿宋_GB2312" w:eastAsia="仿宋_GB2312" w:cs="仿宋_GB2312"/>
          <w:kern w:val="0"/>
          <w:sz w:val="32"/>
          <w:szCs w:val="32"/>
          <w:lang w:val="en-US" w:eastAsia="zh-CN"/>
        </w:rPr>
        <w:t>2023年6月9日完成了事前绩效评估。绩效目标设置如下：</w:t>
      </w:r>
    </w:p>
    <w:p w14:paraId="1F3BAC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茂县供销合作社联合社</w:t>
      </w:r>
    </w:p>
    <w:p w14:paraId="6CF225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交流交往交融项目</w:t>
      </w:r>
      <w:r>
        <w:rPr>
          <w:rFonts w:hint="eastAsia" w:ascii="仿宋_GB2312" w:hAnsi="仿宋_GB2312" w:eastAsia="仿宋_GB2312" w:cs="仿宋_GB2312"/>
          <w:kern w:val="2"/>
          <w:sz w:val="32"/>
          <w:szCs w:val="32"/>
        </w:rPr>
        <w:t>绩效目标表</w:t>
      </w:r>
    </w:p>
    <w:tbl>
      <w:tblPr>
        <w:tblStyle w:val="23"/>
        <w:tblpPr w:leftFromText="180" w:rightFromText="180" w:vertAnchor="text" w:horzAnchor="page" w:tblpX="1905" w:tblpY="1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653"/>
        <w:gridCol w:w="3606"/>
        <w:gridCol w:w="1476"/>
      </w:tblGrid>
      <w:tr w14:paraId="4221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45" w:type="dxa"/>
            <w:tcBorders>
              <w:bottom w:val="single" w:color="auto" w:sz="4" w:space="0"/>
              <w:right w:val="single" w:color="auto" w:sz="4" w:space="0"/>
            </w:tcBorders>
            <w:noWrap w:val="0"/>
            <w:vAlign w:val="top"/>
          </w:tcPr>
          <w:p w14:paraId="017FD5B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一级指标</w:t>
            </w:r>
          </w:p>
        </w:tc>
        <w:tc>
          <w:tcPr>
            <w:tcW w:w="1653" w:type="dxa"/>
            <w:tcBorders>
              <w:left w:val="single" w:color="auto" w:sz="4" w:space="0"/>
              <w:bottom w:val="single" w:color="auto" w:sz="4" w:space="0"/>
              <w:right w:val="single" w:color="auto" w:sz="4" w:space="0"/>
            </w:tcBorders>
            <w:noWrap w:val="0"/>
            <w:vAlign w:val="top"/>
          </w:tcPr>
          <w:p w14:paraId="493C38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二级指标</w:t>
            </w:r>
          </w:p>
        </w:tc>
        <w:tc>
          <w:tcPr>
            <w:tcW w:w="3606" w:type="dxa"/>
            <w:tcBorders>
              <w:left w:val="single" w:color="auto" w:sz="4" w:space="0"/>
              <w:bottom w:val="single" w:color="auto" w:sz="4" w:space="0"/>
              <w:right w:val="single" w:color="auto" w:sz="4" w:space="0"/>
            </w:tcBorders>
            <w:noWrap w:val="0"/>
            <w:vAlign w:val="top"/>
          </w:tcPr>
          <w:p w14:paraId="3B4838C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三级指标</w:t>
            </w:r>
          </w:p>
        </w:tc>
        <w:tc>
          <w:tcPr>
            <w:tcW w:w="1476" w:type="dxa"/>
            <w:tcBorders>
              <w:left w:val="single" w:color="auto" w:sz="4" w:space="0"/>
              <w:bottom w:val="single" w:color="auto" w:sz="4" w:space="0"/>
            </w:tcBorders>
            <w:noWrap w:val="0"/>
            <w:vAlign w:val="top"/>
          </w:tcPr>
          <w:p w14:paraId="0753A0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指标值</w:t>
            </w:r>
          </w:p>
        </w:tc>
      </w:tr>
      <w:tr w14:paraId="4F6C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top w:val="single" w:color="auto" w:sz="4" w:space="0"/>
              <w:bottom w:val="single" w:color="auto" w:sz="4" w:space="0"/>
              <w:right w:val="single" w:color="auto" w:sz="4" w:space="0"/>
            </w:tcBorders>
            <w:noWrap w:val="0"/>
            <w:vAlign w:val="top"/>
          </w:tcPr>
          <w:p w14:paraId="14C66E0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产出</w:t>
            </w:r>
            <w:r>
              <w:rPr>
                <w:rFonts w:hint="eastAsia" w:ascii="仿宋_GB2312" w:hAnsi="仿宋_GB2312" w:eastAsia="仿宋_GB2312" w:cs="仿宋_GB2312"/>
                <w:kern w:val="0"/>
                <w:sz w:val="24"/>
                <w:szCs w:val="24"/>
              </w:rPr>
              <w:t>指标</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14FA211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社会效益指标</w:t>
            </w:r>
          </w:p>
        </w:tc>
        <w:tc>
          <w:tcPr>
            <w:tcW w:w="3606" w:type="dxa"/>
            <w:tcBorders>
              <w:top w:val="single" w:color="auto" w:sz="4" w:space="0"/>
              <w:left w:val="single" w:color="auto" w:sz="4" w:space="0"/>
              <w:bottom w:val="single" w:color="auto" w:sz="4" w:space="0"/>
              <w:right w:val="single" w:color="auto" w:sz="4" w:space="0"/>
            </w:tcBorders>
            <w:noWrap w:val="0"/>
            <w:vAlign w:val="top"/>
          </w:tcPr>
          <w:p w14:paraId="6051D18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三期培训人数共</w:t>
            </w:r>
            <w:r>
              <w:rPr>
                <w:rFonts w:hint="eastAsia" w:ascii="仿宋_GB2312" w:hAnsi="仿宋_GB2312" w:eastAsia="仿宋_GB2312" w:cs="仿宋_GB2312"/>
                <w:kern w:val="0"/>
                <w:sz w:val="24"/>
                <w:szCs w:val="24"/>
                <w:lang w:val="en-US" w:eastAsia="zh-CN"/>
              </w:rPr>
              <w:t>195人次</w:t>
            </w:r>
          </w:p>
        </w:tc>
        <w:tc>
          <w:tcPr>
            <w:tcW w:w="1476" w:type="dxa"/>
            <w:tcBorders>
              <w:top w:val="single" w:color="auto" w:sz="4" w:space="0"/>
              <w:left w:val="single" w:color="auto" w:sz="4" w:space="0"/>
              <w:bottom w:val="single" w:color="auto" w:sz="4" w:space="0"/>
            </w:tcBorders>
            <w:noWrap w:val="0"/>
            <w:vAlign w:val="top"/>
          </w:tcPr>
          <w:p w14:paraId="15F2B1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3期</w:t>
            </w:r>
          </w:p>
        </w:tc>
      </w:tr>
      <w:tr w14:paraId="0797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top w:val="single" w:color="auto" w:sz="4" w:space="0"/>
              <w:bottom w:val="single" w:color="auto" w:sz="4" w:space="0"/>
              <w:right w:val="single" w:color="auto" w:sz="4" w:space="0"/>
            </w:tcBorders>
            <w:noWrap w:val="0"/>
            <w:vAlign w:val="top"/>
          </w:tcPr>
          <w:p w14:paraId="6005D61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效益指标</w:t>
            </w:r>
          </w:p>
        </w:tc>
        <w:tc>
          <w:tcPr>
            <w:tcW w:w="1653" w:type="dxa"/>
            <w:tcBorders>
              <w:top w:val="single" w:color="auto" w:sz="4" w:space="0"/>
              <w:left w:val="single" w:color="auto" w:sz="4" w:space="0"/>
              <w:bottom w:val="single" w:color="auto" w:sz="4" w:space="0"/>
              <w:right w:val="single" w:color="auto" w:sz="4" w:space="0"/>
            </w:tcBorders>
            <w:noWrap w:val="0"/>
            <w:vAlign w:val="top"/>
          </w:tcPr>
          <w:p w14:paraId="290EBA5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社会效益指标</w:t>
            </w:r>
          </w:p>
        </w:tc>
        <w:tc>
          <w:tcPr>
            <w:tcW w:w="3606" w:type="dxa"/>
            <w:tcBorders>
              <w:top w:val="single" w:color="auto" w:sz="4" w:space="0"/>
              <w:left w:val="single" w:color="auto" w:sz="4" w:space="0"/>
              <w:bottom w:val="single" w:color="auto" w:sz="4" w:space="0"/>
              <w:right w:val="single" w:color="auto" w:sz="4" w:space="0"/>
            </w:tcBorders>
            <w:noWrap w:val="0"/>
            <w:vAlign w:val="top"/>
          </w:tcPr>
          <w:p w14:paraId="4E18131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赴平湖考察学习8人</w:t>
            </w:r>
          </w:p>
        </w:tc>
        <w:tc>
          <w:tcPr>
            <w:tcW w:w="1476" w:type="dxa"/>
            <w:tcBorders>
              <w:top w:val="single" w:color="auto" w:sz="4" w:space="0"/>
              <w:left w:val="single" w:color="auto" w:sz="4" w:space="0"/>
              <w:bottom w:val="single" w:color="auto" w:sz="4" w:space="0"/>
            </w:tcBorders>
            <w:noWrap w:val="0"/>
            <w:vAlign w:val="top"/>
          </w:tcPr>
          <w:p w14:paraId="105597A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8人</w:t>
            </w:r>
          </w:p>
        </w:tc>
      </w:tr>
      <w:tr w14:paraId="07DE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top w:val="single" w:color="auto" w:sz="4" w:space="0"/>
              <w:right w:val="single" w:color="auto" w:sz="4" w:space="0"/>
            </w:tcBorders>
            <w:noWrap w:val="0"/>
            <w:vAlign w:val="top"/>
          </w:tcPr>
          <w:p w14:paraId="7072F2E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满意度指标</w:t>
            </w:r>
          </w:p>
        </w:tc>
        <w:tc>
          <w:tcPr>
            <w:tcW w:w="1653" w:type="dxa"/>
            <w:tcBorders>
              <w:top w:val="single" w:color="auto" w:sz="4" w:space="0"/>
              <w:left w:val="single" w:color="auto" w:sz="4" w:space="0"/>
              <w:right w:val="single" w:color="auto" w:sz="4" w:space="0"/>
            </w:tcBorders>
            <w:noWrap w:val="0"/>
            <w:vAlign w:val="top"/>
          </w:tcPr>
          <w:p w14:paraId="5E8AD9B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服务对象满意度指标</w:t>
            </w:r>
          </w:p>
        </w:tc>
        <w:tc>
          <w:tcPr>
            <w:tcW w:w="3606" w:type="dxa"/>
            <w:tcBorders>
              <w:top w:val="single" w:color="auto" w:sz="4" w:space="0"/>
              <w:left w:val="single" w:color="auto" w:sz="4" w:space="0"/>
              <w:right w:val="single" w:color="auto" w:sz="4" w:space="0"/>
            </w:tcBorders>
            <w:noWrap w:val="0"/>
            <w:vAlign w:val="top"/>
          </w:tcPr>
          <w:p w14:paraId="1BC9470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农户、受益群众对该项目的满意度</w:t>
            </w:r>
          </w:p>
        </w:tc>
        <w:tc>
          <w:tcPr>
            <w:tcW w:w="1476" w:type="dxa"/>
            <w:tcBorders>
              <w:top w:val="single" w:color="auto" w:sz="4" w:space="0"/>
              <w:left w:val="single" w:color="auto" w:sz="4" w:space="0"/>
            </w:tcBorders>
            <w:noWrap w:val="0"/>
            <w:vAlign w:val="top"/>
          </w:tcPr>
          <w:p w14:paraId="4F87923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w:t>
            </w:r>
          </w:p>
        </w:tc>
      </w:tr>
    </w:tbl>
    <w:p w14:paraId="316FB085">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cs="宋体"/>
          <w:kern w:val="0"/>
          <w:sz w:val="32"/>
          <w:szCs w:val="32"/>
          <w:lang w:val="zh-CN"/>
        </w:rPr>
      </w:pPr>
      <w:r>
        <w:rPr>
          <w:rFonts w:hint="eastAsia" w:ascii="黑体" w:hAnsi="宋体" w:eastAsia="黑体" w:cs="宋体"/>
          <w:kern w:val="0"/>
          <w:sz w:val="32"/>
          <w:szCs w:val="32"/>
          <w:lang w:val="zh-CN"/>
        </w:rPr>
        <w:t>二、评价实施</w:t>
      </w:r>
    </w:p>
    <w:p w14:paraId="4C6478A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（一）评价目的</w:t>
      </w:r>
    </w:p>
    <w:p w14:paraId="7A4D83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14:paraId="7621412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（二）预设问题及评价重点</w:t>
      </w:r>
    </w:p>
    <w:p w14:paraId="1A52D5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2023年茂县供销合作社联合社交流交往交融项目</w:t>
      </w:r>
      <w:r>
        <w:rPr>
          <w:rFonts w:hint="eastAsia" w:ascii="仿宋_GB2312" w:eastAsia="仿宋_GB2312" w:cs="仿宋_GB2312"/>
          <w:kern w:val="0"/>
          <w:sz w:val="32"/>
          <w:szCs w:val="32"/>
        </w:rPr>
        <w:t>资金支出使用全过程</w:t>
      </w:r>
      <w:r>
        <w:rPr>
          <w:rFonts w:hint="eastAsia" w:ascii="仿宋_GB2312" w:eastAsia="仿宋_GB2312" w:cs="仿宋_GB2312"/>
          <w:kern w:val="0"/>
          <w:sz w:val="32"/>
          <w:szCs w:val="32"/>
          <w:lang w:eastAsia="zh-CN"/>
        </w:rPr>
        <w:t>规范。</w:t>
      </w:r>
    </w:p>
    <w:p w14:paraId="55FAE3E9">
      <w:pPr>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（三）评价选点</w:t>
      </w:r>
    </w:p>
    <w:p w14:paraId="7F1331DB">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茂县供销合作社联合社</w:t>
      </w:r>
    </w:p>
    <w:p w14:paraId="65ADDAF7">
      <w:pPr>
        <w:pageBreakBefore w:val="0"/>
        <w:kinsoku/>
        <w:wordWrap/>
        <w:overflowPunct/>
        <w:topLinePunct w:val="0"/>
        <w:autoSpaceDE/>
        <w:autoSpaceDN/>
        <w:bidi w:val="0"/>
        <w:spacing w:line="576" w:lineRule="exact"/>
        <w:ind w:firstLine="640"/>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（四）评价方法</w:t>
      </w:r>
    </w:p>
    <w:p w14:paraId="07BD6CD7">
      <w:pPr>
        <w:pageBreakBefore w:val="0"/>
        <w:kinsoku/>
        <w:wordWrap/>
        <w:overflowPunct/>
        <w:topLinePunct w:val="0"/>
        <w:autoSpaceDE/>
        <w:autoSpaceDN/>
        <w:bidi w:val="0"/>
        <w:spacing w:line="576" w:lineRule="exact"/>
        <w:ind w:firstLine="640"/>
        <w:textAlignment w:val="auto"/>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采用单位自评法。</w:t>
      </w:r>
    </w:p>
    <w:p w14:paraId="16B4D534">
      <w:pPr>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14:paraId="2B8608D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（一）通用指标绩效分析</w:t>
      </w:r>
    </w:p>
    <w:p w14:paraId="60CA7D1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1.项目决策。决策程序</w:t>
      </w:r>
      <w:r>
        <w:rPr>
          <w:rFonts w:hint="eastAsia" w:ascii="仿宋_GB2312" w:eastAsia="仿宋_GB2312" w:cs="仿宋_GB2312"/>
          <w:kern w:val="0"/>
          <w:sz w:val="32"/>
          <w:szCs w:val="32"/>
          <w:lang w:eastAsia="zh-CN"/>
        </w:rPr>
        <w:t>严密，</w:t>
      </w:r>
      <w:r>
        <w:rPr>
          <w:rFonts w:hint="eastAsia" w:ascii="仿宋_GB2312" w:eastAsia="仿宋_GB2312" w:cs="仿宋_GB2312"/>
          <w:kern w:val="0"/>
          <w:sz w:val="32"/>
          <w:szCs w:val="32"/>
        </w:rPr>
        <w:t>符合资金管理基本规范和决策程序要求</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规划论证符合中省要求、项目绩效目标设置科学合理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资金投向与项目总体规划、相关行业事业发展相匹配。</w:t>
      </w:r>
    </w:p>
    <w:p w14:paraId="239286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2.项目管理。项目资金分配因素选取、权重设置、区域分布，项目管理、审批符合管理要求、绩效监管按中省要求全面完成绩效目标（含事前评估）、绩效评价。</w:t>
      </w:r>
    </w:p>
    <w:p w14:paraId="255A5D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3.项目实施。</w:t>
      </w:r>
      <w:r>
        <w:rPr>
          <w:rFonts w:hint="eastAsia" w:ascii="仿宋_GB2312" w:eastAsia="仿宋_GB2312" w:cs="仿宋_GB2312"/>
          <w:kern w:val="0"/>
          <w:sz w:val="32"/>
          <w:szCs w:val="32"/>
          <w:lang w:eastAsia="zh-CN"/>
        </w:rPr>
        <w:t>财政资金拨付率</w:t>
      </w:r>
      <w:r>
        <w:rPr>
          <w:rFonts w:hint="eastAsia" w:ascii="仿宋_GB2312" w:eastAsia="仿宋_GB2312" w:cs="仿宋_GB2312"/>
          <w:kern w:val="0"/>
          <w:sz w:val="32"/>
          <w:szCs w:val="32"/>
          <w:lang w:val="en-US" w:eastAsia="zh-CN"/>
        </w:rPr>
        <w:t>100%，使用率100%，无地方配套资金。</w:t>
      </w:r>
    </w:p>
    <w:p w14:paraId="44BBF54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4.项目结果。完成预期目标，实施结果。与绩效目标相匹配</w:t>
      </w:r>
      <w:r>
        <w:rPr>
          <w:rFonts w:hint="eastAsia" w:ascii="仿宋_GB2312" w:eastAsia="仿宋_GB2312" w:cs="仿宋_GB2312"/>
          <w:kern w:val="0"/>
          <w:sz w:val="32"/>
          <w:szCs w:val="32"/>
          <w:lang w:eastAsia="zh-CN"/>
        </w:rPr>
        <w:t>。</w:t>
      </w:r>
    </w:p>
    <w:p w14:paraId="5EACC74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（二）专用指标绩效分析</w:t>
      </w:r>
    </w:p>
    <w:p w14:paraId="7E4493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zh-CN"/>
        </w:rPr>
        <w:t>民生保障。</w:t>
      </w:r>
      <w:r>
        <w:rPr>
          <w:rFonts w:hint="eastAsia" w:ascii="仿宋_GB2312" w:eastAsia="仿宋_GB2312" w:cs="仿宋_GB2312"/>
          <w:kern w:val="0"/>
          <w:sz w:val="32"/>
          <w:szCs w:val="32"/>
        </w:rPr>
        <w:t>资金分配均衡公平、支持对象符合管理要求，符合支持对象范围、资金实际补贴标准符合资金管理办法规定的补助标准，及时按标准兑现。</w:t>
      </w:r>
    </w:p>
    <w:p w14:paraId="6C137E1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cs="宋体"/>
          <w:kern w:val="0"/>
          <w:lang w:val="en-US" w:eastAsia="zh-CN"/>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val="zh-CN"/>
        </w:rPr>
        <w:t>行政运转。按规定用途、适用范围进行本地区专项资金分配。</w:t>
      </w:r>
    </w:p>
    <w:p w14:paraId="19503451">
      <w:pPr>
        <w:pageBreakBefore w:val="0"/>
        <w:widowControl/>
        <w:tabs>
          <w:tab w:val="left" w:pos="2160"/>
        </w:tabs>
        <w:kinsoku/>
        <w:wordWrap/>
        <w:overflowPunct/>
        <w:topLinePunct w:val="0"/>
        <w:autoSpaceDE/>
        <w:autoSpaceDN/>
        <w:bidi w:val="0"/>
        <w:spacing w:line="576" w:lineRule="exact"/>
        <w:ind w:firstLine="643" w:firstLineChars="200"/>
        <w:jc w:val="left"/>
        <w:textAlignment w:val="auto"/>
        <w:rPr>
          <w:rFonts w:hint="eastAsia" w:ascii="楷体_GB2312" w:hAnsi="宋体" w:eastAsia="楷体_GB2312" w:cs="宋体"/>
          <w:b/>
          <w:kern w:val="0"/>
          <w:position w:val="3"/>
          <w:sz w:val="32"/>
          <w:szCs w:val="32"/>
          <w:lang w:val="zh-CN" w:eastAsia="en-US" w:bidi="ar-SA"/>
        </w:rPr>
      </w:pPr>
      <w:r>
        <w:rPr>
          <w:rFonts w:hint="eastAsia" w:ascii="楷体_GB2312" w:hAnsi="宋体" w:eastAsia="楷体_GB2312" w:cs="宋体"/>
          <w:b/>
          <w:kern w:val="0"/>
          <w:position w:val="3"/>
          <w:sz w:val="32"/>
          <w:szCs w:val="32"/>
          <w:lang w:val="zh-CN" w:eastAsia="en-US" w:bidi="ar-SA"/>
        </w:rPr>
        <w:t>（三）个性指标绩效分析</w:t>
      </w:r>
    </w:p>
    <w:p w14:paraId="7A080878">
      <w:pPr>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hint="eastAsia" w:ascii="仿宋_GB2312" w:hAnsi="Times New Roman" w:eastAsia="仿宋_GB2312" w:cs="仿宋_GB2312"/>
          <w:kern w:val="0"/>
          <w:position w:val="3"/>
          <w:sz w:val="32"/>
          <w:szCs w:val="32"/>
          <w:lang w:val="zh-CN" w:eastAsia="en-US" w:bidi="ar-SA"/>
        </w:rPr>
      </w:pPr>
      <w:r>
        <w:rPr>
          <w:rFonts w:hint="eastAsia" w:ascii="仿宋_GB2312" w:hAnsi="Times New Roman" w:eastAsia="仿宋_GB2312" w:cs="仿宋_GB2312"/>
          <w:kern w:val="0"/>
          <w:position w:val="3"/>
          <w:sz w:val="32"/>
          <w:szCs w:val="32"/>
          <w:lang w:val="zh-CN" w:eastAsia="en-US" w:bidi="ar-SA"/>
        </w:rPr>
        <w:t>根据项目设定指标如实完成。</w:t>
      </w:r>
    </w:p>
    <w:p w14:paraId="1AE27BED">
      <w:pPr>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ascii="黑体" w:hAnsi="宋体" w:eastAsia="黑体" w:cs="宋体"/>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w:t>
      </w:r>
      <w:r>
        <w:rPr>
          <w:rFonts w:hint="eastAsia" w:ascii="黑体" w:hAnsi="宋体" w:eastAsia="黑体" w:cs="宋体"/>
          <w:kern w:val="0"/>
          <w:position w:val="3"/>
          <w:sz w:val="32"/>
          <w:szCs w:val="32"/>
          <w:lang w:val="en-US" w:eastAsia="zh-CN" w:bidi="ar-SA"/>
        </w:rPr>
        <w:t>价结论</w:t>
      </w:r>
    </w:p>
    <w:p w14:paraId="48EBB754">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eastAsia="仿宋_GB2312" w:cs="Times New Roman"/>
          <w:kern w:val="2"/>
          <w:sz w:val="32"/>
          <w:szCs w:val="32"/>
          <w:u w:val="none"/>
        </w:rPr>
        <w:t>综合前述评估内容来看，该</w:t>
      </w:r>
      <w:r>
        <w:rPr>
          <w:rFonts w:hint="eastAsia" w:ascii="仿宋_GB2312" w:eastAsia="仿宋_GB2312" w:cs="Times New Roman"/>
          <w:color w:val="auto"/>
          <w:kern w:val="2"/>
          <w:sz w:val="32"/>
          <w:szCs w:val="32"/>
          <w:u w:val="none"/>
        </w:rPr>
        <w:t>项目</w:t>
      </w:r>
      <w:r>
        <w:rPr>
          <w:rFonts w:hint="eastAsia" w:ascii="仿宋_GB2312" w:eastAsia="仿宋_GB2312" w:cs="Times New Roman"/>
          <w:color w:val="auto"/>
          <w:kern w:val="2"/>
          <w:sz w:val="32"/>
          <w:szCs w:val="32"/>
          <w:u w:val="none"/>
          <w:lang w:val="en-US" w:eastAsia="zh-CN"/>
        </w:rPr>
        <w:t>依据</w:t>
      </w:r>
      <w:r>
        <w:rPr>
          <w:rFonts w:hint="eastAsia" w:ascii="仿宋_GB2312" w:eastAsia="仿宋_GB2312" w:cs="Times New Roman"/>
          <w:kern w:val="2"/>
          <w:sz w:val="32"/>
          <w:szCs w:val="32"/>
          <w:u w:val="none"/>
        </w:rPr>
        <w:t>充分，绩效目标明确，具有公共性，符合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r>
        <w:rPr>
          <w:rFonts w:hint="eastAsia" w:ascii="仿宋_GB2312" w:eastAsia="仿宋_GB2312" w:cs="Times New Roman"/>
          <w:kern w:val="2"/>
          <w:sz w:val="32"/>
          <w:szCs w:val="32"/>
          <w:u w:val="none"/>
          <w:lang w:val="en-US" w:eastAsia="zh-CN"/>
        </w:rPr>
        <w:t>项目预算20</w:t>
      </w:r>
      <w:r>
        <w:rPr>
          <w:rFonts w:hint="eastAsia" w:ascii="仿宋_GB2312" w:eastAsia="仿宋_GB2312" w:cs="Times New Roman"/>
          <w:kern w:val="2"/>
          <w:sz w:val="32"/>
          <w:szCs w:val="32"/>
          <w:u w:val="none"/>
        </w:rPr>
        <w:t>万</w:t>
      </w:r>
      <w:r>
        <w:rPr>
          <w:rFonts w:hint="eastAsia" w:ascii="仿宋_GB2312" w:eastAsia="仿宋_GB2312" w:cs="Times New Roman"/>
          <w:kern w:val="2"/>
          <w:sz w:val="32"/>
          <w:szCs w:val="32"/>
          <w:u w:val="none"/>
          <w:lang w:eastAsia="zh-CN"/>
        </w:rPr>
        <w:t>，</w:t>
      </w:r>
      <w:r>
        <w:rPr>
          <w:rFonts w:hint="eastAsia" w:ascii="仿宋_GB2312" w:eastAsia="仿宋_GB2312" w:cs="Times New Roman"/>
          <w:kern w:val="2"/>
          <w:sz w:val="32"/>
          <w:szCs w:val="32"/>
          <w:u w:val="none"/>
        </w:rPr>
        <w:t>该项目申请</w:t>
      </w:r>
      <w:r>
        <w:rPr>
          <w:rFonts w:hint="eastAsia" w:ascii="仿宋_GB2312" w:eastAsia="仿宋_GB2312" w:cs="Times New Roman"/>
          <w:kern w:val="2"/>
          <w:sz w:val="32"/>
          <w:szCs w:val="32"/>
          <w:u w:val="none"/>
          <w:lang w:val="en-US" w:eastAsia="zh-CN"/>
        </w:rPr>
        <w:t>总</w:t>
      </w:r>
      <w:r>
        <w:rPr>
          <w:rFonts w:hint="eastAsia" w:ascii="仿宋_GB2312" w:eastAsia="仿宋_GB2312" w:cs="Times New Roman"/>
          <w:kern w:val="2"/>
          <w:sz w:val="32"/>
          <w:szCs w:val="32"/>
          <w:u w:val="none"/>
        </w:rPr>
        <w:t>资金</w:t>
      </w:r>
      <w:r>
        <w:rPr>
          <w:rFonts w:hint="eastAsia" w:ascii="仿宋_GB2312" w:eastAsia="仿宋_GB2312" w:cs="Times New Roman"/>
          <w:kern w:val="2"/>
          <w:sz w:val="32"/>
          <w:szCs w:val="32"/>
          <w:u w:val="none"/>
          <w:lang w:val="en-US" w:eastAsia="zh-CN"/>
        </w:rPr>
        <w:t>在预算内</w:t>
      </w:r>
      <w:r>
        <w:rPr>
          <w:rFonts w:hint="eastAsia" w:ascii="仿宋_GB2312" w:eastAsia="仿宋_GB2312" w:cs="Times New Roman"/>
          <w:kern w:val="2"/>
          <w:sz w:val="32"/>
          <w:szCs w:val="32"/>
          <w:u w:val="none"/>
        </w:rPr>
        <w:t>。我单位将进一步加强运行监控，提升资金效益，提升预算绩效管理水平</w:t>
      </w:r>
      <w:r>
        <w:rPr>
          <w:rFonts w:hint="eastAsia" w:ascii="仿宋_GB2312" w:cs="Times New Roman"/>
          <w:kern w:val="2"/>
          <w:sz w:val="32"/>
          <w:szCs w:val="32"/>
          <w:u w:val="none"/>
          <w:lang w:eastAsia="zh-CN"/>
        </w:rPr>
        <w:t>。</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cs="仿宋_GB2312"/>
          <w:kern w:val="0"/>
          <w:position w:val="0"/>
          <w:sz w:val="32"/>
          <w:szCs w:val="32"/>
          <w:highlight w:val="none"/>
          <w:u w:val="none"/>
          <w:shd w:val="clear" w:color="auto" w:fill="FFFFFF"/>
          <w:lang w:val="en-US" w:eastAsia="zh-CN" w:bidi="ar-SA"/>
        </w:rPr>
        <w:t>100</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14:paraId="116D3CE8">
      <w:pPr>
        <w:pageBreakBefore w:val="0"/>
        <w:kinsoku/>
        <w:wordWrap/>
        <w:overflowPunct/>
        <w:topLinePunct w:val="0"/>
        <w:autoSpaceDE/>
        <w:autoSpaceDN/>
        <w:bidi w:val="0"/>
        <w:spacing w:line="576" w:lineRule="exact"/>
        <w:ind w:left="49" w:firstLine="640" w:firstLineChars="200"/>
        <w:textAlignment w:val="auto"/>
        <w:rPr>
          <w:rFonts w:hint="eastAsia" w:ascii="仿宋_GB2312" w:eastAsia="仿宋_GB2312" w:cs="Times New Roman"/>
          <w:kern w:val="2"/>
          <w:sz w:val="32"/>
          <w:szCs w:val="32"/>
          <w:u w:val="none"/>
          <w:lang w:val="zh-CN"/>
        </w:rPr>
      </w:pPr>
    </w:p>
    <w:p w14:paraId="4F25D5EF">
      <w:pPr>
        <w:pageBreakBefore w:val="0"/>
        <w:kinsoku/>
        <w:wordWrap/>
        <w:overflowPunct/>
        <w:topLinePunct w:val="0"/>
        <w:autoSpaceDE/>
        <w:autoSpaceDN/>
        <w:bidi w:val="0"/>
        <w:spacing w:line="576" w:lineRule="exact"/>
        <w:ind w:left="49" w:firstLine="640" w:firstLineChars="200"/>
        <w:textAlignment w:val="auto"/>
        <w:rPr>
          <w:rFonts w:hint="eastAsia" w:ascii="仿宋_GB2312" w:eastAsia="仿宋_GB2312" w:cs="Times New Roman"/>
          <w:kern w:val="2"/>
          <w:sz w:val="32"/>
          <w:szCs w:val="32"/>
          <w:u w:val="none"/>
        </w:rPr>
      </w:pPr>
      <w:r>
        <w:rPr>
          <w:rFonts w:hint="eastAsia" w:ascii="仿宋_GB2312" w:eastAsia="仿宋_GB2312" w:cs="Times New Roman"/>
          <w:kern w:val="2"/>
          <w:sz w:val="32"/>
          <w:szCs w:val="32"/>
          <w:u w:val="none"/>
        </w:rPr>
        <w:t>附表：1.项目资金分配涉及所有点位自评得分情况表</w:t>
      </w:r>
    </w:p>
    <w:p w14:paraId="656B48D8">
      <w:pPr>
        <w:pageBreakBefore w:val="0"/>
        <w:numPr>
          <w:ilvl w:val="0"/>
          <w:numId w:val="0"/>
        </w:numPr>
        <w:kinsoku/>
        <w:wordWrap/>
        <w:overflowPunct/>
        <w:topLinePunct w:val="0"/>
        <w:autoSpaceDE/>
        <w:autoSpaceDN/>
        <w:bidi w:val="0"/>
        <w:spacing w:line="576" w:lineRule="exact"/>
        <w:ind w:leftChars="500" w:firstLine="640" w:firstLineChars="200"/>
        <w:textAlignment w:val="auto"/>
        <w:rPr>
          <w:rFonts w:hint="eastAsia" w:ascii="仿宋_GB2312" w:eastAsia="仿宋_GB2312" w:cs="Times New Roman"/>
          <w:kern w:val="2"/>
          <w:sz w:val="32"/>
          <w:szCs w:val="32"/>
          <w:u w:val="none"/>
        </w:rPr>
      </w:pPr>
      <w:r>
        <w:rPr>
          <w:rFonts w:hint="eastAsia" w:ascii="仿宋_GB2312" w:eastAsia="仿宋_GB2312" w:cs="Times New Roman"/>
          <w:kern w:val="2"/>
          <w:sz w:val="32"/>
          <w:szCs w:val="32"/>
          <w:u w:val="none"/>
          <w:lang w:val="en-US" w:eastAsia="zh-CN"/>
        </w:rPr>
        <w:t>2.</w:t>
      </w:r>
      <w:r>
        <w:rPr>
          <w:rFonts w:hint="eastAsia" w:ascii="仿宋_GB2312" w:eastAsia="仿宋_GB2312" w:cs="Times New Roman"/>
          <w:kern w:val="2"/>
          <w:sz w:val="32"/>
          <w:szCs w:val="32"/>
          <w:u w:val="none"/>
        </w:rPr>
        <w:t>专项预算项目绩效目标完成情况自评表</w:t>
      </w:r>
    </w:p>
    <w:p w14:paraId="7C56C231">
      <w:pPr>
        <w:keepNext/>
        <w:keepLines/>
        <w:pageBreakBefore w:val="0"/>
        <w:widowControl w:val="0"/>
        <w:numPr>
          <w:ilvl w:val="0"/>
          <w:numId w:val="0"/>
        </w:numPr>
        <w:kinsoku/>
        <w:wordWrap/>
        <w:overflowPunct/>
        <w:topLinePunct w:val="0"/>
        <w:autoSpaceDE/>
        <w:autoSpaceDN/>
        <w:bidi w:val="0"/>
        <w:spacing w:line="576" w:lineRule="exact"/>
        <w:textAlignment w:val="auto"/>
        <w:outlineLvl w:val="4"/>
        <w:rPr>
          <w:rFonts w:hint="eastAsia" w:ascii="Arial" w:hAnsi="Arial" w:eastAsia="黑体" w:cs="Times New Roman"/>
          <w:b/>
          <w:kern w:val="2"/>
          <w:sz w:val="24"/>
          <w:szCs w:val="28"/>
          <w:lang w:val="en-US" w:eastAsia="zh-CN" w:bidi="ar-SA"/>
        </w:rPr>
      </w:pPr>
    </w:p>
    <w:p w14:paraId="23CBE8FE">
      <w:pPr>
        <w:pageBreakBefore w:val="0"/>
        <w:kinsoku/>
        <w:wordWrap/>
        <w:overflowPunct/>
        <w:topLinePunct w:val="0"/>
        <w:autoSpaceDE/>
        <w:autoSpaceDN/>
        <w:bidi w:val="0"/>
        <w:spacing w:line="576" w:lineRule="exact"/>
        <w:ind w:left="49" w:firstLine="4160" w:firstLineChars="1300"/>
        <w:textAlignment w:val="auto"/>
        <w:rPr>
          <w:rFonts w:hint="default" w:ascii="仿宋_GB2312" w:eastAsia="仿宋_GB2312" w:cs="Times New Roman"/>
          <w:kern w:val="2"/>
          <w:sz w:val="32"/>
          <w:szCs w:val="32"/>
          <w:u w:val="none"/>
          <w:lang w:val="en-US" w:eastAsia="zh-CN"/>
        </w:rPr>
      </w:pPr>
      <w:r>
        <w:rPr>
          <w:rFonts w:hint="eastAsia" w:ascii="仿宋_GB2312" w:eastAsia="仿宋_GB2312" w:cs="Times New Roman"/>
          <w:kern w:val="2"/>
          <w:sz w:val="32"/>
          <w:szCs w:val="32"/>
          <w:u w:val="none"/>
          <w:lang w:val="en-US" w:eastAsia="zh-CN"/>
        </w:rPr>
        <w:t>茂县供销合作社联合社</w:t>
      </w:r>
    </w:p>
    <w:p w14:paraId="0B536013">
      <w:pPr>
        <w:pageBreakBefore w:val="0"/>
        <w:kinsoku/>
        <w:wordWrap/>
        <w:overflowPunct/>
        <w:topLinePunct w:val="0"/>
        <w:autoSpaceDE/>
        <w:autoSpaceDN/>
        <w:bidi w:val="0"/>
        <w:spacing w:line="576" w:lineRule="exact"/>
        <w:ind w:firstLine="4486" w:firstLineChars="1402"/>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2024年8月8日</w:t>
      </w:r>
    </w:p>
    <w:p w14:paraId="4451D292">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eastAsia="仿宋_GB2312" w:cs="仿宋_GB2312"/>
          <w:kern w:val="0"/>
          <w:sz w:val="32"/>
          <w:szCs w:val="32"/>
          <w:lang w:val="en-US" w:eastAsia="zh-CN"/>
        </w:rPr>
      </w:pPr>
    </w:p>
    <w:p w14:paraId="0B201146">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14:paraId="3BA9C538">
      <w:pPr>
        <w:rPr>
          <w:rFonts w:hint="default" w:ascii="仿宋_GB2312" w:eastAsia="仿宋_GB2312" w:cs="仿宋_GB2312"/>
          <w:kern w:val="0"/>
          <w:sz w:val="32"/>
          <w:szCs w:val="32"/>
          <w:lang w:val="en-US" w:eastAsia="zh-CN"/>
        </w:rPr>
      </w:pPr>
    </w:p>
    <w:p w14:paraId="6E68E790">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14:paraId="2EB93F01">
      <w:pPr>
        <w:rPr>
          <w:rFonts w:hint="default" w:ascii="仿宋_GB2312" w:eastAsia="仿宋_GB2312" w:cs="仿宋_GB2312"/>
          <w:kern w:val="0"/>
          <w:sz w:val="32"/>
          <w:szCs w:val="32"/>
          <w:lang w:val="en-US" w:eastAsia="zh-CN"/>
        </w:rPr>
      </w:pPr>
    </w:p>
    <w:p w14:paraId="58612730">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14:paraId="0E72AFA8">
      <w:pPr>
        <w:rPr>
          <w:rFonts w:hint="default" w:ascii="仿宋_GB2312" w:eastAsia="仿宋_GB2312" w:cs="仿宋_GB2312"/>
          <w:kern w:val="0"/>
          <w:sz w:val="32"/>
          <w:szCs w:val="32"/>
          <w:lang w:val="en-US" w:eastAsia="zh-CN"/>
        </w:rPr>
      </w:pPr>
    </w:p>
    <w:p w14:paraId="40C78F2A">
      <w:pPr>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14:paraId="19393CE2">
      <w:pPr>
        <w:spacing w:line="578" w:lineRule="exact"/>
        <w:jc w:val="center"/>
        <w:rPr>
          <w:rFonts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40"/>
          <w:szCs w:val="40"/>
        </w:rPr>
        <w:t>项目资金分配涉及所有点位自评得分情况表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35DD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3031774">
            <w:pPr>
              <w:spacing w:line="300" w:lineRule="exact"/>
              <w:jc w:val="center"/>
              <w:rPr>
                <w:rFonts w:ascii="黑体" w:hAnsi="黑体" w:eastAsia="黑体" w:cs="黑体"/>
                <w:kern w:val="0"/>
                <w:sz w:val="24"/>
                <w:szCs w:val="24"/>
              </w:rPr>
            </w:pPr>
            <w:r>
              <w:rPr>
                <w:rFonts w:hint="eastAsia" w:ascii="黑体" w:hAnsi="黑体" w:eastAsia="黑体" w:cs="黑体"/>
                <w:kern w:val="0"/>
                <w:sz w:val="24"/>
                <w:szCs w:val="24"/>
              </w:rPr>
              <w:t>序号</w:t>
            </w:r>
          </w:p>
        </w:tc>
        <w:tc>
          <w:tcPr>
            <w:tcW w:w="3843" w:type="dxa"/>
          </w:tcPr>
          <w:p w14:paraId="26E9C9C8">
            <w:pPr>
              <w:spacing w:line="300" w:lineRule="exact"/>
              <w:jc w:val="center"/>
              <w:rPr>
                <w:rFonts w:ascii="黑体" w:hAnsi="黑体" w:eastAsia="黑体" w:cs="黑体"/>
                <w:kern w:val="0"/>
                <w:sz w:val="24"/>
                <w:szCs w:val="24"/>
                <w:lang w:val="en"/>
              </w:rPr>
            </w:pPr>
            <w:r>
              <w:rPr>
                <w:rFonts w:hint="eastAsia" w:ascii="黑体" w:hAnsi="黑体" w:eastAsia="黑体" w:cs="黑体"/>
                <w:kern w:val="0"/>
                <w:sz w:val="24"/>
                <w:szCs w:val="24"/>
              </w:rPr>
              <w:t>项目资金末端分配点位</w:t>
            </w:r>
          </w:p>
        </w:tc>
        <w:tc>
          <w:tcPr>
            <w:tcW w:w="2861" w:type="dxa"/>
          </w:tcPr>
          <w:p w14:paraId="38A8436F">
            <w:pPr>
              <w:spacing w:line="300" w:lineRule="exact"/>
              <w:jc w:val="center"/>
              <w:rPr>
                <w:rFonts w:ascii="黑体" w:hAnsi="黑体" w:eastAsia="黑体" w:cs="黑体"/>
                <w:kern w:val="0"/>
                <w:sz w:val="24"/>
                <w:szCs w:val="24"/>
              </w:rPr>
            </w:pPr>
            <w:r>
              <w:rPr>
                <w:rFonts w:hint="eastAsia" w:ascii="黑体" w:hAnsi="黑体" w:eastAsia="黑体" w:cs="黑体"/>
                <w:kern w:val="0"/>
                <w:sz w:val="24"/>
                <w:szCs w:val="24"/>
                <w:lang w:val="en"/>
              </w:rPr>
              <w:t>自评得分（百分制）</w:t>
            </w:r>
          </w:p>
        </w:tc>
        <w:tc>
          <w:tcPr>
            <w:tcW w:w="993" w:type="dxa"/>
          </w:tcPr>
          <w:p w14:paraId="16459641">
            <w:pPr>
              <w:spacing w:line="300" w:lineRule="exact"/>
              <w:jc w:val="center"/>
              <w:rPr>
                <w:rFonts w:ascii="黑体" w:hAnsi="黑体" w:eastAsia="黑体" w:cs="黑体"/>
                <w:kern w:val="0"/>
                <w:sz w:val="24"/>
                <w:szCs w:val="24"/>
              </w:rPr>
            </w:pPr>
            <w:r>
              <w:rPr>
                <w:rFonts w:hint="eastAsia" w:ascii="黑体" w:hAnsi="黑体" w:eastAsia="黑体" w:cs="黑体"/>
                <w:kern w:val="0"/>
                <w:sz w:val="24"/>
                <w:szCs w:val="24"/>
              </w:rPr>
              <w:t>备注</w:t>
            </w:r>
          </w:p>
        </w:tc>
      </w:tr>
      <w:tr w14:paraId="17A2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123" w:type="dxa"/>
          </w:tcPr>
          <w:p w14:paraId="31C35320">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843" w:type="dxa"/>
          </w:tcPr>
          <w:p w14:paraId="7A866E3B">
            <w:pPr>
              <w:spacing w:line="300" w:lineRule="exact"/>
              <w:rPr>
                <w:rFonts w:hint="default" w:ascii="宋体" w:hAnsi="宋体" w:eastAsia="仿宋_GB2312" w:cs="宋体"/>
                <w:kern w:val="0"/>
                <w:sz w:val="24"/>
                <w:szCs w:val="24"/>
                <w:lang w:val="en-US" w:eastAsia="zh-CN"/>
              </w:rPr>
            </w:pPr>
            <w:r>
              <w:rPr>
                <w:rFonts w:hint="eastAsia" w:ascii="仿宋_GB2312" w:eastAsia="仿宋_GB2312" w:cs="Times New Roman"/>
                <w:kern w:val="2"/>
                <w:szCs w:val="21"/>
                <w:u w:val="none"/>
              </w:rPr>
              <w:t>茂县</w:t>
            </w:r>
            <w:r>
              <w:rPr>
                <w:rFonts w:hint="eastAsia" w:ascii="仿宋_GB2312" w:eastAsia="仿宋_GB2312" w:cs="Times New Roman"/>
                <w:kern w:val="2"/>
                <w:szCs w:val="21"/>
                <w:u w:val="none"/>
                <w:lang w:val="en-US" w:eastAsia="zh-CN"/>
              </w:rPr>
              <w:t>供销合作社联合社交流交往交融项目</w:t>
            </w:r>
          </w:p>
        </w:tc>
        <w:tc>
          <w:tcPr>
            <w:tcW w:w="2861" w:type="dxa"/>
          </w:tcPr>
          <w:p w14:paraId="4BB15598">
            <w:pPr>
              <w:spacing w:line="300" w:lineRule="exact"/>
              <w:jc w:val="center"/>
              <w:rPr>
                <w:rFonts w:hint="default" w:ascii="宋体" w:hAnsi="宋体" w:eastAsia="仿宋_GB2312" w:cs="宋体"/>
                <w:kern w:val="0"/>
                <w:sz w:val="24"/>
                <w:szCs w:val="24"/>
                <w:lang w:val="en-US" w:eastAsia="zh-CN"/>
              </w:rPr>
            </w:pPr>
            <w:r>
              <w:rPr>
                <w:rFonts w:hint="eastAsia" w:ascii="黑体" w:hAnsi="黑体" w:eastAsia="黑体" w:cs="黑体"/>
                <w:kern w:val="0"/>
                <w:sz w:val="24"/>
                <w:szCs w:val="24"/>
                <w:lang w:val="en-US" w:eastAsia="zh-CN"/>
              </w:rPr>
              <w:t>100</w:t>
            </w:r>
          </w:p>
        </w:tc>
        <w:tc>
          <w:tcPr>
            <w:tcW w:w="993" w:type="dxa"/>
          </w:tcPr>
          <w:p w14:paraId="71DE58B4">
            <w:pPr>
              <w:spacing w:line="300" w:lineRule="exact"/>
              <w:rPr>
                <w:rFonts w:ascii="宋体" w:hAnsi="宋体" w:cs="宋体"/>
                <w:kern w:val="0"/>
                <w:sz w:val="24"/>
                <w:szCs w:val="24"/>
              </w:rPr>
            </w:pPr>
          </w:p>
        </w:tc>
      </w:tr>
      <w:tr w14:paraId="7932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0EE2242">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43" w:type="dxa"/>
          </w:tcPr>
          <w:p w14:paraId="30623631">
            <w:pPr>
              <w:spacing w:line="300" w:lineRule="exact"/>
              <w:rPr>
                <w:rFonts w:ascii="宋体" w:hAnsi="宋体" w:cs="宋体"/>
                <w:kern w:val="0"/>
                <w:sz w:val="24"/>
                <w:szCs w:val="24"/>
                <w:lang w:val="en"/>
              </w:rPr>
            </w:pPr>
          </w:p>
        </w:tc>
        <w:tc>
          <w:tcPr>
            <w:tcW w:w="2861" w:type="dxa"/>
          </w:tcPr>
          <w:p w14:paraId="71331C2C">
            <w:pPr>
              <w:spacing w:line="300" w:lineRule="exact"/>
              <w:rPr>
                <w:rFonts w:ascii="宋体" w:hAnsi="宋体" w:cs="宋体"/>
                <w:kern w:val="0"/>
                <w:sz w:val="24"/>
                <w:szCs w:val="24"/>
                <w:lang w:val="en"/>
              </w:rPr>
            </w:pPr>
          </w:p>
        </w:tc>
        <w:tc>
          <w:tcPr>
            <w:tcW w:w="993" w:type="dxa"/>
          </w:tcPr>
          <w:p w14:paraId="78C52234">
            <w:pPr>
              <w:spacing w:line="300" w:lineRule="exact"/>
              <w:rPr>
                <w:rFonts w:ascii="宋体" w:hAnsi="宋体" w:cs="宋体"/>
                <w:kern w:val="0"/>
                <w:sz w:val="24"/>
                <w:szCs w:val="24"/>
              </w:rPr>
            </w:pPr>
          </w:p>
        </w:tc>
      </w:tr>
      <w:tr w14:paraId="52F7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34AB9FE">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843" w:type="dxa"/>
          </w:tcPr>
          <w:p w14:paraId="0D0D77F3">
            <w:pPr>
              <w:spacing w:line="300" w:lineRule="exact"/>
              <w:rPr>
                <w:rFonts w:ascii="宋体" w:hAnsi="宋体" w:cs="宋体"/>
                <w:kern w:val="0"/>
                <w:sz w:val="24"/>
                <w:szCs w:val="24"/>
                <w:lang w:val="en"/>
              </w:rPr>
            </w:pPr>
          </w:p>
        </w:tc>
        <w:tc>
          <w:tcPr>
            <w:tcW w:w="2861" w:type="dxa"/>
          </w:tcPr>
          <w:p w14:paraId="0A69A00F">
            <w:pPr>
              <w:spacing w:line="300" w:lineRule="exact"/>
              <w:rPr>
                <w:rFonts w:ascii="宋体" w:hAnsi="宋体" w:cs="宋体"/>
                <w:kern w:val="0"/>
                <w:sz w:val="24"/>
                <w:szCs w:val="24"/>
                <w:lang w:val="en"/>
              </w:rPr>
            </w:pPr>
          </w:p>
        </w:tc>
        <w:tc>
          <w:tcPr>
            <w:tcW w:w="993" w:type="dxa"/>
          </w:tcPr>
          <w:p w14:paraId="5218B5D1">
            <w:pPr>
              <w:spacing w:line="300" w:lineRule="exact"/>
              <w:rPr>
                <w:rFonts w:ascii="宋体" w:hAnsi="宋体" w:cs="宋体"/>
                <w:kern w:val="0"/>
                <w:sz w:val="24"/>
                <w:szCs w:val="24"/>
              </w:rPr>
            </w:pPr>
          </w:p>
        </w:tc>
      </w:tr>
      <w:tr w14:paraId="6DB1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DF8EAEE">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843" w:type="dxa"/>
          </w:tcPr>
          <w:p w14:paraId="775C62A7">
            <w:pPr>
              <w:spacing w:line="300" w:lineRule="exact"/>
              <w:rPr>
                <w:rFonts w:ascii="宋体" w:hAnsi="宋体" w:cs="宋体"/>
                <w:kern w:val="0"/>
                <w:sz w:val="24"/>
                <w:szCs w:val="24"/>
                <w:lang w:val="en"/>
              </w:rPr>
            </w:pPr>
          </w:p>
        </w:tc>
        <w:tc>
          <w:tcPr>
            <w:tcW w:w="2861" w:type="dxa"/>
          </w:tcPr>
          <w:p w14:paraId="063CD2D8">
            <w:pPr>
              <w:spacing w:line="300" w:lineRule="exact"/>
              <w:rPr>
                <w:rFonts w:ascii="宋体" w:hAnsi="宋体" w:cs="宋体"/>
                <w:kern w:val="0"/>
                <w:sz w:val="24"/>
                <w:szCs w:val="24"/>
                <w:lang w:val="en"/>
              </w:rPr>
            </w:pPr>
          </w:p>
        </w:tc>
        <w:tc>
          <w:tcPr>
            <w:tcW w:w="993" w:type="dxa"/>
          </w:tcPr>
          <w:p w14:paraId="35AEFAF3">
            <w:pPr>
              <w:spacing w:line="300" w:lineRule="exact"/>
              <w:rPr>
                <w:rFonts w:ascii="宋体" w:hAnsi="宋体" w:cs="宋体"/>
                <w:kern w:val="0"/>
                <w:sz w:val="24"/>
                <w:szCs w:val="24"/>
              </w:rPr>
            </w:pPr>
          </w:p>
        </w:tc>
      </w:tr>
      <w:tr w14:paraId="4B0E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1723041">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843" w:type="dxa"/>
          </w:tcPr>
          <w:p w14:paraId="11CEB28C">
            <w:pPr>
              <w:spacing w:line="300" w:lineRule="exact"/>
              <w:rPr>
                <w:rFonts w:ascii="宋体" w:hAnsi="宋体" w:cs="宋体"/>
                <w:kern w:val="0"/>
                <w:sz w:val="24"/>
                <w:szCs w:val="24"/>
                <w:lang w:val="en"/>
              </w:rPr>
            </w:pPr>
          </w:p>
        </w:tc>
        <w:tc>
          <w:tcPr>
            <w:tcW w:w="2861" w:type="dxa"/>
          </w:tcPr>
          <w:p w14:paraId="45607ED7">
            <w:pPr>
              <w:spacing w:line="300" w:lineRule="exact"/>
              <w:rPr>
                <w:rFonts w:ascii="宋体" w:hAnsi="宋体" w:cs="宋体"/>
                <w:kern w:val="0"/>
                <w:sz w:val="24"/>
                <w:szCs w:val="24"/>
                <w:lang w:val="en"/>
              </w:rPr>
            </w:pPr>
          </w:p>
        </w:tc>
        <w:tc>
          <w:tcPr>
            <w:tcW w:w="993" w:type="dxa"/>
          </w:tcPr>
          <w:p w14:paraId="7A2FC8AD">
            <w:pPr>
              <w:spacing w:line="300" w:lineRule="exact"/>
              <w:rPr>
                <w:rFonts w:ascii="宋体" w:hAnsi="宋体" w:cs="宋体"/>
                <w:kern w:val="0"/>
                <w:sz w:val="24"/>
                <w:szCs w:val="24"/>
              </w:rPr>
            </w:pPr>
          </w:p>
        </w:tc>
      </w:tr>
      <w:tr w14:paraId="4950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CBCD54B">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843" w:type="dxa"/>
          </w:tcPr>
          <w:p w14:paraId="44B17483">
            <w:pPr>
              <w:spacing w:line="300" w:lineRule="exact"/>
              <w:rPr>
                <w:rFonts w:ascii="宋体" w:hAnsi="宋体" w:cs="宋体"/>
                <w:kern w:val="0"/>
                <w:sz w:val="24"/>
                <w:szCs w:val="24"/>
                <w:lang w:val="en"/>
              </w:rPr>
            </w:pPr>
          </w:p>
        </w:tc>
        <w:tc>
          <w:tcPr>
            <w:tcW w:w="2861" w:type="dxa"/>
          </w:tcPr>
          <w:p w14:paraId="46529846">
            <w:pPr>
              <w:spacing w:line="300" w:lineRule="exact"/>
              <w:rPr>
                <w:rFonts w:ascii="宋体" w:hAnsi="宋体" w:cs="宋体"/>
                <w:kern w:val="0"/>
                <w:sz w:val="24"/>
                <w:szCs w:val="24"/>
                <w:lang w:val="en"/>
              </w:rPr>
            </w:pPr>
          </w:p>
        </w:tc>
        <w:tc>
          <w:tcPr>
            <w:tcW w:w="993" w:type="dxa"/>
          </w:tcPr>
          <w:p w14:paraId="00C556FC">
            <w:pPr>
              <w:spacing w:line="300" w:lineRule="exact"/>
              <w:rPr>
                <w:rFonts w:ascii="宋体" w:hAnsi="宋体" w:cs="宋体"/>
                <w:kern w:val="0"/>
                <w:sz w:val="24"/>
                <w:szCs w:val="24"/>
              </w:rPr>
            </w:pPr>
          </w:p>
        </w:tc>
      </w:tr>
      <w:tr w14:paraId="7AC0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F1A9AF1">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843" w:type="dxa"/>
          </w:tcPr>
          <w:p w14:paraId="593944D5">
            <w:pPr>
              <w:spacing w:line="300" w:lineRule="exact"/>
              <w:rPr>
                <w:rFonts w:ascii="宋体" w:hAnsi="宋体" w:cs="宋体"/>
                <w:kern w:val="0"/>
                <w:sz w:val="24"/>
                <w:szCs w:val="24"/>
                <w:lang w:val="en"/>
              </w:rPr>
            </w:pPr>
          </w:p>
        </w:tc>
        <w:tc>
          <w:tcPr>
            <w:tcW w:w="2861" w:type="dxa"/>
          </w:tcPr>
          <w:p w14:paraId="1356B5AF">
            <w:pPr>
              <w:spacing w:line="300" w:lineRule="exact"/>
              <w:rPr>
                <w:rFonts w:ascii="宋体" w:hAnsi="宋体" w:cs="宋体"/>
                <w:kern w:val="0"/>
                <w:sz w:val="24"/>
                <w:szCs w:val="24"/>
                <w:lang w:val="en"/>
              </w:rPr>
            </w:pPr>
          </w:p>
        </w:tc>
        <w:tc>
          <w:tcPr>
            <w:tcW w:w="993" w:type="dxa"/>
          </w:tcPr>
          <w:p w14:paraId="3394DEDA">
            <w:pPr>
              <w:spacing w:line="300" w:lineRule="exact"/>
              <w:rPr>
                <w:rFonts w:ascii="宋体" w:hAnsi="宋体" w:cs="宋体"/>
                <w:kern w:val="0"/>
                <w:sz w:val="24"/>
                <w:szCs w:val="24"/>
              </w:rPr>
            </w:pPr>
          </w:p>
        </w:tc>
      </w:tr>
      <w:tr w14:paraId="67A2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19BA600">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843" w:type="dxa"/>
          </w:tcPr>
          <w:p w14:paraId="3618CE79">
            <w:pPr>
              <w:spacing w:line="300" w:lineRule="exact"/>
              <w:rPr>
                <w:rFonts w:ascii="宋体" w:hAnsi="宋体" w:cs="宋体"/>
                <w:kern w:val="0"/>
                <w:sz w:val="24"/>
                <w:szCs w:val="24"/>
                <w:lang w:val="en"/>
              </w:rPr>
            </w:pPr>
          </w:p>
        </w:tc>
        <w:tc>
          <w:tcPr>
            <w:tcW w:w="2861" w:type="dxa"/>
          </w:tcPr>
          <w:p w14:paraId="6C022028">
            <w:pPr>
              <w:spacing w:line="300" w:lineRule="exact"/>
              <w:rPr>
                <w:rFonts w:ascii="宋体" w:hAnsi="宋体" w:cs="宋体"/>
                <w:kern w:val="0"/>
                <w:sz w:val="24"/>
                <w:szCs w:val="24"/>
                <w:lang w:val="en"/>
              </w:rPr>
            </w:pPr>
          </w:p>
        </w:tc>
        <w:tc>
          <w:tcPr>
            <w:tcW w:w="993" w:type="dxa"/>
          </w:tcPr>
          <w:p w14:paraId="3EDF6DA4">
            <w:pPr>
              <w:spacing w:line="300" w:lineRule="exact"/>
              <w:rPr>
                <w:rFonts w:ascii="宋体" w:hAnsi="宋体" w:cs="宋体"/>
                <w:kern w:val="0"/>
                <w:sz w:val="24"/>
                <w:szCs w:val="24"/>
              </w:rPr>
            </w:pPr>
          </w:p>
        </w:tc>
      </w:tr>
      <w:tr w14:paraId="2CF4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F1CC0C1">
            <w:pPr>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3843" w:type="dxa"/>
          </w:tcPr>
          <w:p w14:paraId="6AE0FB93">
            <w:pPr>
              <w:spacing w:line="300" w:lineRule="exact"/>
              <w:rPr>
                <w:rFonts w:ascii="宋体" w:hAnsi="宋体" w:cs="宋体"/>
                <w:kern w:val="0"/>
                <w:sz w:val="24"/>
                <w:szCs w:val="24"/>
                <w:lang w:val="en"/>
              </w:rPr>
            </w:pPr>
          </w:p>
        </w:tc>
        <w:tc>
          <w:tcPr>
            <w:tcW w:w="2861" w:type="dxa"/>
          </w:tcPr>
          <w:p w14:paraId="2988731B">
            <w:pPr>
              <w:spacing w:line="300" w:lineRule="exact"/>
              <w:rPr>
                <w:rFonts w:ascii="宋体" w:hAnsi="宋体" w:cs="宋体"/>
                <w:kern w:val="0"/>
                <w:sz w:val="24"/>
                <w:szCs w:val="24"/>
                <w:lang w:val="en"/>
              </w:rPr>
            </w:pPr>
          </w:p>
        </w:tc>
        <w:tc>
          <w:tcPr>
            <w:tcW w:w="993" w:type="dxa"/>
          </w:tcPr>
          <w:p w14:paraId="26837909">
            <w:pPr>
              <w:spacing w:line="300" w:lineRule="exact"/>
              <w:rPr>
                <w:rFonts w:ascii="宋体" w:hAnsi="宋体" w:cs="宋体"/>
                <w:kern w:val="0"/>
                <w:sz w:val="24"/>
                <w:szCs w:val="24"/>
              </w:rPr>
            </w:pPr>
          </w:p>
        </w:tc>
      </w:tr>
    </w:tbl>
    <w:p w14:paraId="6ACB779A">
      <w:pPr>
        <w:spacing w:line="400" w:lineRule="exact"/>
        <w:jc w:val="left"/>
        <w:rPr>
          <w:rFonts w:ascii="宋体" w:hAnsi="宋体" w:eastAsia="宋体" w:cs="宋体"/>
          <w:kern w:val="0"/>
          <w:sz w:val="21"/>
          <w:szCs w:val="21"/>
        </w:rPr>
      </w:pPr>
      <w:r>
        <w:rPr>
          <w:rFonts w:hint="eastAsia" w:ascii="宋体" w:hAnsi="宋体" w:eastAsia="宋体" w:cs="宋体"/>
          <w:kern w:val="0"/>
          <w:sz w:val="21"/>
          <w:szCs w:val="21"/>
        </w:rPr>
        <w:t>备注：1.项目资金末端分配点位包括本部门、部门下属单位及一次性单位等。</w:t>
      </w:r>
    </w:p>
    <w:p w14:paraId="54E55E3F">
      <w:pPr>
        <w:spacing w:line="400" w:lineRule="exact"/>
        <w:ind w:firstLine="630" w:firstLineChars="300"/>
        <w:jc w:val="left"/>
        <w:rPr>
          <w:rFonts w:ascii="黑体" w:hAnsi="黑体" w:eastAsia="黑体" w:cs="黑体"/>
          <w:kern w:val="0"/>
          <w:sz w:val="24"/>
          <w:szCs w:val="24"/>
        </w:rPr>
      </w:pPr>
      <w:r>
        <w:rPr>
          <w:rFonts w:hint="eastAsia" w:ascii="宋体" w:hAnsi="宋体" w:eastAsia="宋体" w:cs="宋体"/>
          <w:kern w:val="0"/>
          <w:sz w:val="21"/>
          <w:szCs w:val="21"/>
        </w:rPr>
        <w:t>2.自评得分（百分制）从高到低划分为优、良、中、差四个档次，各个档次数量占比分别为20%、20%、55%、5%，且不同档次间得分分值应体现差异化，同档次得分分值相同的比例不超过该档次总数量的10%。</w:t>
      </w:r>
    </w:p>
    <w:p w14:paraId="4D0D7A3A">
      <w:pPr>
        <w:rPr>
          <w:rFonts w:hint="eastAsia" w:eastAsia="仿宋_GB2312"/>
          <w:sz w:val="32"/>
          <w:szCs w:val="24"/>
        </w:rPr>
      </w:pPr>
      <w:r>
        <w:rPr>
          <w:rFonts w:hint="eastAsia" w:eastAsia="仿宋_GB2312"/>
          <w:sz w:val="32"/>
          <w:szCs w:val="24"/>
        </w:rPr>
        <w:br w:type="page"/>
      </w:r>
    </w:p>
    <w:tbl>
      <w:tblPr>
        <w:tblStyle w:val="23"/>
        <w:tblW w:w="8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3"/>
        <w:gridCol w:w="924"/>
        <w:gridCol w:w="1126"/>
        <w:gridCol w:w="396"/>
        <w:gridCol w:w="807"/>
        <w:gridCol w:w="396"/>
        <w:gridCol w:w="846"/>
        <w:gridCol w:w="486"/>
        <w:gridCol w:w="486"/>
        <w:gridCol w:w="1304"/>
      </w:tblGrid>
      <w:tr w14:paraId="25BE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9CA78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47F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C2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11E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51322323T000009632101-茂县供销合作社联合社交流交往交融项目</w:t>
            </w:r>
          </w:p>
        </w:tc>
      </w:tr>
      <w:tr w14:paraId="760C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57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34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750" w:type="dxa"/>
            <w:tcBorders>
              <w:top w:val="nil"/>
              <w:left w:val="nil"/>
              <w:bottom w:val="nil"/>
              <w:right w:val="nil"/>
            </w:tcBorders>
            <w:shd w:val="clear" w:color="auto" w:fill="auto"/>
            <w:vAlign w:val="center"/>
          </w:tcPr>
          <w:p w14:paraId="784CF3F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CF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42AA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79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75D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5C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872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11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8C03">
            <w:pP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DEC9D">
            <w:pPr>
              <w:rPr>
                <w:rFonts w:hint="eastAsia" w:ascii="宋体" w:hAnsi="宋体" w:eastAsia="宋体" w:cs="宋体"/>
                <w:i w:val="0"/>
                <w:iCs w:val="0"/>
                <w:color w:val="000000"/>
                <w:sz w:val="18"/>
                <w:szCs w:val="18"/>
                <w:u w:val="none"/>
              </w:rPr>
            </w:pPr>
          </w:p>
        </w:tc>
        <w:tc>
          <w:tcPr>
            <w:tcW w:w="3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9D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完成三期技术培训、赴平湖考察学习、推动农产品销售。</w:t>
            </w:r>
          </w:p>
        </w:tc>
        <w:tc>
          <w:tcPr>
            <w:tcW w:w="2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17F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遵照年度目标任务，严重按照计划执行，完成了年度目标。</w:t>
            </w:r>
          </w:p>
        </w:tc>
      </w:tr>
      <w:tr w14:paraId="7172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2E0D">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0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ED99D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1.通过实地考察、农产品推广品鉴等方式，与平湖市结对交流。</w:t>
            </w:r>
          </w:p>
          <w:p w14:paraId="7A286DC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2.我社组织农产品推广销售及运输等农产品流通委托我社社有企业茂县岷源土特产批发有限公司开展。</w:t>
            </w:r>
          </w:p>
          <w:p w14:paraId="563C0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3.主动对接，积极邀约平湖市各机关单位和各相关企业来我单位检查指导工作，到我县优秀企业参观考察。</w:t>
            </w:r>
          </w:p>
        </w:tc>
      </w:tr>
      <w:tr w14:paraId="386F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DB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C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F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1E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3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0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8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BE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B28D">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1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19.94</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C6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2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C9C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C1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7C1F">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D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1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2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19.94</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90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5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84CD">
            <w:pPr>
              <w:rPr>
                <w:rFonts w:hint="eastAsia" w:ascii="黑体" w:hAnsi="黑体" w:eastAsia="黑体" w:cs="黑体"/>
                <w:i/>
                <w:iCs/>
                <w:color w:val="000000"/>
                <w:sz w:val="18"/>
                <w:szCs w:val="18"/>
                <w:u w:val="none"/>
              </w:rPr>
            </w:pPr>
          </w:p>
        </w:tc>
      </w:tr>
      <w:tr w14:paraId="34F3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19BD">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9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7F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F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8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9E7F">
            <w:pPr>
              <w:rPr>
                <w:rFonts w:hint="eastAsia" w:ascii="黑体" w:hAnsi="黑体" w:eastAsia="黑体" w:cs="黑体"/>
                <w:i/>
                <w:iCs/>
                <w:color w:val="000000"/>
                <w:sz w:val="18"/>
                <w:szCs w:val="18"/>
                <w:u w:val="none"/>
              </w:rPr>
            </w:pPr>
          </w:p>
        </w:tc>
      </w:tr>
      <w:tr w14:paraId="1397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423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1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0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BB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6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4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2A0A">
            <w:pPr>
              <w:rPr>
                <w:rFonts w:hint="eastAsia" w:ascii="黑体" w:hAnsi="黑体" w:eastAsia="黑体" w:cs="黑体"/>
                <w:i/>
                <w:iCs/>
                <w:color w:val="000000"/>
                <w:sz w:val="18"/>
                <w:szCs w:val="18"/>
                <w:u w:val="none"/>
              </w:rPr>
            </w:pPr>
          </w:p>
        </w:tc>
      </w:tr>
      <w:tr w14:paraId="1178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58D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3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C42D">
            <w:pPr>
              <w:jc w:val="center"/>
              <w:rPr>
                <w:rFonts w:hint="eastAsia" w:ascii="微软雅黑" w:hAnsi="微软雅黑" w:eastAsia="微软雅黑" w:cs="微软雅黑"/>
                <w:i/>
                <w:iCs/>
                <w:color w:val="000000"/>
                <w:sz w:val="16"/>
                <w:szCs w:val="16"/>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0C92">
            <w:pPr>
              <w:jc w:val="center"/>
              <w:rPr>
                <w:rFonts w:hint="eastAsia" w:ascii="微软雅黑" w:hAnsi="微软雅黑" w:eastAsia="微软雅黑" w:cs="微软雅黑"/>
                <w:i/>
                <w:iCs/>
                <w:color w:val="000000"/>
                <w:sz w:val="16"/>
                <w:szCs w:val="16"/>
                <w:u w:val="none"/>
              </w:rPr>
            </w:pP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F0C40">
            <w:pPr>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79BC">
            <w:pPr>
              <w:jc w:val="center"/>
              <w:rPr>
                <w:rFonts w:hint="eastAsia" w:ascii="微软雅黑" w:hAnsi="微软雅黑" w:eastAsia="微软雅黑" w:cs="微软雅黑"/>
                <w:i/>
                <w:iCs/>
                <w:color w:val="000000"/>
                <w:sz w:val="16"/>
                <w:szCs w:val="16"/>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3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A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CD64">
            <w:pPr>
              <w:rPr>
                <w:rFonts w:hint="eastAsia" w:ascii="黑体" w:hAnsi="黑体" w:eastAsia="黑体" w:cs="黑体"/>
                <w:i/>
                <w:iCs/>
                <w:color w:val="000000"/>
                <w:sz w:val="18"/>
                <w:szCs w:val="18"/>
                <w:u w:val="none"/>
              </w:rPr>
            </w:pPr>
          </w:p>
        </w:tc>
      </w:tr>
      <w:tr w14:paraId="6AB9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F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C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D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F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6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E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F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9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FB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5DF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1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2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2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三期培训人数</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5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6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A2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F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B44">
            <w:pPr>
              <w:jc w:val="center"/>
              <w:rPr>
                <w:rFonts w:hint="eastAsia" w:ascii="微软雅黑" w:hAnsi="微软雅黑" w:eastAsia="微软雅黑" w:cs="微软雅黑"/>
                <w:i/>
                <w:iCs/>
                <w:color w:val="000000"/>
                <w:sz w:val="16"/>
                <w:szCs w:val="16"/>
                <w:u w:val="none"/>
              </w:rPr>
            </w:pPr>
          </w:p>
        </w:tc>
      </w:tr>
      <w:tr w14:paraId="7D6E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85D9">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D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赴平湖市考察学习</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6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9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4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E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2911">
            <w:pPr>
              <w:jc w:val="center"/>
              <w:rPr>
                <w:rFonts w:hint="eastAsia" w:ascii="微软雅黑" w:hAnsi="微软雅黑" w:eastAsia="微软雅黑" w:cs="微软雅黑"/>
                <w:i/>
                <w:iCs/>
                <w:color w:val="000000"/>
                <w:sz w:val="16"/>
                <w:szCs w:val="16"/>
                <w:u w:val="none"/>
              </w:rPr>
            </w:pPr>
          </w:p>
        </w:tc>
      </w:tr>
      <w:tr w14:paraId="3000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3B44C">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8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9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农户、受益群众对该项目的满意度</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2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7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B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C2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6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A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16F">
            <w:pPr>
              <w:jc w:val="center"/>
              <w:rPr>
                <w:rFonts w:hint="eastAsia" w:ascii="微软雅黑" w:hAnsi="微软雅黑" w:eastAsia="微软雅黑" w:cs="微软雅黑"/>
                <w:i/>
                <w:iCs/>
                <w:color w:val="000000"/>
                <w:sz w:val="16"/>
                <w:szCs w:val="16"/>
                <w:u w:val="none"/>
              </w:rPr>
            </w:pPr>
          </w:p>
        </w:tc>
      </w:tr>
      <w:tr w14:paraId="0CCE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1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1DE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AB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72D7">
            <w:pPr>
              <w:rPr>
                <w:rFonts w:hint="eastAsia" w:ascii="宋体" w:hAnsi="宋体" w:eastAsia="宋体" w:cs="宋体"/>
                <w:i w:val="0"/>
                <w:iCs w:val="0"/>
                <w:color w:val="000000"/>
                <w:sz w:val="18"/>
                <w:szCs w:val="18"/>
                <w:u w:val="none"/>
              </w:rPr>
            </w:pPr>
          </w:p>
        </w:tc>
      </w:tr>
      <w:tr w14:paraId="484B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ADBB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按照年度预算金额，结合我社实际情况，为控制财政预算金额，实现年度财政支出严格按照预算金额支出，自评得分100分。</w:t>
            </w:r>
          </w:p>
        </w:tc>
      </w:tr>
      <w:tr w14:paraId="2F3A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8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5677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9B4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6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4100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29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1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2D7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项目负责人：何福涛</w:t>
            </w:r>
          </w:p>
        </w:tc>
        <w:tc>
          <w:tcPr>
            <w:tcW w:w="42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AD49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r w14:paraId="0946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11" w:type="dxa"/>
            <w:tcBorders>
              <w:top w:val="nil"/>
              <w:left w:val="nil"/>
              <w:bottom w:val="nil"/>
              <w:right w:val="nil"/>
            </w:tcBorders>
            <w:shd w:val="clear" w:color="auto" w:fill="auto"/>
            <w:vAlign w:val="center"/>
          </w:tcPr>
          <w:p w14:paraId="1ECD1A43">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294B77FE">
            <w:pPr>
              <w:rPr>
                <w:rFonts w:hint="eastAsia" w:ascii="宋体" w:hAnsi="宋体" w:eastAsia="宋体" w:cs="宋体"/>
                <w:i w:val="0"/>
                <w:iCs w:val="0"/>
                <w:color w:val="000000"/>
                <w:sz w:val="18"/>
                <w:szCs w:val="18"/>
                <w:u w:val="none"/>
              </w:rPr>
            </w:pPr>
          </w:p>
        </w:tc>
        <w:tc>
          <w:tcPr>
            <w:tcW w:w="970" w:type="dxa"/>
            <w:tcBorders>
              <w:top w:val="nil"/>
              <w:left w:val="nil"/>
              <w:bottom w:val="nil"/>
              <w:right w:val="nil"/>
            </w:tcBorders>
            <w:shd w:val="clear" w:color="auto" w:fill="auto"/>
            <w:vAlign w:val="center"/>
          </w:tcPr>
          <w:p w14:paraId="11C77143">
            <w:pPr>
              <w:rPr>
                <w:rFonts w:hint="eastAsia" w:ascii="宋体" w:hAnsi="宋体" w:eastAsia="宋体" w:cs="宋体"/>
                <w:i w:val="0"/>
                <w:iCs w:val="0"/>
                <w:color w:val="000000"/>
                <w:sz w:val="18"/>
                <w:szCs w:val="18"/>
                <w:u w:val="none"/>
              </w:rPr>
            </w:pPr>
          </w:p>
        </w:tc>
        <w:tc>
          <w:tcPr>
            <w:tcW w:w="1208" w:type="dxa"/>
            <w:tcBorders>
              <w:top w:val="nil"/>
              <w:left w:val="nil"/>
              <w:bottom w:val="nil"/>
              <w:right w:val="nil"/>
            </w:tcBorders>
            <w:shd w:val="clear" w:color="auto" w:fill="auto"/>
            <w:vAlign w:val="center"/>
          </w:tcPr>
          <w:p w14:paraId="49B9275C">
            <w:pPr>
              <w:rPr>
                <w:rFonts w:hint="eastAsia" w:ascii="宋体" w:hAnsi="宋体" w:eastAsia="宋体" w:cs="宋体"/>
                <w:i w:val="0"/>
                <w:iCs w:val="0"/>
                <w:color w:val="000000"/>
                <w:sz w:val="18"/>
                <w:szCs w:val="18"/>
                <w:u w:val="none"/>
              </w:rPr>
            </w:pPr>
          </w:p>
        </w:tc>
        <w:tc>
          <w:tcPr>
            <w:tcW w:w="351" w:type="dxa"/>
            <w:tcBorders>
              <w:top w:val="nil"/>
              <w:left w:val="nil"/>
              <w:bottom w:val="nil"/>
              <w:right w:val="nil"/>
            </w:tcBorders>
            <w:shd w:val="clear" w:color="auto" w:fill="auto"/>
            <w:vAlign w:val="center"/>
          </w:tcPr>
          <w:p w14:paraId="17EAC507">
            <w:pPr>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7E3EAA71">
            <w:pPr>
              <w:rPr>
                <w:rFonts w:hint="eastAsia" w:ascii="宋体" w:hAnsi="宋体" w:eastAsia="宋体" w:cs="宋体"/>
                <w:i w:val="0"/>
                <w:iCs w:val="0"/>
                <w:color w:val="000000"/>
                <w:sz w:val="18"/>
                <w:szCs w:val="18"/>
                <w:u w:val="none"/>
              </w:rPr>
            </w:pPr>
          </w:p>
        </w:tc>
        <w:tc>
          <w:tcPr>
            <w:tcW w:w="353" w:type="dxa"/>
            <w:tcBorders>
              <w:top w:val="nil"/>
              <w:left w:val="nil"/>
              <w:bottom w:val="nil"/>
              <w:right w:val="nil"/>
            </w:tcBorders>
            <w:shd w:val="clear" w:color="auto" w:fill="auto"/>
            <w:vAlign w:val="center"/>
          </w:tcPr>
          <w:p w14:paraId="551DA437">
            <w:pPr>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shd w:val="clear" w:color="auto" w:fill="auto"/>
            <w:vAlign w:val="center"/>
          </w:tcPr>
          <w:p w14:paraId="2A362316">
            <w:pPr>
              <w:rPr>
                <w:rFonts w:hint="eastAsia" w:ascii="宋体" w:hAnsi="宋体" w:eastAsia="宋体" w:cs="宋体"/>
                <w:i w:val="0"/>
                <w:iCs w:val="0"/>
                <w:color w:val="000000"/>
                <w:sz w:val="18"/>
                <w:szCs w:val="18"/>
                <w:u w:val="none"/>
              </w:rPr>
            </w:pPr>
          </w:p>
        </w:tc>
        <w:tc>
          <w:tcPr>
            <w:tcW w:w="431" w:type="dxa"/>
            <w:tcBorders>
              <w:top w:val="nil"/>
              <w:left w:val="nil"/>
              <w:bottom w:val="nil"/>
              <w:right w:val="nil"/>
            </w:tcBorders>
            <w:shd w:val="clear" w:color="auto" w:fill="auto"/>
            <w:vAlign w:val="center"/>
          </w:tcPr>
          <w:p w14:paraId="11EBF767">
            <w:pPr>
              <w:rPr>
                <w:rFonts w:hint="eastAsia" w:ascii="宋体" w:hAnsi="宋体" w:eastAsia="宋体" w:cs="宋体"/>
                <w:i w:val="0"/>
                <w:iCs w:val="0"/>
                <w:color w:val="000000"/>
                <w:sz w:val="18"/>
                <w:szCs w:val="18"/>
                <w:u w:val="none"/>
              </w:rPr>
            </w:pPr>
          </w:p>
        </w:tc>
        <w:tc>
          <w:tcPr>
            <w:tcW w:w="431" w:type="dxa"/>
            <w:tcBorders>
              <w:top w:val="nil"/>
              <w:left w:val="nil"/>
              <w:bottom w:val="nil"/>
              <w:right w:val="nil"/>
            </w:tcBorders>
            <w:shd w:val="clear" w:color="auto" w:fill="auto"/>
            <w:vAlign w:val="center"/>
          </w:tcPr>
          <w:p w14:paraId="2FE0145F">
            <w:pPr>
              <w:rPr>
                <w:rFonts w:hint="eastAsia" w:ascii="宋体" w:hAnsi="宋体" w:eastAsia="宋体" w:cs="宋体"/>
                <w:i w:val="0"/>
                <w:iCs w:val="0"/>
                <w:color w:val="000000"/>
                <w:sz w:val="18"/>
                <w:szCs w:val="18"/>
                <w:u w:val="none"/>
              </w:rPr>
            </w:pPr>
          </w:p>
        </w:tc>
        <w:tc>
          <w:tcPr>
            <w:tcW w:w="1384" w:type="dxa"/>
            <w:tcBorders>
              <w:top w:val="nil"/>
              <w:left w:val="nil"/>
              <w:bottom w:val="nil"/>
              <w:right w:val="nil"/>
            </w:tcBorders>
            <w:shd w:val="clear" w:color="auto" w:fill="auto"/>
            <w:vAlign w:val="center"/>
          </w:tcPr>
          <w:p w14:paraId="4DF52D66">
            <w:pPr>
              <w:rPr>
                <w:rFonts w:hint="eastAsia" w:ascii="宋体" w:hAnsi="宋体" w:eastAsia="宋体" w:cs="宋体"/>
                <w:i w:val="0"/>
                <w:iCs w:val="0"/>
                <w:color w:val="000000"/>
                <w:sz w:val="18"/>
                <w:szCs w:val="18"/>
                <w:u w:val="none"/>
              </w:rPr>
            </w:pPr>
          </w:p>
        </w:tc>
      </w:tr>
    </w:tbl>
    <w:p w14:paraId="0897E526">
      <w:pPr>
        <w:rPr>
          <w:rFonts w:eastAsia="仿宋_GB2312"/>
          <w:sz w:val="32"/>
          <w:szCs w:val="24"/>
        </w:rPr>
      </w:pPr>
    </w:p>
    <w:p w14:paraId="17BC6CC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0FCBC15">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2837443">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44E6B48">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7836383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647E5B75">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3AC1BEA">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19F0F32B">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DC14033">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EF9B8AD">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3941C57">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846BE21">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371188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2533507A">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4E94745D">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2FF1B651">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19AC33E1">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597D68AE">
      <w:pPr>
        <w:widowControl w:val="0"/>
        <w:spacing w:line="578" w:lineRule="exact"/>
        <w:jc w:val="both"/>
        <w:rPr>
          <w:rFonts w:ascii="方正小标宋简体" w:hAnsi="方正小标宋简体" w:eastAsia="方正小标宋简体" w:cs="方正小标宋简体"/>
          <w:color w:val="auto"/>
          <w:kern w:val="2"/>
          <w:sz w:val="44"/>
          <w:szCs w:val="44"/>
          <w:lang w:val="en-US" w:eastAsia="zh-CN" w:bidi="ar-SA"/>
        </w:rPr>
      </w:pPr>
    </w:p>
    <w:p w14:paraId="602BFF00">
      <w:pPr>
        <w:spacing w:line="600" w:lineRule="exact"/>
        <w:jc w:val="left"/>
        <w:outlineLvl w:val="0"/>
        <w:rPr>
          <w:rFonts w:hint="eastAsia" w:ascii="方正小标宋简体" w:hAnsi="方正小标宋简体" w:eastAsia="方正小标宋简体" w:cs="方正小标宋简体"/>
          <w:color w:val="auto"/>
          <w:kern w:val="2"/>
          <w:sz w:val="44"/>
          <w:szCs w:val="44"/>
          <w:lang w:val="en-US" w:eastAsia="zh-CN" w:bidi="ar-SA"/>
        </w:rPr>
      </w:pPr>
      <w:r>
        <w:rPr>
          <w:rFonts w:hint="eastAsia" w:ascii="黑体" w:hAnsi="黑体" w:eastAsia="黑体" w:cs="黑体"/>
          <w:color w:val="000000"/>
          <w:sz w:val="32"/>
          <w:szCs w:val="32"/>
          <w:lang w:val="en-US" w:eastAsia="zh-CN"/>
        </w:rPr>
        <w:t>附件4</w:t>
      </w:r>
    </w:p>
    <w:p w14:paraId="705B6A4F">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茂县供销合作社联合社</w:t>
      </w:r>
    </w:p>
    <w:p w14:paraId="67DC8D8B">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2023年茂县数字农业服务平台扩建项目</w:t>
      </w:r>
    </w:p>
    <w:p w14:paraId="2797B309">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绩效评价报告</w:t>
      </w:r>
    </w:p>
    <w:p w14:paraId="739C6520">
      <w:pPr>
        <w:widowControl w:val="0"/>
        <w:spacing w:line="578" w:lineRule="exact"/>
        <w:ind w:firstLine="640"/>
        <w:jc w:val="center"/>
        <w:rPr>
          <w:rFonts w:ascii="宋体" w:hAnsi="宋体" w:eastAsia="宋体" w:cs="Times New Roman"/>
          <w:color w:val="auto"/>
          <w:kern w:val="2"/>
          <w:sz w:val="32"/>
          <w:szCs w:val="32"/>
          <w:lang w:val="zh-CN" w:eastAsia="zh-CN" w:bidi="ar-SA"/>
        </w:rPr>
      </w:pPr>
    </w:p>
    <w:p w14:paraId="4C4934F6">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357E918">
      <w:pPr>
        <w:spacing w:line="56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14:paraId="617E50B6">
      <w:pPr>
        <w:spacing w:line="560" w:lineRule="exact"/>
        <w:ind w:firstLine="640" w:firstLineChars="200"/>
        <w:rPr>
          <w:rFonts w:hint="eastAsia" w:ascii="仿宋_GB2312" w:eastAsia="仿宋_GB2312" w:cs="Times New Roman"/>
          <w:kern w:val="2"/>
          <w:sz w:val="32"/>
          <w:szCs w:val="32"/>
          <w:u w:val="none"/>
          <w:lang w:eastAsia="zh-CN"/>
        </w:rPr>
      </w:pPr>
      <w:r>
        <w:rPr>
          <w:rFonts w:hint="eastAsia" w:ascii="仿宋_GB2312" w:eastAsia="仿宋_GB2312" w:cs="Times New Roman"/>
          <w:kern w:val="2"/>
          <w:sz w:val="32"/>
          <w:szCs w:val="32"/>
          <w:u w:val="none"/>
          <w:lang w:val="en-US" w:eastAsia="zh-CN"/>
        </w:rPr>
        <w:t>根据《阿坝州发展和改革委员会关于转下达浙江省对口支援阿坝州2023年第二批项目实施计划的通知》，我社编制</w:t>
      </w:r>
      <w:r>
        <w:rPr>
          <w:rFonts w:hint="eastAsia" w:ascii="仿宋_GB2312" w:eastAsia="仿宋_GB2312" w:cs="Times New Roman"/>
          <w:kern w:val="2"/>
          <w:sz w:val="32"/>
          <w:szCs w:val="32"/>
          <w:u w:val="none"/>
          <w:lang w:eastAsia="zh-CN"/>
        </w:rPr>
        <w:t>茂县数字农业服务平台扩建实施方案，该项目采取政府采购的方式实施。</w:t>
      </w:r>
      <w:r>
        <w:rPr>
          <w:rFonts w:hint="eastAsia" w:ascii="仿宋_GB2312" w:eastAsia="仿宋_GB2312" w:cs="Times New Roman"/>
          <w:kern w:val="2"/>
          <w:sz w:val="32"/>
          <w:szCs w:val="32"/>
          <w:u w:val="none"/>
        </w:rPr>
        <w:t>茂县数字农业服务平台扩建项目</w:t>
      </w:r>
      <w:r>
        <w:rPr>
          <w:rFonts w:hint="eastAsia" w:ascii="仿宋_GB2312" w:eastAsia="仿宋_GB2312" w:cs="Times New Roman"/>
          <w:kern w:val="2"/>
          <w:sz w:val="32"/>
          <w:szCs w:val="32"/>
          <w:u w:val="none"/>
          <w:lang w:val="en-US" w:eastAsia="zh-CN"/>
        </w:rPr>
        <w:t>于2022年12月向县对口支援和省内对口帮扶工作领导小组提交项目审定的请示</w:t>
      </w:r>
      <w:r>
        <w:rPr>
          <w:rFonts w:hint="eastAsia" w:ascii="仿宋_GB2312" w:eastAsia="仿宋_GB2312" w:cs="Times New Roman"/>
          <w:kern w:val="2"/>
          <w:sz w:val="32"/>
          <w:szCs w:val="32"/>
          <w:u w:val="none"/>
          <w:lang w:eastAsia="zh-CN"/>
        </w:rPr>
        <w:t>，通过《茂县对口支援和省内对口帮扶工作领导小组第六次会议》，</w:t>
      </w:r>
      <w:r>
        <w:rPr>
          <w:rFonts w:hint="eastAsia" w:ascii="仿宋_GB2312" w:eastAsia="仿宋_GB2312" w:cs="Times New Roman"/>
          <w:kern w:val="2"/>
          <w:sz w:val="32"/>
          <w:szCs w:val="32"/>
          <w:u w:val="none"/>
          <w:lang w:val="en-US" w:eastAsia="zh-CN"/>
        </w:rPr>
        <w:t>确定按方案实施</w:t>
      </w:r>
      <w:r>
        <w:rPr>
          <w:rFonts w:hint="eastAsia" w:ascii="仿宋_GB2312" w:eastAsia="仿宋_GB2312" w:cs="Times New Roman"/>
          <w:kern w:val="2"/>
          <w:sz w:val="32"/>
          <w:szCs w:val="32"/>
          <w:u w:val="none"/>
          <w:lang w:eastAsia="zh-CN"/>
        </w:rPr>
        <w:t>。</w:t>
      </w:r>
    </w:p>
    <w:p w14:paraId="06445D6E">
      <w:pPr>
        <w:ind w:firstLine="645"/>
        <w:rPr>
          <w:rFonts w:ascii="楷体_GB2312" w:hAnsi="宋体" w:eastAsia="楷体_GB2312"/>
          <w:b/>
          <w:sz w:val="32"/>
          <w:szCs w:val="32"/>
        </w:rPr>
      </w:pPr>
      <w:r>
        <w:rPr>
          <w:rFonts w:hint="eastAsia" w:ascii="楷体_GB2312" w:hAnsi="宋体" w:eastAsia="楷体_GB2312"/>
          <w:b/>
          <w:sz w:val="32"/>
          <w:szCs w:val="32"/>
          <w:lang w:val="zh-CN"/>
        </w:rPr>
        <w:t>（二）</w:t>
      </w:r>
      <w:r>
        <w:rPr>
          <w:rFonts w:ascii="楷体_GB2312" w:hAnsi="宋体" w:eastAsia="楷体_GB2312"/>
          <w:b/>
          <w:sz w:val="32"/>
          <w:szCs w:val="32"/>
        </w:rPr>
        <w:t>实施目的及支持方向</w:t>
      </w:r>
    </w:p>
    <w:p w14:paraId="2B4C9BEE">
      <w:pPr>
        <w:ind w:firstLine="645"/>
        <w:rPr>
          <w:rFonts w:hint="eastAsia" w:ascii="仿宋_GB2312" w:hAnsi="Times New Roman" w:eastAsia="仿宋_GB2312" w:cs="仿宋_GB2312"/>
          <w:sz w:val="32"/>
          <w:szCs w:val="32"/>
          <w:lang w:val="zh-CN" w:eastAsia="zh-CN"/>
        </w:rPr>
      </w:pPr>
      <w:r>
        <w:rPr>
          <w:rFonts w:hint="eastAsia" w:ascii="仿宋_GB2312" w:eastAsia="仿宋_GB2312"/>
          <w:sz w:val="32"/>
          <w:szCs w:val="32"/>
        </w:rPr>
        <w:t>按照《数字乡村发展战略纲要》的有关要求，积极推进乡村数字化建设，以数字化手段为乡村振兴和现代农业发展赋能</w:t>
      </w:r>
      <w:r>
        <w:rPr>
          <w:rFonts w:hint="eastAsia" w:ascii="仿宋" w:eastAsia="仿宋" w:cs="仿宋"/>
          <w:sz w:val="32"/>
          <w:szCs w:val="32"/>
        </w:rPr>
        <w:t>。</w:t>
      </w:r>
      <w:r>
        <w:rPr>
          <w:rFonts w:hint="eastAsia" w:ascii="仿宋_GB2312" w:eastAsia="仿宋_GB2312" w:cs="Times New Roman"/>
          <w:kern w:val="2"/>
          <w:sz w:val="32"/>
          <w:szCs w:val="32"/>
          <w:u w:val="none"/>
        </w:rPr>
        <w:t>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p>
    <w:p w14:paraId="40DCF189">
      <w:pPr>
        <w:widowControl/>
        <w:adjustRightInd w:val="0"/>
        <w:snapToGrid w:val="0"/>
        <w:spacing w:line="578" w:lineRule="exact"/>
        <w:ind w:firstLine="643" w:firstLineChars="200"/>
        <w:contextualSpacing/>
        <w:jc w:val="left"/>
        <w:rPr>
          <w:rFonts w:ascii="楷体_GB2312" w:hAnsi="宋体" w:eastAsia="楷体_GB2312"/>
          <w:b/>
          <w:sz w:val="32"/>
          <w:szCs w:val="32"/>
        </w:rPr>
      </w:pPr>
      <w:r>
        <w:rPr>
          <w:rFonts w:hint="eastAsia" w:ascii="楷体_GB2312" w:hAnsi="宋体" w:eastAsia="楷体_GB2312"/>
          <w:b/>
          <w:sz w:val="32"/>
          <w:szCs w:val="32"/>
          <w:lang w:val="zh-CN"/>
        </w:rPr>
        <w:t>（三）</w:t>
      </w:r>
      <w:r>
        <w:rPr>
          <w:rFonts w:ascii="楷体_GB2312" w:hAnsi="宋体" w:eastAsia="楷体_GB2312"/>
          <w:b/>
          <w:sz w:val="32"/>
          <w:szCs w:val="32"/>
        </w:rPr>
        <w:t>预算安排及分配管理</w:t>
      </w:r>
    </w:p>
    <w:p w14:paraId="6BF8A178">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eastAsia="仿宋_GB2312" w:cs="Times New Roman"/>
          <w:kern w:val="2"/>
          <w:sz w:val="32"/>
          <w:szCs w:val="32"/>
          <w:u w:val="none"/>
        </w:rPr>
        <w:t>预算</w:t>
      </w:r>
      <w:r>
        <w:rPr>
          <w:rFonts w:hint="eastAsia" w:ascii="仿宋_GB2312" w:eastAsia="仿宋_GB2312" w:cs="Times New Roman"/>
          <w:kern w:val="2"/>
          <w:sz w:val="32"/>
          <w:szCs w:val="32"/>
          <w:u w:val="none"/>
          <w:lang w:val="en-US" w:eastAsia="zh-CN"/>
        </w:rPr>
        <w:t>安排资金150</w:t>
      </w:r>
      <w:r>
        <w:rPr>
          <w:rFonts w:hint="eastAsia" w:ascii="仿宋_GB2312" w:eastAsia="仿宋_GB2312" w:cs="Times New Roman"/>
          <w:kern w:val="2"/>
          <w:sz w:val="32"/>
          <w:szCs w:val="32"/>
          <w:u w:val="none"/>
        </w:rPr>
        <w:t>万元，</w:t>
      </w:r>
      <w:r>
        <w:rPr>
          <w:rFonts w:hint="eastAsia" w:ascii="仿宋_GB2312" w:eastAsia="仿宋_GB2312" w:cs="Times New Roman"/>
          <w:kern w:val="2"/>
          <w:sz w:val="32"/>
          <w:szCs w:val="32"/>
          <w:u w:val="none"/>
          <w:lang w:val="en-US" w:eastAsia="zh-CN"/>
        </w:rPr>
        <w:t>其中：</w:t>
      </w:r>
      <w:r>
        <w:rPr>
          <w:rFonts w:hint="eastAsia" w:ascii="仿宋_GB2312" w:eastAsia="仿宋_GB2312" w:cs="Times New Roman"/>
          <w:kern w:val="2"/>
          <w:sz w:val="32"/>
          <w:szCs w:val="32"/>
          <w:u w:val="none"/>
        </w:rPr>
        <w:t>基础设备设施</w:t>
      </w:r>
      <w:r>
        <w:rPr>
          <w:rFonts w:hint="eastAsia" w:ascii="仿宋_GB2312" w:eastAsia="仿宋_GB2312" w:cs="Times New Roman"/>
          <w:kern w:val="2"/>
          <w:sz w:val="32"/>
          <w:szCs w:val="32"/>
          <w:u w:val="none"/>
          <w:lang w:val="en-US" w:eastAsia="zh-CN"/>
        </w:rPr>
        <w:t>79.55</w:t>
      </w:r>
      <w:r>
        <w:rPr>
          <w:rFonts w:hint="eastAsia" w:ascii="仿宋_GB2312" w:eastAsia="仿宋_GB2312" w:cs="Times New Roman"/>
          <w:kern w:val="2"/>
          <w:sz w:val="32"/>
          <w:szCs w:val="32"/>
          <w:u w:val="none"/>
          <w:lang w:eastAsia="zh-CN"/>
        </w:rPr>
        <w:t>万元、茂县数字农业服务平台</w:t>
      </w:r>
      <w:r>
        <w:rPr>
          <w:rFonts w:hint="eastAsia" w:ascii="仿宋_GB2312" w:eastAsia="仿宋_GB2312" w:cs="Times New Roman"/>
          <w:kern w:val="2"/>
          <w:sz w:val="32"/>
          <w:szCs w:val="32"/>
          <w:u w:val="none"/>
          <w:lang w:val="en-US" w:eastAsia="zh-CN"/>
        </w:rPr>
        <w:t>61.85</w:t>
      </w:r>
      <w:r>
        <w:rPr>
          <w:rFonts w:hint="eastAsia" w:ascii="仿宋_GB2312" w:eastAsia="仿宋_GB2312" w:cs="Times New Roman"/>
          <w:kern w:val="2"/>
          <w:sz w:val="32"/>
          <w:szCs w:val="32"/>
          <w:u w:val="none"/>
          <w:lang w:eastAsia="zh-CN"/>
        </w:rPr>
        <w:t>万元、二类费用</w:t>
      </w:r>
      <w:r>
        <w:rPr>
          <w:rFonts w:hint="eastAsia" w:ascii="仿宋_GB2312" w:eastAsia="仿宋_GB2312" w:cs="Times New Roman"/>
          <w:kern w:val="2"/>
          <w:sz w:val="32"/>
          <w:szCs w:val="32"/>
          <w:u w:val="none"/>
          <w:lang w:val="en-US" w:eastAsia="zh-CN"/>
        </w:rPr>
        <w:t>8.6</w:t>
      </w:r>
      <w:r>
        <w:rPr>
          <w:rFonts w:hint="eastAsia" w:ascii="仿宋_GB2312" w:eastAsia="仿宋_GB2312" w:cs="Times New Roman"/>
          <w:kern w:val="2"/>
          <w:sz w:val="32"/>
          <w:szCs w:val="32"/>
          <w:u w:val="none"/>
          <w:lang w:eastAsia="zh-CN"/>
        </w:rPr>
        <w:t>万元。</w:t>
      </w:r>
    </w:p>
    <w:p w14:paraId="586F7FE4">
      <w:pPr>
        <w:adjustRightInd w:val="0"/>
        <w:snapToGrid w:val="0"/>
        <w:spacing w:line="578"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（四）项目绩效目标设置</w:t>
      </w:r>
    </w:p>
    <w:p w14:paraId="087E3485">
      <w:pPr>
        <w:adjustRightInd w:val="0"/>
        <w:snapToGrid w:val="0"/>
        <w:spacing w:line="578" w:lineRule="exact"/>
        <w:ind w:firstLine="640" w:firstLineChars="200"/>
        <w:rPr>
          <w:rFonts w:hint="default"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zh-CN"/>
        </w:rPr>
        <w:t>茂县供销合作社联合社于</w:t>
      </w:r>
      <w:r>
        <w:rPr>
          <w:rFonts w:hint="eastAsia" w:ascii="仿宋_GB2312" w:hAnsi="仿宋_GB2312" w:eastAsia="仿宋_GB2312" w:cs="仿宋_GB2312"/>
          <w:kern w:val="2"/>
          <w:sz w:val="32"/>
          <w:szCs w:val="32"/>
          <w:u w:val="none"/>
          <w:lang w:val="en-US" w:eastAsia="zh-CN"/>
        </w:rPr>
        <w:t>2023年5月15日完成了事前绩效评估。绩效目标设置如下：</w:t>
      </w:r>
    </w:p>
    <w:p w14:paraId="32553D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p>
    <w:p w14:paraId="2F4E70C6">
      <w:pPr>
        <w:pStyle w:val="2"/>
        <w:rPr>
          <w:rFonts w:hint="eastAsia"/>
          <w:lang w:val="en-US" w:eastAsia="zh-CN"/>
        </w:rPr>
      </w:pPr>
    </w:p>
    <w:p w14:paraId="78D6CB0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茂县供销合作社联合社</w:t>
      </w:r>
    </w:p>
    <w:p w14:paraId="2EF7BB59">
      <w:pPr>
        <w:spacing w:line="560" w:lineRule="exact"/>
        <w:jc w:val="center"/>
        <w:rPr>
          <w:rFonts w:hint="eastAsia" w:ascii="仿宋_GB2312" w:eastAsia="仿宋_GB2312" w:cs="Times New Roman"/>
          <w:kern w:val="2"/>
          <w:sz w:val="32"/>
          <w:szCs w:val="32"/>
          <w:u w:val="none"/>
        </w:rPr>
      </w:pPr>
      <w:r>
        <w:rPr>
          <w:rFonts w:hint="eastAsia" w:ascii="仿宋_GB2312" w:eastAsia="仿宋_GB2312" w:cs="Times New Roman"/>
          <w:kern w:val="2"/>
          <w:sz w:val="32"/>
          <w:szCs w:val="32"/>
          <w:u w:val="none"/>
        </w:rPr>
        <w:t>茂县数字农业服务平台扩建项目绩效目标表</w:t>
      </w:r>
    </w:p>
    <w:tbl>
      <w:tblPr>
        <w:tblStyle w:val="23"/>
        <w:tblpPr w:leftFromText="180" w:rightFromText="180" w:vertAnchor="text" w:horzAnchor="page" w:tblpX="1905" w:tblpY="112"/>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305"/>
        <w:gridCol w:w="2730"/>
        <w:gridCol w:w="2700"/>
      </w:tblGrid>
      <w:tr w14:paraId="36E5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45" w:type="dxa"/>
            <w:tcBorders>
              <w:bottom w:val="single" w:color="auto" w:sz="4" w:space="0"/>
              <w:right w:val="single" w:color="auto" w:sz="4" w:space="0"/>
            </w:tcBorders>
            <w:noWrap w:val="0"/>
            <w:vAlign w:val="top"/>
          </w:tcPr>
          <w:p w14:paraId="4920253C">
            <w:pPr>
              <w:spacing w:line="560" w:lineRule="exact"/>
              <w:rPr>
                <w:rFonts w:hint="eastAsia" w:ascii="仿宋_GB2312" w:eastAsia="仿宋_GB2312" w:cs="Times New Roman"/>
                <w:kern w:val="2"/>
                <w:sz w:val="32"/>
                <w:szCs w:val="21"/>
                <w:u w:val="none"/>
              </w:rPr>
            </w:pPr>
            <w:r>
              <w:rPr>
                <w:rFonts w:hint="eastAsia" w:ascii="仿宋_GB2312" w:eastAsia="仿宋_GB2312" w:cs="Times New Roman"/>
                <w:kern w:val="2"/>
                <w:sz w:val="32"/>
                <w:szCs w:val="21"/>
                <w:u w:val="none"/>
              </w:rPr>
              <w:t>一级指标</w:t>
            </w:r>
          </w:p>
        </w:tc>
        <w:tc>
          <w:tcPr>
            <w:tcW w:w="1305" w:type="dxa"/>
            <w:tcBorders>
              <w:left w:val="single" w:color="auto" w:sz="4" w:space="0"/>
              <w:bottom w:val="single" w:color="auto" w:sz="4" w:space="0"/>
              <w:right w:val="single" w:color="auto" w:sz="4" w:space="0"/>
            </w:tcBorders>
            <w:noWrap w:val="0"/>
            <w:vAlign w:val="top"/>
          </w:tcPr>
          <w:p w14:paraId="55FCC7D1">
            <w:pPr>
              <w:spacing w:line="560" w:lineRule="exact"/>
              <w:rPr>
                <w:rFonts w:hint="eastAsia" w:ascii="仿宋_GB2312" w:eastAsia="仿宋_GB2312" w:cs="Times New Roman"/>
                <w:kern w:val="2"/>
                <w:sz w:val="32"/>
                <w:szCs w:val="21"/>
                <w:u w:val="none"/>
              </w:rPr>
            </w:pPr>
            <w:r>
              <w:rPr>
                <w:rFonts w:hint="eastAsia" w:ascii="仿宋_GB2312" w:eastAsia="仿宋_GB2312" w:cs="Times New Roman"/>
                <w:kern w:val="2"/>
                <w:sz w:val="32"/>
                <w:szCs w:val="21"/>
                <w:u w:val="none"/>
              </w:rPr>
              <w:t>二级指标</w:t>
            </w:r>
          </w:p>
        </w:tc>
        <w:tc>
          <w:tcPr>
            <w:tcW w:w="2730" w:type="dxa"/>
            <w:tcBorders>
              <w:left w:val="single" w:color="auto" w:sz="4" w:space="0"/>
              <w:bottom w:val="single" w:color="auto" w:sz="4" w:space="0"/>
              <w:right w:val="single" w:color="auto" w:sz="4" w:space="0"/>
            </w:tcBorders>
            <w:noWrap w:val="0"/>
            <w:vAlign w:val="top"/>
          </w:tcPr>
          <w:p w14:paraId="5580ECE4">
            <w:pPr>
              <w:spacing w:line="560" w:lineRule="exact"/>
              <w:jc w:val="center"/>
              <w:rPr>
                <w:rFonts w:hint="eastAsia" w:ascii="仿宋_GB2312" w:eastAsia="仿宋_GB2312" w:cs="Times New Roman"/>
                <w:kern w:val="2"/>
                <w:sz w:val="32"/>
                <w:szCs w:val="21"/>
                <w:u w:val="none"/>
              </w:rPr>
            </w:pPr>
            <w:r>
              <w:rPr>
                <w:rFonts w:hint="eastAsia" w:ascii="仿宋_GB2312" w:eastAsia="仿宋_GB2312" w:cs="Times New Roman"/>
                <w:kern w:val="2"/>
                <w:sz w:val="32"/>
                <w:szCs w:val="21"/>
                <w:u w:val="none"/>
              </w:rPr>
              <w:t>三级指标</w:t>
            </w:r>
          </w:p>
        </w:tc>
        <w:tc>
          <w:tcPr>
            <w:tcW w:w="2700" w:type="dxa"/>
            <w:tcBorders>
              <w:left w:val="single" w:color="auto" w:sz="4" w:space="0"/>
              <w:bottom w:val="single" w:color="auto" w:sz="4" w:space="0"/>
            </w:tcBorders>
            <w:noWrap w:val="0"/>
            <w:vAlign w:val="top"/>
          </w:tcPr>
          <w:p w14:paraId="2CA068C2">
            <w:pPr>
              <w:spacing w:line="560" w:lineRule="exact"/>
              <w:jc w:val="center"/>
              <w:rPr>
                <w:rFonts w:hint="eastAsia" w:ascii="仿宋_GB2312" w:eastAsia="仿宋_GB2312" w:cs="Times New Roman"/>
                <w:kern w:val="2"/>
                <w:sz w:val="32"/>
                <w:szCs w:val="21"/>
                <w:u w:val="none"/>
              </w:rPr>
            </w:pPr>
            <w:r>
              <w:rPr>
                <w:rFonts w:hint="eastAsia" w:ascii="仿宋_GB2312" w:eastAsia="仿宋_GB2312" w:cs="Times New Roman"/>
                <w:kern w:val="2"/>
                <w:sz w:val="32"/>
                <w:szCs w:val="21"/>
                <w:u w:val="none"/>
              </w:rPr>
              <w:t>指标值</w:t>
            </w:r>
          </w:p>
        </w:tc>
      </w:tr>
      <w:tr w14:paraId="7561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restart"/>
            <w:tcBorders>
              <w:top w:val="single" w:color="auto" w:sz="4" w:space="0"/>
              <w:right w:val="single" w:color="auto" w:sz="4" w:space="0"/>
            </w:tcBorders>
            <w:noWrap w:val="0"/>
            <w:vAlign w:val="top"/>
          </w:tcPr>
          <w:p w14:paraId="4E41F7F4">
            <w:pPr>
              <w:spacing w:line="560" w:lineRule="exact"/>
              <w:rPr>
                <w:rFonts w:hint="eastAsia" w:ascii="宋体" w:hAnsi="宋体" w:eastAsia="宋体" w:cs="宋体"/>
                <w:i w:val="0"/>
                <w:iCs w:val="0"/>
                <w:color w:val="000000"/>
                <w:kern w:val="0"/>
                <w:sz w:val="24"/>
                <w:szCs w:val="24"/>
                <w:u w:val="none"/>
                <w:lang w:val="en-US" w:eastAsia="zh-CN" w:bidi="ar"/>
              </w:rPr>
            </w:pPr>
          </w:p>
          <w:p w14:paraId="34D2BB50">
            <w:pPr>
              <w:spacing w:line="560" w:lineRule="exact"/>
              <w:rPr>
                <w:rFonts w:hint="eastAsia" w:ascii="宋体" w:hAnsi="宋体" w:eastAsia="宋体" w:cs="宋体"/>
                <w:i w:val="0"/>
                <w:iCs w:val="0"/>
                <w:color w:val="000000"/>
                <w:kern w:val="0"/>
                <w:sz w:val="24"/>
                <w:szCs w:val="24"/>
                <w:u w:val="none"/>
                <w:lang w:val="en-US" w:eastAsia="zh-CN" w:bidi="ar"/>
              </w:rPr>
            </w:pPr>
          </w:p>
          <w:p w14:paraId="553C0BA7">
            <w:pPr>
              <w:spacing w:line="560" w:lineRule="exact"/>
              <w:rPr>
                <w:rFonts w:hint="eastAsia" w:ascii="宋体" w:hAnsi="宋体" w:eastAsia="宋体" w:cs="宋体"/>
                <w:i w:val="0"/>
                <w:iCs w:val="0"/>
                <w:color w:val="000000"/>
                <w:kern w:val="0"/>
                <w:sz w:val="24"/>
                <w:szCs w:val="24"/>
                <w:u w:val="none"/>
                <w:lang w:val="en-US" w:eastAsia="zh-CN" w:bidi="ar"/>
              </w:rPr>
            </w:pPr>
          </w:p>
          <w:p w14:paraId="44979BFC">
            <w:pPr>
              <w:spacing w:line="560" w:lineRule="exact"/>
              <w:rPr>
                <w:rFonts w:hint="eastAsia" w:ascii="宋体" w:hAnsi="宋体" w:eastAsia="宋体" w:cs="宋体"/>
                <w:i w:val="0"/>
                <w:iCs w:val="0"/>
                <w:color w:val="000000"/>
                <w:kern w:val="0"/>
                <w:sz w:val="24"/>
                <w:szCs w:val="24"/>
                <w:u w:val="none"/>
                <w:lang w:val="en-US" w:eastAsia="zh-CN" w:bidi="ar"/>
              </w:rPr>
            </w:pPr>
          </w:p>
          <w:p w14:paraId="47754423">
            <w:pPr>
              <w:spacing w:line="560" w:lineRule="exact"/>
              <w:rPr>
                <w:rFonts w:hint="eastAsia" w:ascii="宋体" w:hAnsi="宋体" w:eastAsia="宋体" w:cs="宋体"/>
                <w:i w:val="0"/>
                <w:iCs w:val="0"/>
                <w:color w:val="000000"/>
                <w:kern w:val="0"/>
                <w:sz w:val="24"/>
                <w:szCs w:val="24"/>
                <w:u w:val="none"/>
                <w:lang w:val="en-US" w:eastAsia="zh-CN" w:bidi="ar"/>
              </w:rPr>
            </w:pPr>
          </w:p>
          <w:p w14:paraId="67BA93DF">
            <w:pPr>
              <w:spacing w:line="560" w:lineRule="exact"/>
              <w:rPr>
                <w:rFonts w:hint="eastAsia" w:ascii="宋体" w:hAnsi="宋体" w:eastAsia="宋体" w:cs="宋体"/>
                <w:i w:val="0"/>
                <w:iCs w:val="0"/>
                <w:color w:val="000000"/>
                <w:kern w:val="0"/>
                <w:sz w:val="24"/>
                <w:szCs w:val="24"/>
                <w:u w:val="none"/>
                <w:lang w:val="en-US" w:eastAsia="zh-CN" w:bidi="ar"/>
              </w:rPr>
            </w:pPr>
          </w:p>
          <w:p w14:paraId="7CD9AF3F">
            <w:pPr>
              <w:spacing w:line="560" w:lineRule="exact"/>
              <w:rPr>
                <w:rFonts w:hint="eastAsia" w:ascii="宋体" w:hAnsi="宋体" w:eastAsia="宋体" w:cs="宋体"/>
                <w:i w:val="0"/>
                <w:iCs w:val="0"/>
                <w:color w:val="000000"/>
                <w:kern w:val="0"/>
                <w:sz w:val="24"/>
                <w:szCs w:val="24"/>
                <w:u w:val="none"/>
                <w:lang w:val="en-US" w:eastAsia="zh-CN" w:bidi="ar"/>
              </w:rPr>
            </w:pPr>
          </w:p>
          <w:p w14:paraId="516F5974">
            <w:pPr>
              <w:spacing w:line="560" w:lineRule="exact"/>
              <w:rPr>
                <w:rFonts w:hint="eastAsia" w:ascii="宋体" w:hAnsi="宋体" w:eastAsia="宋体" w:cs="宋体"/>
                <w:i w:val="0"/>
                <w:iCs w:val="0"/>
                <w:color w:val="000000"/>
                <w:kern w:val="0"/>
                <w:sz w:val="24"/>
                <w:szCs w:val="24"/>
                <w:u w:val="none"/>
                <w:lang w:val="en-US" w:eastAsia="zh-CN" w:bidi="ar"/>
              </w:rPr>
            </w:pPr>
          </w:p>
          <w:p w14:paraId="24B7F440">
            <w:pPr>
              <w:spacing w:line="560" w:lineRule="exact"/>
              <w:rPr>
                <w:rFonts w:hint="eastAsia" w:ascii="宋体" w:hAnsi="宋体" w:eastAsia="宋体" w:cs="宋体"/>
                <w:i w:val="0"/>
                <w:iCs w:val="0"/>
                <w:color w:val="000000"/>
                <w:kern w:val="0"/>
                <w:sz w:val="24"/>
                <w:szCs w:val="24"/>
                <w:u w:val="none"/>
                <w:lang w:val="en-US" w:eastAsia="zh-CN" w:bidi="ar"/>
              </w:rPr>
            </w:pPr>
          </w:p>
          <w:p w14:paraId="2AAFB488">
            <w:pPr>
              <w:spacing w:line="560" w:lineRule="exact"/>
              <w:rPr>
                <w:rFonts w:hint="eastAsia" w:ascii="宋体" w:hAnsi="宋体" w:eastAsia="宋体" w:cs="宋体"/>
                <w:i w:val="0"/>
                <w:iCs w:val="0"/>
                <w:color w:val="000000"/>
                <w:kern w:val="0"/>
                <w:sz w:val="24"/>
                <w:szCs w:val="24"/>
                <w:u w:val="none"/>
                <w:lang w:val="en-US" w:eastAsia="zh-CN" w:bidi="ar"/>
              </w:rPr>
            </w:pPr>
          </w:p>
          <w:p w14:paraId="26F1165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产出指标</w:t>
            </w:r>
          </w:p>
        </w:tc>
        <w:tc>
          <w:tcPr>
            <w:tcW w:w="1305" w:type="dxa"/>
            <w:vMerge w:val="restart"/>
            <w:tcBorders>
              <w:top w:val="single" w:color="auto" w:sz="4" w:space="0"/>
              <w:left w:val="single" w:color="auto" w:sz="4" w:space="0"/>
              <w:right w:val="single" w:color="auto" w:sz="4" w:space="0"/>
            </w:tcBorders>
            <w:noWrap w:val="0"/>
            <w:vAlign w:val="top"/>
          </w:tcPr>
          <w:p w14:paraId="1308D294">
            <w:pPr>
              <w:spacing w:line="560" w:lineRule="exact"/>
              <w:rPr>
                <w:rFonts w:hint="eastAsia" w:ascii="宋体" w:hAnsi="宋体" w:eastAsia="宋体" w:cs="宋体"/>
                <w:i w:val="0"/>
                <w:iCs w:val="0"/>
                <w:color w:val="000000"/>
                <w:kern w:val="0"/>
                <w:sz w:val="24"/>
                <w:szCs w:val="24"/>
                <w:u w:val="none"/>
                <w:lang w:val="en-US" w:eastAsia="zh-CN" w:bidi="ar"/>
              </w:rPr>
            </w:pPr>
          </w:p>
          <w:p w14:paraId="12695603">
            <w:pPr>
              <w:spacing w:line="560" w:lineRule="exact"/>
              <w:rPr>
                <w:rFonts w:hint="eastAsia" w:ascii="宋体" w:hAnsi="宋体" w:eastAsia="宋体" w:cs="宋体"/>
                <w:i w:val="0"/>
                <w:iCs w:val="0"/>
                <w:color w:val="000000"/>
                <w:kern w:val="0"/>
                <w:sz w:val="24"/>
                <w:szCs w:val="24"/>
                <w:u w:val="none"/>
                <w:lang w:val="en-US" w:eastAsia="zh-CN" w:bidi="ar"/>
              </w:rPr>
            </w:pPr>
          </w:p>
          <w:p w14:paraId="3D68A98B">
            <w:pPr>
              <w:spacing w:line="560" w:lineRule="exact"/>
              <w:rPr>
                <w:rFonts w:hint="eastAsia" w:ascii="宋体" w:hAnsi="宋体" w:eastAsia="宋体" w:cs="宋体"/>
                <w:i w:val="0"/>
                <w:iCs w:val="0"/>
                <w:color w:val="000000"/>
                <w:kern w:val="0"/>
                <w:sz w:val="24"/>
                <w:szCs w:val="24"/>
                <w:u w:val="none"/>
                <w:lang w:val="en-US" w:eastAsia="zh-CN" w:bidi="ar"/>
              </w:rPr>
            </w:pPr>
          </w:p>
          <w:p w14:paraId="6AF5C18B">
            <w:pPr>
              <w:spacing w:line="560" w:lineRule="exact"/>
              <w:rPr>
                <w:rFonts w:hint="eastAsia" w:ascii="宋体" w:hAnsi="宋体" w:eastAsia="宋体" w:cs="宋体"/>
                <w:i w:val="0"/>
                <w:iCs w:val="0"/>
                <w:color w:val="000000"/>
                <w:kern w:val="0"/>
                <w:sz w:val="24"/>
                <w:szCs w:val="24"/>
                <w:u w:val="none"/>
                <w:lang w:val="en-US" w:eastAsia="zh-CN" w:bidi="ar"/>
              </w:rPr>
            </w:pPr>
          </w:p>
          <w:p w14:paraId="6131DC63">
            <w:pPr>
              <w:spacing w:line="560" w:lineRule="exact"/>
              <w:rPr>
                <w:rFonts w:hint="eastAsia" w:ascii="宋体" w:hAnsi="宋体" w:eastAsia="宋体" w:cs="宋体"/>
                <w:i w:val="0"/>
                <w:iCs w:val="0"/>
                <w:color w:val="000000"/>
                <w:kern w:val="0"/>
                <w:sz w:val="24"/>
                <w:szCs w:val="24"/>
                <w:u w:val="none"/>
                <w:lang w:val="en-US" w:eastAsia="zh-CN" w:bidi="ar"/>
              </w:rPr>
            </w:pPr>
          </w:p>
          <w:p w14:paraId="4EB8B99B">
            <w:pPr>
              <w:spacing w:line="560" w:lineRule="exact"/>
              <w:rPr>
                <w:rFonts w:hint="eastAsia" w:ascii="宋体" w:hAnsi="宋体" w:eastAsia="宋体" w:cs="宋体"/>
                <w:i w:val="0"/>
                <w:iCs w:val="0"/>
                <w:color w:val="000000"/>
                <w:kern w:val="0"/>
                <w:sz w:val="24"/>
                <w:szCs w:val="24"/>
                <w:u w:val="none"/>
                <w:lang w:val="en-US" w:eastAsia="zh-CN" w:bidi="ar"/>
              </w:rPr>
            </w:pPr>
          </w:p>
          <w:p w14:paraId="67A56B1C">
            <w:pPr>
              <w:spacing w:line="560" w:lineRule="exact"/>
              <w:rPr>
                <w:rFonts w:hint="eastAsia" w:ascii="宋体" w:hAnsi="宋体" w:eastAsia="宋体" w:cs="宋体"/>
                <w:i w:val="0"/>
                <w:iCs w:val="0"/>
                <w:color w:val="000000"/>
                <w:kern w:val="0"/>
                <w:sz w:val="24"/>
                <w:szCs w:val="24"/>
                <w:u w:val="none"/>
                <w:lang w:val="en-US" w:eastAsia="zh-CN" w:bidi="ar"/>
              </w:rPr>
            </w:pPr>
          </w:p>
          <w:p w14:paraId="01032C65">
            <w:pPr>
              <w:spacing w:line="560" w:lineRule="exact"/>
              <w:rPr>
                <w:rFonts w:hint="eastAsia" w:ascii="宋体" w:hAnsi="宋体" w:eastAsia="宋体" w:cs="宋体"/>
                <w:i w:val="0"/>
                <w:iCs w:val="0"/>
                <w:color w:val="000000"/>
                <w:kern w:val="0"/>
                <w:sz w:val="24"/>
                <w:szCs w:val="24"/>
                <w:u w:val="none"/>
                <w:lang w:val="en-US" w:eastAsia="zh-CN" w:bidi="ar"/>
              </w:rPr>
            </w:pPr>
          </w:p>
          <w:p w14:paraId="37D39F48">
            <w:pPr>
              <w:spacing w:line="560" w:lineRule="exact"/>
              <w:rPr>
                <w:rFonts w:hint="eastAsia" w:ascii="宋体" w:hAnsi="宋体" w:eastAsia="宋体" w:cs="宋体"/>
                <w:i w:val="0"/>
                <w:iCs w:val="0"/>
                <w:color w:val="000000"/>
                <w:kern w:val="0"/>
                <w:sz w:val="24"/>
                <w:szCs w:val="24"/>
                <w:u w:val="none"/>
                <w:lang w:val="en-US" w:eastAsia="zh-CN" w:bidi="ar"/>
              </w:rPr>
            </w:pPr>
          </w:p>
          <w:p w14:paraId="4F9D89CB">
            <w:pPr>
              <w:spacing w:line="560" w:lineRule="exact"/>
              <w:rPr>
                <w:rFonts w:hint="eastAsia" w:ascii="宋体" w:hAnsi="宋体" w:eastAsia="宋体" w:cs="宋体"/>
                <w:i w:val="0"/>
                <w:iCs w:val="0"/>
                <w:color w:val="000000"/>
                <w:kern w:val="0"/>
                <w:sz w:val="24"/>
                <w:szCs w:val="24"/>
                <w:u w:val="none"/>
                <w:lang w:val="en-US" w:eastAsia="zh-CN" w:bidi="ar"/>
              </w:rPr>
            </w:pPr>
          </w:p>
          <w:p w14:paraId="6BA3FF9D">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数量指标</w:t>
            </w:r>
          </w:p>
        </w:tc>
        <w:tc>
          <w:tcPr>
            <w:tcW w:w="2730" w:type="dxa"/>
            <w:tcBorders>
              <w:top w:val="single" w:color="auto" w:sz="4" w:space="0"/>
              <w:left w:val="single" w:color="auto" w:sz="4" w:space="0"/>
              <w:bottom w:val="single" w:color="auto" w:sz="4" w:space="0"/>
              <w:right w:val="single" w:color="auto" w:sz="4" w:space="0"/>
            </w:tcBorders>
            <w:noWrap w:val="0"/>
            <w:vAlign w:val="top"/>
          </w:tcPr>
          <w:p w14:paraId="35B2BAB5">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小型气象站</w:t>
            </w:r>
          </w:p>
        </w:tc>
        <w:tc>
          <w:tcPr>
            <w:tcW w:w="2700" w:type="dxa"/>
            <w:tcBorders>
              <w:top w:val="single" w:color="auto" w:sz="4" w:space="0"/>
              <w:left w:val="single" w:color="auto" w:sz="4" w:space="0"/>
              <w:bottom w:val="single" w:color="auto" w:sz="4" w:space="0"/>
            </w:tcBorders>
            <w:noWrap w:val="0"/>
            <w:vAlign w:val="top"/>
          </w:tcPr>
          <w:p w14:paraId="66D152D2">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14套</w:t>
            </w:r>
          </w:p>
        </w:tc>
      </w:tr>
      <w:tr w14:paraId="40EC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5F367A48">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13BF9A40">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4745D6BB">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土壤墒情监测站</w:t>
            </w:r>
          </w:p>
        </w:tc>
        <w:tc>
          <w:tcPr>
            <w:tcW w:w="2700" w:type="dxa"/>
            <w:tcBorders>
              <w:top w:val="single" w:color="auto" w:sz="4" w:space="0"/>
              <w:left w:val="single" w:color="auto" w:sz="4" w:space="0"/>
              <w:bottom w:val="single" w:color="auto" w:sz="4" w:space="0"/>
            </w:tcBorders>
            <w:noWrap w:val="0"/>
            <w:vAlign w:val="top"/>
          </w:tcPr>
          <w:p w14:paraId="0D509CD7">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14套</w:t>
            </w:r>
          </w:p>
        </w:tc>
      </w:tr>
      <w:tr w14:paraId="1D3B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6F085B65">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2305D9C9">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55E3987">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远程昆虫性诱测报仪</w:t>
            </w:r>
          </w:p>
        </w:tc>
        <w:tc>
          <w:tcPr>
            <w:tcW w:w="2700" w:type="dxa"/>
            <w:tcBorders>
              <w:top w:val="single" w:color="auto" w:sz="4" w:space="0"/>
              <w:left w:val="single" w:color="auto" w:sz="4" w:space="0"/>
              <w:bottom w:val="single" w:color="auto" w:sz="4" w:space="0"/>
            </w:tcBorders>
            <w:noWrap w:val="0"/>
            <w:vAlign w:val="top"/>
          </w:tcPr>
          <w:p w14:paraId="3840A994">
            <w:pPr>
              <w:spacing w:line="560" w:lineRule="exac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462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433BA921">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50925C88">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2E3C2AA2">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太阳能熊猫风吸杀虫灯</w:t>
            </w:r>
          </w:p>
        </w:tc>
        <w:tc>
          <w:tcPr>
            <w:tcW w:w="2700" w:type="dxa"/>
            <w:tcBorders>
              <w:top w:val="single" w:color="auto" w:sz="4" w:space="0"/>
              <w:left w:val="single" w:color="auto" w:sz="4" w:space="0"/>
              <w:bottom w:val="single" w:color="auto" w:sz="4" w:space="0"/>
            </w:tcBorders>
            <w:noWrap w:val="0"/>
            <w:vAlign w:val="top"/>
          </w:tcPr>
          <w:p w14:paraId="3E57558D">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4985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2AE0EC2A">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17DBDA8C">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3394237E">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区块链溯源模块</w:t>
            </w:r>
          </w:p>
        </w:tc>
        <w:tc>
          <w:tcPr>
            <w:tcW w:w="2700" w:type="dxa"/>
            <w:tcBorders>
              <w:top w:val="single" w:color="auto" w:sz="4" w:space="0"/>
              <w:left w:val="single" w:color="auto" w:sz="4" w:space="0"/>
              <w:bottom w:val="single" w:color="auto" w:sz="4" w:space="0"/>
            </w:tcBorders>
            <w:noWrap w:val="0"/>
            <w:vAlign w:val="top"/>
          </w:tcPr>
          <w:p w14:paraId="4C7A7F1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741C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140A2FE3">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72F80B26">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113E7FA5">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地块遥感数据模块</w:t>
            </w:r>
          </w:p>
        </w:tc>
        <w:tc>
          <w:tcPr>
            <w:tcW w:w="2700" w:type="dxa"/>
            <w:tcBorders>
              <w:top w:val="single" w:color="auto" w:sz="4" w:space="0"/>
              <w:left w:val="single" w:color="auto" w:sz="4" w:space="0"/>
              <w:bottom w:val="single" w:color="auto" w:sz="4" w:space="0"/>
            </w:tcBorders>
            <w:noWrap w:val="0"/>
            <w:vAlign w:val="top"/>
          </w:tcPr>
          <w:p w14:paraId="7DC73B5D">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167B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6FE2BF72">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57BE93E8">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42C63ED7">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农资服务模块</w:t>
            </w:r>
          </w:p>
        </w:tc>
        <w:tc>
          <w:tcPr>
            <w:tcW w:w="2700" w:type="dxa"/>
            <w:tcBorders>
              <w:top w:val="single" w:color="auto" w:sz="4" w:space="0"/>
              <w:left w:val="single" w:color="auto" w:sz="4" w:space="0"/>
              <w:bottom w:val="single" w:color="auto" w:sz="4" w:space="0"/>
            </w:tcBorders>
            <w:noWrap w:val="0"/>
            <w:vAlign w:val="top"/>
          </w:tcPr>
          <w:p w14:paraId="3007F946">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77E1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1D573AFB">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574A57E5">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26E604DD">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农产品电商模块</w:t>
            </w:r>
          </w:p>
        </w:tc>
        <w:tc>
          <w:tcPr>
            <w:tcW w:w="2700" w:type="dxa"/>
            <w:tcBorders>
              <w:top w:val="single" w:color="auto" w:sz="4" w:space="0"/>
              <w:left w:val="single" w:color="auto" w:sz="4" w:space="0"/>
              <w:bottom w:val="single" w:color="auto" w:sz="4" w:space="0"/>
            </w:tcBorders>
            <w:noWrap w:val="0"/>
            <w:vAlign w:val="top"/>
          </w:tcPr>
          <w:p w14:paraId="3B817546">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1FA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5D1AE8B8">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13B5FF38">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C111634">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移动APP终端模块</w:t>
            </w:r>
          </w:p>
        </w:tc>
        <w:tc>
          <w:tcPr>
            <w:tcW w:w="2700" w:type="dxa"/>
            <w:tcBorders>
              <w:top w:val="single" w:color="auto" w:sz="4" w:space="0"/>
              <w:left w:val="single" w:color="auto" w:sz="4" w:space="0"/>
              <w:bottom w:val="single" w:color="auto" w:sz="4" w:space="0"/>
            </w:tcBorders>
            <w:noWrap w:val="0"/>
            <w:vAlign w:val="top"/>
          </w:tcPr>
          <w:p w14:paraId="7270E7A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22CF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3B9E9165">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6DD7AF46">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14BCE03F">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农业大数据分析模块</w:t>
            </w:r>
          </w:p>
        </w:tc>
        <w:tc>
          <w:tcPr>
            <w:tcW w:w="2700" w:type="dxa"/>
            <w:tcBorders>
              <w:top w:val="single" w:color="auto" w:sz="4" w:space="0"/>
              <w:left w:val="single" w:color="auto" w:sz="4" w:space="0"/>
              <w:bottom w:val="single" w:color="auto" w:sz="4" w:space="0"/>
            </w:tcBorders>
            <w:noWrap w:val="0"/>
            <w:vAlign w:val="top"/>
          </w:tcPr>
          <w:p w14:paraId="06830FB6">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r>
      <w:tr w14:paraId="58BE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7FEA6758">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4CA8CD51">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09BBE24F">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云资源</w:t>
            </w:r>
          </w:p>
        </w:tc>
        <w:tc>
          <w:tcPr>
            <w:tcW w:w="2700" w:type="dxa"/>
            <w:tcBorders>
              <w:top w:val="single" w:color="auto" w:sz="4" w:space="0"/>
              <w:left w:val="single" w:color="auto" w:sz="4" w:space="0"/>
              <w:bottom w:val="single" w:color="auto" w:sz="4" w:space="0"/>
            </w:tcBorders>
            <w:noWrap w:val="0"/>
            <w:vAlign w:val="top"/>
          </w:tcPr>
          <w:p w14:paraId="5C404FE0">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r>
      <w:tr w14:paraId="1641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vMerge w:val="continue"/>
            <w:tcBorders>
              <w:right w:val="single" w:color="auto" w:sz="4" w:space="0"/>
            </w:tcBorders>
            <w:noWrap w:val="0"/>
            <w:vAlign w:val="top"/>
          </w:tcPr>
          <w:p w14:paraId="493C2D2A">
            <w:pPr>
              <w:spacing w:line="560" w:lineRule="exact"/>
              <w:rPr>
                <w:rFonts w:hint="eastAsia" w:ascii="宋体" w:hAnsi="宋体" w:eastAsia="宋体" w:cs="宋体"/>
                <w:i w:val="0"/>
                <w:iCs w:val="0"/>
                <w:color w:val="000000"/>
                <w:kern w:val="0"/>
                <w:sz w:val="24"/>
                <w:szCs w:val="24"/>
                <w:u w:val="none"/>
                <w:lang w:val="en-US" w:eastAsia="zh-CN" w:bidi="ar"/>
              </w:rPr>
            </w:pPr>
          </w:p>
        </w:tc>
        <w:tc>
          <w:tcPr>
            <w:tcW w:w="1305" w:type="dxa"/>
            <w:vMerge w:val="continue"/>
            <w:tcBorders>
              <w:left w:val="single" w:color="auto" w:sz="4" w:space="0"/>
              <w:right w:val="single" w:color="auto" w:sz="4" w:space="0"/>
            </w:tcBorders>
            <w:noWrap w:val="0"/>
            <w:vAlign w:val="top"/>
          </w:tcPr>
          <w:p w14:paraId="19AD4C87">
            <w:pPr>
              <w:spacing w:line="560" w:lineRule="exact"/>
              <w:rPr>
                <w:rFonts w:hint="eastAsia" w:ascii="宋体" w:hAnsi="宋体" w:eastAsia="宋体" w:cs="宋体"/>
                <w:i w:val="0"/>
                <w:iCs w:val="0"/>
                <w:color w:val="000000"/>
                <w:kern w:val="0"/>
                <w:sz w:val="24"/>
                <w:szCs w:val="24"/>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55B74FB">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平台运维</w:t>
            </w:r>
          </w:p>
        </w:tc>
        <w:tc>
          <w:tcPr>
            <w:tcW w:w="2700" w:type="dxa"/>
            <w:tcBorders>
              <w:top w:val="single" w:color="auto" w:sz="4" w:space="0"/>
              <w:left w:val="single" w:color="auto" w:sz="4" w:space="0"/>
              <w:bottom w:val="single" w:color="auto" w:sz="4" w:space="0"/>
            </w:tcBorders>
            <w:noWrap w:val="0"/>
            <w:vAlign w:val="top"/>
          </w:tcPr>
          <w:p w14:paraId="345A6C64">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r>
      <w:tr w14:paraId="43B8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right w:val="single" w:color="auto" w:sz="4" w:space="0"/>
            </w:tcBorders>
            <w:noWrap w:val="0"/>
            <w:vAlign w:val="top"/>
          </w:tcPr>
          <w:p w14:paraId="27ED20A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效益指标</w:t>
            </w:r>
          </w:p>
        </w:tc>
        <w:tc>
          <w:tcPr>
            <w:tcW w:w="1305" w:type="dxa"/>
            <w:tcBorders>
              <w:left w:val="single" w:color="auto" w:sz="4" w:space="0"/>
              <w:right w:val="single" w:color="auto" w:sz="4" w:space="0"/>
            </w:tcBorders>
            <w:noWrap w:val="0"/>
            <w:vAlign w:val="top"/>
          </w:tcPr>
          <w:p w14:paraId="7F2F5C17">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可持续</w:t>
            </w:r>
          </w:p>
        </w:tc>
        <w:tc>
          <w:tcPr>
            <w:tcW w:w="2730" w:type="dxa"/>
            <w:tcBorders>
              <w:top w:val="single" w:color="auto" w:sz="4" w:space="0"/>
              <w:left w:val="single" w:color="auto" w:sz="4" w:space="0"/>
              <w:bottom w:val="single" w:color="auto" w:sz="4" w:space="0"/>
              <w:right w:val="single" w:color="auto" w:sz="4" w:space="0"/>
            </w:tcBorders>
            <w:noWrap w:val="0"/>
            <w:vAlign w:val="top"/>
          </w:tcPr>
          <w:p w14:paraId="2967AED1">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使用年限</w:t>
            </w:r>
          </w:p>
        </w:tc>
        <w:tc>
          <w:tcPr>
            <w:tcW w:w="2700" w:type="dxa"/>
            <w:tcBorders>
              <w:top w:val="single" w:color="auto" w:sz="4" w:space="0"/>
              <w:left w:val="single" w:color="auto" w:sz="4" w:space="0"/>
              <w:bottom w:val="single" w:color="auto" w:sz="4" w:space="0"/>
            </w:tcBorders>
            <w:noWrap w:val="0"/>
            <w:vAlign w:val="top"/>
          </w:tcPr>
          <w:p w14:paraId="03B642B6">
            <w:pPr>
              <w:spacing w:line="560" w:lineRule="exac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14:paraId="6F6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right w:val="single" w:color="auto" w:sz="4" w:space="0"/>
            </w:tcBorders>
            <w:noWrap w:val="0"/>
            <w:vAlign w:val="top"/>
          </w:tcPr>
          <w:p w14:paraId="587C12C4">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满意度指标</w:t>
            </w:r>
          </w:p>
        </w:tc>
        <w:tc>
          <w:tcPr>
            <w:tcW w:w="1305" w:type="dxa"/>
            <w:tcBorders>
              <w:left w:val="single" w:color="auto" w:sz="4" w:space="0"/>
              <w:right w:val="single" w:color="auto" w:sz="4" w:space="0"/>
            </w:tcBorders>
            <w:noWrap w:val="0"/>
            <w:vAlign w:val="top"/>
          </w:tcPr>
          <w:p w14:paraId="33AE8269">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服务对象 满意度指标</w:t>
            </w:r>
          </w:p>
        </w:tc>
        <w:tc>
          <w:tcPr>
            <w:tcW w:w="2730" w:type="dxa"/>
            <w:tcBorders>
              <w:top w:val="single" w:color="auto" w:sz="4" w:space="0"/>
              <w:left w:val="single" w:color="auto" w:sz="4" w:space="0"/>
              <w:right w:val="single" w:color="auto" w:sz="4" w:space="0"/>
            </w:tcBorders>
            <w:noWrap w:val="0"/>
            <w:vAlign w:val="top"/>
          </w:tcPr>
          <w:p w14:paraId="7E8D0D75">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农户、受益群众对该项目的满意度</w:t>
            </w:r>
          </w:p>
        </w:tc>
        <w:tc>
          <w:tcPr>
            <w:tcW w:w="2700" w:type="dxa"/>
            <w:tcBorders>
              <w:top w:val="single" w:color="auto" w:sz="4" w:space="0"/>
              <w:left w:val="single" w:color="auto" w:sz="4" w:space="0"/>
            </w:tcBorders>
            <w:noWrap w:val="0"/>
            <w:vAlign w:val="top"/>
          </w:tcPr>
          <w:p w14:paraId="0921F723">
            <w:pPr>
              <w:spacing w:line="560" w:lineRule="exac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bl>
    <w:p w14:paraId="1BC990C2">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二、评价实施</w:t>
      </w:r>
    </w:p>
    <w:p w14:paraId="7D5EF709">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（一）评价目的</w:t>
      </w:r>
    </w:p>
    <w:p w14:paraId="7CD34707">
      <w:pPr>
        <w:spacing w:line="578" w:lineRule="exact"/>
        <w:ind w:firstLine="640"/>
        <w:rPr>
          <w:rFonts w:eastAsia="仿宋_GB2312"/>
          <w:sz w:val="32"/>
          <w:szCs w:val="32"/>
        </w:rPr>
      </w:pPr>
      <w:r>
        <w:rPr>
          <w:rFonts w:hint="eastAsia" w:eastAsia="仿宋_GB2312"/>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14:paraId="53915899">
      <w:pPr>
        <w:adjustRightInd w:val="0"/>
        <w:snapToGrid w:val="0"/>
        <w:spacing w:line="578"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（二）预设问题及评价重点</w:t>
      </w:r>
    </w:p>
    <w:p w14:paraId="132D6410">
      <w:pPr>
        <w:adjustRightInd w:val="0"/>
        <w:snapToGrid w:val="0"/>
        <w:spacing w:line="578" w:lineRule="exact"/>
        <w:ind w:firstLine="640" w:firstLineChars="200"/>
        <w:rPr>
          <w:rFonts w:eastAsia="仿宋_GB2312"/>
          <w:sz w:val="32"/>
          <w:szCs w:val="32"/>
        </w:rPr>
      </w:pPr>
      <w:r>
        <w:rPr>
          <w:rFonts w:hint="eastAsia" w:ascii="仿宋_GB2312" w:hAnsi="仿宋_GB2312" w:eastAsia="仿宋_GB2312" w:cs="仿宋_GB2312"/>
          <w:kern w:val="2"/>
          <w:sz w:val="32"/>
          <w:szCs w:val="32"/>
          <w:lang w:val="en-US" w:eastAsia="zh-CN"/>
        </w:rPr>
        <w:t>2023年</w:t>
      </w:r>
      <w:r>
        <w:rPr>
          <w:rFonts w:hint="eastAsia" w:ascii="仿宋_GB2312" w:eastAsia="仿宋_GB2312" w:cs="Times New Roman"/>
          <w:kern w:val="2"/>
          <w:sz w:val="32"/>
          <w:szCs w:val="32"/>
          <w:u w:val="none"/>
        </w:rPr>
        <w:t>茂县数字农业服务平台扩建项目</w:t>
      </w:r>
      <w:r>
        <w:rPr>
          <w:rFonts w:hint="eastAsia" w:eastAsia="仿宋_GB2312"/>
          <w:sz w:val="32"/>
          <w:szCs w:val="32"/>
        </w:rPr>
        <w:t>资金支出使用全过程</w:t>
      </w:r>
      <w:r>
        <w:rPr>
          <w:rFonts w:hint="eastAsia" w:eastAsia="仿宋_GB2312"/>
          <w:sz w:val="32"/>
          <w:szCs w:val="32"/>
          <w:lang w:eastAsia="zh-CN"/>
        </w:rPr>
        <w:t>规范。</w:t>
      </w:r>
    </w:p>
    <w:p w14:paraId="14907A52">
      <w:pPr>
        <w:adjustRightInd w:val="0"/>
        <w:snapToGrid w:val="0"/>
        <w:spacing w:line="578"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（三）评价选点</w:t>
      </w:r>
    </w:p>
    <w:p w14:paraId="1348C41F">
      <w:pPr>
        <w:adjustRightInd w:val="0"/>
        <w:snapToGrid w:val="0"/>
        <w:spacing w:line="578" w:lineRule="exact"/>
        <w:ind w:firstLine="640" w:firstLineChars="200"/>
        <w:rPr>
          <w:rFonts w:eastAsia="仿宋_GB2312"/>
          <w:sz w:val="32"/>
          <w:szCs w:val="32"/>
          <w:lang w:val="zh-CN"/>
        </w:rPr>
      </w:pPr>
      <w:r>
        <w:rPr>
          <w:rFonts w:hint="eastAsia" w:eastAsia="仿宋_GB2312"/>
          <w:sz w:val="32"/>
          <w:szCs w:val="32"/>
          <w:lang w:val="zh-CN"/>
        </w:rPr>
        <w:t>茂县供销合作社联合社</w:t>
      </w:r>
    </w:p>
    <w:p w14:paraId="6F780FDA">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（四）评价方法</w:t>
      </w:r>
    </w:p>
    <w:p w14:paraId="4CE43B56">
      <w:pPr>
        <w:spacing w:line="578" w:lineRule="exact"/>
        <w:ind w:firstLine="640"/>
        <w:rPr>
          <w:rFonts w:eastAsia="仿宋_GB2312"/>
          <w:sz w:val="32"/>
          <w:szCs w:val="32"/>
        </w:rPr>
      </w:pPr>
      <w:r>
        <w:rPr>
          <w:rFonts w:hint="eastAsia" w:ascii="Times New Roman" w:hAnsi="Times New Roman" w:eastAsia="仿宋_GB2312" w:cs="Times New Roman"/>
          <w:sz w:val="32"/>
          <w:szCs w:val="32"/>
          <w:lang w:eastAsia="zh-CN"/>
        </w:rPr>
        <w:t>采用</w:t>
      </w:r>
      <w:r>
        <w:rPr>
          <w:rFonts w:eastAsia="仿宋_GB2312"/>
          <w:sz w:val="32"/>
          <w:szCs w:val="32"/>
        </w:rPr>
        <w:t>单位自评法</w:t>
      </w:r>
      <w:r>
        <w:rPr>
          <w:rFonts w:hint="eastAsia" w:eastAsia="仿宋_GB2312"/>
          <w:sz w:val="32"/>
          <w:szCs w:val="32"/>
        </w:rPr>
        <w:t>。</w:t>
      </w:r>
    </w:p>
    <w:p w14:paraId="3EA81206">
      <w:pPr>
        <w:widowControl/>
        <w:tabs>
          <w:tab w:val="left" w:pos="2160"/>
        </w:tabs>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14:paraId="55E9F939">
      <w:pPr>
        <w:spacing w:line="578" w:lineRule="exact"/>
        <w:ind w:firstLine="640"/>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14:paraId="32E60B5C">
      <w:pPr>
        <w:spacing w:line="578" w:lineRule="exact"/>
        <w:ind w:firstLine="64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1.</w:t>
      </w:r>
      <w:r>
        <w:rPr>
          <w:rFonts w:hint="eastAsia" w:ascii="Times New Roman" w:hAnsi="Times New Roman" w:eastAsia="仿宋_GB2312" w:cs="Times New Roman"/>
          <w:sz w:val="32"/>
          <w:szCs w:val="32"/>
          <w:lang w:eastAsia="zh-CN"/>
        </w:rPr>
        <w:t>项目决策。决策程序严密，符合资金管理基本规范和决策程序要求。规划论证符合中省要求、项目绩效目标设置科学合理。资金投向与项目总体规划、相关行业事业发展相匹配。</w:t>
      </w:r>
    </w:p>
    <w:p w14:paraId="5A7E4421">
      <w:pPr>
        <w:spacing w:line="578" w:lineRule="exact"/>
        <w:ind w:firstLine="64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2.</w:t>
      </w:r>
      <w:r>
        <w:rPr>
          <w:rFonts w:hint="eastAsia" w:ascii="Times New Roman" w:hAnsi="Times New Roman" w:eastAsia="仿宋_GB2312" w:cs="Times New Roman"/>
          <w:sz w:val="32"/>
          <w:szCs w:val="32"/>
          <w:lang w:eastAsia="zh-CN"/>
        </w:rPr>
        <w:t>项目管理。项目资金分配因素选取、权重设置、区域分布，项目管理、审批符合管理要求、绩效监管按中省要求全面完成绩效目标（含事前评估）、绩效评价。</w:t>
      </w:r>
    </w:p>
    <w:p w14:paraId="2D221104">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3.</w:t>
      </w:r>
      <w:r>
        <w:rPr>
          <w:rFonts w:hint="eastAsia" w:ascii="Times New Roman" w:hAnsi="Times New Roman" w:eastAsia="仿宋_GB2312" w:cs="Times New Roman"/>
          <w:sz w:val="32"/>
          <w:szCs w:val="32"/>
          <w:lang w:eastAsia="zh-CN"/>
        </w:rPr>
        <w:t>项目实施。财政资金拨付率</w:t>
      </w:r>
      <w:r>
        <w:rPr>
          <w:rFonts w:hint="eastAsia" w:ascii="Times New Roman" w:hAnsi="Times New Roman" w:eastAsia="仿宋_GB2312" w:cs="Times New Roman"/>
          <w:sz w:val="32"/>
          <w:szCs w:val="32"/>
          <w:lang w:val="en-US" w:eastAsia="zh-CN"/>
        </w:rPr>
        <w:t>100%</w:t>
      </w:r>
      <w:r>
        <w:rPr>
          <w:rFonts w:hint="eastAsia" w:eastAsia="仿宋_GB2312"/>
          <w:sz w:val="32"/>
          <w:szCs w:val="32"/>
          <w:lang w:val="en-US" w:eastAsia="zh-CN"/>
        </w:rPr>
        <w:t>，</w:t>
      </w:r>
      <w:r>
        <w:rPr>
          <w:rFonts w:hint="eastAsia" w:ascii="Times New Roman" w:hAnsi="Times New Roman" w:eastAsia="仿宋_GB2312" w:cs="Times New Roman"/>
          <w:sz w:val="32"/>
          <w:szCs w:val="32"/>
          <w:lang w:val="en-US" w:eastAsia="zh-CN"/>
        </w:rPr>
        <w:t>使用率100%，无地方配套资金。</w:t>
      </w:r>
    </w:p>
    <w:p w14:paraId="772D4FED">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4.</w:t>
      </w:r>
      <w:r>
        <w:rPr>
          <w:rFonts w:hint="eastAsia" w:ascii="Times New Roman" w:hAnsi="Times New Roman" w:eastAsia="仿宋_GB2312" w:cs="Times New Roman"/>
          <w:sz w:val="32"/>
          <w:szCs w:val="32"/>
          <w:lang w:eastAsia="zh-CN"/>
        </w:rPr>
        <w:t>项目结果。完成预期目标，实施结果。与绩效目标相匹配。</w:t>
      </w:r>
    </w:p>
    <w:p w14:paraId="095E46A5">
      <w:pPr>
        <w:spacing w:line="578" w:lineRule="exact"/>
        <w:ind w:firstLine="643" w:firstLineChars="200"/>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14:paraId="301ED7B5">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1.</w:t>
      </w:r>
      <w:r>
        <w:rPr>
          <w:rFonts w:hint="eastAsia" w:ascii="Times New Roman" w:hAnsi="Times New Roman" w:eastAsia="仿宋_GB2312" w:cs="Times New Roman"/>
          <w:sz w:val="32"/>
          <w:szCs w:val="32"/>
          <w:lang w:eastAsia="zh-CN"/>
        </w:rPr>
        <w:t>产业发展。与省委省政府支持重点、产业支持政策符合、对相关企业（机构）成长性的促进作用。</w:t>
      </w:r>
    </w:p>
    <w:p w14:paraId="10E2F3C5">
      <w:pPr>
        <w:spacing w:line="578" w:lineRule="exact"/>
        <w:ind w:firstLine="640" w:firstLineChars="200"/>
        <w:rPr>
          <w:rFonts w:hint="default" w:eastAsia="仿宋_GB2312"/>
          <w:sz w:val="32"/>
          <w:szCs w:val="32"/>
          <w:lang w:val="en-US" w:eastAsia="zh-CN"/>
        </w:rPr>
      </w:pPr>
      <w:r>
        <w:rPr>
          <w:rFonts w:hint="eastAsia" w:ascii="楷体_GB2312" w:hAnsi="楷体_GB2312" w:eastAsia="楷体_GB2312" w:cs="楷体_GB2312"/>
          <w:sz w:val="32"/>
          <w:szCs w:val="32"/>
          <w:lang w:val="en-US" w:eastAsia="zh-CN"/>
        </w:rPr>
        <w:t>2.</w:t>
      </w:r>
      <w:r>
        <w:rPr>
          <w:rFonts w:hint="eastAsia" w:ascii="Times New Roman" w:hAnsi="Times New Roman" w:eastAsia="仿宋_GB2312" w:cs="Times New Roman"/>
          <w:sz w:val="32"/>
          <w:szCs w:val="32"/>
          <w:lang w:val="zh-CN" w:eastAsia="zh-CN"/>
        </w:rPr>
        <w:t>行政运转。按规定用途、适用范围进行本地区专项资金分配。</w:t>
      </w:r>
    </w:p>
    <w:p w14:paraId="3BDE6645">
      <w:pPr>
        <w:spacing w:line="578" w:lineRule="exact"/>
        <w:ind w:firstLine="640"/>
        <w:rPr>
          <w:rFonts w:eastAsia="楷体_GB2312"/>
          <w:b/>
          <w:bCs/>
          <w:color w:val="000000"/>
          <w:kern w:val="0"/>
          <w:sz w:val="32"/>
          <w:szCs w:val="32"/>
          <w:shd w:val="clear" w:color="auto" w:fill="FFFFFF"/>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rPr>
        <w:t>个性指标</w:t>
      </w:r>
      <w:r>
        <w:rPr>
          <w:rFonts w:eastAsia="楷体_GB2312"/>
          <w:b/>
          <w:bCs/>
          <w:color w:val="000000"/>
          <w:kern w:val="0"/>
          <w:sz w:val="32"/>
          <w:szCs w:val="32"/>
          <w:shd w:val="clear" w:color="auto" w:fill="FFFFFF"/>
          <w:lang w:val="zh-CN"/>
        </w:rPr>
        <w:t>绩效分析</w:t>
      </w:r>
    </w:p>
    <w:p w14:paraId="5CB07A9A">
      <w:pPr>
        <w:spacing w:line="578" w:lineRule="exact"/>
        <w:ind w:firstLine="640"/>
        <w:rPr>
          <w:rFonts w:hint="default" w:eastAsia="仿宋_GB2312"/>
          <w:sz w:val="32"/>
          <w:szCs w:val="32"/>
          <w:lang w:val="en-US" w:eastAsia="zh-CN"/>
        </w:rPr>
      </w:pPr>
      <w:r>
        <w:rPr>
          <w:rFonts w:hint="eastAsia" w:eastAsia="仿宋_GB2312"/>
          <w:sz w:val="32"/>
          <w:szCs w:val="32"/>
          <w:lang w:val="zh-CN"/>
        </w:rPr>
        <w:t>根据项目设定指标如实完成。</w:t>
      </w:r>
    </w:p>
    <w:p w14:paraId="1918766F">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14:paraId="342C9083">
      <w:pPr>
        <w:spacing w:line="560" w:lineRule="exact"/>
        <w:ind w:left="49" w:firstLine="640" w:firstLineChars="200"/>
        <w:rPr>
          <w:rFonts w:hint="eastAsia" w:ascii="仿宋_GB2312" w:hAnsi="仿宋_GB2312" w:eastAsia="仿宋_GB2312" w:cs="仿宋_GB2312"/>
          <w:kern w:val="2"/>
          <w:sz w:val="32"/>
          <w:szCs w:val="32"/>
        </w:rPr>
      </w:pPr>
      <w:r>
        <w:rPr>
          <w:rFonts w:hint="eastAsia" w:ascii="仿宋_GB2312" w:eastAsia="仿宋_GB2312" w:cs="Times New Roman"/>
          <w:kern w:val="2"/>
          <w:sz w:val="32"/>
          <w:szCs w:val="32"/>
          <w:u w:val="none"/>
        </w:rPr>
        <w:t>综合前述评估内容来看，该</w:t>
      </w:r>
      <w:r>
        <w:rPr>
          <w:rFonts w:hint="eastAsia" w:ascii="仿宋_GB2312" w:eastAsia="仿宋_GB2312" w:cs="Times New Roman"/>
          <w:color w:val="auto"/>
          <w:kern w:val="2"/>
          <w:sz w:val="32"/>
          <w:szCs w:val="32"/>
          <w:u w:val="none"/>
        </w:rPr>
        <w:t>项目</w:t>
      </w:r>
      <w:r>
        <w:rPr>
          <w:rFonts w:hint="eastAsia" w:ascii="仿宋_GB2312" w:eastAsia="仿宋_GB2312" w:cs="Times New Roman"/>
          <w:color w:val="auto"/>
          <w:kern w:val="2"/>
          <w:sz w:val="32"/>
          <w:szCs w:val="32"/>
          <w:u w:val="none"/>
          <w:lang w:val="en-US" w:eastAsia="zh-CN"/>
        </w:rPr>
        <w:t>依据</w:t>
      </w:r>
      <w:r>
        <w:rPr>
          <w:rFonts w:hint="eastAsia" w:ascii="仿宋_GB2312" w:eastAsia="仿宋_GB2312" w:cs="Times New Roman"/>
          <w:kern w:val="2"/>
          <w:sz w:val="32"/>
          <w:szCs w:val="32"/>
          <w:u w:val="none"/>
        </w:rPr>
        <w:t>充分，绩效目标明确，具备实施条件，具有公共性，符合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r>
        <w:rPr>
          <w:rFonts w:hint="eastAsia" w:ascii="仿宋_GB2312" w:eastAsia="仿宋_GB2312" w:cs="Times New Roman"/>
          <w:kern w:val="2"/>
          <w:sz w:val="32"/>
          <w:szCs w:val="32"/>
          <w:u w:val="none"/>
          <w:lang w:val="en-US" w:eastAsia="zh-CN"/>
        </w:rPr>
        <w:t>项目</w:t>
      </w:r>
      <w:r>
        <w:rPr>
          <w:rFonts w:hint="eastAsia" w:ascii="仿宋_GB2312" w:eastAsia="仿宋_GB2312" w:cs="Times New Roman"/>
          <w:kern w:val="2"/>
          <w:sz w:val="32"/>
          <w:szCs w:val="32"/>
          <w:u w:val="none"/>
        </w:rPr>
        <w:t>预算</w:t>
      </w:r>
      <w:r>
        <w:rPr>
          <w:rFonts w:hint="eastAsia" w:ascii="仿宋_GB2312" w:eastAsia="仿宋_GB2312" w:cs="Times New Roman"/>
          <w:kern w:val="2"/>
          <w:sz w:val="32"/>
          <w:szCs w:val="32"/>
          <w:u w:val="none"/>
          <w:lang w:val="en-US" w:eastAsia="zh-CN"/>
        </w:rPr>
        <w:t>150</w:t>
      </w:r>
      <w:r>
        <w:rPr>
          <w:rFonts w:hint="eastAsia" w:ascii="仿宋_GB2312" w:eastAsia="仿宋_GB2312" w:cs="Times New Roman"/>
          <w:kern w:val="2"/>
          <w:sz w:val="32"/>
          <w:szCs w:val="32"/>
          <w:u w:val="none"/>
        </w:rPr>
        <w:t>万</w:t>
      </w:r>
      <w:r>
        <w:rPr>
          <w:rFonts w:hint="eastAsia" w:ascii="仿宋_GB2312" w:eastAsia="仿宋_GB2312" w:cs="Times New Roman"/>
          <w:kern w:val="2"/>
          <w:sz w:val="32"/>
          <w:szCs w:val="32"/>
          <w:u w:val="none"/>
          <w:lang w:eastAsia="zh-CN"/>
        </w:rPr>
        <w:t>，</w:t>
      </w:r>
      <w:r>
        <w:rPr>
          <w:rFonts w:hint="eastAsia" w:ascii="仿宋_GB2312" w:eastAsia="仿宋_GB2312" w:cs="Times New Roman"/>
          <w:kern w:val="2"/>
          <w:sz w:val="32"/>
          <w:szCs w:val="32"/>
          <w:u w:val="none"/>
        </w:rPr>
        <w:t>该项目申请资金总</w:t>
      </w:r>
      <w:r>
        <w:rPr>
          <w:rFonts w:hint="eastAsia" w:ascii="仿宋_GB2312" w:eastAsia="仿宋_GB2312" w:cs="Times New Roman"/>
          <w:kern w:val="2"/>
          <w:sz w:val="32"/>
          <w:szCs w:val="32"/>
          <w:u w:val="none"/>
          <w:lang w:val="en-US" w:eastAsia="zh-CN"/>
        </w:rPr>
        <w:t>额为150</w:t>
      </w:r>
      <w:r>
        <w:rPr>
          <w:rFonts w:hint="eastAsia" w:ascii="仿宋_GB2312" w:eastAsia="仿宋_GB2312" w:cs="Times New Roman"/>
          <w:kern w:val="2"/>
          <w:sz w:val="32"/>
          <w:szCs w:val="32"/>
          <w:u w:val="none"/>
        </w:rPr>
        <w:t xml:space="preserve"> 万元。我单位将进一步加强运行监控，提升预算绩效管理水平</w:t>
      </w:r>
      <w:r>
        <w:rPr>
          <w:rFonts w:hint="eastAsia" w:ascii="仿宋_GB2312" w:eastAsia="仿宋_GB2312" w:cs="Times New Roman"/>
          <w:kern w:val="2"/>
          <w:sz w:val="32"/>
          <w:szCs w:val="32"/>
          <w:u w:val="none"/>
          <w:lang w:eastAsia="zh-CN"/>
        </w:rPr>
        <w:t>。</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eastAsia="仿宋_GB2312" w:cs="仿宋_GB2312"/>
          <w:kern w:val="0"/>
          <w:position w:val="0"/>
          <w:sz w:val="32"/>
          <w:szCs w:val="32"/>
          <w:highlight w:val="none"/>
          <w:u w:val="none"/>
          <w:shd w:val="clear" w:color="auto" w:fill="FFFFFF"/>
          <w:lang w:val="en-US" w:eastAsia="zh-CN" w:bidi="ar-SA"/>
        </w:rPr>
        <w:t>100</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14:paraId="61451F74">
      <w:pPr>
        <w:snapToGrid w:val="0"/>
        <w:spacing w:line="578" w:lineRule="exact"/>
        <w:ind w:firstLine="640" w:firstLineChars="200"/>
        <w:rPr>
          <w:rFonts w:eastAsia="仿宋_GB2312"/>
          <w:color w:val="000000"/>
          <w:kern w:val="0"/>
          <w:sz w:val="32"/>
          <w:szCs w:val="32"/>
          <w:shd w:val="clear" w:color="auto" w:fill="FFFFFF"/>
          <w:lang w:val="zh-CN"/>
        </w:rPr>
      </w:pPr>
    </w:p>
    <w:p w14:paraId="2E5DCE4B">
      <w:pPr>
        <w:snapToGrid w:val="0"/>
        <w:spacing w:line="578" w:lineRule="exact"/>
        <w:ind w:firstLine="640" w:firstLineChars="200"/>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附表：1.项目资金分配涉及所有点位自评得分情况表</w:t>
      </w:r>
    </w:p>
    <w:p w14:paraId="63A053C0">
      <w:pPr>
        <w:snapToGrid w:val="0"/>
        <w:spacing w:line="578" w:lineRule="exact"/>
        <w:ind w:firstLine="1600" w:firstLineChars="500"/>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2.专项预算项目绩效目标完成情况自评表</w:t>
      </w:r>
    </w:p>
    <w:p w14:paraId="50AF5D89">
      <w:pPr>
        <w:spacing w:line="560" w:lineRule="exact"/>
        <w:ind w:firstLine="4480" w:firstLineChars="1400"/>
        <w:rPr>
          <w:rFonts w:hint="eastAsia" w:ascii="仿宋_GB2312" w:eastAsia="仿宋_GB2312" w:cs="Times New Roman"/>
          <w:kern w:val="2"/>
          <w:sz w:val="32"/>
          <w:szCs w:val="32"/>
          <w:u w:val="none"/>
          <w:lang w:val="en-US" w:eastAsia="zh-CN"/>
        </w:rPr>
      </w:pPr>
    </w:p>
    <w:p w14:paraId="67988FB6">
      <w:pPr>
        <w:spacing w:line="560" w:lineRule="exact"/>
        <w:ind w:firstLine="4480" w:firstLineChars="1400"/>
        <w:rPr>
          <w:rFonts w:hint="default" w:ascii="仿宋_GB2312" w:eastAsia="仿宋_GB2312" w:cs="Times New Roman"/>
          <w:kern w:val="2"/>
          <w:sz w:val="32"/>
          <w:szCs w:val="32"/>
          <w:u w:val="none"/>
          <w:lang w:val="en-US" w:eastAsia="zh-CN"/>
        </w:rPr>
      </w:pPr>
      <w:r>
        <w:rPr>
          <w:rFonts w:hint="eastAsia" w:ascii="仿宋_GB2312" w:eastAsia="仿宋_GB2312" w:cs="Times New Roman"/>
          <w:kern w:val="2"/>
          <w:sz w:val="32"/>
          <w:szCs w:val="32"/>
          <w:u w:val="none"/>
          <w:lang w:val="en-US" w:eastAsia="zh-CN"/>
        </w:rPr>
        <w:t>茂县供销合作社联合社</w:t>
      </w:r>
    </w:p>
    <w:p w14:paraId="33AA8749">
      <w:pPr>
        <w:snapToGrid w:val="0"/>
        <w:spacing w:line="578" w:lineRule="exact"/>
        <w:ind w:firstLine="4800" w:firstLineChars="1500"/>
        <w:rPr>
          <w:rFonts w:eastAsia="仿宋_GB2312"/>
          <w:color w:val="000000"/>
          <w:kern w:val="0"/>
          <w:sz w:val="32"/>
          <w:szCs w:val="32"/>
          <w:shd w:val="clear" w:color="auto" w:fill="FFFFFF"/>
          <w:lang w:val="zh-CN"/>
        </w:rPr>
      </w:pPr>
      <w:r>
        <w:rPr>
          <w:rFonts w:hint="eastAsia" w:ascii="仿宋_GB2312" w:eastAsia="仿宋_GB2312" w:cs="仿宋_GB2312"/>
          <w:sz w:val="32"/>
          <w:szCs w:val="32"/>
          <w:lang w:val="en-US" w:eastAsia="zh-CN"/>
        </w:rPr>
        <w:t>2024年8月9日</w:t>
      </w:r>
    </w:p>
    <w:p w14:paraId="35A04463">
      <w:pPr>
        <w:snapToGrid w:val="0"/>
        <w:spacing w:line="578" w:lineRule="exact"/>
        <w:ind w:firstLine="640" w:firstLineChars="200"/>
        <w:rPr>
          <w:rFonts w:eastAsia="仿宋_GB2312"/>
          <w:color w:val="000000"/>
          <w:kern w:val="0"/>
          <w:sz w:val="32"/>
          <w:szCs w:val="32"/>
          <w:shd w:val="clear" w:color="auto" w:fill="FFFFFF"/>
          <w:lang w:val="zh-CN"/>
        </w:rPr>
      </w:pPr>
    </w:p>
    <w:p w14:paraId="41F0061F">
      <w:pPr>
        <w:snapToGrid w:val="0"/>
        <w:spacing w:line="578" w:lineRule="exact"/>
        <w:ind w:firstLine="640" w:firstLineChars="200"/>
        <w:rPr>
          <w:rFonts w:eastAsia="仿宋_GB2312"/>
          <w:color w:val="000000"/>
          <w:kern w:val="0"/>
          <w:sz w:val="32"/>
          <w:szCs w:val="32"/>
          <w:shd w:val="clear" w:color="auto" w:fill="FFFFFF"/>
          <w:lang w:val="zh-CN"/>
        </w:rPr>
      </w:pPr>
    </w:p>
    <w:p w14:paraId="03927962">
      <w:pPr>
        <w:widowControl/>
        <w:adjustRightInd w:val="0"/>
        <w:snapToGrid w:val="0"/>
        <w:spacing w:line="578"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3B8DEDCB">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76EC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9FC49D1">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14:paraId="7D1B77D9">
            <w:pPr>
              <w:spacing w:line="300" w:lineRule="exact"/>
              <w:jc w:val="center"/>
              <w:rPr>
                <w:rFonts w:ascii="黑体" w:hAnsi="黑体" w:eastAsia="黑体" w:cs="黑体"/>
                <w:sz w:val="24"/>
                <w:szCs w:val="24"/>
                <w:lang w:val="en"/>
              </w:rPr>
            </w:pPr>
            <w:r>
              <w:rPr>
                <w:rFonts w:hint="eastAsia" w:ascii="黑体" w:hAnsi="黑体" w:eastAsia="黑体" w:cs="黑体"/>
                <w:sz w:val="24"/>
                <w:szCs w:val="24"/>
              </w:rPr>
              <w:t>项目资金末端分配点位</w:t>
            </w:r>
          </w:p>
        </w:tc>
        <w:tc>
          <w:tcPr>
            <w:tcW w:w="2861" w:type="dxa"/>
          </w:tcPr>
          <w:p w14:paraId="4F9697B0">
            <w:pPr>
              <w:spacing w:line="300" w:lineRule="exact"/>
              <w:jc w:val="center"/>
              <w:rPr>
                <w:rFonts w:ascii="黑体" w:hAnsi="黑体" w:eastAsia="黑体" w:cs="黑体"/>
                <w:sz w:val="24"/>
                <w:szCs w:val="24"/>
              </w:rPr>
            </w:pPr>
            <w:r>
              <w:rPr>
                <w:rFonts w:hint="eastAsia" w:ascii="黑体" w:hAnsi="黑体" w:eastAsia="黑体" w:cs="黑体"/>
                <w:sz w:val="24"/>
                <w:szCs w:val="24"/>
                <w:lang w:val="en"/>
              </w:rPr>
              <w:t>自评得分（百分制）</w:t>
            </w:r>
          </w:p>
        </w:tc>
        <w:tc>
          <w:tcPr>
            <w:tcW w:w="993" w:type="dxa"/>
          </w:tcPr>
          <w:p w14:paraId="266FA56B">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14:paraId="7E4A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123" w:type="dxa"/>
          </w:tcPr>
          <w:p w14:paraId="19ABEDA0">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14:paraId="47E5F098">
            <w:pPr>
              <w:spacing w:line="300" w:lineRule="exact"/>
              <w:rPr>
                <w:rFonts w:ascii="宋体" w:hAnsi="宋体" w:eastAsia="仿宋_GB2312" w:cs="宋体"/>
                <w:sz w:val="24"/>
                <w:szCs w:val="24"/>
                <w:lang w:val="en"/>
              </w:rPr>
            </w:pPr>
            <w:r>
              <w:rPr>
                <w:rFonts w:hint="eastAsia" w:ascii="仿宋_GB2312" w:eastAsia="仿宋_GB2312" w:cs="Times New Roman"/>
                <w:kern w:val="2"/>
                <w:sz w:val="32"/>
                <w:szCs w:val="21"/>
                <w:u w:val="none"/>
              </w:rPr>
              <w:t>茂县数字农业服务平台扩建</w:t>
            </w:r>
          </w:p>
        </w:tc>
        <w:tc>
          <w:tcPr>
            <w:tcW w:w="2861" w:type="dxa"/>
          </w:tcPr>
          <w:p w14:paraId="02D39861">
            <w:pPr>
              <w:spacing w:line="300" w:lineRule="exact"/>
              <w:jc w:val="center"/>
              <w:rPr>
                <w:rFonts w:hint="default" w:ascii="宋体" w:hAnsi="宋体" w:eastAsia="仿宋_GB2312" w:cs="宋体"/>
                <w:sz w:val="24"/>
                <w:szCs w:val="24"/>
                <w:lang w:val="en-US" w:eastAsia="zh-CN"/>
              </w:rPr>
            </w:pPr>
            <w:r>
              <w:rPr>
                <w:rFonts w:hint="eastAsia" w:ascii="黑体" w:hAnsi="黑体" w:eastAsia="黑体" w:cs="黑体"/>
                <w:sz w:val="24"/>
                <w:szCs w:val="24"/>
                <w:lang w:val="en-US" w:eastAsia="zh-CN"/>
              </w:rPr>
              <w:t>100</w:t>
            </w:r>
          </w:p>
        </w:tc>
        <w:tc>
          <w:tcPr>
            <w:tcW w:w="993" w:type="dxa"/>
          </w:tcPr>
          <w:p w14:paraId="556BDADB">
            <w:pPr>
              <w:spacing w:line="300" w:lineRule="exact"/>
              <w:rPr>
                <w:rFonts w:ascii="宋体" w:hAnsi="宋体" w:eastAsia="仿宋_GB2312" w:cs="宋体"/>
                <w:sz w:val="24"/>
                <w:szCs w:val="24"/>
              </w:rPr>
            </w:pPr>
          </w:p>
        </w:tc>
      </w:tr>
      <w:tr w14:paraId="2F3F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1AB26A2">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14:paraId="4BE450CB">
            <w:pPr>
              <w:spacing w:line="300" w:lineRule="exact"/>
              <w:rPr>
                <w:rFonts w:ascii="宋体" w:hAnsi="宋体" w:eastAsia="仿宋_GB2312" w:cs="宋体"/>
                <w:sz w:val="24"/>
                <w:szCs w:val="24"/>
                <w:lang w:val="en"/>
              </w:rPr>
            </w:pPr>
          </w:p>
        </w:tc>
        <w:tc>
          <w:tcPr>
            <w:tcW w:w="2861" w:type="dxa"/>
          </w:tcPr>
          <w:p w14:paraId="75031FFD">
            <w:pPr>
              <w:spacing w:line="300" w:lineRule="exact"/>
              <w:rPr>
                <w:rFonts w:ascii="宋体" w:hAnsi="宋体" w:eastAsia="仿宋_GB2312" w:cs="宋体"/>
                <w:sz w:val="24"/>
                <w:szCs w:val="24"/>
                <w:lang w:val="en"/>
              </w:rPr>
            </w:pPr>
          </w:p>
        </w:tc>
        <w:tc>
          <w:tcPr>
            <w:tcW w:w="993" w:type="dxa"/>
          </w:tcPr>
          <w:p w14:paraId="7BC46A4F">
            <w:pPr>
              <w:spacing w:line="300" w:lineRule="exact"/>
              <w:rPr>
                <w:rFonts w:ascii="宋体" w:hAnsi="宋体" w:eastAsia="仿宋_GB2312" w:cs="宋体"/>
                <w:sz w:val="24"/>
                <w:szCs w:val="24"/>
              </w:rPr>
            </w:pPr>
          </w:p>
        </w:tc>
      </w:tr>
      <w:tr w14:paraId="1D4C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8FFE019">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14:paraId="62CA9D0E">
            <w:pPr>
              <w:spacing w:line="300" w:lineRule="exact"/>
              <w:rPr>
                <w:rFonts w:ascii="宋体" w:hAnsi="宋体" w:eastAsia="仿宋_GB2312" w:cs="宋体"/>
                <w:sz w:val="24"/>
                <w:szCs w:val="24"/>
                <w:lang w:val="en"/>
              </w:rPr>
            </w:pPr>
          </w:p>
        </w:tc>
        <w:tc>
          <w:tcPr>
            <w:tcW w:w="2861" w:type="dxa"/>
          </w:tcPr>
          <w:p w14:paraId="23450907">
            <w:pPr>
              <w:spacing w:line="300" w:lineRule="exact"/>
              <w:rPr>
                <w:rFonts w:ascii="宋体" w:hAnsi="宋体" w:eastAsia="仿宋_GB2312" w:cs="宋体"/>
                <w:sz w:val="24"/>
                <w:szCs w:val="24"/>
                <w:lang w:val="en"/>
              </w:rPr>
            </w:pPr>
          </w:p>
        </w:tc>
        <w:tc>
          <w:tcPr>
            <w:tcW w:w="993" w:type="dxa"/>
          </w:tcPr>
          <w:p w14:paraId="742564D1">
            <w:pPr>
              <w:spacing w:line="300" w:lineRule="exact"/>
              <w:rPr>
                <w:rFonts w:ascii="宋体" w:hAnsi="宋体" w:eastAsia="仿宋_GB2312" w:cs="宋体"/>
                <w:sz w:val="24"/>
                <w:szCs w:val="24"/>
              </w:rPr>
            </w:pPr>
          </w:p>
        </w:tc>
      </w:tr>
      <w:tr w14:paraId="57BB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7DFBC24">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14:paraId="6630700C">
            <w:pPr>
              <w:spacing w:line="300" w:lineRule="exact"/>
              <w:rPr>
                <w:rFonts w:ascii="宋体" w:hAnsi="宋体" w:eastAsia="仿宋_GB2312" w:cs="宋体"/>
                <w:sz w:val="24"/>
                <w:szCs w:val="24"/>
                <w:lang w:val="en"/>
              </w:rPr>
            </w:pPr>
          </w:p>
        </w:tc>
        <w:tc>
          <w:tcPr>
            <w:tcW w:w="2861" w:type="dxa"/>
          </w:tcPr>
          <w:p w14:paraId="07F24AF4">
            <w:pPr>
              <w:spacing w:line="300" w:lineRule="exact"/>
              <w:rPr>
                <w:rFonts w:ascii="宋体" w:hAnsi="宋体" w:eastAsia="仿宋_GB2312" w:cs="宋体"/>
                <w:sz w:val="24"/>
                <w:szCs w:val="24"/>
                <w:lang w:val="en"/>
              </w:rPr>
            </w:pPr>
          </w:p>
        </w:tc>
        <w:tc>
          <w:tcPr>
            <w:tcW w:w="993" w:type="dxa"/>
          </w:tcPr>
          <w:p w14:paraId="093E9BC6">
            <w:pPr>
              <w:spacing w:line="300" w:lineRule="exact"/>
              <w:rPr>
                <w:rFonts w:ascii="宋体" w:hAnsi="宋体" w:eastAsia="仿宋_GB2312" w:cs="宋体"/>
                <w:sz w:val="24"/>
                <w:szCs w:val="24"/>
              </w:rPr>
            </w:pPr>
          </w:p>
        </w:tc>
      </w:tr>
      <w:tr w14:paraId="3D0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1D2A147">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14:paraId="67E6425E">
            <w:pPr>
              <w:spacing w:line="300" w:lineRule="exact"/>
              <w:rPr>
                <w:rFonts w:ascii="宋体" w:hAnsi="宋体" w:eastAsia="仿宋_GB2312" w:cs="宋体"/>
                <w:sz w:val="24"/>
                <w:szCs w:val="24"/>
                <w:lang w:val="en"/>
              </w:rPr>
            </w:pPr>
          </w:p>
        </w:tc>
        <w:tc>
          <w:tcPr>
            <w:tcW w:w="2861" w:type="dxa"/>
          </w:tcPr>
          <w:p w14:paraId="33DFBA16">
            <w:pPr>
              <w:spacing w:line="300" w:lineRule="exact"/>
              <w:rPr>
                <w:rFonts w:ascii="宋体" w:hAnsi="宋体" w:eastAsia="仿宋_GB2312" w:cs="宋体"/>
                <w:sz w:val="24"/>
                <w:szCs w:val="24"/>
                <w:lang w:val="en"/>
              </w:rPr>
            </w:pPr>
          </w:p>
        </w:tc>
        <w:tc>
          <w:tcPr>
            <w:tcW w:w="993" w:type="dxa"/>
          </w:tcPr>
          <w:p w14:paraId="5222A6D8">
            <w:pPr>
              <w:spacing w:line="300" w:lineRule="exact"/>
              <w:rPr>
                <w:rFonts w:ascii="宋体" w:hAnsi="宋体" w:eastAsia="仿宋_GB2312" w:cs="宋体"/>
                <w:sz w:val="24"/>
                <w:szCs w:val="24"/>
              </w:rPr>
            </w:pPr>
          </w:p>
        </w:tc>
      </w:tr>
      <w:tr w14:paraId="720F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81B84BF">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14:paraId="7A742015">
            <w:pPr>
              <w:spacing w:line="300" w:lineRule="exact"/>
              <w:rPr>
                <w:rFonts w:ascii="宋体" w:hAnsi="宋体" w:eastAsia="仿宋_GB2312" w:cs="宋体"/>
                <w:sz w:val="24"/>
                <w:szCs w:val="24"/>
                <w:lang w:val="en"/>
              </w:rPr>
            </w:pPr>
          </w:p>
        </w:tc>
        <w:tc>
          <w:tcPr>
            <w:tcW w:w="2861" w:type="dxa"/>
          </w:tcPr>
          <w:p w14:paraId="4FB63560">
            <w:pPr>
              <w:spacing w:line="300" w:lineRule="exact"/>
              <w:rPr>
                <w:rFonts w:ascii="宋体" w:hAnsi="宋体" w:eastAsia="仿宋_GB2312" w:cs="宋体"/>
                <w:sz w:val="24"/>
                <w:szCs w:val="24"/>
                <w:lang w:val="en"/>
              </w:rPr>
            </w:pPr>
          </w:p>
        </w:tc>
        <w:tc>
          <w:tcPr>
            <w:tcW w:w="993" w:type="dxa"/>
          </w:tcPr>
          <w:p w14:paraId="4D45FA74">
            <w:pPr>
              <w:spacing w:line="300" w:lineRule="exact"/>
              <w:rPr>
                <w:rFonts w:ascii="宋体" w:hAnsi="宋体" w:eastAsia="仿宋_GB2312" w:cs="宋体"/>
                <w:sz w:val="24"/>
                <w:szCs w:val="24"/>
              </w:rPr>
            </w:pPr>
          </w:p>
        </w:tc>
      </w:tr>
      <w:tr w14:paraId="7C4B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EA8E2DD">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14:paraId="3651AF9E">
            <w:pPr>
              <w:spacing w:line="300" w:lineRule="exact"/>
              <w:rPr>
                <w:rFonts w:ascii="宋体" w:hAnsi="宋体" w:eastAsia="仿宋_GB2312" w:cs="宋体"/>
                <w:sz w:val="24"/>
                <w:szCs w:val="24"/>
                <w:lang w:val="en"/>
              </w:rPr>
            </w:pPr>
          </w:p>
        </w:tc>
        <w:tc>
          <w:tcPr>
            <w:tcW w:w="2861" w:type="dxa"/>
          </w:tcPr>
          <w:p w14:paraId="341BD958">
            <w:pPr>
              <w:spacing w:line="300" w:lineRule="exact"/>
              <w:rPr>
                <w:rFonts w:ascii="宋体" w:hAnsi="宋体" w:eastAsia="仿宋_GB2312" w:cs="宋体"/>
                <w:sz w:val="24"/>
                <w:szCs w:val="24"/>
                <w:lang w:val="en"/>
              </w:rPr>
            </w:pPr>
          </w:p>
        </w:tc>
        <w:tc>
          <w:tcPr>
            <w:tcW w:w="993" w:type="dxa"/>
          </w:tcPr>
          <w:p w14:paraId="614A862E">
            <w:pPr>
              <w:spacing w:line="300" w:lineRule="exact"/>
              <w:rPr>
                <w:rFonts w:ascii="宋体" w:hAnsi="宋体" w:eastAsia="仿宋_GB2312" w:cs="宋体"/>
                <w:sz w:val="24"/>
                <w:szCs w:val="24"/>
              </w:rPr>
            </w:pPr>
          </w:p>
        </w:tc>
      </w:tr>
      <w:tr w14:paraId="2A43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5C3E167">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14:paraId="4D0A9488">
            <w:pPr>
              <w:spacing w:line="300" w:lineRule="exact"/>
              <w:rPr>
                <w:rFonts w:ascii="宋体" w:hAnsi="宋体" w:eastAsia="仿宋_GB2312" w:cs="宋体"/>
                <w:sz w:val="24"/>
                <w:szCs w:val="24"/>
                <w:lang w:val="en"/>
              </w:rPr>
            </w:pPr>
          </w:p>
        </w:tc>
        <w:tc>
          <w:tcPr>
            <w:tcW w:w="2861" w:type="dxa"/>
          </w:tcPr>
          <w:p w14:paraId="369E21FD">
            <w:pPr>
              <w:spacing w:line="300" w:lineRule="exact"/>
              <w:rPr>
                <w:rFonts w:ascii="宋体" w:hAnsi="宋体" w:eastAsia="仿宋_GB2312" w:cs="宋体"/>
                <w:sz w:val="24"/>
                <w:szCs w:val="24"/>
                <w:lang w:val="en"/>
              </w:rPr>
            </w:pPr>
          </w:p>
        </w:tc>
        <w:tc>
          <w:tcPr>
            <w:tcW w:w="993" w:type="dxa"/>
          </w:tcPr>
          <w:p w14:paraId="5EAB28E0">
            <w:pPr>
              <w:spacing w:line="300" w:lineRule="exact"/>
              <w:rPr>
                <w:rFonts w:ascii="宋体" w:hAnsi="宋体" w:eastAsia="仿宋_GB2312" w:cs="宋体"/>
                <w:sz w:val="24"/>
                <w:szCs w:val="24"/>
              </w:rPr>
            </w:pPr>
          </w:p>
        </w:tc>
      </w:tr>
      <w:tr w14:paraId="3799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270B248">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14:paraId="6A2CD792">
            <w:pPr>
              <w:spacing w:line="300" w:lineRule="exact"/>
              <w:rPr>
                <w:rFonts w:ascii="宋体" w:hAnsi="宋体" w:eastAsia="仿宋_GB2312" w:cs="宋体"/>
                <w:sz w:val="24"/>
                <w:szCs w:val="24"/>
                <w:lang w:val="en"/>
              </w:rPr>
            </w:pPr>
          </w:p>
        </w:tc>
        <w:tc>
          <w:tcPr>
            <w:tcW w:w="2861" w:type="dxa"/>
          </w:tcPr>
          <w:p w14:paraId="78EB0D97">
            <w:pPr>
              <w:spacing w:line="300" w:lineRule="exact"/>
              <w:rPr>
                <w:rFonts w:ascii="宋体" w:hAnsi="宋体" w:eastAsia="仿宋_GB2312" w:cs="宋体"/>
                <w:sz w:val="24"/>
                <w:szCs w:val="24"/>
                <w:lang w:val="en"/>
              </w:rPr>
            </w:pPr>
          </w:p>
        </w:tc>
        <w:tc>
          <w:tcPr>
            <w:tcW w:w="993" w:type="dxa"/>
          </w:tcPr>
          <w:p w14:paraId="2CBF9BD1">
            <w:pPr>
              <w:spacing w:line="300" w:lineRule="exact"/>
              <w:rPr>
                <w:rFonts w:ascii="宋体" w:hAnsi="宋体" w:eastAsia="仿宋_GB2312" w:cs="宋体"/>
                <w:sz w:val="24"/>
                <w:szCs w:val="24"/>
              </w:rPr>
            </w:pPr>
          </w:p>
        </w:tc>
      </w:tr>
    </w:tbl>
    <w:p w14:paraId="6AFE5A03">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备注：1.项目资金末端分配点位包括本部门、部门下属单位及一次性单位等。</w:t>
      </w:r>
    </w:p>
    <w:p w14:paraId="2EFB58DE">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14:paraId="39925531">
      <w:pPr>
        <w:pStyle w:val="2"/>
        <w:ind w:left="0" w:leftChars="0" w:firstLine="0" w:firstLineChars="0"/>
        <w:rPr>
          <w:rFonts w:hint="eastAsia"/>
          <w:lang w:eastAsia="zh-CN"/>
        </w:rPr>
      </w:pPr>
    </w:p>
    <w:p w14:paraId="724A18CF">
      <w:pPr>
        <w:pStyle w:val="2"/>
        <w:ind w:left="0" w:leftChars="0" w:firstLine="0" w:firstLineChars="0"/>
        <w:rPr>
          <w:rFonts w:hint="eastAsia"/>
          <w:lang w:eastAsia="zh-CN"/>
        </w:rPr>
      </w:pPr>
    </w:p>
    <w:p w14:paraId="54DCF709">
      <w:pPr>
        <w:pStyle w:val="2"/>
        <w:ind w:left="0" w:leftChars="0" w:firstLine="0" w:firstLineChars="0"/>
        <w:rPr>
          <w:rFonts w:hint="eastAsia"/>
          <w:lang w:eastAsia="zh-CN"/>
        </w:rPr>
      </w:pPr>
    </w:p>
    <w:p w14:paraId="159418C2">
      <w:pPr>
        <w:pStyle w:val="2"/>
        <w:ind w:left="0" w:leftChars="0" w:firstLine="0" w:firstLineChars="0"/>
        <w:rPr>
          <w:rFonts w:hint="eastAsia"/>
          <w:lang w:eastAsia="zh-CN"/>
        </w:rPr>
      </w:pPr>
    </w:p>
    <w:p w14:paraId="7CEE5A67">
      <w:pPr>
        <w:pStyle w:val="2"/>
        <w:ind w:left="0" w:leftChars="0" w:firstLine="0" w:firstLineChars="0"/>
        <w:rPr>
          <w:rFonts w:hint="eastAsia"/>
          <w:lang w:eastAsia="zh-CN"/>
        </w:rPr>
      </w:pPr>
    </w:p>
    <w:p w14:paraId="5A5ED5CA">
      <w:pPr>
        <w:pStyle w:val="2"/>
        <w:ind w:left="0" w:leftChars="0" w:firstLine="0" w:firstLineChars="0"/>
        <w:rPr>
          <w:rFonts w:hint="eastAsia"/>
          <w:lang w:eastAsia="zh-CN"/>
        </w:rPr>
      </w:pPr>
    </w:p>
    <w:p w14:paraId="74961B0B">
      <w:pPr>
        <w:pStyle w:val="2"/>
        <w:ind w:left="0" w:leftChars="0" w:firstLine="0" w:firstLineChars="0"/>
        <w:rPr>
          <w:rFonts w:hint="eastAsia"/>
          <w:lang w:eastAsia="zh-CN"/>
        </w:rPr>
      </w:pPr>
    </w:p>
    <w:p w14:paraId="7FA432EB">
      <w:pPr>
        <w:pStyle w:val="2"/>
        <w:ind w:left="0" w:leftChars="0" w:firstLine="0" w:firstLineChars="0"/>
        <w:rPr>
          <w:rFonts w:hint="eastAsia"/>
          <w:lang w:eastAsia="zh-CN"/>
        </w:rPr>
      </w:pPr>
    </w:p>
    <w:p w14:paraId="583FD62A">
      <w:pPr>
        <w:pStyle w:val="2"/>
        <w:ind w:left="0" w:leftChars="0" w:firstLine="0" w:firstLineChars="0"/>
        <w:rPr>
          <w:rFonts w:hint="eastAsia"/>
          <w:lang w:eastAsia="zh-CN"/>
        </w:rPr>
      </w:pPr>
    </w:p>
    <w:p w14:paraId="58CDD6A6">
      <w:pPr>
        <w:pStyle w:val="2"/>
        <w:ind w:left="0" w:leftChars="0" w:firstLine="0" w:firstLineChars="0"/>
        <w:rPr>
          <w:rFonts w:hint="eastAsia"/>
          <w:lang w:eastAsia="zh-CN"/>
        </w:rPr>
      </w:pPr>
    </w:p>
    <w:p w14:paraId="06AE2A0B">
      <w:pPr>
        <w:pStyle w:val="2"/>
        <w:ind w:left="0" w:leftChars="0" w:firstLine="0" w:firstLineChars="0"/>
        <w:rPr>
          <w:rFonts w:hint="eastAsia"/>
          <w:lang w:eastAsia="zh-CN"/>
        </w:rPr>
      </w:pPr>
    </w:p>
    <w:p w14:paraId="4F5B895A">
      <w:pPr>
        <w:pStyle w:val="2"/>
        <w:ind w:left="0" w:leftChars="0" w:firstLine="0" w:firstLineChars="0"/>
        <w:rPr>
          <w:rFonts w:eastAsia="仿宋_GB2312"/>
          <w:sz w:val="32"/>
          <w:szCs w:val="24"/>
        </w:rPr>
      </w:pPr>
      <w:r>
        <w:rPr>
          <w:rFonts w:hint="eastAsia" w:eastAsia="仿宋_GB2312"/>
          <w:sz w:val="32"/>
          <w:szCs w:val="24"/>
        </w:rPr>
        <w:br w:type="page"/>
      </w:r>
    </w:p>
    <w:tbl>
      <w:tblPr>
        <w:tblStyle w:val="23"/>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0"/>
        <w:gridCol w:w="956"/>
        <w:gridCol w:w="1153"/>
        <w:gridCol w:w="396"/>
        <w:gridCol w:w="802"/>
        <w:gridCol w:w="396"/>
        <w:gridCol w:w="846"/>
        <w:gridCol w:w="486"/>
        <w:gridCol w:w="396"/>
        <w:gridCol w:w="1303"/>
      </w:tblGrid>
      <w:tr w14:paraId="7FBB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E1F4E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3B8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63E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6E0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51322323T000009556229-茂县数字农业服务平台扩建</w:t>
            </w:r>
          </w:p>
        </w:tc>
      </w:tr>
      <w:tr w14:paraId="20BE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D5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EB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643" w:type="dxa"/>
            <w:tcBorders>
              <w:top w:val="nil"/>
              <w:left w:val="nil"/>
              <w:bottom w:val="nil"/>
              <w:right w:val="nil"/>
            </w:tcBorders>
            <w:shd w:val="clear" w:color="auto" w:fill="auto"/>
            <w:vAlign w:val="center"/>
          </w:tcPr>
          <w:p w14:paraId="3EC71C6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64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67C1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4F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0C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8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0121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30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6898">
            <w:pP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3697">
            <w:pPr>
              <w:rPr>
                <w:rFonts w:hint="eastAsia" w:ascii="宋体" w:hAnsi="宋体" w:eastAsia="宋体" w:cs="宋体"/>
                <w:i w:val="0"/>
                <w:iCs w:val="0"/>
                <w:color w:val="000000"/>
                <w:sz w:val="18"/>
                <w:szCs w:val="18"/>
                <w:u w:val="none"/>
              </w:rPr>
            </w:pPr>
          </w:p>
        </w:tc>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B2E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完成茂县数字农业的基本要求在（渭门、黑虎、叠溪、沟口、土门、富顺、沙坝、洼底）等符合安装条件的镇，每个镇选择1-2个合适的基地、种植大户、致富带头人的土地等进行项目实施。</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FD7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根据年度目标任务，共计建立了14个溯源基地，覆盖了茂县7个镇。</w:t>
            </w:r>
          </w:p>
        </w:tc>
      </w:tr>
      <w:tr w14:paraId="3087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3F66">
            <w:pP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66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A5AF6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在茂县（渭门、黑虎、叠溪、沟口、土门、富顺、沙坝、洼底）等8个镇，每个镇选择两个合适的基地进行项目实施。</w:t>
            </w:r>
          </w:p>
          <w:p w14:paraId="1BB0E9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其中包括气象站、摄像头、无线手持终端、大屏升级、网络基建等。</w:t>
            </w:r>
          </w:p>
        </w:tc>
      </w:tr>
      <w:tr w14:paraId="289B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CE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A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D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F4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A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A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A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CA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5F14">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B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B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142.58</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E3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142.58</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8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65EB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81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07CC">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B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3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2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142.58</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B3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142.58</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E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504C">
            <w:pPr>
              <w:rPr>
                <w:rFonts w:hint="eastAsia" w:ascii="黑体" w:hAnsi="黑体" w:eastAsia="黑体" w:cs="黑体"/>
                <w:i/>
                <w:iCs/>
                <w:color w:val="000000"/>
                <w:sz w:val="18"/>
                <w:szCs w:val="18"/>
                <w:u w:val="none"/>
              </w:rPr>
            </w:pPr>
          </w:p>
        </w:tc>
      </w:tr>
      <w:tr w14:paraId="3374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5529">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3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5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6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C9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7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E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F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D44A">
            <w:pPr>
              <w:rPr>
                <w:rFonts w:hint="eastAsia" w:ascii="黑体" w:hAnsi="黑体" w:eastAsia="黑体" w:cs="黑体"/>
                <w:i/>
                <w:iCs/>
                <w:color w:val="000000"/>
                <w:sz w:val="18"/>
                <w:szCs w:val="18"/>
                <w:u w:val="none"/>
              </w:rPr>
            </w:pPr>
          </w:p>
        </w:tc>
      </w:tr>
      <w:tr w14:paraId="69EC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AC4F">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5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E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7E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7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38CD">
            <w:pPr>
              <w:rPr>
                <w:rFonts w:hint="eastAsia" w:ascii="黑体" w:hAnsi="黑体" w:eastAsia="黑体" w:cs="黑体"/>
                <w:i/>
                <w:iCs/>
                <w:color w:val="000000"/>
                <w:sz w:val="18"/>
                <w:szCs w:val="18"/>
                <w:u w:val="none"/>
              </w:rPr>
            </w:pPr>
          </w:p>
        </w:tc>
      </w:tr>
      <w:tr w14:paraId="1242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03CA">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D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56BF">
            <w:pPr>
              <w:jc w:val="center"/>
              <w:rPr>
                <w:rFonts w:hint="eastAsia" w:ascii="微软雅黑" w:hAnsi="微软雅黑" w:eastAsia="微软雅黑" w:cs="微软雅黑"/>
                <w:i/>
                <w:iCs/>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47D7">
            <w:pPr>
              <w:jc w:val="center"/>
              <w:rPr>
                <w:rFonts w:hint="eastAsia" w:ascii="微软雅黑" w:hAnsi="微软雅黑" w:eastAsia="微软雅黑" w:cs="微软雅黑"/>
                <w:i/>
                <w:iCs/>
                <w:color w:val="000000"/>
                <w:sz w:val="16"/>
                <w:szCs w:val="16"/>
                <w:u w:val="none"/>
              </w:rPr>
            </w:pPr>
          </w:p>
        </w:tc>
        <w:tc>
          <w:tcPr>
            <w:tcW w:w="1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5754D">
            <w:pPr>
              <w:jc w:val="center"/>
              <w:rPr>
                <w:rFonts w:hint="eastAsia" w:ascii="微软雅黑" w:hAnsi="微软雅黑" w:eastAsia="微软雅黑" w:cs="微软雅黑"/>
                <w:i/>
                <w:iCs/>
                <w:color w:val="000000"/>
                <w:sz w:val="16"/>
                <w:szCs w:val="16"/>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C2D5">
            <w:pPr>
              <w:jc w:val="center"/>
              <w:rPr>
                <w:rFonts w:hint="eastAsia" w:ascii="微软雅黑" w:hAnsi="微软雅黑" w:eastAsia="微软雅黑" w:cs="微软雅黑"/>
                <w:i/>
                <w:iCs/>
                <w:color w:val="000000"/>
                <w:sz w:val="16"/>
                <w:szCs w:val="16"/>
                <w:u w:val="none"/>
              </w:rPr>
            </w:pP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1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2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3485">
            <w:pPr>
              <w:rPr>
                <w:rFonts w:hint="eastAsia" w:ascii="黑体" w:hAnsi="黑体" w:eastAsia="黑体" w:cs="黑体"/>
                <w:i/>
                <w:iCs/>
                <w:color w:val="000000"/>
                <w:sz w:val="18"/>
                <w:szCs w:val="18"/>
                <w:u w:val="none"/>
              </w:rPr>
            </w:pPr>
          </w:p>
        </w:tc>
      </w:tr>
      <w:tr w14:paraId="0214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58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1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F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9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7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6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8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32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8E82">
            <w:pPr>
              <w:jc w:val="center"/>
              <w:rPr>
                <w:rFonts w:hint="eastAsia" w:ascii="宋体" w:hAnsi="宋体" w:eastAsia="宋体" w:cs="宋体"/>
                <w:i w:val="0"/>
                <w:iCs w:val="0"/>
                <w:color w:val="000000"/>
                <w:sz w:val="18"/>
                <w:szCs w:val="18"/>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B1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EE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3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平台运维</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5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6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DB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B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CC82">
            <w:pPr>
              <w:jc w:val="center"/>
              <w:rPr>
                <w:rFonts w:hint="eastAsia" w:ascii="微软雅黑" w:hAnsi="微软雅黑" w:eastAsia="微软雅黑" w:cs="微软雅黑"/>
                <w:i/>
                <w:iCs/>
                <w:color w:val="000000"/>
                <w:sz w:val="16"/>
                <w:szCs w:val="16"/>
                <w:u w:val="none"/>
              </w:rPr>
            </w:pPr>
          </w:p>
        </w:tc>
      </w:tr>
      <w:tr w14:paraId="227B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14C0">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716A">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8E93">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0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农资服务模块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9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E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B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62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C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0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0990">
            <w:pPr>
              <w:jc w:val="center"/>
              <w:rPr>
                <w:rFonts w:hint="eastAsia" w:ascii="微软雅黑" w:hAnsi="微软雅黑" w:eastAsia="微软雅黑" w:cs="微软雅黑"/>
                <w:i/>
                <w:iCs/>
                <w:color w:val="000000"/>
                <w:sz w:val="16"/>
                <w:szCs w:val="16"/>
                <w:u w:val="none"/>
              </w:rPr>
            </w:pPr>
          </w:p>
        </w:tc>
      </w:tr>
      <w:tr w14:paraId="4163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D42A">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99AD">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C4B7">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1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地感遥感数据模块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1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6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6A3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7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8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849">
            <w:pPr>
              <w:jc w:val="center"/>
              <w:rPr>
                <w:rFonts w:hint="eastAsia" w:ascii="微软雅黑" w:hAnsi="微软雅黑" w:eastAsia="微软雅黑" w:cs="微软雅黑"/>
                <w:i/>
                <w:iCs/>
                <w:color w:val="000000"/>
                <w:sz w:val="16"/>
                <w:szCs w:val="16"/>
                <w:u w:val="none"/>
              </w:rPr>
            </w:pPr>
          </w:p>
        </w:tc>
      </w:tr>
      <w:tr w14:paraId="5FA3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C5B0">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11A3">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422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1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区块链溯源模块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E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D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B7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C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C68">
            <w:pPr>
              <w:jc w:val="center"/>
              <w:rPr>
                <w:rFonts w:hint="eastAsia" w:ascii="微软雅黑" w:hAnsi="微软雅黑" w:eastAsia="微软雅黑" w:cs="微软雅黑"/>
                <w:i/>
                <w:iCs/>
                <w:color w:val="000000"/>
                <w:sz w:val="16"/>
                <w:szCs w:val="16"/>
                <w:u w:val="none"/>
              </w:rPr>
            </w:pPr>
          </w:p>
        </w:tc>
      </w:tr>
      <w:tr w14:paraId="42EC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01289">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0C0C">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EA0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太阳能熊猫风吸杀虫灯</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C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9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5C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B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9F8">
            <w:pPr>
              <w:jc w:val="center"/>
              <w:rPr>
                <w:rFonts w:hint="eastAsia" w:ascii="微软雅黑" w:hAnsi="微软雅黑" w:eastAsia="微软雅黑" w:cs="微软雅黑"/>
                <w:i/>
                <w:iCs/>
                <w:color w:val="000000"/>
                <w:sz w:val="16"/>
                <w:szCs w:val="16"/>
                <w:u w:val="none"/>
              </w:rPr>
            </w:pPr>
          </w:p>
        </w:tc>
      </w:tr>
      <w:tr w14:paraId="7DE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F0A7">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D4FA">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23DE">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农产品电商模块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8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6A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2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9C88">
            <w:pPr>
              <w:jc w:val="center"/>
              <w:rPr>
                <w:rFonts w:hint="eastAsia" w:ascii="微软雅黑" w:hAnsi="微软雅黑" w:eastAsia="微软雅黑" w:cs="微软雅黑"/>
                <w:i/>
                <w:iCs/>
                <w:color w:val="000000"/>
                <w:sz w:val="16"/>
                <w:szCs w:val="16"/>
                <w:u w:val="none"/>
              </w:rPr>
            </w:pPr>
          </w:p>
        </w:tc>
      </w:tr>
      <w:tr w14:paraId="750C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E5E7">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E8D0">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BEBE">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6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移动app终端模块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5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3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E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C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7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A87A">
            <w:pPr>
              <w:jc w:val="center"/>
              <w:rPr>
                <w:rFonts w:hint="eastAsia" w:ascii="微软雅黑" w:hAnsi="微软雅黑" w:eastAsia="微软雅黑" w:cs="微软雅黑"/>
                <w:i/>
                <w:iCs/>
                <w:color w:val="000000"/>
                <w:sz w:val="16"/>
                <w:szCs w:val="16"/>
                <w:u w:val="none"/>
              </w:rPr>
            </w:pPr>
          </w:p>
        </w:tc>
      </w:tr>
      <w:tr w14:paraId="7DB3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38BE">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21CD">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6598">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F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远程昆虫性诱测报仪</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5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9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7A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4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D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AC2">
            <w:pPr>
              <w:jc w:val="center"/>
              <w:rPr>
                <w:rFonts w:hint="eastAsia" w:ascii="微软雅黑" w:hAnsi="微软雅黑" w:eastAsia="微软雅黑" w:cs="微软雅黑"/>
                <w:i/>
                <w:iCs/>
                <w:color w:val="000000"/>
                <w:sz w:val="16"/>
                <w:szCs w:val="16"/>
                <w:u w:val="none"/>
              </w:rPr>
            </w:pPr>
          </w:p>
        </w:tc>
      </w:tr>
      <w:tr w14:paraId="392E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8386">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DF9D">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2DCD">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E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土壤墒情监测站</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5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7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C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ED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7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6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6FE6">
            <w:pPr>
              <w:jc w:val="center"/>
              <w:rPr>
                <w:rFonts w:hint="eastAsia" w:ascii="微软雅黑" w:hAnsi="微软雅黑" w:eastAsia="微软雅黑" w:cs="微软雅黑"/>
                <w:i/>
                <w:iCs/>
                <w:color w:val="000000"/>
                <w:sz w:val="16"/>
                <w:szCs w:val="16"/>
                <w:u w:val="none"/>
              </w:rPr>
            </w:pPr>
          </w:p>
        </w:tc>
      </w:tr>
      <w:tr w14:paraId="6938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DE03">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600B">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60B7">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1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小型气象站</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D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A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0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29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D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EB0F">
            <w:pPr>
              <w:jc w:val="center"/>
              <w:rPr>
                <w:rFonts w:hint="eastAsia" w:ascii="微软雅黑" w:hAnsi="微软雅黑" w:eastAsia="微软雅黑" w:cs="微软雅黑"/>
                <w:i/>
                <w:iCs/>
                <w:color w:val="000000"/>
                <w:sz w:val="16"/>
                <w:szCs w:val="16"/>
                <w:u w:val="none"/>
              </w:rPr>
            </w:pPr>
          </w:p>
        </w:tc>
      </w:tr>
      <w:tr w14:paraId="0A2E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307B">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5140">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00B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1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农业大数据分析模块</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6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10D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3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76F1">
            <w:pPr>
              <w:jc w:val="center"/>
              <w:rPr>
                <w:rFonts w:hint="eastAsia" w:ascii="微软雅黑" w:hAnsi="微软雅黑" w:eastAsia="微软雅黑" w:cs="微软雅黑"/>
                <w:i/>
                <w:iCs/>
                <w:color w:val="000000"/>
                <w:sz w:val="16"/>
                <w:szCs w:val="16"/>
                <w:u w:val="none"/>
              </w:rPr>
            </w:pPr>
          </w:p>
        </w:tc>
      </w:tr>
      <w:tr w14:paraId="3ADF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D7C8">
            <w:pPr>
              <w:jc w:val="center"/>
              <w:rPr>
                <w:rFonts w:hint="eastAsia" w:ascii="宋体" w:hAnsi="宋体" w:eastAsia="宋体" w:cs="宋体"/>
                <w:i w:val="0"/>
                <w:iCs w:val="0"/>
                <w:color w:val="000000"/>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5849">
            <w:pPr>
              <w:jc w:val="center"/>
              <w:rPr>
                <w:rFonts w:hint="eastAsia" w:ascii="宋体" w:hAnsi="宋体" w:eastAsia="宋体" w:cs="宋体"/>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F904">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0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云资源</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7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3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4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10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4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EA66">
            <w:pPr>
              <w:jc w:val="center"/>
              <w:rPr>
                <w:rFonts w:hint="eastAsia" w:ascii="微软雅黑" w:hAnsi="微软雅黑" w:eastAsia="微软雅黑" w:cs="微软雅黑"/>
                <w:i/>
                <w:iCs/>
                <w:color w:val="000000"/>
                <w:sz w:val="16"/>
                <w:szCs w:val="16"/>
                <w:u w:val="none"/>
              </w:rPr>
            </w:pPr>
          </w:p>
        </w:tc>
      </w:tr>
      <w:tr w14:paraId="3A48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192B">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6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8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使用年限</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5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14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2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A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22F">
            <w:pPr>
              <w:jc w:val="center"/>
              <w:rPr>
                <w:rFonts w:hint="eastAsia" w:ascii="微软雅黑" w:hAnsi="微软雅黑" w:eastAsia="微软雅黑" w:cs="微软雅黑"/>
                <w:i/>
                <w:iCs/>
                <w:color w:val="000000"/>
                <w:sz w:val="16"/>
                <w:szCs w:val="16"/>
                <w:u w:val="none"/>
              </w:rPr>
            </w:pPr>
          </w:p>
        </w:tc>
      </w:tr>
      <w:tr w14:paraId="3058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B4E8F">
            <w:pPr>
              <w:jc w:val="center"/>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F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2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0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农户、收益群众对该项目的满意度</w:t>
            </w:r>
          </w:p>
        </w:tc>
        <w:tc>
          <w:tcPr>
            <w:tcW w:w="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5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1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0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23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1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EF8D">
            <w:pPr>
              <w:jc w:val="center"/>
              <w:rPr>
                <w:rFonts w:hint="eastAsia" w:ascii="微软雅黑" w:hAnsi="微软雅黑" w:eastAsia="微软雅黑" w:cs="微软雅黑"/>
                <w:i/>
                <w:iCs/>
                <w:color w:val="000000"/>
                <w:sz w:val="16"/>
                <w:szCs w:val="16"/>
                <w:u w:val="none"/>
              </w:rPr>
            </w:pPr>
          </w:p>
        </w:tc>
      </w:tr>
      <w:tr w14:paraId="0101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2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48C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4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68EC">
            <w:pPr>
              <w:rPr>
                <w:rFonts w:hint="eastAsia" w:ascii="宋体" w:hAnsi="宋体" w:eastAsia="宋体" w:cs="宋体"/>
                <w:i w:val="0"/>
                <w:iCs w:val="0"/>
                <w:color w:val="000000"/>
                <w:sz w:val="18"/>
                <w:szCs w:val="18"/>
                <w:u w:val="none"/>
              </w:rPr>
            </w:pPr>
          </w:p>
        </w:tc>
      </w:tr>
      <w:tr w14:paraId="7823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6D10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综合前述评估内容来看，该项目依据充分，绩效目标明确，具备实施条件，具有公共性，符合对口援建资金支持方向。予以支持，预算控制在150万元以内，该项目申请资金总预算150 万元。我单位将进一步加强运行监控，节约财政资金并提升资金效益，提升预算绩效管理水平。综合自评得分99分。</w:t>
            </w:r>
          </w:p>
        </w:tc>
      </w:tr>
      <w:tr w14:paraId="707B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F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8156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AF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2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2E8D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91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9A7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项目负责人：何福涛</w:t>
            </w:r>
          </w:p>
        </w:tc>
        <w:tc>
          <w:tcPr>
            <w:tcW w:w="40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978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bl>
    <w:p w14:paraId="12DFB07E">
      <w:pPr>
        <w:rPr>
          <w:lang w:val="zh-CN"/>
        </w:rPr>
      </w:pPr>
    </w:p>
    <w:p w14:paraId="22D3C31E">
      <w:pPr>
        <w:pStyle w:val="2"/>
        <w:rPr>
          <w:lang w:val="zh-CN"/>
        </w:rPr>
      </w:pPr>
    </w:p>
    <w:p w14:paraId="43EBCF55">
      <w:pPr>
        <w:rPr>
          <w:lang w:val="zh-CN"/>
        </w:rPr>
      </w:pPr>
    </w:p>
    <w:p w14:paraId="71961614">
      <w:pPr>
        <w:pStyle w:val="2"/>
        <w:rPr>
          <w:lang w:val="zh-CN"/>
        </w:rPr>
      </w:pPr>
    </w:p>
    <w:p w14:paraId="57DAFB07">
      <w:pPr>
        <w:rPr>
          <w:lang w:val="zh-CN"/>
        </w:rPr>
      </w:pPr>
    </w:p>
    <w:p w14:paraId="037ED6EC">
      <w:pPr>
        <w:pStyle w:val="2"/>
        <w:rPr>
          <w:lang w:val="zh-CN"/>
        </w:rPr>
      </w:pPr>
    </w:p>
    <w:p w14:paraId="65A8077C">
      <w:pPr>
        <w:rPr>
          <w:lang w:val="zh-CN"/>
        </w:rPr>
      </w:pPr>
    </w:p>
    <w:p w14:paraId="0E261F62">
      <w:pPr>
        <w:pStyle w:val="2"/>
        <w:rPr>
          <w:lang w:val="zh-CN"/>
        </w:rPr>
      </w:pPr>
    </w:p>
    <w:p w14:paraId="03CFB5EA">
      <w:pPr>
        <w:rPr>
          <w:lang w:val="zh-CN"/>
        </w:rPr>
      </w:pPr>
    </w:p>
    <w:p w14:paraId="31181626">
      <w:pPr>
        <w:pStyle w:val="2"/>
        <w:rPr>
          <w:lang w:val="zh-CN"/>
        </w:rPr>
      </w:pPr>
    </w:p>
    <w:p w14:paraId="7B29A74E">
      <w:pPr>
        <w:spacing w:line="600" w:lineRule="exact"/>
        <w:jc w:val="left"/>
        <w:outlineLvl w:val="0"/>
        <w:rPr>
          <w:rFonts w:hint="eastAsia" w:ascii="方正小标宋简体" w:hAnsi="方正小标宋简体" w:eastAsia="方正小标宋简体" w:cs="方正小标宋简体"/>
          <w:color w:val="auto"/>
          <w:kern w:val="2"/>
          <w:sz w:val="44"/>
          <w:szCs w:val="44"/>
          <w:lang w:val="en-US" w:eastAsia="zh-CN" w:bidi="ar-SA"/>
        </w:rPr>
      </w:pPr>
      <w:r>
        <w:rPr>
          <w:rFonts w:hint="eastAsia" w:ascii="黑体" w:hAnsi="黑体" w:eastAsia="黑体" w:cs="黑体"/>
          <w:color w:val="000000"/>
          <w:sz w:val="32"/>
          <w:szCs w:val="32"/>
          <w:lang w:val="en-US" w:eastAsia="zh-CN"/>
        </w:rPr>
        <w:t>附件5</w:t>
      </w:r>
    </w:p>
    <w:p w14:paraId="48D18D1F">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茂县供销合作社联合社</w:t>
      </w:r>
    </w:p>
    <w:p w14:paraId="3DE6B5A9">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2023年农资储备和价格补贴专项经费项目绩效评价报告</w:t>
      </w:r>
    </w:p>
    <w:p w14:paraId="395EACDC">
      <w:pPr>
        <w:widowControl w:val="0"/>
        <w:spacing w:line="578" w:lineRule="exact"/>
        <w:ind w:firstLine="640"/>
        <w:jc w:val="center"/>
        <w:rPr>
          <w:rFonts w:ascii="宋体" w:hAnsi="宋体" w:eastAsia="宋体" w:cs="Times New Roman"/>
          <w:color w:val="auto"/>
          <w:kern w:val="2"/>
          <w:sz w:val="32"/>
          <w:szCs w:val="32"/>
          <w:lang w:val="zh-CN" w:eastAsia="zh-CN" w:bidi="ar-SA"/>
        </w:rPr>
      </w:pPr>
    </w:p>
    <w:p w14:paraId="3E92D19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0376C9D">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14:paraId="6AD2251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kern w:val="0"/>
          <w:sz w:val="32"/>
          <w:szCs w:val="32"/>
          <w:shd w:val="clear" w:color="auto" w:fill="FFFFFF"/>
          <w:lang w:val="zh-CN" w:eastAsia="zh-CN" w:bidi="ar-SA"/>
        </w:rPr>
      </w:pPr>
      <w:r>
        <w:rPr>
          <w:rFonts w:hint="eastAsia" w:ascii="仿宋_GB2312" w:hAnsi="仿宋_GB2312" w:eastAsia="仿宋_GB2312" w:cs="仿宋_GB2312"/>
          <w:b w:val="0"/>
          <w:kern w:val="0"/>
          <w:sz w:val="32"/>
          <w:szCs w:val="32"/>
          <w:shd w:val="clear" w:color="auto" w:fill="FFFFFF"/>
          <w:lang w:val="zh-CN" w:eastAsia="zh-CN" w:bidi="ar-SA"/>
        </w:rPr>
        <w:t>根据《阿坝州财政局、阿坝州供销社关于下达2023年农资储备和价格补贴专项经费的通知》阿州财农〔2023〕28号文件精神，有效控制农资市场价格，切实保障我县农业生产需要，下达我社“2023年农资储备和价格补贴专项经费”共计36万元。</w:t>
      </w:r>
    </w:p>
    <w:p w14:paraId="28DEE131">
      <w:pPr>
        <w:keepNext w:val="0"/>
        <w:keepLines w:val="0"/>
        <w:pageBreakBefore w:val="0"/>
        <w:kinsoku/>
        <w:wordWrap/>
        <w:overflowPunct/>
        <w:topLinePunct w:val="0"/>
        <w:autoSpaceDE/>
        <w:autoSpaceDN/>
        <w:bidi w:val="0"/>
        <w:spacing w:line="576" w:lineRule="exact"/>
        <w:ind w:firstLine="645"/>
        <w:textAlignment w:val="auto"/>
        <w:rPr>
          <w:rFonts w:ascii="楷体_GB2312" w:hAnsi="宋体" w:eastAsia="楷体_GB2312"/>
          <w:b/>
          <w:sz w:val="32"/>
          <w:szCs w:val="32"/>
        </w:rPr>
      </w:pPr>
      <w:r>
        <w:rPr>
          <w:rFonts w:hint="eastAsia" w:ascii="楷体_GB2312" w:hAnsi="宋体" w:eastAsia="楷体_GB2312"/>
          <w:b/>
          <w:sz w:val="32"/>
          <w:szCs w:val="32"/>
          <w:lang w:val="zh-CN"/>
        </w:rPr>
        <w:t>（二）</w:t>
      </w:r>
      <w:r>
        <w:rPr>
          <w:rFonts w:ascii="楷体_GB2312" w:hAnsi="宋体" w:eastAsia="楷体_GB2312"/>
          <w:b/>
          <w:sz w:val="32"/>
          <w:szCs w:val="32"/>
        </w:rPr>
        <w:t>实施目的及支持方向</w:t>
      </w:r>
    </w:p>
    <w:p w14:paraId="4F10C6C5">
      <w:pPr>
        <w:keepNext w:val="0"/>
        <w:keepLines w:val="0"/>
        <w:pageBreakBefore w:val="0"/>
        <w:kinsoku/>
        <w:wordWrap/>
        <w:overflowPunct/>
        <w:topLinePunct w:val="0"/>
        <w:autoSpaceDE/>
        <w:autoSpaceDN/>
        <w:bidi w:val="0"/>
        <w:spacing w:line="576" w:lineRule="exact"/>
        <w:ind w:firstLine="645"/>
        <w:textAlignment w:val="auto"/>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为有效控制农资市场价格，切实保障全州农业生产需要，促进农民增产增收，引导广大农民群众使用配方肥和有机肥，降低土地面源污染，推动我州绿色、生态农业发展。</w:t>
      </w:r>
    </w:p>
    <w:p w14:paraId="0323CB8D">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楷体_GB2312" w:hAnsi="宋体" w:eastAsia="楷体_GB2312"/>
          <w:b/>
          <w:sz w:val="32"/>
          <w:szCs w:val="32"/>
        </w:rPr>
      </w:pPr>
      <w:r>
        <w:rPr>
          <w:rFonts w:hint="eastAsia" w:ascii="楷体_GB2312" w:hAnsi="宋体" w:eastAsia="楷体_GB2312"/>
          <w:b/>
          <w:sz w:val="32"/>
          <w:szCs w:val="32"/>
          <w:lang w:val="zh-CN"/>
        </w:rPr>
        <w:t>（三）</w:t>
      </w:r>
      <w:r>
        <w:rPr>
          <w:rFonts w:ascii="楷体_GB2312" w:hAnsi="宋体" w:eastAsia="楷体_GB2312"/>
          <w:b/>
          <w:sz w:val="32"/>
          <w:szCs w:val="32"/>
        </w:rPr>
        <w:t>预算安排及分配管理</w:t>
      </w:r>
    </w:p>
    <w:p w14:paraId="385C881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val="0"/>
          <w:kern w:val="0"/>
          <w:sz w:val="32"/>
          <w:szCs w:val="32"/>
          <w:shd w:val="clear" w:color="auto" w:fill="FFFFFF"/>
          <w:lang w:val="en-US" w:eastAsia="zh-CN" w:bidi="ar-SA"/>
        </w:rPr>
        <w:t>预算安排资金：</w:t>
      </w:r>
      <w:r>
        <w:rPr>
          <w:rFonts w:hint="eastAsia" w:ascii="仿宋_GB2312" w:hAnsi="仿宋_GB2312" w:eastAsia="仿宋_GB2312" w:cs="仿宋_GB2312"/>
          <w:b w:val="0"/>
          <w:kern w:val="0"/>
          <w:sz w:val="32"/>
          <w:szCs w:val="32"/>
          <w:shd w:val="clear" w:color="auto" w:fill="FFFFFF"/>
          <w:lang w:val="zh-CN" w:eastAsia="zh-CN" w:bidi="ar-SA"/>
        </w:rPr>
        <w:t>36万元，</w:t>
      </w:r>
      <w:r>
        <w:rPr>
          <w:rFonts w:hint="eastAsia" w:ascii="仿宋_GB2312" w:hAnsi="仿宋_GB2312" w:eastAsia="仿宋_GB2312" w:cs="仿宋_GB2312"/>
          <w:b w:val="0"/>
          <w:kern w:val="0"/>
          <w:sz w:val="32"/>
          <w:szCs w:val="32"/>
          <w:shd w:val="clear" w:color="auto" w:fill="FFFFFF"/>
          <w:lang w:val="en-US" w:eastAsia="zh-CN" w:bidi="ar-SA"/>
        </w:rPr>
        <w:t>其中：</w:t>
      </w:r>
      <w:r>
        <w:rPr>
          <w:rFonts w:hint="eastAsia" w:ascii="仿宋_GB2312" w:hAnsi="仿宋_GB2312" w:eastAsia="仿宋_GB2312" w:cs="仿宋_GB2312"/>
          <w:b w:val="0"/>
          <w:kern w:val="0"/>
          <w:sz w:val="32"/>
          <w:szCs w:val="32"/>
          <w:shd w:val="clear" w:color="auto" w:fill="FFFFFF"/>
          <w:lang w:val="zh-CN" w:eastAsia="zh-CN" w:bidi="ar-SA"/>
        </w:rPr>
        <w:t>价格补贴资金28万</w:t>
      </w:r>
      <w:r>
        <w:rPr>
          <w:rFonts w:hint="eastAsia" w:ascii="仿宋_GB2312" w:hAnsi="仿宋_GB2312" w:eastAsia="仿宋_GB2312" w:cs="仿宋_GB2312"/>
          <w:b w:val="0"/>
          <w:kern w:val="0"/>
          <w:sz w:val="32"/>
          <w:szCs w:val="32"/>
          <w:shd w:val="clear" w:color="auto" w:fill="FFFFFF"/>
          <w:lang w:val="en-US" w:eastAsia="zh-CN" w:bidi="ar-SA"/>
        </w:rPr>
        <w:t>元</w:t>
      </w:r>
      <w:r>
        <w:rPr>
          <w:rFonts w:hint="eastAsia" w:ascii="仿宋_GB2312" w:hAnsi="仿宋_GB2312" w:eastAsia="仿宋_GB2312" w:cs="仿宋_GB2312"/>
          <w:b w:val="0"/>
          <w:kern w:val="0"/>
          <w:sz w:val="32"/>
          <w:szCs w:val="32"/>
          <w:shd w:val="clear" w:color="auto" w:fill="FFFFFF"/>
          <w:lang w:val="zh-CN" w:eastAsia="zh-CN" w:bidi="ar-SA"/>
        </w:rPr>
        <w:t>，储备补贴资金8万</w:t>
      </w:r>
      <w:r>
        <w:rPr>
          <w:rFonts w:hint="eastAsia" w:ascii="仿宋_GB2312" w:hAnsi="仿宋_GB2312" w:eastAsia="仿宋_GB2312" w:cs="仿宋_GB2312"/>
          <w:b w:val="0"/>
          <w:kern w:val="0"/>
          <w:sz w:val="32"/>
          <w:szCs w:val="32"/>
          <w:shd w:val="clear" w:color="auto" w:fill="FFFFFF"/>
          <w:lang w:val="en-US" w:eastAsia="zh-CN" w:bidi="ar-SA"/>
        </w:rPr>
        <w:t>元</w:t>
      </w:r>
      <w:r>
        <w:rPr>
          <w:rFonts w:hint="eastAsia" w:ascii="仿宋_GB2312" w:hAnsi="仿宋_GB2312" w:eastAsia="仿宋_GB2312" w:cs="仿宋_GB2312"/>
          <w:b w:val="0"/>
          <w:kern w:val="0"/>
          <w:sz w:val="32"/>
          <w:szCs w:val="32"/>
          <w:shd w:val="clear" w:color="auto" w:fill="FFFFFF"/>
          <w:lang w:val="zh-CN" w:eastAsia="zh-CN" w:bidi="ar-SA"/>
        </w:rPr>
        <w:t>。</w:t>
      </w:r>
    </w:p>
    <w:p w14:paraId="2484F6BD">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（四）项目绩效目标设置</w:t>
      </w:r>
    </w:p>
    <w:p w14:paraId="09A0D1A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lang w:val="en-US" w:eastAsia="zh-CN"/>
        </w:rPr>
      </w:pPr>
      <w:r>
        <w:rPr>
          <w:rFonts w:hint="eastAsia" w:ascii="仿宋_GB2312" w:hAnsi="仿宋_GB2312" w:eastAsia="仿宋_GB2312" w:cs="仿宋_GB2312"/>
          <w:kern w:val="0"/>
          <w:sz w:val="32"/>
          <w:szCs w:val="32"/>
          <w:shd w:val="clear" w:color="auto" w:fill="FFFFFF"/>
          <w:lang w:val="zh-CN"/>
        </w:rPr>
        <w:t>茂县供销合作社联合社于</w:t>
      </w:r>
      <w:r>
        <w:rPr>
          <w:rFonts w:hint="eastAsia" w:ascii="仿宋_GB2312" w:hAnsi="仿宋_GB2312" w:eastAsia="仿宋_GB2312" w:cs="仿宋_GB2312"/>
          <w:kern w:val="2"/>
          <w:sz w:val="32"/>
          <w:szCs w:val="32"/>
          <w:u w:val="none"/>
          <w:lang w:val="en-US" w:eastAsia="zh-CN"/>
        </w:rPr>
        <w:t>2023年6月27日完成了事前绩效评估。绩效目标设置如下：</w:t>
      </w:r>
    </w:p>
    <w:p w14:paraId="581E0CE9">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茂县供销合作社联合社</w:t>
      </w:r>
    </w:p>
    <w:p w14:paraId="144585B9">
      <w:pPr>
        <w:keepNext w:val="0"/>
        <w:keepLines w:val="0"/>
        <w:pageBreakBefore w:val="0"/>
        <w:kinsoku/>
        <w:wordWrap/>
        <w:overflowPunct/>
        <w:topLinePunct w:val="0"/>
        <w:autoSpaceDE/>
        <w:autoSpaceDN/>
        <w:bidi w:val="0"/>
        <w:adjustRightInd w:val="0"/>
        <w:snapToGrid w:val="0"/>
        <w:spacing w:line="576" w:lineRule="exact"/>
        <w:ind w:firstLine="600" w:firstLineChars="200"/>
        <w:jc w:val="center"/>
        <w:textAlignment w:val="auto"/>
        <w:rPr>
          <w:rFonts w:hint="eastAsia" w:ascii="仿宋_GB2312" w:hAnsi="仿宋_GB2312" w:eastAsia="仿宋_GB2312" w:cs="仿宋_GB2312"/>
          <w:kern w:val="0"/>
          <w:sz w:val="30"/>
          <w:szCs w:val="30"/>
          <w:shd w:val="clear" w:color="auto" w:fill="FFFFFF"/>
          <w:lang w:val="zh-CN"/>
        </w:rPr>
      </w:pPr>
      <w:r>
        <w:rPr>
          <w:rFonts w:hint="eastAsia" w:ascii="仿宋_GB2312" w:hAnsi="仿宋_GB2312" w:eastAsia="仿宋_GB2312" w:cs="仿宋_GB2312"/>
          <w:kern w:val="0"/>
          <w:sz w:val="30"/>
          <w:szCs w:val="30"/>
          <w:shd w:val="clear" w:color="auto" w:fill="FFFFFF"/>
          <w:lang w:val="en-US" w:eastAsia="zh-CN"/>
        </w:rPr>
        <w:t>2023年农资储备和价格补贴专项经费</w:t>
      </w:r>
      <w:r>
        <w:rPr>
          <w:rFonts w:hint="eastAsia" w:ascii="仿宋_GB2312" w:hAnsi="仿宋_GB2312" w:eastAsia="仿宋_GB2312" w:cs="仿宋_GB2312"/>
          <w:kern w:val="0"/>
          <w:sz w:val="30"/>
          <w:szCs w:val="30"/>
          <w:shd w:val="clear" w:color="auto" w:fill="FFFFFF"/>
          <w:lang w:val="zh-CN"/>
        </w:rPr>
        <w:t>绩效目标表</w:t>
      </w:r>
    </w:p>
    <w:tbl>
      <w:tblPr>
        <w:tblStyle w:val="23"/>
        <w:tblpPr w:leftFromText="180" w:rightFromText="180" w:vertAnchor="text" w:horzAnchor="page" w:tblpX="1905" w:tblpY="1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80"/>
        <w:gridCol w:w="3465"/>
        <w:gridCol w:w="1415"/>
      </w:tblGrid>
      <w:tr w14:paraId="7967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tcBorders>
              <w:bottom w:val="single" w:color="auto" w:sz="4" w:space="0"/>
              <w:right w:val="single" w:color="auto" w:sz="4" w:space="0"/>
            </w:tcBorders>
            <w:noWrap w:val="0"/>
            <w:vAlign w:val="top"/>
          </w:tcPr>
          <w:p w14:paraId="0931666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一级指标</w:t>
            </w:r>
          </w:p>
        </w:tc>
        <w:tc>
          <w:tcPr>
            <w:tcW w:w="1980" w:type="dxa"/>
            <w:tcBorders>
              <w:left w:val="single" w:color="auto" w:sz="4" w:space="0"/>
              <w:bottom w:val="single" w:color="auto" w:sz="4" w:space="0"/>
              <w:right w:val="single" w:color="auto" w:sz="4" w:space="0"/>
            </w:tcBorders>
            <w:noWrap w:val="0"/>
            <w:vAlign w:val="top"/>
          </w:tcPr>
          <w:p w14:paraId="4769D060">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二级指标</w:t>
            </w:r>
          </w:p>
        </w:tc>
        <w:tc>
          <w:tcPr>
            <w:tcW w:w="3465" w:type="dxa"/>
            <w:tcBorders>
              <w:left w:val="single" w:color="auto" w:sz="4" w:space="0"/>
              <w:bottom w:val="single" w:color="auto" w:sz="4" w:space="0"/>
              <w:right w:val="single" w:color="auto" w:sz="4" w:space="0"/>
            </w:tcBorders>
            <w:noWrap w:val="0"/>
            <w:vAlign w:val="top"/>
          </w:tcPr>
          <w:p w14:paraId="4184D993">
            <w:pPr>
              <w:keepNext w:val="0"/>
              <w:keepLines w:val="0"/>
              <w:pageBreakBefore w:val="0"/>
              <w:kinsoku/>
              <w:wordWrap/>
              <w:overflowPunct/>
              <w:topLinePunct w:val="0"/>
              <w:autoSpaceDE/>
              <w:autoSpaceDN/>
              <w:bidi w:val="0"/>
              <w:adjustRightInd w:val="0"/>
              <w:snapToGrid w:val="0"/>
              <w:spacing w:line="576" w:lineRule="exact"/>
              <w:ind w:firstLine="600" w:firstLineChars="200"/>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三级指标</w:t>
            </w:r>
          </w:p>
        </w:tc>
        <w:tc>
          <w:tcPr>
            <w:tcW w:w="1415" w:type="dxa"/>
            <w:tcBorders>
              <w:left w:val="single" w:color="auto" w:sz="4" w:space="0"/>
              <w:bottom w:val="single" w:color="auto" w:sz="4" w:space="0"/>
            </w:tcBorders>
            <w:noWrap w:val="0"/>
            <w:vAlign w:val="top"/>
          </w:tcPr>
          <w:p w14:paraId="61572AC7">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指标值</w:t>
            </w:r>
          </w:p>
        </w:tc>
      </w:tr>
      <w:tr w14:paraId="4236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20" w:type="dxa"/>
            <w:vMerge w:val="restart"/>
            <w:tcBorders>
              <w:top w:val="single" w:color="auto" w:sz="4" w:space="0"/>
              <w:right w:val="single" w:color="auto" w:sz="4" w:space="0"/>
            </w:tcBorders>
            <w:noWrap w:val="0"/>
            <w:vAlign w:val="top"/>
          </w:tcPr>
          <w:p w14:paraId="4DA9FFC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产出指标</w:t>
            </w:r>
          </w:p>
        </w:tc>
        <w:tc>
          <w:tcPr>
            <w:tcW w:w="1980" w:type="dxa"/>
            <w:vMerge w:val="restart"/>
            <w:tcBorders>
              <w:top w:val="single" w:color="auto" w:sz="4" w:space="0"/>
              <w:left w:val="single" w:color="auto" w:sz="4" w:space="0"/>
              <w:right w:val="single" w:color="auto" w:sz="4" w:space="0"/>
            </w:tcBorders>
            <w:noWrap w:val="0"/>
            <w:vAlign w:val="top"/>
          </w:tcPr>
          <w:p w14:paraId="250F889C">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数量指标</w:t>
            </w:r>
          </w:p>
        </w:tc>
        <w:tc>
          <w:tcPr>
            <w:tcW w:w="3465" w:type="dxa"/>
            <w:tcBorders>
              <w:top w:val="single" w:color="auto" w:sz="4" w:space="0"/>
              <w:left w:val="single" w:color="auto" w:sz="4" w:space="0"/>
              <w:right w:val="single" w:color="auto" w:sz="4" w:space="0"/>
            </w:tcBorders>
            <w:noWrap w:val="0"/>
            <w:vAlign w:val="top"/>
          </w:tcPr>
          <w:p w14:paraId="3B623E00">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全年农资销售增长率</w:t>
            </w:r>
          </w:p>
        </w:tc>
        <w:tc>
          <w:tcPr>
            <w:tcW w:w="1415" w:type="dxa"/>
            <w:tcBorders>
              <w:top w:val="single" w:color="auto" w:sz="4" w:space="0"/>
              <w:left w:val="single" w:color="auto" w:sz="4" w:space="0"/>
              <w:bottom w:val="single" w:color="auto" w:sz="4" w:space="0"/>
            </w:tcBorders>
            <w:noWrap w:val="0"/>
            <w:vAlign w:val="top"/>
          </w:tcPr>
          <w:p w14:paraId="74EA2CB2">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 xml:space="preserve">≥5%         </w:t>
            </w:r>
          </w:p>
        </w:tc>
      </w:tr>
      <w:tr w14:paraId="36B2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20" w:type="dxa"/>
            <w:vMerge w:val="continue"/>
            <w:tcBorders>
              <w:bottom w:val="single" w:color="auto" w:sz="4" w:space="0"/>
              <w:right w:val="single" w:color="auto" w:sz="4" w:space="0"/>
            </w:tcBorders>
            <w:noWrap w:val="0"/>
            <w:vAlign w:val="top"/>
          </w:tcPr>
          <w:p w14:paraId="04D625B3">
            <w:pPr>
              <w:keepNext w:val="0"/>
              <w:keepLines w:val="0"/>
              <w:pageBreakBefore w:val="0"/>
              <w:kinsoku/>
              <w:wordWrap/>
              <w:overflowPunct/>
              <w:topLinePunct w:val="0"/>
              <w:autoSpaceDE/>
              <w:autoSpaceDN/>
              <w:bidi w:val="0"/>
              <w:adjustRightInd w:val="0"/>
              <w:snapToGrid w:val="0"/>
              <w:spacing w:line="576" w:lineRule="exact"/>
              <w:ind w:firstLine="600" w:firstLineChars="200"/>
              <w:textAlignment w:val="auto"/>
              <w:rPr>
                <w:rFonts w:hint="eastAsia" w:ascii="仿宋_GB2312" w:hAnsi="仿宋_GB2312" w:eastAsia="仿宋_GB2312" w:cs="仿宋_GB2312"/>
                <w:kern w:val="0"/>
                <w:sz w:val="30"/>
                <w:szCs w:val="30"/>
                <w:shd w:val="clear" w:color="auto" w:fill="FFFFFF"/>
                <w:lang w:val="en-US" w:eastAsia="zh-CN"/>
              </w:rPr>
            </w:pPr>
          </w:p>
        </w:tc>
        <w:tc>
          <w:tcPr>
            <w:tcW w:w="1980" w:type="dxa"/>
            <w:vMerge w:val="continue"/>
            <w:tcBorders>
              <w:left w:val="single" w:color="auto" w:sz="4" w:space="0"/>
              <w:bottom w:val="single" w:color="auto" w:sz="4" w:space="0"/>
              <w:right w:val="single" w:color="auto" w:sz="4" w:space="0"/>
            </w:tcBorders>
            <w:noWrap w:val="0"/>
            <w:vAlign w:val="top"/>
          </w:tcPr>
          <w:p w14:paraId="591890E8">
            <w:pPr>
              <w:keepNext w:val="0"/>
              <w:keepLines w:val="0"/>
              <w:pageBreakBefore w:val="0"/>
              <w:kinsoku/>
              <w:wordWrap/>
              <w:overflowPunct/>
              <w:topLinePunct w:val="0"/>
              <w:autoSpaceDE/>
              <w:autoSpaceDN/>
              <w:bidi w:val="0"/>
              <w:adjustRightInd w:val="0"/>
              <w:snapToGrid w:val="0"/>
              <w:spacing w:line="576" w:lineRule="exact"/>
              <w:ind w:firstLine="600" w:firstLineChars="200"/>
              <w:textAlignment w:val="auto"/>
              <w:rPr>
                <w:rFonts w:hint="eastAsia" w:ascii="仿宋_GB2312" w:hAnsi="仿宋_GB2312" w:eastAsia="仿宋_GB2312" w:cs="仿宋_GB2312"/>
                <w:kern w:val="0"/>
                <w:sz w:val="30"/>
                <w:szCs w:val="30"/>
                <w:shd w:val="clear" w:color="auto" w:fill="FFFFFF"/>
                <w:lang w:val="en-US" w:eastAsia="zh-CN"/>
              </w:rPr>
            </w:pPr>
          </w:p>
        </w:tc>
        <w:tc>
          <w:tcPr>
            <w:tcW w:w="3465" w:type="dxa"/>
            <w:tcBorders>
              <w:left w:val="single" w:color="auto" w:sz="4" w:space="0"/>
              <w:bottom w:val="single" w:color="auto" w:sz="4" w:space="0"/>
              <w:right w:val="single" w:color="auto" w:sz="4" w:space="0"/>
            </w:tcBorders>
            <w:noWrap w:val="0"/>
            <w:vAlign w:val="top"/>
          </w:tcPr>
          <w:p w14:paraId="1C53DC69">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有机肥、复合肥销售增长率</w:t>
            </w:r>
          </w:p>
        </w:tc>
        <w:tc>
          <w:tcPr>
            <w:tcW w:w="1415" w:type="dxa"/>
            <w:tcBorders>
              <w:top w:val="single" w:color="auto" w:sz="4" w:space="0"/>
              <w:left w:val="single" w:color="auto" w:sz="4" w:space="0"/>
              <w:bottom w:val="single" w:color="auto" w:sz="4" w:space="0"/>
            </w:tcBorders>
            <w:noWrap w:val="0"/>
            <w:vAlign w:val="top"/>
          </w:tcPr>
          <w:p w14:paraId="5720E5F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≥10%</w:t>
            </w:r>
          </w:p>
        </w:tc>
      </w:tr>
      <w:tr w14:paraId="62D3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420" w:type="dxa"/>
            <w:tcBorders>
              <w:top w:val="single" w:color="auto" w:sz="4" w:space="0"/>
              <w:bottom w:val="single" w:color="auto" w:sz="4" w:space="0"/>
              <w:right w:val="single" w:color="auto" w:sz="4" w:space="0"/>
            </w:tcBorders>
            <w:noWrap w:val="0"/>
            <w:vAlign w:val="top"/>
          </w:tcPr>
          <w:p w14:paraId="2108E180">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效益指标</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EB4C26A">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社会效益指标</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2AE3A839">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按满100元补贴5元的标准执行（未满100不享受补贴）</w:t>
            </w:r>
          </w:p>
        </w:tc>
        <w:tc>
          <w:tcPr>
            <w:tcW w:w="1415" w:type="dxa"/>
            <w:tcBorders>
              <w:top w:val="single" w:color="auto" w:sz="4" w:space="0"/>
              <w:left w:val="single" w:color="auto" w:sz="4" w:space="0"/>
              <w:bottom w:val="single" w:color="auto" w:sz="4" w:space="0"/>
            </w:tcBorders>
            <w:noWrap w:val="0"/>
            <w:vAlign w:val="top"/>
          </w:tcPr>
          <w:p w14:paraId="4B872BC2">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=5%</w:t>
            </w:r>
          </w:p>
        </w:tc>
      </w:tr>
      <w:tr w14:paraId="7DDF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420" w:type="dxa"/>
            <w:tcBorders>
              <w:top w:val="single" w:color="auto" w:sz="4" w:space="0"/>
              <w:right w:val="single" w:color="auto" w:sz="4" w:space="0"/>
            </w:tcBorders>
            <w:noWrap w:val="0"/>
            <w:vAlign w:val="top"/>
          </w:tcPr>
          <w:p w14:paraId="09F0D6C4">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满意度指标</w:t>
            </w:r>
          </w:p>
        </w:tc>
        <w:tc>
          <w:tcPr>
            <w:tcW w:w="1980" w:type="dxa"/>
            <w:tcBorders>
              <w:top w:val="single" w:color="auto" w:sz="4" w:space="0"/>
              <w:left w:val="single" w:color="auto" w:sz="4" w:space="0"/>
              <w:right w:val="single" w:color="auto" w:sz="4" w:space="0"/>
            </w:tcBorders>
            <w:noWrap w:val="0"/>
            <w:vAlign w:val="top"/>
          </w:tcPr>
          <w:p w14:paraId="7D235C5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服务对象满意度指标</w:t>
            </w:r>
          </w:p>
        </w:tc>
        <w:tc>
          <w:tcPr>
            <w:tcW w:w="3465" w:type="dxa"/>
            <w:tcBorders>
              <w:top w:val="single" w:color="auto" w:sz="4" w:space="0"/>
              <w:left w:val="single" w:color="auto" w:sz="4" w:space="0"/>
              <w:right w:val="single" w:color="auto" w:sz="4" w:space="0"/>
            </w:tcBorders>
            <w:noWrap w:val="0"/>
            <w:vAlign w:val="top"/>
          </w:tcPr>
          <w:p w14:paraId="5BC92225">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农户、受益群众对该项目的满意度</w:t>
            </w:r>
          </w:p>
        </w:tc>
        <w:tc>
          <w:tcPr>
            <w:tcW w:w="1415" w:type="dxa"/>
            <w:tcBorders>
              <w:top w:val="single" w:color="auto" w:sz="4" w:space="0"/>
              <w:left w:val="single" w:color="auto" w:sz="4" w:space="0"/>
            </w:tcBorders>
            <w:noWrap w:val="0"/>
            <w:vAlign w:val="top"/>
          </w:tcPr>
          <w:p w14:paraId="1693C73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0"/>
                <w:sz w:val="30"/>
                <w:szCs w:val="30"/>
                <w:shd w:val="clear" w:color="auto" w:fill="FFFFFF"/>
                <w:lang w:val="en-US" w:eastAsia="zh-CN"/>
              </w:rPr>
            </w:pPr>
            <w:r>
              <w:rPr>
                <w:rFonts w:hint="eastAsia" w:ascii="仿宋_GB2312" w:hAnsi="仿宋_GB2312" w:eastAsia="仿宋_GB2312" w:cs="仿宋_GB2312"/>
                <w:kern w:val="0"/>
                <w:sz w:val="30"/>
                <w:szCs w:val="30"/>
                <w:shd w:val="clear" w:color="auto" w:fill="FFFFFF"/>
                <w:lang w:val="en-US" w:eastAsia="zh-CN"/>
              </w:rPr>
              <w:t>≥90%</w:t>
            </w:r>
          </w:p>
        </w:tc>
      </w:tr>
    </w:tbl>
    <w:p w14:paraId="2B9111C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二、评价实施</w:t>
      </w:r>
    </w:p>
    <w:p w14:paraId="5A4EAD16">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（一）评价目的</w:t>
      </w:r>
    </w:p>
    <w:p w14:paraId="457BDC57">
      <w:pPr>
        <w:keepNext w:val="0"/>
        <w:keepLines w:val="0"/>
        <w:pageBreakBefore w:val="0"/>
        <w:kinsoku/>
        <w:wordWrap/>
        <w:overflowPunct/>
        <w:topLinePunct w:val="0"/>
        <w:autoSpaceDE/>
        <w:autoSpaceDN/>
        <w:bidi w:val="0"/>
        <w:spacing w:line="576" w:lineRule="exact"/>
        <w:ind w:firstLine="640"/>
        <w:textAlignment w:val="auto"/>
        <w:rPr>
          <w:rFonts w:eastAsia="仿宋_GB2312"/>
          <w:sz w:val="32"/>
          <w:szCs w:val="32"/>
        </w:rPr>
      </w:pPr>
      <w:r>
        <w:rPr>
          <w:rFonts w:hint="eastAsia" w:eastAsia="仿宋_GB2312"/>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14:paraId="146437A9">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（二）预设问题及评价重点</w:t>
      </w:r>
    </w:p>
    <w:p w14:paraId="133095E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eastAsia="仿宋_GB2312"/>
          <w:sz w:val="32"/>
          <w:szCs w:val="32"/>
        </w:rPr>
      </w:pPr>
      <w:r>
        <w:rPr>
          <w:rFonts w:hint="eastAsia" w:ascii="仿宋_GB2312" w:hAnsi="仿宋_GB2312" w:eastAsia="仿宋_GB2312" w:cs="仿宋_GB2312"/>
          <w:kern w:val="2"/>
          <w:sz w:val="32"/>
          <w:szCs w:val="32"/>
          <w:lang w:val="en-US" w:eastAsia="zh-CN"/>
        </w:rPr>
        <w:t>2023年农资储备和价格补贴专项经费</w:t>
      </w:r>
      <w:r>
        <w:rPr>
          <w:rFonts w:hint="eastAsia" w:eastAsia="仿宋_GB2312"/>
          <w:sz w:val="32"/>
          <w:szCs w:val="32"/>
        </w:rPr>
        <w:t>资金支出使用全过程</w:t>
      </w:r>
      <w:r>
        <w:rPr>
          <w:rFonts w:hint="eastAsia" w:eastAsia="仿宋_GB2312"/>
          <w:sz w:val="32"/>
          <w:szCs w:val="32"/>
          <w:lang w:eastAsia="zh-CN"/>
        </w:rPr>
        <w:t>规范。</w:t>
      </w:r>
    </w:p>
    <w:p w14:paraId="63673DE6">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（三）评价选点</w:t>
      </w:r>
    </w:p>
    <w:p w14:paraId="56A30CA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eastAsia="仿宋_GB2312"/>
          <w:sz w:val="32"/>
          <w:szCs w:val="32"/>
          <w:lang w:val="zh-CN"/>
        </w:rPr>
      </w:pPr>
      <w:r>
        <w:rPr>
          <w:rFonts w:hint="eastAsia" w:eastAsia="仿宋_GB2312"/>
          <w:sz w:val="32"/>
          <w:szCs w:val="32"/>
          <w:lang w:val="zh-CN"/>
        </w:rPr>
        <w:t>茂县供销合作社联合社农业生产资料公司。</w:t>
      </w:r>
    </w:p>
    <w:p w14:paraId="3C4FE2C8">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（四）评价方法</w:t>
      </w:r>
    </w:p>
    <w:p w14:paraId="63069CD7">
      <w:pPr>
        <w:keepNext w:val="0"/>
        <w:keepLines w:val="0"/>
        <w:pageBreakBefore w:val="0"/>
        <w:kinsoku/>
        <w:wordWrap/>
        <w:overflowPunct/>
        <w:topLinePunct w:val="0"/>
        <w:autoSpaceDE/>
        <w:autoSpaceDN/>
        <w:bidi w:val="0"/>
        <w:spacing w:line="576" w:lineRule="exact"/>
        <w:ind w:firstLine="640"/>
        <w:textAlignment w:val="auto"/>
        <w:rPr>
          <w:rFonts w:eastAsia="仿宋_GB2312"/>
          <w:sz w:val="32"/>
          <w:szCs w:val="32"/>
        </w:rPr>
      </w:pPr>
      <w:r>
        <w:rPr>
          <w:rFonts w:hint="eastAsia" w:ascii="Times New Roman" w:hAnsi="Times New Roman" w:eastAsia="仿宋_GB2312" w:cs="Times New Roman"/>
          <w:sz w:val="32"/>
          <w:szCs w:val="32"/>
          <w:lang w:eastAsia="zh-CN"/>
        </w:rPr>
        <w:t>采用</w:t>
      </w:r>
      <w:r>
        <w:rPr>
          <w:rFonts w:eastAsia="仿宋_GB2312"/>
          <w:sz w:val="32"/>
          <w:szCs w:val="32"/>
        </w:rPr>
        <w:t>单位自评法</w:t>
      </w:r>
      <w:r>
        <w:rPr>
          <w:rFonts w:hint="eastAsia" w:eastAsia="仿宋_GB2312"/>
          <w:sz w:val="32"/>
          <w:szCs w:val="32"/>
        </w:rPr>
        <w:t>。</w:t>
      </w:r>
    </w:p>
    <w:p w14:paraId="12ADE03B">
      <w:pPr>
        <w:keepNext w:val="0"/>
        <w:keepLines w:val="0"/>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14:paraId="387B5D98">
      <w:pPr>
        <w:keepNext w:val="0"/>
        <w:keepLines w:val="0"/>
        <w:pageBreakBefore w:val="0"/>
        <w:kinsoku/>
        <w:wordWrap/>
        <w:overflowPunct/>
        <w:topLinePunct w:val="0"/>
        <w:autoSpaceDE/>
        <w:autoSpaceDN/>
        <w:bidi w:val="0"/>
        <w:spacing w:line="576" w:lineRule="exact"/>
        <w:ind w:firstLine="640"/>
        <w:textAlignment w:val="auto"/>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14:paraId="488C96DA">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ascii="楷体_GB2312" w:hAnsi="楷体_GB2312" w:eastAsia="楷体_GB2312" w:cs="楷体_GB2312"/>
          <w:sz w:val="32"/>
          <w:szCs w:val="32"/>
        </w:rPr>
        <w:t>1.</w:t>
      </w:r>
      <w:r>
        <w:rPr>
          <w:rFonts w:hint="eastAsia" w:eastAsia="仿宋_GB2312"/>
          <w:sz w:val="32"/>
          <w:szCs w:val="32"/>
        </w:rPr>
        <w:t>项目决策。决策程序</w:t>
      </w:r>
      <w:r>
        <w:rPr>
          <w:rFonts w:hint="eastAsia" w:eastAsia="仿宋_GB2312"/>
          <w:sz w:val="32"/>
          <w:szCs w:val="32"/>
          <w:lang w:eastAsia="zh-CN"/>
        </w:rPr>
        <w:t>严密，</w:t>
      </w:r>
      <w:r>
        <w:rPr>
          <w:rFonts w:hint="eastAsia" w:eastAsia="仿宋_GB2312"/>
          <w:sz w:val="32"/>
          <w:szCs w:val="32"/>
        </w:rPr>
        <w:t>符合资金管理基本规范和决策程序要求</w:t>
      </w:r>
      <w:r>
        <w:rPr>
          <w:rFonts w:hint="eastAsia" w:eastAsia="仿宋_GB2312"/>
          <w:sz w:val="32"/>
          <w:szCs w:val="32"/>
          <w:lang w:eastAsia="zh-CN"/>
        </w:rPr>
        <w:t>。</w:t>
      </w:r>
      <w:r>
        <w:rPr>
          <w:rFonts w:hint="eastAsia" w:eastAsia="仿宋_GB2312"/>
          <w:sz w:val="32"/>
          <w:szCs w:val="32"/>
        </w:rPr>
        <w:t>规划论证符合中省要求、项目绩效目标设置科学合理</w:t>
      </w:r>
      <w:r>
        <w:rPr>
          <w:rFonts w:hint="eastAsia" w:eastAsia="仿宋_GB2312"/>
          <w:sz w:val="32"/>
          <w:szCs w:val="32"/>
          <w:lang w:eastAsia="zh-CN"/>
        </w:rPr>
        <w:t>。</w:t>
      </w:r>
      <w:r>
        <w:rPr>
          <w:rFonts w:hint="eastAsia" w:eastAsia="仿宋_GB2312"/>
          <w:sz w:val="32"/>
          <w:szCs w:val="32"/>
        </w:rPr>
        <w:t>资金投向与项目总体规划、相关行业事业发展相匹配。</w:t>
      </w:r>
    </w:p>
    <w:p w14:paraId="2DFBF51F">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ascii="楷体_GB2312" w:hAnsi="楷体_GB2312" w:eastAsia="楷体_GB2312" w:cs="楷体_GB2312"/>
          <w:sz w:val="32"/>
          <w:szCs w:val="32"/>
        </w:rPr>
        <w:t>2.</w:t>
      </w:r>
      <w:r>
        <w:rPr>
          <w:rFonts w:hint="eastAsia" w:eastAsia="仿宋_GB2312"/>
          <w:sz w:val="32"/>
          <w:szCs w:val="32"/>
        </w:rPr>
        <w:t>项目管理。项目资金分配因素选取、权重设置、区域分布，项目管理、审批符合管理要求、绩效监管按中省要求全面完成绩效目标（含事前评估）、绩效评价。</w:t>
      </w:r>
    </w:p>
    <w:p w14:paraId="21D55AD5">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3.</w:t>
      </w:r>
      <w:r>
        <w:rPr>
          <w:rFonts w:hint="eastAsia" w:eastAsia="仿宋_GB2312"/>
          <w:sz w:val="32"/>
          <w:szCs w:val="32"/>
        </w:rPr>
        <w:t>项目实施。</w:t>
      </w:r>
      <w:r>
        <w:rPr>
          <w:rFonts w:hint="eastAsia" w:eastAsia="仿宋_GB2312"/>
          <w:sz w:val="32"/>
          <w:szCs w:val="32"/>
          <w:lang w:eastAsia="zh-CN"/>
        </w:rPr>
        <w:t>财政资金拨付率</w:t>
      </w:r>
      <w:r>
        <w:rPr>
          <w:rFonts w:hint="eastAsia" w:eastAsia="仿宋_GB2312"/>
          <w:sz w:val="32"/>
          <w:szCs w:val="32"/>
          <w:lang w:val="en-US" w:eastAsia="zh-CN"/>
        </w:rPr>
        <w:t>100%，使用率100%，无地方配套资金。</w:t>
      </w:r>
    </w:p>
    <w:p w14:paraId="3F5E9E6B">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4.</w:t>
      </w:r>
      <w:r>
        <w:rPr>
          <w:rFonts w:hint="eastAsia" w:eastAsia="仿宋_GB2312"/>
          <w:sz w:val="32"/>
          <w:szCs w:val="32"/>
        </w:rPr>
        <w:t>项目结果。完成预期目标，实施结果。与绩效目标相匹配</w:t>
      </w:r>
      <w:r>
        <w:rPr>
          <w:rFonts w:hint="eastAsia" w:eastAsia="仿宋_GB2312"/>
          <w:sz w:val="32"/>
          <w:szCs w:val="32"/>
          <w:lang w:eastAsia="zh-CN"/>
        </w:rPr>
        <w:t>。</w:t>
      </w:r>
    </w:p>
    <w:p w14:paraId="43109770">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14:paraId="46DB7096">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1.</w:t>
      </w:r>
      <w:r>
        <w:rPr>
          <w:rFonts w:hint="eastAsia" w:eastAsia="仿宋_GB2312"/>
          <w:sz w:val="32"/>
          <w:szCs w:val="32"/>
        </w:rPr>
        <w:t>产业发展。与省委省政府支持重点、产业支持政策符合、对相关企业（机构）成长性的促进作用。</w:t>
      </w:r>
    </w:p>
    <w:p w14:paraId="74D581D2">
      <w:pPr>
        <w:keepNext w:val="0"/>
        <w:keepLines w:val="0"/>
        <w:pageBreakBefore w:val="0"/>
        <w:kinsoku/>
        <w:wordWrap/>
        <w:overflowPunct/>
        <w:topLinePunct w:val="0"/>
        <w:autoSpaceDE/>
        <w:autoSpaceDN/>
        <w:bidi w:val="0"/>
        <w:spacing w:line="576" w:lineRule="exact"/>
        <w:ind w:firstLine="640" w:firstLineChars="200"/>
        <w:textAlignment w:val="auto"/>
        <w:rPr>
          <w:rFonts w:hint="default" w:eastAsia="仿宋_GB2312"/>
          <w:sz w:val="32"/>
          <w:szCs w:val="32"/>
          <w:lang w:val="en-US" w:eastAsia="zh-CN"/>
        </w:rPr>
      </w:pPr>
      <w:r>
        <w:rPr>
          <w:rFonts w:hint="eastAsia" w:ascii="楷体_GB2312" w:hAnsi="楷体_GB2312" w:eastAsia="楷体_GB2312" w:cs="楷体_GB2312"/>
          <w:sz w:val="32"/>
          <w:szCs w:val="32"/>
        </w:rPr>
        <w:t>2.</w:t>
      </w:r>
      <w:r>
        <w:rPr>
          <w:rFonts w:hint="eastAsia" w:eastAsia="仿宋_GB2312"/>
          <w:sz w:val="32"/>
          <w:szCs w:val="32"/>
          <w:lang w:val="zh-CN"/>
        </w:rPr>
        <w:t>行政运转。按规定用途、适用范围进行本地区专项资金分配。</w:t>
      </w:r>
    </w:p>
    <w:p w14:paraId="42AA8BC7">
      <w:pPr>
        <w:keepNext w:val="0"/>
        <w:keepLines w:val="0"/>
        <w:pageBreakBefore w:val="0"/>
        <w:kinsoku/>
        <w:wordWrap/>
        <w:overflowPunct/>
        <w:topLinePunct w:val="0"/>
        <w:autoSpaceDE/>
        <w:autoSpaceDN/>
        <w:bidi w:val="0"/>
        <w:spacing w:line="576" w:lineRule="exact"/>
        <w:ind w:firstLine="640"/>
        <w:textAlignment w:val="auto"/>
        <w:rPr>
          <w:rFonts w:eastAsia="楷体_GB2312"/>
          <w:b/>
          <w:bCs/>
          <w:color w:val="000000"/>
          <w:kern w:val="0"/>
          <w:sz w:val="32"/>
          <w:szCs w:val="32"/>
          <w:shd w:val="clear" w:color="auto" w:fill="FFFFFF"/>
          <w:lang w:val="zh-CN"/>
        </w:rPr>
      </w:pPr>
      <w:r>
        <w:rPr>
          <w:rFonts w:hint="eastAsia" w:ascii="楷体_GB2312" w:hAnsi="宋体" w:eastAsia="楷体_GB2312"/>
          <w:b/>
          <w:sz w:val="32"/>
          <w:szCs w:val="32"/>
          <w:lang w:val="zh-CN"/>
        </w:rPr>
        <w:t>（三）</w:t>
      </w:r>
      <w:r>
        <w:rPr>
          <w:rFonts w:hint="eastAsia" w:ascii="楷体_GB2312" w:hAnsi="宋体" w:eastAsia="楷体_GB2312"/>
          <w:b/>
          <w:sz w:val="32"/>
          <w:szCs w:val="32"/>
        </w:rPr>
        <w:t>个性指标</w:t>
      </w:r>
      <w:r>
        <w:rPr>
          <w:rFonts w:eastAsia="楷体_GB2312"/>
          <w:b/>
          <w:bCs/>
          <w:color w:val="000000"/>
          <w:kern w:val="0"/>
          <w:sz w:val="32"/>
          <w:szCs w:val="32"/>
          <w:shd w:val="clear" w:color="auto" w:fill="FFFFFF"/>
          <w:lang w:val="zh-CN"/>
        </w:rPr>
        <w:t>绩效分析</w:t>
      </w:r>
    </w:p>
    <w:p w14:paraId="620F52B7">
      <w:pPr>
        <w:keepNext w:val="0"/>
        <w:keepLines w:val="0"/>
        <w:pageBreakBefore w:val="0"/>
        <w:kinsoku/>
        <w:wordWrap/>
        <w:overflowPunct/>
        <w:topLinePunct w:val="0"/>
        <w:autoSpaceDE/>
        <w:autoSpaceDN/>
        <w:bidi w:val="0"/>
        <w:spacing w:line="576" w:lineRule="exact"/>
        <w:ind w:firstLine="640"/>
        <w:textAlignment w:val="auto"/>
        <w:rPr>
          <w:rFonts w:hint="default" w:eastAsia="仿宋_GB2312"/>
          <w:sz w:val="32"/>
          <w:szCs w:val="32"/>
          <w:lang w:val="en-US" w:eastAsia="zh-CN"/>
        </w:rPr>
      </w:pPr>
      <w:r>
        <w:rPr>
          <w:rFonts w:hint="eastAsia" w:eastAsia="仿宋_GB2312"/>
          <w:sz w:val="32"/>
          <w:szCs w:val="32"/>
          <w:lang w:val="zh-CN"/>
        </w:rPr>
        <w:t>根据项目设定指标如实完成。</w:t>
      </w:r>
    </w:p>
    <w:p w14:paraId="24E9BBAA">
      <w:pPr>
        <w:keepNext w:val="0"/>
        <w:keepLines w:val="0"/>
        <w:pageBreakBefore w:val="0"/>
        <w:widowControl/>
        <w:tabs>
          <w:tab w:val="left" w:pos="2160"/>
        </w:tabs>
        <w:kinsoku/>
        <w:wordWrap/>
        <w:overflowPunct/>
        <w:topLinePunct w:val="0"/>
        <w:autoSpaceDE/>
        <w:autoSpaceDN/>
        <w:bidi w:val="0"/>
        <w:spacing w:line="576" w:lineRule="exact"/>
        <w:ind w:firstLine="640" w:firstLineChars="200"/>
        <w:jc w:val="left"/>
        <w:textAlignment w:val="auto"/>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14:paraId="1A027E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kern w:val="0"/>
          <w:position w:val="0"/>
          <w:sz w:val="32"/>
          <w:szCs w:val="32"/>
          <w:highlight w:val="none"/>
          <w:u w:val="none"/>
          <w:shd w:val="clear" w:color="auto" w:fill="FFFFFF"/>
          <w:lang w:val="zh-CN" w:eastAsia="zh-CN" w:bidi="ar-SA"/>
        </w:rPr>
      </w:pPr>
      <w:r>
        <w:rPr>
          <w:rFonts w:hint="eastAsia" w:ascii="仿宋_GB2312" w:hAnsi="仿宋_GB2312" w:eastAsia="仿宋_GB2312" w:cs="仿宋_GB2312"/>
          <w:kern w:val="2"/>
          <w:sz w:val="32"/>
          <w:szCs w:val="32"/>
          <w:lang w:val="en-US" w:eastAsia="zh-CN"/>
        </w:rPr>
        <w:t>茂县供销合作社联合社2023年农资储备和价格补贴专项经费</w:t>
      </w:r>
      <w:r>
        <w:rPr>
          <w:rFonts w:hint="eastAsia" w:ascii="仿宋_GB2312" w:eastAsia="仿宋_GB2312" w:cs="仿宋_GB2312"/>
          <w:color w:val="auto"/>
          <w:kern w:val="0"/>
          <w:position w:val="0"/>
          <w:sz w:val="32"/>
          <w:szCs w:val="32"/>
          <w:highlight w:val="none"/>
          <w:u w:val="none"/>
          <w:shd w:val="clear" w:color="auto" w:fill="FFFFFF"/>
          <w:lang w:val="zh-CN" w:eastAsia="zh-CN" w:bidi="ar-SA"/>
        </w:rPr>
        <w:t>严格按照</w:t>
      </w:r>
      <w:r>
        <w:rPr>
          <w:rFonts w:hint="eastAsia" w:ascii="仿宋_GB2312" w:hAnsi="仿宋_GB2312" w:eastAsia="仿宋_GB2312" w:cs="仿宋_GB2312"/>
          <w:b w:val="0"/>
          <w:kern w:val="0"/>
          <w:sz w:val="32"/>
          <w:szCs w:val="32"/>
          <w:shd w:val="clear" w:color="auto" w:fill="FFFFFF"/>
          <w:lang w:val="zh-CN" w:eastAsia="zh-CN" w:bidi="ar-SA"/>
        </w:rPr>
        <w:t>《阿坝州财政局、阿坝州供销社关于下达2023年农资储备和价格补贴专项经费的通知》（阿州财农〔2023〕28号）</w:t>
      </w:r>
      <w:r>
        <w:rPr>
          <w:rFonts w:hint="eastAsia" w:ascii="仿宋_GB2312" w:eastAsia="仿宋_GB2312" w:cs="仿宋_GB2312"/>
          <w:color w:val="auto"/>
          <w:kern w:val="0"/>
          <w:position w:val="0"/>
          <w:sz w:val="32"/>
          <w:szCs w:val="32"/>
          <w:highlight w:val="none"/>
          <w:u w:val="none"/>
          <w:shd w:val="clear" w:color="auto" w:fill="FFFFFF"/>
          <w:lang w:val="zh-CN" w:eastAsia="zh-CN" w:bidi="ar-SA"/>
        </w:rPr>
        <w:t>要求实施，下达资金与规划一致，完成目标任务，完成绩效目标，资金使用合规。</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eastAsia="仿宋_GB2312" w:cs="仿宋_GB2312"/>
          <w:kern w:val="0"/>
          <w:position w:val="0"/>
          <w:sz w:val="32"/>
          <w:szCs w:val="32"/>
          <w:highlight w:val="none"/>
          <w:u w:val="none"/>
          <w:shd w:val="clear" w:color="auto" w:fill="FFFFFF"/>
          <w:lang w:val="en-US" w:eastAsia="zh-CN" w:bidi="ar-SA"/>
        </w:rPr>
        <w:t>100</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14:paraId="3F67FDD3">
      <w:pPr>
        <w:pStyle w:val="2"/>
        <w:keepNext w:val="0"/>
        <w:keepLines w:val="0"/>
        <w:pageBreakBefore w:val="0"/>
        <w:kinsoku/>
        <w:wordWrap/>
        <w:overflowPunct/>
        <w:topLinePunct w:val="0"/>
        <w:autoSpaceDE/>
        <w:autoSpaceDN/>
        <w:bidi w:val="0"/>
        <w:spacing w:line="576" w:lineRule="exact"/>
        <w:ind w:left="0" w:leftChars="0" w:firstLine="0" w:firstLineChars="0"/>
        <w:textAlignment w:val="auto"/>
        <w:rPr>
          <w:lang w:val="zh-CN"/>
        </w:rPr>
      </w:pPr>
    </w:p>
    <w:p w14:paraId="2F8AD290">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附表：1.项目资金分配涉及所有点位自评得分情况表</w:t>
      </w:r>
    </w:p>
    <w:p w14:paraId="3B91E5FD">
      <w:pPr>
        <w:keepNext w:val="0"/>
        <w:keepLines w:val="0"/>
        <w:pageBreakBefore w:val="0"/>
        <w:kinsoku/>
        <w:wordWrap/>
        <w:overflowPunct/>
        <w:topLinePunct w:val="0"/>
        <w:autoSpaceDE/>
        <w:autoSpaceDN/>
        <w:bidi w:val="0"/>
        <w:snapToGrid w:val="0"/>
        <w:spacing w:line="576" w:lineRule="exact"/>
        <w:ind w:firstLine="1600" w:firstLineChars="500"/>
        <w:textAlignment w:val="auto"/>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2.专项预算项目绩效目标完成情况自评表</w:t>
      </w:r>
    </w:p>
    <w:p w14:paraId="6FCDEE86">
      <w:pPr>
        <w:keepNext w:val="0"/>
        <w:keepLines w:val="0"/>
        <w:pageBreakBefore w:val="0"/>
        <w:kinsoku/>
        <w:wordWrap/>
        <w:overflowPunct/>
        <w:topLinePunct w:val="0"/>
        <w:autoSpaceDE/>
        <w:autoSpaceDN/>
        <w:bidi w:val="0"/>
        <w:snapToGrid w:val="0"/>
        <w:spacing w:line="576" w:lineRule="exact"/>
        <w:ind w:firstLine="1600" w:firstLineChars="500"/>
        <w:textAlignment w:val="auto"/>
        <w:rPr>
          <w:rFonts w:hint="eastAsia" w:eastAsia="仿宋_GB2312"/>
          <w:color w:val="000000"/>
          <w:kern w:val="0"/>
          <w:sz w:val="32"/>
          <w:szCs w:val="32"/>
          <w:shd w:val="clear" w:color="auto" w:fill="FFFFFF"/>
          <w:lang w:val="zh-CN"/>
        </w:rPr>
      </w:pPr>
    </w:p>
    <w:p w14:paraId="676557C8">
      <w:pPr>
        <w:keepNext w:val="0"/>
        <w:keepLines w:val="0"/>
        <w:pageBreakBefore w:val="0"/>
        <w:kinsoku/>
        <w:wordWrap/>
        <w:overflowPunct/>
        <w:topLinePunct w:val="0"/>
        <w:autoSpaceDE/>
        <w:autoSpaceDN/>
        <w:bidi w:val="0"/>
        <w:snapToGrid w:val="0"/>
        <w:spacing w:line="576" w:lineRule="exact"/>
        <w:ind w:firstLine="1600" w:firstLineChars="500"/>
        <w:textAlignment w:val="auto"/>
        <w:rPr>
          <w:rFonts w:hint="eastAsia" w:eastAsia="仿宋_GB2312"/>
          <w:color w:val="000000"/>
          <w:kern w:val="0"/>
          <w:sz w:val="32"/>
          <w:szCs w:val="32"/>
          <w:shd w:val="clear" w:color="auto" w:fill="FFFFFF"/>
          <w:lang w:val="zh-CN"/>
        </w:rPr>
      </w:pPr>
    </w:p>
    <w:p w14:paraId="077B8D91">
      <w:pPr>
        <w:keepNext w:val="0"/>
        <w:keepLines w:val="0"/>
        <w:pageBreakBefore w:val="0"/>
        <w:kinsoku/>
        <w:wordWrap/>
        <w:overflowPunct/>
        <w:topLinePunct w:val="0"/>
        <w:autoSpaceDE/>
        <w:autoSpaceDN/>
        <w:bidi w:val="0"/>
        <w:spacing w:line="576" w:lineRule="exact"/>
        <w:ind w:left="49" w:firstLine="4160" w:firstLineChars="1300"/>
        <w:textAlignment w:val="auto"/>
        <w:rPr>
          <w:rFonts w:hint="default" w:ascii="仿宋_GB2312" w:eastAsia="仿宋_GB2312" w:cs="Times New Roman"/>
          <w:kern w:val="2"/>
          <w:sz w:val="32"/>
          <w:szCs w:val="32"/>
          <w:u w:val="none"/>
          <w:lang w:val="en-US" w:eastAsia="zh-CN"/>
        </w:rPr>
      </w:pPr>
      <w:r>
        <w:rPr>
          <w:rFonts w:hint="eastAsia" w:ascii="仿宋_GB2312" w:eastAsia="仿宋_GB2312" w:cs="Times New Roman"/>
          <w:kern w:val="2"/>
          <w:sz w:val="32"/>
          <w:szCs w:val="32"/>
          <w:u w:val="none"/>
          <w:lang w:val="en-US" w:eastAsia="zh-CN"/>
        </w:rPr>
        <w:t>茂县供销合作社联合社</w:t>
      </w:r>
    </w:p>
    <w:p w14:paraId="2596298C">
      <w:pPr>
        <w:keepNext w:val="0"/>
        <w:keepLines w:val="0"/>
        <w:pageBreakBefore w:val="0"/>
        <w:widowControl/>
        <w:kinsoku/>
        <w:wordWrap/>
        <w:overflowPunct/>
        <w:topLinePunct w:val="0"/>
        <w:autoSpaceDE/>
        <w:autoSpaceDN/>
        <w:bidi w:val="0"/>
        <w:adjustRightInd w:val="0"/>
        <w:snapToGrid w:val="0"/>
        <w:spacing w:line="576" w:lineRule="exact"/>
        <w:ind w:firstLine="4800" w:firstLineChars="1500"/>
        <w:contextualSpacing/>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2024年8月8日</w:t>
      </w:r>
    </w:p>
    <w:p w14:paraId="565A7E58">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eastAsia" w:ascii="黑体" w:hAnsi="黑体" w:eastAsia="黑体" w:cs="黑体"/>
          <w:kern w:val="0"/>
          <w:sz w:val="32"/>
          <w:szCs w:val="32"/>
          <w:shd w:val="clear" w:color="auto" w:fill="FFFFFF"/>
          <w:lang w:val="zh-CN"/>
        </w:rPr>
      </w:pPr>
    </w:p>
    <w:p w14:paraId="1C0B56AF">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eastAsia" w:ascii="黑体" w:hAnsi="黑体" w:eastAsia="黑体" w:cs="黑体"/>
          <w:kern w:val="0"/>
          <w:sz w:val="32"/>
          <w:szCs w:val="32"/>
          <w:shd w:val="clear" w:color="auto" w:fill="FFFFFF"/>
          <w:lang w:val="zh-CN"/>
        </w:rPr>
      </w:pPr>
    </w:p>
    <w:p w14:paraId="72B78EDA">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eastAsia" w:ascii="黑体" w:hAnsi="黑体" w:eastAsia="黑体" w:cs="黑体"/>
          <w:kern w:val="0"/>
          <w:sz w:val="32"/>
          <w:szCs w:val="32"/>
          <w:shd w:val="clear" w:color="auto" w:fill="FFFFFF"/>
          <w:lang w:val="zh-CN"/>
        </w:rPr>
      </w:pPr>
    </w:p>
    <w:p w14:paraId="140E089F">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6F561498">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6251EC67">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1B38D17F">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3164C277">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704B5511">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31384850">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2C958D0D">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2F581E46">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59AB4ECD">
      <w:pPr>
        <w:widowControl/>
        <w:adjustRightInd w:val="0"/>
        <w:snapToGrid w:val="0"/>
        <w:spacing w:line="578" w:lineRule="exact"/>
        <w:contextualSpacing/>
        <w:jc w:val="left"/>
        <w:rPr>
          <w:rFonts w:hint="eastAsia" w:ascii="黑体" w:hAnsi="黑体" w:eastAsia="黑体" w:cs="黑体"/>
          <w:kern w:val="0"/>
          <w:sz w:val="32"/>
          <w:szCs w:val="32"/>
          <w:shd w:val="clear" w:color="auto" w:fill="FFFFFF"/>
          <w:lang w:val="zh-CN"/>
        </w:rPr>
      </w:pPr>
    </w:p>
    <w:p w14:paraId="6E8200B0">
      <w:pPr>
        <w:widowControl/>
        <w:adjustRightInd w:val="0"/>
        <w:snapToGrid w:val="0"/>
        <w:spacing w:line="578"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179BA871">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78D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B0BB78A">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14:paraId="6988D824">
            <w:pPr>
              <w:spacing w:line="300" w:lineRule="exact"/>
              <w:jc w:val="center"/>
              <w:rPr>
                <w:rFonts w:ascii="黑体" w:hAnsi="黑体" w:eastAsia="黑体" w:cs="黑体"/>
                <w:sz w:val="24"/>
                <w:szCs w:val="24"/>
                <w:lang w:val="en"/>
              </w:rPr>
            </w:pPr>
            <w:r>
              <w:rPr>
                <w:rFonts w:hint="eastAsia" w:ascii="黑体" w:hAnsi="黑体" w:eastAsia="黑体" w:cs="黑体"/>
                <w:sz w:val="24"/>
                <w:szCs w:val="24"/>
              </w:rPr>
              <w:t>项目资金末端分配点位</w:t>
            </w:r>
          </w:p>
        </w:tc>
        <w:tc>
          <w:tcPr>
            <w:tcW w:w="2861" w:type="dxa"/>
          </w:tcPr>
          <w:p w14:paraId="19B77976">
            <w:pPr>
              <w:spacing w:line="300" w:lineRule="exact"/>
              <w:jc w:val="center"/>
              <w:rPr>
                <w:rFonts w:ascii="黑体" w:hAnsi="黑体" w:eastAsia="黑体" w:cs="黑体"/>
                <w:sz w:val="24"/>
                <w:szCs w:val="24"/>
              </w:rPr>
            </w:pPr>
            <w:r>
              <w:rPr>
                <w:rFonts w:hint="eastAsia" w:ascii="黑体" w:hAnsi="黑体" w:eastAsia="黑体" w:cs="黑体"/>
                <w:sz w:val="24"/>
                <w:szCs w:val="24"/>
                <w:lang w:val="en"/>
              </w:rPr>
              <w:t>自评得分（百分制）</w:t>
            </w:r>
          </w:p>
        </w:tc>
        <w:tc>
          <w:tcPr>
            <w:tcW w:w="993" w:type="dxa"/>
          </w:tcPr>
          <w:p w14:paraId="787CC48C">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14:paraId="28D2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123" w:type="dxa"/>
          </w:tcPr>
          <w:p w14:paraId="65B04362">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14:paraId="279E4FFD">
            <w:pPr>
              <w:spacing w:line="300" w:lineRule="exact"/>
              <w:rPr>
                <w:rFonts w:ascii="宋体" w:hAnsi="宋体" w:eastAsia="仿宋_GB2312" w:cs="宋体"/>
                <w:sz w:val="24"/>
                <w:szCs w:val="24"/>
                <w:lang w:val="en"/>
              </w:rPr>
            </w:pPr>
            <w:r>
              <w:rPr>
                <w:rFonts w:hint="eastAsia" w:ascii="黑体" w:hAnsi="黑体" w:eastAsia="黑体" w:cs="黑体"/>
                <w:sz w:val="24"/>
                <w:szCs w:val="24"/>
                <w:lang w:val="en-US" w:eastAsia="zh-CN"/>
              </w:rPr>
              <w:t>茂县供销合作社联合社2023年农资储备和价格补贴专项经费</w:t>
            </w:r>
          </w:p>
        </w:tc>
        <w:tc>
          <w:tcPr>
            <w:tcW w:w="2861" w:type="dxa"/>
          </w:tcPr>
          <w:p w14:paraId="6B8CAFB1">
            <w:pPr>
              <w:spacing w:line="300" w:lineRule="exact"/>
              <w:jc w:val="center"/>
              <w:rPr>
                <w:rFonts w:hint="default" w:ascii="宋体" w:hAnsi="宋体" w:eastAsia="仿宋_GB2312" w:cs="宋体"/>
                <w:sz w:val="24"/>
                <w:szCs w:val="24"/>
                <w:lang w:val="en-US" w:eastAsia="zh-CN"/>
              </w:rPr>
            </w:pPr>
            <w:r>
              <w:rPr>
                <w:rFonts w:hint="eastAsia" w:ascii="黑体" w:hAnsi="黑体" w:eastAsia="黑体" w:cs="黑体"/>
                <w:sz w:val="24"/>
                <w:szCs w:val="24"/>
                <w:lang w:val="en-US" w:eastAsia="zh-CN"/>
              </w:rPr>
              <w:t>100</w:t>
            </w:r>
          </w:p>
        </w:tc>
        <w:tc>
          <w:tcPr>
            <w:tcW w:w="993" w:type="dxa"/>
          </w:tcPr>
          <w:p w14:paraId="5E617ECE">
            <w:pPr>
              <w:spacing w:line="300" w:lineRule="exact"/>
              <w:rPr>
                <w:rFonts w:ascii="宋体" w:hAnsi="宋体" w:eastAsia="仿宋_GB2312" w:cs="宋体"/>
                <w:sz w:val="24"/>
                <w:szCs w:val="24"/>
              </w:rPr>
            </w:pPr>
          </w:p>
        </w:tc>
      </w:tr>
      <w:tr w14:paraId="0E3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0509896">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14:paraId="760DAE9D">
            <w:pPr>
              <w:spacing w:line="300" w:lineRule="exact"/>
              <w:rPr>
                <w:rFonts w:ascii="宋体" w:hAnsi="宋体" w:eastAsia="仿宋_GB2312" w:cs="宋体"/>
                <w:sz w:val="24"/>
                <w:szCs w:val="24"/>
                <w:lang w:val="en"/>
              </w:rPr>
            </w:pPr>
          </w:p>
        </w:tc>
        <w:tc>
          <w:tcPr>
            <w:tcW w:w="2861" w:type="dxa"/>
          </w:tcPr>
          <w:p w14:paraId="66BFC502">
            <w:pPr>
              <w:spacing w:line="300" w:lineRule="exact"/>
              <w:rPr>
                <w:rFonts w:ascii="宋体" w:hAnsi="宋体" w:eastAsia="仿宋_GB2312" w:cs="宋体"/>
                <w:sz w:val="24"/>
                <w:szCs w:val="24"/>
                <w:lang w:val="en"/>
              </w:rPr>
            </w:pPr>
          </w:p>
        </w:tc>
        <w:tc>
          <w:tcPr>
            <w:tcW w:w="993" w:type="dxa"/>
          </w:tcPr>
          <w:p w14:paraId="3AA61F0D">
            <w:pPr>
              <w:spacing w:line="300" w:lineRule="exact"/>
              <w:rPr>
                <w:rFonts w:ascii="宋体" w:hAnsi="宋体" w:eastAsia="仿宋_GB2312" w:cs="宋体"/>
                <w:sz w:val="24"/>
                <w:szCs w:val="24"/>
              </w:rPr>
            </w:pPr>
          </w:p>
        </w:tc>
      </w:tr>
      <w:tr w14:paraId="0976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0E8F2C86">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14:paraId="00203FB4">
            <w:pPr>
              <w:spacing w:line="300" w:lineRule="exact"/>
              <w:rPr>
                <w:rFonts w:ascii="宋体" w:hAnsi="宋体" w:eastAsia="仿宋_GB2312" w:cs="宋体"/>
                <w:sz w:val="24"/>
                <w:szCs w:val="24"/>
                <w:lang w:val="en"/>
              </w:rPr>
            </w:pPr>
          </w:p>
        </w:tc>
        <w:tc>
          <w:tcPr>
            <w:tcW w:w="2861" w:type="dxa"/>
          </w:tcPr>
          <w:p w14:paraId="39C4B4F0">
            <w:pPr>
              <w:spacing w:line="300" w:lineRule="exact"/>
              <w:rPr>
                <w:rFonts w:ascii="宋体" w:hAnsi="宋体" w:eastAsia="仿宋_GB2312" w:cs="宋体"/>
                <w:sz w:val="24"/>
                <w:szCs w:val="24"/>
                <w:lang w:val="en"/>
              </w:rPr>
            </w:pPr>
          </w:p>
        </w:tc>
        <w:tc>
          <w:tcPr>
            <w:tcW w:w="993" w:type="dxa"/>
          </w:tcPr>
          <w:p w14:paraId="58FFFE9B">
            <w:pPr>
              <w:spacing w:line="300" w:lineRule="exact"/>
              <w:rPr>
                <w:rFonts w:ascii="宋体" w:hAnsi="宋体" w:eastAsia="仿宋_GB2312" w:cs="宋体"/>
                <w:sz w:val="24"/>
                <w:szCs w:val="24"/>
              </w:rPr>
            </w:pPr>
          </w:p>
        </w:tc>
      </w:tr>
      <w:tr w14:paraId="3965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C0B3E6D">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14:paraId="2EBEC108">
            <w:pPr>
              <w:spacing w:line="300" w:lineRule="exact"/>
              <w:rPr>
                <w:rFonts w:ascii="宋体" w:hAnsi="宋体" w:eastAsia="仿宋_GB2312" w:cs="宋体"/>
                <w:sz w:val="24"/>
                <w:szCs w:val="24"/>
                <w:lang w:val="en"/>
              </w:rPr>
            </w:pPr>
          </w:p>
        </w:tc>
        <w:tc>
          <w:tcPr>
            <w:tcW w:w="2861" w:type="dxa"/>
          </w:tcPr>
          <w:p w14:paraId="45B164A1">
            <w:pPr>
              <w:spacing w:line="300" w:lineRule="exact"/>
              <w:rPr>
                <w:rFonts w:ascii="宋体" w:hAnsi="宋体" w:eastAsia="仿宋_GB2312" w:cs="宋体"/>
                <w:sz w:val="24"/>
                <w:szCs w:val="24"/>
                <w:lang w:val="en"/>
              </w:rPr>
            </w:pPr>
          </w:p>
        </w:tc>
        <w:tc>
          <w:tcPr>
            <w:tcW w:w="993" w:type="dxa"/>
          </w:tcPr>
          <w:p w14:paraId="45D996DF">
            <w:pPr>
              <w:spacing w:line="300" w:lineRule="exact"/>
              <w:rPr>
                <w:rFonts w:ascii="宋体" w:hAnsi="宋体" w:eastAsia="仿宋_GB2312" w:cs="宋体"/>
                <w:sz w:val="24"/>
                <w:szCs w:val="24"/>
              </w:rPr>
            </w:pPr>
          </w:p>
        </w:tc>
      </w:tr>
      <w:tr w14:paraId="2C89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8E55013">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14:paraId="2E845DBE">
            <w:pPr>
              <w:spacing w:line="300" w:lineRule="exact"/>
              <w:rPr>
                <w:rFonts w:ascii="宋体" w:hAnsi="宋体" w:eastAsia="仿宋_GB2312" w:cs="宋体"/>
                <w:sz w:val="24"/>
                <w:szCs w:val="24"/>
                <w:lang w:val="en"/>
              </w:rPr>
            </w:pPr>
          </w:p>
        </w:tc>
        <w:tc>
          <w:tcPr>
            <w:tcW w:w="2861" w:type="dxa"/>
          </w:tcPr>
          <w:p w14:paraId="7248583E">
            <w:pPr>
              <w:spacing w:line="300" w:lineRule="exact"/>
              <w:rPr>
                <w:rFonts w:ascii="宋体" w:hAnsi="宋体" w:eastAsia="仿宋_GB2312" w:cs="宋体"/>
                <w:sz w:val="24"/>
                <w:szCs w:val="24"/>
                <w:lang w:val="en"/>
              </w:rPr>
            </w:pPr>
          </w:p>
        </w:tc>
        <w:tc>
          <w:tcPr>
            <w:tcW w:w="993" w:type="dxa"/>
          </w:tcPr>
          <w:p w14:paraId="77A72F8E">
            <w:pPr>
              <w:spacing w:line="300" w:lineRule="exact"/>
              <w:rPr>
                <w:rFonts w:ascii="宋体" w:hAnsi="宋体" w:eastAsia="仿宋_GB2312" w:cs="宋体"/>
                <w:sz w:val="24"/>
                <w:szCs w:val="24"/>
              </w:rPr>
            </w:pPr>
          </w:p>
        </w:tc>
      </w:tr>
      <w:tr w14:paraId="654D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655279E">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14:paraId="40103147">
            <w:pPr>
              <w:spacing w:line="300" w:lineRule="exact"/>
              <w:rPr>
                <w:rFonts w:ascii="宋体" w:hAnsi="宋体" w:eastAsia="仿宋_GB2312" w:cs="宋体"/>
                <w:sz w:val="24"/>
                <w:szCs w:val="24"/>
                <w:lang w:val="en"/>
              </w:rPr>
            </w:pPr>
          </w:p>
        </w:tc>
        <w:tc>
          <w:tcPr>
            <w:tcW w:w="2861" w:type="dxa"/>
          </w:tcPr>
          <w:p w14:paraId="2D981003">
            <w:pPr>
              <w:spacing w:line="300" w:lineRule="exact"/>
              <w:rPr>
                <w:rFonts w:ascii="宋体" w:hAnsi="宋体" w:eastAsia="仿宋_GB2312" w:cs="宋体"/>
                <w:sz w:val="24"/>
                <w:szCs w:val="24"/>
                <w:lang w:val="en"/>
              </w:rPr>
            </w:pPr>
          </w:p>
        </w:tc>
        <w:tc>
          <w:tcPr>
            <w:tcW w:w="993" w:type="dxa"/>
          </w:tcPr>
          <w:p w14:paraId="6F950BFE">
            <w:pPr>
              <w:spacing w:line="300" w:lineRule="exact"/>
              <w:rPr>
                <w:rFonts w:ascii="宋体" w:hAnsi="宋体" w:eastAsia="仿宋_GB2312" w:cs="宋体"/>
                <w:sz w:val="24"/>
                <w:szCs w:val="24"/>
              </w:rPr>
            </w:pPr>
          </w:p>
        </w:tc>
      </w:tr>
      <w:tr w14:paraId="5AE8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E5DC481">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14:paraId="6AFE3439">
            <w:pPr>
              <w:spacing w:line="300" w:lineRule="exact"/>
              <w:rPr>
                <w:rFonts w:ascii="宋体" w:hAnsi="宋体" w:eastAsia="仿宋_GB2312" w:cs="宋体"/>
                <w:sz w:val="24"/>
                <w:szCs w:val="24"/>
                <w:lang w:val="en"/>
              </w:rPr>
            </w:pPr>
          </w:p>
        </w:tc>
        <w:tc>
          <w:tcPr>
            <w:tcW w:w="2861" w:type="dxa"/>
          </w:tcPr>
          <w:p w14:paraId="601B2790">
            <w:pPr>
              <w:spacing w:line="300" w:lineRule="exact"/>
              <w:rPr>
                <w:rFonts w:ascii="宋体" w:hAnsi="宋体" w:eastAsia="仿宋_GB2312" w:cs="宋体"/>
                <w:sz w:val="24"/>
                <w:szCs w:val="24"/>
                <w:lang w:val="en"/>
              </w:rPr>
            </w:pPr>
          </w:p>
        </w:tc>
        <w:tc>
          <w:tcPr>
            <w:tcW w:w="993" w:type="dxa"/>
          </w:tcPr>
          <w:p w14:paraId="09DF0BEF">
            <w:pPr>
              <w:spacing w:line="300" w:lineRule="exact"/>
              <w:rPr>
                <w:rFonts w:ascii="宋体" w:hAnsi="宋体" w:eastAsia="仿宋_GB2312" w:cs="宋体"/>
                <w:sz w:val="24"/>
                <w:szCs w:val="24"/>
              </w:rPr>
            </w:pPr>
          </w:p>
        </w:tc>
      </w:tr>
      <w:tr w14:paraId="2917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836D28C">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14:paraId="457E78E0">
            <w:pPr>
              <w:spacing w:line="300" w:lineRule="exact"/>
              <w:rPr>
                <w:rFonts w:ascii="宋体" w:hAnsi="宋体" w:eastAsia="仿宋_GB2312" w:cs="宋体"/>
                <w:sz w:val="24"/>
                <w:szCs w:val="24"/>
                <w:lang w:val="en"/>
              </w:rPr>
            </w:pPr>
          </w:p>
        </w:tc>
        <w:tc>
          <w:tcPr>
            <w:tcW w:w="2861" w:type="dxa"/>
          </w:tcPr>
          <w:p w14:paraId="7E809125">
            <w:pPr>
              <w:spacing w:line="300" w:lineRule="exact"/>
              <w:rPr>
                <w:rFonts w:ascii="宋体" w:hAnsi="宋体" w:eastAsia="仿宋_GB2312" w:cs="宋体"/>
                <w:sz w:val="24"/>
                <w:szCs w:val="24"/>
                <w:lang w:val="en"/>
              </w:rPr>
            </w:pPr>
          </w:p>
        </w:tc>
        <w:tc>
          <w:tcPr>
            <w:tcW w:w="993" w:type="dxa"/>
          </w:tcPr>
          <w:p w14:paraId="5F39FC1C">
            <w:pPr>
              <w:spacing w:line="300" w:lineRule="exact"/>
              <w:rPr>
                <w:rFonts w:ascii="宋体" w:hAnsi="宋体" w:eastAsia="仿宋_GB2312" w:cs="宋体"/>
                <w:sz w:val="24"/>
                <w:szCs w:val="24"/>
              </w:rPr>
            </w:pPr>
          </w:p>
        </w:tc>
      </w:tr>
      <w:tr w14:paraId="0F0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175BBC4">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14:paraId="7CBBA23D">
            <w:pPr>
              <w:spacing w:line="300" w:lineRule="exact"/>
              <w:rPr>
                <w:rFonts w:ascii="宋体" w:hAnsi="宋体" w:eastAsia="仿宋_GB2312" w:cs="宋体"/>
                <w:sz w:val="24"/>
                <w:szCs w:val="24"/>
                <w:lang w:val="en"/>
              </w:rPr>
            </w:pPr>
          </w:p>
        </w:tc>
        <w:tc>
          <w:tcPr>
            <w:tcW w:w="2861" w:type="dxa"/>
          </w:tcPr>
          <w:p w14:paraId="60434631">
            <w:pPr>
              <w:spacing w:line="300" w:lineRule="exact"/>
              <w:rPr>
                <w:rFonts w:ascii="宋体" w:hAnsi="宋体" w:eastAsia="仿宋_GB2312" w:cs="宋体"/>
                <w:sz w:val="24"/>
                <w:szCs w:val="24"/>
                <w:lang w:val="en"/>
              </w:rPr>
            </w:pPr>
          </w:p>
        </w:tc>
        <w:tc>
          <w:tcPr>
            <w:tcW w:w="993" w:type="dxa"/>
          </w:tcPr>
          <w:p w14:paraId="1E8B7BB8">
            <w:pPr>
              <w:spacing w:line="300" w:lineRule="exact"/>
              <w:rPr>
                <w:rFonts w:ascii="宋体" w:hAnsi="宋体" w:eastAsia="仿宋_GB2312" w:cs="宋体"/>
                <w:sz w:val="24"/>
                <w:szCs w:val="24"/>
              </w:rPr>
            </w:pPr>
          </w:p>
        </w:tc>
      </w:tr>
    </w:tbl>
    <w:p w14:paraId="7FB352EE">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备注：1.项目资金末端分配点位包括本部门、部门下属单位及一次性单位等。</w:t>
      </w:r>
    </w:p>
    <w:p w14:paraId="778D7808">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14:paraId="2AD9588A">
      <w:pPr>
        <w:spacing w:line="600" w:lineRule="exact"/>
        <w:jc w:val="center"/>
        <w:outlineLvl w:val="0"/>
        <w:rPr>
          <w:rFonts w:ascii="黑体" w:hAnsi="黑体" w:eastAsia="黑体"/>
          <w:color w:val="000000"/>
          <w:sz w:val="44"/>
          <w:szCs w:val="44"/>
        </w:rPr>
      </w:pPr>
    </w:p>
    <w:p w14:paraId="473DEC17">
      <w:pPr>
        <w:pStyle w:val="2"/>
        <w:rPr>
          <w:rFonts w:ascii="黑体" w:hAnsi="黑体" w:eastAsia="黑体"/>
          <w:color w:val="000000"/>
          <w:sz w:val="44"/>
          <w:szCs w:val="44"/>
        </w:rPr>
      </w:pPr>
    </w:p>
    <w:p w14:paraId="37EF8A2B">
      <w:pPr>
        <w:rPr>
          <w:rFonts w:ascii="黑体" w:hAnsi="黑体" w:eastAsia="黑体"/>
          <w:color w:val="000000"/>
          <w:sz w:val="44"/>
          <w:szCs w:val="44"/>
        </w:rPr>
      </w:pPr>
    </w:p>
    <w:p w14:paraId="16B11472">
      <w:pPr>
        <w:pStyle w:val="2"/>
        <w:rPr>
          <w:rFonts w:ascii="黑体" w:hAnsi="黑体" w:eastAsia="黑体"/>
          <w:color w:val="000000"/>
          <w:sz w:val="44"/>
          <w:szCs w:val="44"/>
        </w:rPr>
      </w:pPr>
    </w:p>
    <w:p w14:paraId="6DF66898">
      <w:pPr>
        <w:rPr>
          <w:rFonts w:ascii="黑体" w:hAnsi="黑体" w:eastAsia="黑体"/>
          <w:color w:val="000000"/>
          <w:sz w:val="44"/>
          <w:szCs w:val="44"/>
        </w:rPr>
      </w:pPr>
    </w:p>
    <w:p w14:paraId="504A2D19">
      <w:pPr>
        <w:pStyle w:val="2"/>
        <w:rPr>
          <w:rFonts w:ascii="黑体" w:hAnsi="黑体" w:eastAsia="黑体"/>
          <w:color w:val="000000"/>
          <w:sz w:val="44"/>
          <w:szCs w:val="44"/>
        </w:rPr>
      </w:pPr>
    </w:p>
    <w:p w14:paraId="5BA63842">
      <w:pPr>
        <w:rPr>
          <w:rFonts w:ascii="黑体" w:hAnsi="黑体" w:eastAsia="黑体"/>
          <w:color w:val="000000"/>
          <w:sz w:val="44"/>
          <w:szCs w:val="44"/>
        </w:rPr>
      </w:pPr>
    </w:p>
    <w:p w14:paraId="2679F920">
      <w:pPr>
        <w:pStyle w:val="2"/>
        <w:rPr>
          <w:rFonts w:ascii="黑体" w:hAnsi="黑体" w:eastAsia="黑体"/>
          <w:color w:val="000000"/>
          <w:sz w:val="44"/>
          <w:szCs w:val="44"/>
        </w:rPr>
      </w:pPr>
    </w:p>
    <w:p w14:paraId="40AB4455">
      <w:pPr>
        <w:pStyle w:val="2"/>
        <w:ind w:left="0" w:leftChars="0" w:firstLine="0" w:firstLineChars="0"/>
        <w:rPr>
          <w:rFonts w:ascii="黑体" w:hAnsi="黑体" w:eastAsia="黑体"/>
          <w:color w:val="000000"/>
          <w:sz w:val="44"/>
          <w:szCs w:val="44"/>
        </w:rPr>
      </w:pPr>
    </w:p>
    <w:p w14:paraId="26851418">
      <w:pPr>
        <w:rPr>
          <w:rFonts w:ascii="黑体" w:hAnsi="黑体" w:eastAsia="黑体"/>
          <w:color w:val="000000"/>
          <w:sz w:val="44"/>
          <w:szCs w:val="44"/>
        </w:rPr>
      </w:pPr>
    </w:p>
    <w:p w14:paraId="7FAEA768">
      <w:pPr>
        <w:pStyle w:val="2"/>
      </w:pPr>
    </w:p>
    <w:p w14:paraId="5B02BD94">
      <w:pPr>
        <w:pStyle w:val="2"/>
        <w:ind w:left="0" w:leftChars="0" w:firstLine="0" w:firstLineChars="0"/>
        <w:rPr>
          <w:rFonts w:hint="eastAsia"/>
          <w:lang w:eastAsia="zh-CN"/>
        </w:rPr>
      </w:pPr>
    </w:p>
    <w:p w14:paraId="233065EC">
      <w:pPr>
        <w:pStyle w:val="2"/>
        <w:ind w:left="0" w:leftChars="0" w:firstLine="0" w:firstLineChars="0"/>
        <w:rPr>
          <w:rFonts w:hint="eastAsia"/>
          <w:lang w:eastAsia="zh-CN"/>
        </w:rPr>
      </w:pPr>
    </w:p>
    <w:p w14:paraId="61A1E972">
      <w:pPr>
        <w:pStyle w:val="2"/>
        <w:ind w:left="0" w:leftChars="0" w:firstLine="0" w:firstLineChars="0"/>
        <w:rPr>
          <w:rFonts w:hint="default" w:eastAsia="仿宋_GB2312"/>
          <w:lang w:val="en-US" w:eastAsia="zh-CN"/>
        </w:rPr>
      </w:pPr>
      <w:r>
        <w:rPr>
          <w:rFonts w:hint="eastAsia"/>
          <w:lang w:eastAsia="zh-CN"/>
        </w:rPr>
        <w:t>附表</w:t>
      </w:r>
      <w:r>
        <w:rPr>
          <w:rFonts w:hint="eastAsia"/>
          <w:lang w:val="en-US" w:eastAsia="zh-CN"/>
        </w:rPr>
        <w:t>2</w:t>
      </w:r>
    </w:p>
    <w:tbl>
      <w:tblPr>
        <w:tblStyle w:val="23"/>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83"/>
        <w:gridCol w:w="907"/>
        <w:gridCol w:w="1095"/>
        <w:gridCol w:w="396"/>
        <w:gridCol w:w="778"/>
        <w:gridCol w:w="396"/>
        <w:gridCol w:w="846"/>
        <w:gridCol w:w="486"/>
        <w:gridCol w:w="486"/>
        <w:gridCol w:w="1271"/>
      </w:tblGrid>
      <w:tr w14:paraId="2245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881B3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41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0C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9B3A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51322323T000009698496-茂县供销合作社联合社2023年农资储备和价格补贴专项经费</w:t>
            </w:r>
          </w:p>
        </w:tc>
      </w:tr>
      <w:tr w14:paraId="6B51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24B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21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茂县供销合作社联合社本级</w:t>
            </w:r>
          </w:p>
        </w:tc>
        <w:tc>
          <w:tcPr>
            <w:tcW w:w="635" w:type="dxa"/>
            <w:tcBorders>
              <w:top w:val="nil"/>
              <w:left w:val="nil"/>
              <w:bottom w:val="nil"/>
              <w:right w:val="nil"/>
            </w:tcBorders>
            <w:shd w:val="clear" w:color="auto" w:fill="auto"/>
            <w:vAlign w:val="center"/>
          </w:tcPr>
          <w:p w14:paraId="0DF8B3B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34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茂县供销合作社联合社</w:t>
            </w:r>
          </w:p>
        </w:tc>
      </w:tr>
      <w:tr w14:paraId="0F3C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41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9DF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47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243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D0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0C3E">
            <w:pPr>
              <w:rPr>
                <w:rFonts w:hint="eastAsia" w:ascii="宋体" w:hAnsi="宋体" w:eastAsia="宋体" w:cs="宋体"/>
                <w:i w:val="0"/>
                <w:iCs w:val="0"/>
                <w:color w:val="000000"/>
                <w:sz w:val="18"/>
                <w:szCs w:val="1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9FAC">
            <w:pPr>
              <w:rPr>
                <w:rFonts w:hint="eastAsia" w:ascii="宋体" w:hAnsi="宋体" w:eastAsia="宋体" w:cs="宋体"/>
                <w:i w:val="0"/>
                <w:iCs w:val="0"/>
                <w:color w:val="000000"/>
                <w:sz w:val="18"/>
                <w:szCs w:val="18"/>
                <w:u w:val="none"/>
              </w:rPr>
            </w:pPr>
          </w:p>
        </w:tc>
        <w:tc>
          <w:tcPr>
            <w:tcW w:w="3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669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有效控制农资市场价格，统一配送，保证农民用上放心化肥产品的同时，有效杜绝假冒伪劣产品进入当地市场。切实保障全州农业生产需要促进农民增收，引导广大农民群众使用配方肥和有机肥，降低土地面源污染，推动我县绿色，生态农业发展。</w:t>
            </w:r>
          </w:p>
        </w:tc>
        <w:tc>
          <w:tcPr>
            <w:tcW w:w="2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6BE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严格按照年度目标任务执行，根据项目实施计划，完成年度目标任务。</w:t>
            </w:r>
          </w:p>
        </w:tc>
      </w:tr>
      <w:tr w14:paraId="34D5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421E">
            <w:pP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4A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14C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2023年农资储备和价格补贴专项经费”共计36万元。其中价格补贴资金28万，储备补贴资金8万用于资金占用利息。</w:t>
            </w:r>
          </w:p>
        </w:tc>
      </w:tr>
      <w:tr w14:paraId="056B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3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A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4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3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8D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8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A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05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BC64">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3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E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3A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3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7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2705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2A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5A62">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6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D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BC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D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3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2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D3D1">
            <w:pPr>
              <w:rPr>
                <w:rFonts w:hint="eastAsia" w:ascii="黑体" w:hAnsi="黑体" w:eastAsia="黑体" w:cs="黑体"/>
                <w:i/>
                <w:iCs/>
                <w:color w:val="000000"/>
                <w:sz w:val="18"/>
                <w:szCs w:val="18"/>
                <w:u w:val="none"/>
              </w:rPr>
            </w:pPr>
          </w:p>
        </w:tc>
      </w:tr>
      <w:tr w14:paraId="3835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60ED">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B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B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E1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5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80B5">
            <w:pPr>
              <w:rPr>
                <w:rFonts w:hint="eastAsia" w:ascii="黑体" w:hAnsi="黑体" w:eastAsia="黑体" w:cs="黑体"/>
                <w:i/>
                <w:iCs/>
                <w:color w:val="000000"/>
                <w:sz w:val="18"/>
                <w:szCs w:val="18"/>
                <w:u w:val="none"/>
              </w:rPr>
            </w:pPr>
          </w:p>
        </w:tc>
      </w:tr>
      <w:tr w14:paraId="3216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3B0A">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8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E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89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5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825D0">
            <w:pPr>
              <w:rPr>
                <w:rFonts w:hint="eastAsia" w:ascii="黑体" w:hAnsi="黑体" w:eastAsia="黑体" w:cs="黑体"/>
                <w:i/>
                <w:iCs/>
                <w:color w:val="000000"/>
                <w:sz w:val="18"/>
                <w:szCs w:val="18"/>
                <w:u w:val="none"/>
              </w:rPr>
            </w:pPr>
          </w:p>
        </w:tc>
      </w:tr>
      <w:tr w14:paraId="6001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EBF21">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7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0B11">
            <w:pPr>
              <w:jc w:val="center"/>
              <w:rPr>
                <w:rFonts w:hint="eastAsia" w:ascii="微软雅黑" w:hAnsi="微软雅黑" w:eastAsia="微软雅黑" w:cs="微软雅黑"/>
                <w:i/>
                <w:iCs/>
                <w:color w:val="000000"/>
                <w:sz w:val="16"/>
                <w:szCs w:val="16"/>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8B8E">
            <w:pPr>
              <w:jc w:val="center"/>
              <w:rPr>
                <w:rFonts w:hint="eastAsia" w:ascii="微软雅黑" w:hAnsi="微软雅黑" w:eastAsia="微软雅黑" w:cs="微软雅黑"/>
                <w:i/>
                <w:iCs/>
                <w:color w:val="000000"/>
                <w:sz w:val="16"/>
                <w:szCs w:val="16"/>
                <w:u w:val="none"/>
              </w:rPr>
            </w:pP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35FF2">
            <w:pPr>
              <w:jc w:val="center"/>
              <w:rPr>
                <w:rFonts w:hint="eastAsia" w:ascii="微软雅黑" w:hAnsi="微软雅黑" w:eastAsia="微软雅黑" w:cs="微软雅黑"/>
                <w:i/>
                <w:iCs/>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3A10">
            <w:pPr>
              <w:jc w:val="center"/>
              <w:rPr>
                <w:rFonts w:hint="eastAsia" w:ascii="微软雅黑" w:hAnsi="微软雅黑" w:eastAsia="微软雅黑" w:cs="微软雅黑"/>
                <w:i/>
                <w:iCs/>
                <w:color w:val="000000"/>
                <w:sz w:val="16"/>
                <w:szCs w:val="16"/>
                <w:u w:val="none"/>
              </w:rPr>
            </w:pP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3B11">
            <w:pPr>
              <w:rPr>
                <w:rFonts w:hint="eastAsia" w:ascii="黑体" w:hAnsi="黑体" w:eastAsia="黑体" w:cs="黑体"/>
                <w:i/>
                <w:iCs/>
                <w:color w:val="000000"/>
                <w:sz w:val="18"/>
                <w:szCs w:val="18"/>
                <w:u w:val="none"/>
              </w:rPr>
            </w:pPr>
          </w:p>
        </w:tc>
      </w:tr>
      <w:tr w14:paraId="51A8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2A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7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3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A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6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4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1E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FBB6">
            <w:pPr>
              <w:jc w:val="center"/>
              <w:rPr>
                <w:rFonts w:hint="eastAsia" w:ascii="宋体" w:hAnsi="宋体" w:eastAsia="宋体" w:cs="宋体"/>
                <w:i w:val="0"/>
                <w:iCs w:val="0"/>
                <w:color w:val="000000"/>
                <w:sz w:val="18"/>
                <w:szCs w:val="18"/>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3F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B5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有机肥、复合肥销售增长率</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5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3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0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F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A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C144">
            <w:pPr>
              <w:jc w:val="center"/>
              <w:rPr>
                <w:rFonts w:hint="eastAsia" w:ascii="微软雅黑" w:hAnsi="微软雅黑" w:eastAsia="微软雅黑" w:cs="微软雅黑"/>
                <w:i/>
                <w:iCs/>
                <w:color w:val="000000"/>
                <w:sz w:val="16"/>
                <w:szCs w:val="16"/>
                <w:u w:val="none"/>
              </w:rPr>
            </w:pPr>
          </w:p>
        </w:tc>
      </w:tr>
      <w:tr w14:paraId="125A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0CBA">
            <w:pPr>
              <w:jc w:val="center"/>
              <w:rPr>
                <w:rFonts w:hint="eastAsia" w:ascii="宋体" w:hAnsi="宋体" w:eastAsia="宋体" w:cs="宋体"/>
                <w:i w:val="0"/>
                <w:iCs w:val="0"/>
                <w:color w:val="000000"/>
                <w:sz w:val="18"/>
                <w:szCs w:val="18"/>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7241">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07E3">
            <w:pPr>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9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全年农资销售增长率</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F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B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4C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C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4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C8A">
            <w:pPr>
              <w:jc w:val="center"/>
              <w:rPr>
                <w:rFonts w:hint="eastAsia" w:ascii="微软雅黑" w:hAnsi="微软雅黑" w:eastAsia="微软雅黑" w:cs="微软雅黑"/>
                <w:i/>
                <w:iCs/>
                <w:color w:val="000000"/>
                <w:sz w:val="16"/>
                <w:szCs w:val="16"/>
                <w:u w:val="none"/>
              </w:rPr>
            </w:pPr>
          </w:p>
        </w:tc>
      </w:tr>
      <w:tr w14:paraId="5BF4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8CB2">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9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F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按满100元补贴5元的标准执行（未满100不享受补贴）</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5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2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F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E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2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9509">
            <w:pPr>
              <w:jc w:val="center"/>
              <w:rPr>
                <w:rFonts w:hint="eastAsia" w:ascii="微软雅黑" w:hAnsi="微软雅黑" w:eastAsia="微软雅黑" w:cs="微软雅黑"/>
                <w:i/>
                <w:iCs/>
                <w:color w:val="000000"/>
                <w:sz w:val="16"/>
                <w:szCs w:val="16"/>
                <w:u w:val="none"/>
              </w:rPr>
            </w:pPr>
          </w:p>
        </w:tc>
      </w:tr>
      <w:tr w14:paraId="056D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15CB">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9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农户、受益群众对该项目的满意度</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0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9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7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5BCF">
            <w:pPr>
              <w:jc w:val="center"/>
              <w:rPr>
                <w:rFonts w:hint="eastAsia" w:ascii="微软雅黑" w:hAnsi="微软雅黑" w:eastAsia="微软雅黑" w:cs="微软雅黑"/>
                <w:i/>
                <w:iCs/>
                <w:color w:val="000000"/>
                <w:sz w:val="16"/>
                <w:szCs w:val="16"/>
                <w:u w:val="none"/>
              </w:rPr>
            </w:pPr>
          </w:p>
        </w:tc>
      </w:tr>
      <w:tr w14:paraId="1880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1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986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F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B3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6BE">
            <w:pPr>
              <w:rPr>
                <w:rFonts w:hint="eastAsia" w:ascii="宋体" w:hAnsi="宋体" w:eastAsia="宋体" w:cs="宋体"/>
                <w:i w:val="0"/>
                <w:iCs w:val="0"/>
                <w:color w:val="000000"/>
                <w:sz w:val="18"/>
                <w:szCs w:val="18"/>
                <w:u w:val="none"/>
              </w:rPr>
            </w:pPr>
          </w:p>
        </w:tc>
      </w:tr>
      <w:tr w14:paraId="5F6E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1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C6A4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茂县供销合作社联合社2023年农资储备和价格补贴专项经费严格按照《阿坝州财政局、阿坝州供销社关于下达2023年农资储备和价格补贴专项经费的通知》（阿州财农〔2023〕28号）要求实施，下达资金与规划一致，完成目标任务，完成绩效目标，资金使用合规。综合自评得分100分。</w:t>
            </w:r>
          </w:p>
        </w:tc>
      </w:tr>
      <w:tr w14:paraId="2483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C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B08E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51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8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62F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80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04F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项目负责人：何福涛</w:t>
            </w:r>
          </w:p>
        </w:tc>
        <w:tc>
          <w:tcPr>
            <w:tcW w:w="3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516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财务负责人：李婷</w:t>
            </w:r>
          </w:p>
        </w:tc>
      </w:tr>
    </w:tbl>
    <w:p w14:paraId="79A93272">
      <w:pPr>
        <w:spacing w:line="600" w:lineRule="exact"/>
        <w:jc w:val="center"/>
        <w:outlineLvl w:val="0"/>
        <w:rPr>
          <w:rFonts w:hint="eastAsia" w:ascii="方正小标宋简体" w:hAnsi="方正小标宋简体" w:eastAsia="方正小标宋简体" w:cs="方正小标宋简体"/>
          <w:color w:val="000000"/>
          <w:sz w:val="44"/>
          <w:szCs w:val="44"/>
        </w:rPr>
      </w:pPr>
    </w:p>
    <w:p w14:paraId="517022C4">
      <w:pPr>
        <w:spacing w:line="600" w:lineRule="exact"/>
        <w:jc w:val="center"/>
        <w:outlineLvl w:val="0"/>
        <w:rPr>
          <w:rFonts w:hint="eastAsia" w:ascii="方正小标宋简体" w:hAnsi="方正小标宋简体" w:eastAsia="方正小标宋简体" w:cs="方正小标宋简体"/>
          <w:color w:val="000000"/>
          <w:sz w:val="44"/>
          <w:szCs w:val="44"/>
        </w:rPr>
      </w:pPr>
    </w:p>
    <w:p w14:paraId="1706A35C">
      <w:pPr>
        <w:spacing w:line="600" w:lineRule="exact"/>
        <w:jc w:val="center"/>
        <w:outlineLvl w:val="0"/>
        <w:rPr>
          <w:rFonts w:hint="eastAsia" w:ascii="方正小标宋简体" w:hAnsi="方正小标宋简体" w:eastAsia="方正小标宋简体" w:cs="方正小标宋简体"/>
          <w:color w:val="000000"/>
          <w:sz w:val="44"/>
          <w:szCs w:val="44"/>
        </w:rPr>
      </w:pPr>
    </w:p>
    <w:p w14:paraId="0716A940">
      <w:pPr>
        <w:spacing w:line="600" w:lineRule="exact"/>
        <w:jc w:val="center"/>
        <w:outlineLvl w:val="0"/>
        <w:rPr>
          <w:rFonts w:hint="eastAsia" w:ascii="方正小标宋简体" w:hAnsi="方正小标宋简体" w:eastAsia="方正小标宋简体" w:cs="方正小标宋简体"/>
          <w:color w:val="000000"/>
          <w:sz w:val="44"/>
          <w:szCs w:val="44"/>
        </w:rPr>
      </w:pPr>
    </w:p>
    <w:p w14:paraId="453B2888">
      <w:pPr>
        <w:spacing w:line="600" w:lineRule="exact"/>
        <w:jc w:val="center"/>
        <w:outlineLvl w:val="0"/>
        <w:rPr>
          <w:rFonts w:hint="eastAsia" w:ascii="方正小标宋简体" w:hAnsi="方正小标宋简体" w:eastAsia="方正小标宋简体" w:cs="方正小标宋简体"/>
          <w:color w:val="000000"/>
          <w:sz w:val="44"/>
          <w:szCs w:val="44"/>
        </w:rPr>
      </w:pPr>
    </w:p>
    <w:p w14:paraId="41AD9653">
      <w:pPr>
        <w:spacing w:line="600" w:lineRule="exact"/>
        <w:jc w:val="center"/>
        <w:outlineLvl w:val="0"/>
        <w:rPr>
          <w:rFonts w:hint="eastAsia" w:ascii="方正小标宋简体" w:hAnsi="方正小标宋简体" w:eastAsia="方正小标宋简体" w:cs="方正小标宋简体"/>
          <w:color w:val="000000"/>
          <w:sz w:val="44"/>
          <w:szCs w:val="44"/>
        </w:rPr>
      </w:pPr>
    </w:p>
    <w:p w14:paraId="4E115E63">
      <w:pPr>
        <w:spacing w:line="600" w:lineRule="exact"/>
        <w:jc w:val="center"/>
        <w:outlineLvl w:val="0"/>
        <w:rPr>
          <w:rFonts w:hint="eastAsia" w:ascii="方正小标宋简体" w:hAnsi="方正小标宋简体" w:eastAsia="方正小标宋简体" w:cs="方正小标宋简体"/>
          <w:color w:val="000000"/>
          <w:sz w:val="44"/>
          <w:szCs w:val="44"/>
        </w:rPr>
      </w:pPr>
    </w:p>
    <w:p w14:paraId="356A7D7A">
      <w:pPr>
        <w:keepNext w:val="0"/>
        <w:keepLines w:val="0"/>
        <w:pageBreakBefore w:val="0"/>
        <w:widowControl w:val="0"/>
        <w:kinsoku/>
        <w:wordWrap/>
        <w:overflowPunct/>
        <w:topLinePunct w:val="0"/>
        <w:bidi w:val="0"/>
        <w:snapToGrid/>
        <w:spacing w:line="576" w:lineRule="exact"/>
        <w:jc w:val="center"/>
        <w:textAlignment w:val="auto"/>
        <w:outlineLvl w:val="0"/>
        <w:rPr>
          <w:rFonts w:hint="eastAsia" w:ascii="方正小标宋简体" w:hAnsi="方正小标宋简体" w:eastAsia="方正小标宋简体" w:cs="方正小标宋简体"/>
          <w:color w:val="000000"/>
          <w:sz w:val="44"/>
          <w:szCs w:val="44"/>
        </w:rPr>
      </w:pPr>
    </w:p>
    <w:p w14:paraId="172026CC">
      <w:pPr>
        <w:keepNext w:val="0"/>
        <w:keepLines w:val="0"/>
        <w:pageBreakBefore w:val="0"/>
        <w:widowControl w:val="0"/>
        <w:kinsoku/>
        <w:wordWrap/>
        <w:overflowPunct/>
        <w:topLinePunct w:val="0"/>
        <w:bidi w:val="0"/>
        <w:snapToGrid/>
        <w:spacing w:line="576" w:lineRule="exact"/>
        <w:jc w:val="center"/>
        <w:textAlignment w:val="auto"/>
        <w:outlineLvl w:val="0"/>
        <w:rPr>
          <w:rFonts w:hint="eastAsia" w:ascii="方正小标宋简体" w:hAnsi="方正小标宋简体" w:eastAsia="方正小标宋简体" w:cs="方正小标宋简体"/>
          <w:color w:val="000000"/>
          <w:sz w:val="44"/>
          <w:szCs w:val="44"/>
        </w:rPr>
      </w:pPr>
    </w:p>
    <w:p w14:paraId="46BEA3E3">
      <w:pPr>
        <w:keepNext w:val="0"/>
        <w:keepLines w:val="0"/>
        <w:pageBreakBefore w:val="0"/>
        <w:widowControl w:val="0"/>
        <w:kinsoku/>
        <w:wordWrap/>
        <w:overflowPunct/>
        <w:topLinePunct w:val="0"/>
        <w:bidi w:val="0"/>
        <w:snapToGrid/>
        <w:spacing w:line="576" w:lineRule="exact"/>
        <w:jc w:val="center"/>
        <w:textAlignment w:val="auto"/>
        <w:outlineLvl w:val="0"/>
        <w:rPr>
          <w:rFonts w:hint="eastAsia" w:ascii="方正小标宋简体" w:hAnsi="方正小标宋简体" w:eastAsia="方正小标宋简体" w:cs="方正小标宋简体"/>
          <w:color w:val="000000"/>
          <w:sz w:val="44"/>
          <w:szCs w:val="44"/>
        </w:rPr>
      </w:pPr>
    </w:p>
    <w:p w14:paraId="13876406">
      <w:pPr>
        <w:keepNext w:val="0"/>
        <w:keepLines w:val="0"/>
        <w:pageBreakBefore w:val="0"/>
        <w:widowControl w:val="0"/>
        <w:kinsoku/>
        <w:wordWrap/>
        <w:overflowPunct/>
        <w:topLinePunct w:val="0"/>
        <w:bidi w:val="0"/>
        <w:snapToGrid/>
        <w:spacing w:line="576" w:lineRule="exact"/>
        <w:jc w:val="center"/>
        <w:textAlignment w:val="auto"/>
        <w:outlineLvl w:val="0"/>
        <w:rPr>
          <w:rStyle w:val="28"/>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28"/>
          <w:rFonts w:hint="eastAsia" w:ascii="方正小标宋简体" w:hAnsi="方正小标宋简体" w:eastAsia="方正小标宋简体" w:cs="方正小标宋简体"/>
          <w:b w:val="0"/>
        </w:rPr>
        <w:t>五部分 附表</w:t>
      </w:r>
      <w:bookmarkEnd w:id="104"/>
      <w:bookmarkEnd w:id="105"/>
      <w:bookmarkEnd w:id="106"/>
      <w:bookmarkEnd w:id="107"/>
    </w:p>
    <w:p w14:paraId="4DCA4E9B">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zh-CN"/>
        </w:rPr>
      </w:pPr>
      <w:bookmarkStart w:id="108" w:name="_Toc12986"/>
      <w:bookmarkStart w:id="109" w:name="_Toc26370"/>
    </w:p>
    <w:p w14:paraId="37A5DCDC">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r>
        <w:rPr>
          <w:rFonts w:hint="eastAsia" w:ascii="仿宋_GB2312" w:hAnsi="Times New Roman" w:eastAsia="仿宋_GB2312" w:cs="Times New Roman"/>
          <w:color w:val="auto"/>
          <w:kern w:val="2"/>
          <w:sz w:val="32"/>
          <w:szCs w:val="32"/>
          <w:lang w:val="zh-CN"/>
        </w:rPr>
        <w:t>一、收入支出决算总表</w:t>
      </w:r>
      <w:bookmarkEnd w:id="108"/>
      <w:bookmarkEnd w:id="109"/>
    </w:p>
    <w:p w14:paraId="12C15976">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0" w:name="_Toc13062"/>
      <w:bookmarkStart w:id="111" w:name="_Toc13591"/>
      <w:r>
        <w:rPr>
          <w:rFonts w:hint="eastAsia" w:ascii="仿宋_GB2312" w:hAnsi="Times New Roman" w:eastAsia="仿宋_GB2312" w:cs="Times New Roman"/>
          <w:color w:val="auto"/>
          <w:kern w:val="2"/>
          <w:sz w:val="32"/>
          <w:szCs w:val="32"/>
          <w:lang w:val="zh-CN"/>
        </w:rPr>
        <w:t>二、收入决算表</w:t>
      </w:r>
      <w:bookmarkEnd w:id="110"/>
      <w:bookmarkEnd w:id="111"/>
    </w:p>
    <w:p w14:paraId="45E18177">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2" w:name="_Toc29688"/>
      <w:bookmarkStart w:id="113" w:name="_Toc16600"/>
      <w:r>
        <w:rPr>
          <w:rFonts w:hint="eastAsia" w:ascii="仿宋_GB2312" w:hAnsi="Times New Roman" w:eastAsia="仿宋_GB2312" w:cs="Times New Roman"/>
          <w:color w:val="auto"/>
          <w:kern w:val="2"/>
          <w:sz w:val="32"/>
          <w:szCs w:val="32"/>
          <w:lang w:val="zh-CN"/>
        </w:rPr>
        <w:t>三、支出决算表</w:t>
      </w:r>
      <w:bookmarkEnd w:id="112"/>
      <w:bookmarkEnd w:id="113"/>
    </w:p>
    <w:p w14:paraId="63CF442B">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4" w:name="_Toc5964"/>
      <w:bookmarkStart w:id="115" w:name="_Toc26630"/>
      <w:r>
        <w:rPr>
          <w:rFonts w:hint="eastAsia" w:ascii="仿宋_GB2312" w:hAnsi="Times New Roman" w:eastAsia="仿宋_GB2312" w:cs="Times New Roman"/>
          <w:color w:val="auto"/>
          <w:kern w:val="2"/>
          <w:sz w:val="32"/>
          <w:szCs w:val="32"/>
          <w:lang w:val="zh-CN"/>
        </w:rPr>
        <w:t>四、财政拨款收入支出决算总表</w:t>
      </w:r>
      <w:bookmarkEnd w:id="114"/>
      <w:bookmarkEnd w:id="115"/>
    </w:p>
    <w:p w14:paraId="38DABB41">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6" w:name="_Toc14273"/>
      <w:bookmarkStart w:id="117" w:name="_Toc19934"/>
      <w:r>
        <w:rPr>
          <w:rFonts w:hint="eastAsia" w:ascii="仿宋_GB2312" w:hAnsi="Times New Roman" w:eastAsia="仿宋_GB2312" w:cs="Times New Roman"/>
          <w:color w:val="auto"/>
          <w:kern w:val="2"/>
          <w:sz w:val="32"/>
          <w:szCs w:val="32"/>
          <w:lang w:val="zh-CN"/>
        </w:rPr>
        <w:t>五、财政拨款支出决算明细表</w:t>
      </w:r>
      <w:bookmarkEnd w:id="116"/>
      <w:bookmarkEnd w:id="117"/>
    </w:p>
    <w:p w14:paraId="70F3CF49">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8" w:name="_Toc16449"/>
      <w:bookmarkStart w:id="119" w:name="_Toc6686"/>
      <w:r>
        <w:rPr>
          <w:rFonts w:hint="eastAsia" w:ascii="仿宋_GB2312" w:hAnsi="Times New Roman" w:eastAsia="仿宋_GB2312" w:cs="Times New Roman"/>
          <w:color w:val="auto"/>
          <w:kern w:val="2"/>
          <w:sz w:val="32"/>
          <w:szCs w:val="32"/>
          <w:lang w:val="zh-CN"/>
        </w:rPr>
        <w:t>六、一般公共预算财政拨款支出决算表</w:t>
      </w:r>
      <w:bookmarkEnd w:id="118"/>
      <w:bookmarkEnd w:id="119"/>
    </w:p>
    <w:p w14:paraId="06AFD961">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0" w:name="_Toc3478"/>
      <w:bookmarkStart w:id="121" w:name="_Toc19514"/>
      <w:r>
        <w:rPr>
          <w:rFonts w:hint="eastAsia" w:ascii="仿宋_GB2312" w:hAnsi="Times New Roman" w:eastAsia="仿宋_GB2312" w:cs="Times New Roman"/>
          <w:color w:val="auto"/>
          <w:kern w:val="2"/>
          <w:sz w:val="32"/>
          <w:szCs w:val="32"/>
          <w:lang w:val="zh-CN"/>
        </w:rPr>
        <w:t>七、一般公共预算财政拨款支出决算明细表</w:t>
      </w:r>
      <w:bookmarkEnd w:id="120"/>
      <w:bookmarkEnd w:id="121"/>
    </w:p>
    <w:p w14:paraId="2145E2F3">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2" w:name="_Toc17352"/>
      <w:bookmarkStart w:id="123" w:name="_Toc191"/>
      <w:r>
        <w:rPr>
          <w:rFonts w:hint="eastAsia" w:ascii="仿宋_GB2312" w:hAnsi="Times New Roman" w:eastAsia="仿宋_GB2312" w:cs="Times New Roman"/>
          <w:color w:val="auto"/>
          <w:kern w:val="2"/>
          <w:sz w:val="32"/>
          <w:szCs w:val="32"/>
          <w:lang w:val="zh-CN"/>
        </w:rPr>
        <w:t>八、一般公共预算财政拨款基本支出决算表</w:t>
      </w:r>
      <w:bookmarkEnd w:id="122"/>
      <w:bookmarkEnd w:id="123"/>
    </w:p>
    <w:p w14:paraId="519295FD">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4" w:name="_Toc3726"/>
      <w:bookmarkStart w:id="125" w:name="_Toc5204"/>
      <w:r>
        <w:rPr>
          <w:rFonts w:hint="eastAsia" w:ascii="仿宋_GB2312" w:hAnsi="Times New Roman" w:eastAsia="仿宋_GB2312" w:cs="Times New Roman"/>
          <w:color w:val="auto"/>
          <w:kern w:val="2"/>
          <w:sz w:val="32"/>
          <w:szCs w:val="32"/>
          <w:lang w:val="zh-CN"/>
        </w:rPr>
        <w:t>九、一般公共预算财政拨款项目支出决算表</w:t>
      </w:r>
      <w:bookmarkEnd w:id="124"/>
      <w:bookmarkEnd w:id="125"/>
    </w:p>
    <w:p w14:paraId="6C378133">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6" w:name="_Toc20056"/>
      <w:bookmarkStart w:id="127" w:name="_Toc20756"/>
      <w:r>
        <w:rPr>
          <w:rFonts w:hint="eastAsia" w:ascii="仿宋_GB2312" w:hAnsi="Times New Roman" w:eastAsia="仿宋_GB2312" w:cs="Times New Roman"/>
          <w:color w:val="auto"/>
          <w:kern w:val="2"/>
          <w:sz w:val="32"/>
          <w:szCs w:val="32"/>
          <w:lang w:val="zh-CN"/>
        </w:rPr>
        <w:t>十、政府性基金预算财政拨款收入支出决算表</w:t>
      </w:r>
      <w:bookmarkEnd w:id="126"/>
      <w:bookmarkEnd w:id="127"/>
    </w:p>
    <w:p w14:paraId="7F68B0C8">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8" w:name="_Toc13849"/>
      <w:bookmarkStart w:id="129" w:name="_Toc21387"/>
      <w:r>
        <w:rPr>
          <w:rFonts w:hint="eastAsia" w:ascii="仿宋_GB2312" w:hAnsi="Times New Roman" w:eastAsia="仿宋_GB2312" w:cs="Times New Roman"/>
          <w:color w:val="auto"/>
          <w:kern w:val="2"/>
          <w:sz w:val="32"/>
          <w:szCs w:val="32"/>
          <w:lang w:val="zh-CN"/>
        </w:rPr>
        <w:t>十一、国有资本经营预算财政拨款收入支出决算表</w:t>
      </w:r>
      <w:bookmarkEnd w:id="128"/>
      <w:bookmarkEnd w:id="129"/>
    </w:p>
    <w:p w14:paraId="1A78619D">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30" w:name="_Toc13099"/>
      <w:bookmarkStart w:id="131" w:name="_Toc1140"/>
      <w:r>
        <w:rPr>
          <w:rFonts w:hint="eastAsia" w:ascii="仿宋_GB2312" w:hAnsi="Times New Roman" w:eastAsia="仿宋_GB2312" w:cs="Times New Roman"/>
          <w:color w:val="auto"/>
          <w:kern w:val="2"/>
          <w:sz w:val="32"/>
          <w:szCs w:val="32"/>
          <w:lang w:val="zh-CN"/>
        </w:rPr>
        <w:t>十二、国有资本经营预算财政拨款支出决算表</w:t>
      </w:r>
      <w:bookmarkEnd w:id="130"/>
      <w:bookmarkEnd w:id="131"/>
    </w:p>
    <w:p w14:paraId="57555D58">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32" w:name="_Toc24957"/>
      <w:bookmarkStart w:id="133" w:name="_Toc25065"/>
      <w:r>
        <w:rPr>
          <w:rFonts w:hint="eastAsia" w:ascii="仿宋_GB2312" w:hAnsi="Times New Roman" w:eastAsia="仿宋_GB2312" w:cs="Times New Roman"/>
          <w:color w:val="auto"/>
          <w:kern w:val="2"/>
          <w:sz w:val="32"/>
          <w:szCs w:val="32"/>
          <w:lang w:val="zh-CN"/>
        </w:rPr>
        <w:t>十三、财政拨款“三公”经费支出决算表</w:t>
      </w:r>
      <w:bookmarkEnd w:id="132"/>
      <w:bookmarkEnd w:id="133"/>
    </w:p>
    <w:p w14:paraId="33E03117">
      <w:pPr>
        <w:pStyle w:val="38"/>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D74D">
    <w:pPr>
      <w:pStyle w:val="14"/>
      <w:jc w:val="center"/>
    </w:pPr>
    <w:r>
      <w:fldChar w:fldCharType="begin"/>
    </w:r>
    <w:r>
      <w:instrText xml:space="preserve">PAGE   \* MERGEFORMAT</w:instrText>
    </w:r>
    <w:r>
      <w:fldChar w:fldCharType="separate"/>
    </w:r>
    <w:r>
      <w:t>42</w:t>
    </w:r>
    <w:r>
      <w:fldChar w:fldCharType="end"/>
    </w:r>
  </w:p>
  <w:p w14:paraId="509B207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21D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F8851"/>
    <w:multiLevelType w:val="singleLevel"/>
    <w:tmpl w:val="866F8851"/>
    <w:lvl w:ilvl="0" w:tentative="0">
      <w:start w:val="1"/>
      <w:numFmt w:val="chineseCounting"/>
      <w:suff w:val="nothing"/>
      <w:lvlText w:val="%1、"/>
      <w:lvlJc w:val="left"/>
      <w:rPr>
        <w:rFonts w:hint="eastAsia"/>
      </w:rPr>
    </w:lvl>
  </w:abstractNum>
  <w:abstractNum w:abstractNumId="1">
    <w:nsid w:val="D7B45A94"/>
    <w:multiLevelType w:val="singleLevel"/>
    <w:tmpl w:val="D7B45A94"/>
    <w:lvl w:ilvl="0" w:tentative="0">
      <w:start w:val="2"/>
      <w:numFmt w:val="decimal"/>
      <w:lvlText w:val="%1."/>
      <w:lvlJc w:val="left"/>
      <w:pPr>
        <w:tabs>
          <w:tab w:val="left" w:pos="312"/>
        </w:tabs>
      </w:pPr>
    </w:lvl>
  </w:abstractNum>
  <w:abstractNum w:abstractNumId="2">
    <w:nsid w:val="EAFFBD75"/>
    <w:multiLevelType w:val="singleLevel"/>
    <w:tmpl w:val="EAFFBD75"/>
    <w:lvl w:ilvl="0" w:tentative="0">
      <w:start w:val="4"/>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VkZDQzMmMwZTY5MDM0NDIxMWYyNDdjYWI4MDEifQ=="/>
  </w:docVars>
  <w:rsids>
    <w:rsidRoot w:val="00F1361C"/>
    <w:rsid w:val="00021DB1"/>
    <w:rsid w:val="000222C6"/>
    <w:rsid w:val="0002549F"/>
    <w:rsid w:val="00027DEB"/>
    <w:rsid w:val="00044C87"/>
    <w:rsid w:val="000468DB"/>
    <w:rsid w:val="00053F64"/>
    <w:rsid w:val="00054949"/>
    <w:rsid w:val="0006487A"/>
    <w:rsid w:val="00065F8F"/>
    <w:rsid w:val="0006617C"/>
    <w:rsid w:val="00070545"/>
    <w:rsid w:val="00070A43"/>
    <w:rsid w:val="000768F2"/>
    <w:rsid w:val="0008563A"/>
    <w:rsid w:val="0009184B"/>
    <w:rsid w:val="00094236"/>
    <w:rsid w:val="0009593C"/>
    <w:rsid w:val="00097322"/>
    <w:rsid w:val="000A6A92"/>
    <w:rsid w:val="000B047F"/>
    <w:rsid w:val="000B5923"/>
    <w:rsid w:val="000B5A48"/>
    <w:rsid w:val="000B6FF3"/>
    <w:rsid w:val="000B7527"/>
    <w:rsid w:val="000C22C0"/>
    <w:rsid w:val="000C3467"/>
    <w:rsid w:val="000C3CA6"/>
    <w:rsid w:val="000D1267"/>
    <w:rsid w:val="000D1D50"/>
    <w:rsid w:val="000D5782"/>
    <w:rsid w:val="000E188B"/>
    <w:rsid w:val="000E6613"/>
    <w:rsid w:val="000E7119"/>
    <w:rsid w:val="000F20FF"/>
    <w:rsid w:val="001006D2"/>
    <w:rsid w:val="00114E9B"/>
    <w:rsid w:val="00115301"/>
    <w:rsid w:val="0012556E"/>
    <w:rsid w:val="0013189E"/>
    <w:rsid w:val="001319E1"/>
    <w:rsid w:val="00142216"/>
    <w:rsid w:val="00143AAE"/>
    <w:rsid w:val="00144D6A"/>
    <w:rsid w:val="0014729F"/>
    <w:rsid w:val="00157BAB"/>
    <w:rsid w:val="001654D1"/>
    <w:rsid w:val="00174518"/>
    <w:rsid w:val="0018106D"/>
    <w:rsid w:val="001877A7"/>
    <w:rsid w:val="00191536"/>
    <w:rsid w:val="001939B7"/>
    <w:rsid w:val="00195548"/>
    <w:rsid w:val="00196687"/>
    <w:rsid w:val="00196750"/>
    <w:rsid w:val="00197E9F"/>
    <w:rsid w:val="001C0962"/>
    <w:rsid w:val="001C2BFE"/>
    <w:rsid w:val="001D7531"/>
    <w:rsid w:val="001E737D"/>
    <w:rsid w:val="001F0592"/>
    <w:rsid w:val="001F7506"/>
    <w:rsid w:val="002006CD"/>
    <w:rsid w:val="00202B36"/>
    <w:rsid w:val="00204B7A"/>
    <w:rsid w:val="00204C46"/>
    <w:rsid w:val="00204CDE"/>
    <w:rsid w:val="0021101A"/>
    <w:rsid w:val="00217AE2"/>
    <w:rsid w:val="00220536"/>
    <w:rsid w:val="00222F69"/>
    <w:rsid w:val="00233F5B"/>
    <w:rsid w:val="00235629"/>
    <w:rsid w:val="00235CF9"/>
    <w:rsid w:val="0024785F"/>
    <w:rsid w:val="00256262"/>
    <w:rsid w:val="00260C38"/>
    <w:rsid w:val="002616C0"/>
    <w:rsid w:val="00265372"/>
    <w:rsid w:val="002662AA"/>
    <w:rsid w:val="0027224D"/>
    <w:rsid w:val="00280496"/>
    <w:rsid w:val="00294DC9"/>
    <w:rsid w:val="00295495"/>
    <w:rsid w:val="002A31DE"/>
    <w:rsid w:val="002B2613"/>
    <w:rsid w:val="002C6857"/>
    <w:rsid w:val="002D6D05"/>
    <w:rsid w:val="002F1818"/>
    <w:rsid w:val="002F567B"/>
    <w:rsid w:val="00306D06"/>
    <w:rsid w:val="00311FB8"/>
    <w:rsid w:val="00321685"/>
    <w:rsid w:val="003216A9"/>
    <w:rsid w:val="00335A74"/>
    <w:rsid w:val="00340765"/>
    <w:rsid w:val="003536E0"/>
    <w:rsid w:val="0036561B"/>
    <w:rsid w:val="0037013F"/>
    <w:rsid w:val="00380C92"/>
    <w:rsid w:val="00391FB4"/>
    <w:rsid w:val="00393C06"/>
    <w:rsid w:val="003A484F"/>
    <w:rsid w:val="003A4883"/>
    <w:rsid w:val="003B0BE0"/>
    <w:rsid w:val="003B0C1B"/>
    <w:rsid w:val="003B482C"/>
    <w:rsid w:val="003B688C"/>
    <w:rsid w:val="003C0291"/>
    <w:rsid w:val="003C39AE"/>
    <w:rsid w:val="003C7B60"/>
    <w:rsid w:val="003D0C0F"/>
    <w:rsid w:val="003D1310"/>
    <w:rsid w:val="003D1FB2"/>
    <w:rsid w:val="003D3783"/>
    <w:rsid w:val="003D66DA"/>
    <w:rsid w:val="003E1310"/>
    <w:rsid w:val="003E6189"/>
    <w:rsid w:val="003E6F55"/>
    <w:rsid w:val="003E6FE4"/>
    <w:rsid w:val="00406254"/>
    <w:rsid w:val="004223DE"/>
    <w:rsid w:val="0042503B"/>
    <w:rsid w:val="00432BDC"/>
    <w:rsid w:val="00434489"/>
    <w:rsid w:val="00437085"/>
    <w:rsid w:val="00443880"/>
    <w:rsid w:val="00445607"/>
    <w:rsid w:val="004464F4"/>
    <w:rsid w:val="0045405F"/>
    <w:rsid w:val="00466E72"/>
    <w:rsid w:val="00471401"/>
    <w:rsid w:val="00473F31"/>
    <w:rsid w:val="0048263A"/>
    <w:rsid w:val="00487E5D"/>
    <w:rsid w:val="00494545"/>
    <w:rsid w:val="0049684D"/>
    <w:rsid w:val="004A711F"/>
    <w:rsid w:val="004B199D"/>
    <w:rsid w:val="004B1A20"/>
    <w:rsid w:val="004B4690"/>
    <w:rsid w:val="004C2E2D"/>
    <w:rsid w:val="004D5479"/>
    <w:rsid w:val="004E0A2D"/>
    <w:rsid w:val="004E206B"/>
    <w:rsid w:val="004E49C5"/>
    <w:rsid w:val="004E6DF7"/>
    <w:rsid w:val="004F0FBD"/>
    <w:rsid w:val="00504E2E"/>
    <w:rsid w:val="00505A47"/>
    <w:rsid w:val="00512FDA"/>
    <w:rsid w:val="0051361B"/>
    <w:rsid w:val="00520DA0"/>
    <w:rsid w:val="005269A7"/>
    <w:rsid w:val="005269D7"/>
    <w:rsid w:val="005508BC"/>
    <w:rsid w:val="005664BB"/>
    <w:rsid w:val="00566FFA"/>
    <w:rsid w:val="0057481D"/>
    <w:rsid w:val="0058486E"/>
    <w:rsid w:val="00585B33"/>
    <w:rsid w:val="00587B68"/>
    <w:rsid w:val="0059014D"/>
    <w:rsid w:val="005A6340"/>
    <w:rsid w:val="005B5C64"/>
    <w:rsid w:val="005C5337"/>
    <w:rsid w:val="005C6BD0"/>
    <w:rsid w:val="005D1C8B"/>
    <w:rsid w:val="005D468D"/>
    <w:rsid w:val="005D5591"/>
    <w:rsid w:val="005D5CED"/>
    <w:rsid w:val="005F1A4C"/>
    <w:rsid w:val="005F34D0"/>
    <w:rsid w:val="006055E2"/>
    <w:rsid w:val="00605688"/>
    <w:rsid w:val="006070AF"/>
    <w:rsid w:val="00607E6C"/>
    <w:rsid w:val="006101B1"/>
    <w:rsid w:val="00614E44"/>
    <w:rsid w:val="006162E5"/>
    <w:rsid w:val="006178BA"/>
    <w:rsid w:val="0062270A"/>
    <w:rsid w:val="00622830"/>
    <w:rsid w:val="00623DA0"/>
    <w:rsid w:val="00627647"/>
    <w:rsid w:val="00627E95"/>
    <w:rsid w:val="006302ED"/>
    <w:rsid w:val="00630AEF"/>
    <w:rsid w:val="006325F8"/>
    <w:rsid w:val="00633463"/>
    <w:rsid w:val="00634C9A"/>
    <w:rsid w:val="00636199"/>
    <w:rsid w:val="006440E4"/>
    <w:rsid w:val="00645F81"/>
    <w:rsid w:val="0064742A"/>
    <w:rsid w:val="0066019E"/>
    <w:rsid w:val="0066343B"/>
    <w:rsid w:val="00664777"/>
    <w:rsid w:val="006748A4"/>
    <w:rsid w:val="00681A31"/>
    <w:rsid w:val="00683E73"/>
    <w:rsid w:val="00691398"/>
    <w:rsid w:val="00696595"/>
    <w:rsid w:val="006A3141"/>
    <w:rsid w:val="006A5E34"/>
    <w:rsid w:val="006B2422"/>
    <w:rsid w:val="006B2B9A"/>
    <w:rsid w:val="006C1937"/>
    <w:rsid w:val="006D157C"/>
    <w:rsid w:val="006E787E"/>
    <w:rsid w:val="006F020C"/>
    <w:rsid w:val="006F2EF2"/>
    <w:rsid w:val="00702B00"/>
    <w:rsid w:val="007127B7"/>
    <w:rsid w:val="0071798E"/>
    <w:rsid w:val="007232C4"/>
    <w:rsid w:val="00734A62"/>
    <w:rsid w:val="0074040A"/>
    <w:rsid w:val="007416B6"/>
    <w:rsid w:val="00746F48"/>
    <w:rsid w:val="0075404D"/>
    <w:rsid w:val="0076182A"/>
    <w:rsid w:val="00767B7E"/>
    <w:rsid w:val="007770C3"/>
    <w:rsid w:val="00784D24"/>
    <w:rsid w:val="00785FBA"/>
    <w:rsid w:val="00786E4A"/>
    <w:rsid w:val="007875EB"/>
    <w:rsid w:val="0079426B"/>
    <w:rsid w:val="007B2D0B"/>
    <w:rsid w:val="007D1682"/>
    <w:rsid w:val="007D312A"/>
    <w:rsid w:val="007D3F19"/>
    <w:rsid w:val="007E23B0"/>
    <w:rsid w:val="007E23E5"/>
    <w:rsid w:val="007F1991"/>
    <w:rsid w:val="007F2C2F"/>
    <w:rsid w:val="007F55FC"/>
    <w:rsid w:val="007F5665"/>
    <w:rsid w:val="00800112"/>
    <w:rsid w:val="00800D80"/>
    <w:rsid w:val="00813348"/>
    <w:rsid w:val="00822762"/>
    <w:rsid w:val="0082285F"/>
    <w:rsid w:val="008253BB"/>
    <w:rsid w:val="00834E0E"/>
    <w:rsid w:val="0083706E"/>
    <w:rsid w:val="008408F6"/>
    <w:rsid w:val="00840C7F"/>
    <w:rsid w:val="008423A5"/>
    <w:rsid w:val="00850625"/>
    <w:rsid w:val="00853718"/>
    <w:rsid w:val="00855221"/>
    <w:rsid w:val="00860645"/>
    <w:rsid w:val="00860647"/>
    <w:rsid w:val="00871F71"/>
    <w:rsid w:val="00872FD8"/>
    <w:rsid w:val="00885AF4"/>
    <w:rsid w:val="00885CA1"/>
    <w:rsid w:val="00892977"/>
    <w:rsid w:val="008939CD"/>
    <w:rsid w:val="008941F3"/>
    <w:rsid w:val="008A2AE7"/>
    <w:rsid w:val="008B17DE"/>
    <w:rsid w:val="008B768C"/>
    <w:rsid w:val="008C4DB1"/>
    <w:rsid w:val="008C4EAF"/>
    <w:rsid w:val="008C5176"/>
    <w:rsid w:val="008C7FD0"/>
    <w:rsid w:val="008D4D53"/>
    <w:rsid w:val="008E1DE7"/>
    <w:rsid w:val="008E707C"/>
    <w:rsid w:val="008F6523"/>
    <w:rsid w:val="008F6611"/>
    <w:rsid w:val="00900B08"/>
    <w:rsid w:val="00902155"/>
    <w:rsid w:val="00902FA3"/>
    <w:rsid w:val="00923564"/>
    <w:rsid w:val="0092392E"/>
    <w:rsid w:val="00927F58"/>
    <w:rsid w:val="009315F9"/>
    <w:rsid w:val="00933499"/>
    <w:rsid w:val="009334D8"/>
    <w:rsid w:val="00935C98"/>
    <w:rsid w:val="0093635C"/>
    <w:rsid w:val="00946945"/>
    <w:rsid w:val="00951248"/>
    <w:rsid w:val="0095152F"/>
    <w:rsid w:val="00954C49"/>
    <w:rsid w:val="00955E37"/>
    <w:rsid w:val="00960F5B"/>
    <w:rsid w:val="00962656"/>
    <w:rsid w:val="0097099F"/>
    <w:rsid w:val="00971997"/>
    <w:rsid w:val="00971FFC"/>
    <w:rsid w:val="0098607C"/>
    <w:rsid w:val="0098660A"/>
    <w:rsid w:val="00987007"/>
    <w:rsid w:val="009931C3"/>
    <w:rsid w:val="009A4458"/>
    <w:rsid w:val="009B2C43"/>
    <w:rsid w:val="009B4EAE"/>
    <w:rsid w:val="009B7573"/>
    <w:rsid w:val="009C22F4"/>
    <w:rsid w:val="009C2A4B"/>
    <w:rsid w:val="009C2E98"/>
    <w:rsid w:val="009D199C"/>
    <w:rsid w:val="009D3447"/>
    <w:rsid w:val="009D3AF1"/>
    <w:rsid w:val="009D4711"/>
    <w:rsid w:val="009D7E53"/>
    <w:rsid w:val="009F1185"/>
    <w:rsid w:val="009F18CD"/>
    <w:rsid w:val="009F2A13"/>
    <w:rsid w:val="009F7527"/>
    <w:rsid w:val="00A04EB0"/>
    <w:rsid w:val="00A130CC"/>
    <w:rsid w:val="00A13CC1"/>
    <w:rsid w:val="00A16847"/>
    <w:rsid w:val="00A20841"/>
    <w:rsid w:val="00A237D8"/>
    <w:rsid w:val="00A268C4"/>
    <w:rsid w:val="00A307CD"/>
    <w:rsid w:val="00A331C8"/>
    <w:rsid w:val="00A370FD"/>
    <w:rsid w:val="00A40A00"/>
    <w:rsid w:val="00A4142F"/>
    <w:rsid w:val="00A422EB"/>
    <w:rsid w:val="00A45BB7"/>
    <w:rsid w:val="00A56DF2"/>
    <w:rsid w:val="00A56E6E"/>
    <w:rsid w:val="00A6787D"/>
    <w:rsid w:val="00A67AB5"/>
    <w:rsid w:val="00A733B2"/>
    <w:rsid w:val="00A741C2"/>
    <w:rsid w:val="00A77616"/>
    <w:rsid w:val="00A91760"/>
    <w:rsid w:val="00A93B00"/>
    <w:rsid w:val="00A93C21"/>
    <w:rsid w:val="00AB262A"/>
    <w:rsid w:val="00AB3015"/>
    <w:rsid w:val="00AB64C9"/>
    <w:rsid w:val="00AB64F0"/>
    <w:rsid w:val="00AC098F"/>
    <w:rsid w:val="00AC3C6A"/>
    <w:rsid w:val="00AC7E5E"/>
    <w:rsid w:val="00AD5620"/>
    <w:rsid w:val="00AD656B"/>
    <w:rsid w:val="00AD7C1B"/>
    <w:rsid w:val="00AE0065"/>
    <w:rsid w:val="00AE16BA"/>
    <w:rsid w:val="00AE1EBE"/>
    <w:rsid w:val="00AF270C"/>
    <w:rsid w:val="00AF4E63"/>
    <w:rsid w:val="00B011E4"/>
    <w:rsid w:val="00B015C8"/>
    <w:rsid w:val="00B03C9D"/>
    <w:rsid w:val="00B060AE"/>
    <w:rsid w:val="00B07AA4"/>
    <w:rsid w:val="00B10517"/>
    <w:rsid w:val="00B11997"/>
    <w:rsid w:val="00B14E76"/>
    <w:rsid w:val="00B161B8"/>
    <w:rsid w:val="00B2048C"/>
    <w:rsid w:val="00B310B9"/>
    <w:rsid w:val="00B35F3F"/>
    <w:rsid w:val="00B36858"/>
    <w:rsid w:val="00B36CBB"/>
    <w:rsid w:val="00B425E0"/>
    <w:rsid w:val="00B440AA"/>
    <w:rsid w:val="00B44B70"/>
    <w:rsid w:val="00B46A0E"/>
    <w:rsid w:val="00B53C56"/>
    <w:rsid w:val="00B57DAF"/>
    <w:rsid w:val="00B63EA4"/>
    <w:rsid w:val="00B77EA6"/>
    <w:rsid w:val="00B81598"/>
    <w:rsid w:val="00B841F1"/>
    <w:rsid w:val="00B856CE"/>
    <w:rsid w:val="00B90E4E"/>
    <w:rsid w:val="00B93C78"/>
    <w:rsid w:val="00B94118"/>
    <w:rsid w:val="00B944D6"/>
    <w:rsid w:val="00B965DC"/>
    <w:rsid w:val="00BB4DF0"/>
    <w:rsid w:val="00BC1A18"/>
    <w:rsid w:val="00BC289F"/>
    <w:rsid w:val="00BC2D50"/>
    <w:rsid w:val="00BC5361"/>
    <w:rsid w:val="00BC5460"/>
    <w:rsid w:val="00BC6B50"/>
    <w:rsid w:val="00BD0E25"/>
    <w:rsid w:val="00BD3E3E"/>
    <w:rsid w:val="00BD418A"/>
    <w:rsid w:val="00BE7501"/>
    <w:rsid w:val="00BF2D94"/>
    <w:rsid w:val="00BF5BD6"/>
    <w:rsid w:val="00C03E31"/>
    <w:rsid w:val="00C273C1"/>
    <w:rsid w:val="00C27E95"/>
    <w:rsid w:val="00C331DE"/>
    <w:rsid w:val="00C33E72"/>
    <w:rsid w:val="00C354B2"/>
    <w:rsid w:val="00C35554"/>
    <w:rsid w:val="00C42709"/>
    <w:rsid w:val="00C533CC"/>
    <w:rsid w:val="00C5751C"/>
    <w:rsid w:val="00C61BFC"/>
    <w:rsid w:val="00C62B85"/>
    <w:rsid w:val="00C65438"/>
    <w:rsid w:val="00C71B53"/>
    <w:rsid w:val="00C7394F"/>
    <w:rsid w:val="00C87FD8"/>
    <w:rsid w:val="00C91381"/>
    <w:rsid w:val="00C91CBB"/>
    <w:rsid w:val="00CB4E70"/>
    <w:rsid w:val="00CB5399"/>
    <w:rsid w:val="00CC09B6"/>
    <w:rsid w:val="00CC666F"/>
    <w:rsid w:val="00CD1E3F"/>
    <w:rsid w:val="00CD4ED8"/>
    <w:rsid w:val="00CD64B4"/>
    <w:rsid w:val="00CE44F6"/>
    <w:rsid w:val="00CE49DA"/>
    <w:rsid w:val="00CE7B61"/>
    <w:rsid w:val="00D00095"/>
    <w:rsid w:val="00D013C8"/>
    <w:rsid w:val="00D114F0"/>
    <w:rsid w:val="00D20596"/>
    <w:rsid w:val="00D20620"/>
    <w:rsid w:val="00D2395F"/>
    <w:rsid w:val="00D254F7"/>
    <w:rsid w:val="00D26091"/>
    <w:rsid w:val="00D2685C"/>
    <w:rsid w:val="00D34E7C"/>
    <w:rsid w:val="00D35489"/>
    <w:rsid w:val="00D36AFE"/>
    <w:rsid w:val="00D51276"/>
    <w:rsid w:val="00D67A8B"/>
    <w:rsid w:val="00D7035F"/>
    <w:rsid w:val="00D81A47"/>
    <w:rsid w:val="00D84004"/>
    <w:rsid w:val="00D9195A"/>
    <w:rsid w:val="00DA634F"/>
    <w:rsid w:val="00DA65AC"/>
    <w:rsid w:val="00DB1913"/>
    <w:rsid w:val="00DB342F"/>
    <w:rsid w:val="00DC410D"/>
    <w:rsid w:val="00DC5A81"/>
    <w:rsid w:val="00DC68CA"/>
    <w:rsid w:val="00DC74B0"/>
    <w:rsid w:val="00DC7CBA"/>
    <w:rsid w:val="00DD35C5"/>
    <w:rsid w:val="00DD65F7"/>
    <w:rsid w:val="00DD73B7"/>
    <w:rsid w:val="00DE279C"/>
    <w:rsid w:val="00DF02CD"/>
    <w:rsid w:val="00DF28BC"/>
    <w:rsid w:val="00DF34B9"/>
    <w:rsid w:val="00DF750A"/>
    <w:rsid w:val="00E01053"/>
    <w:rsid w:val="00E07ACF"/>
    <w:rsid w:val="00E10730"/>
    <w:rsid w:val="00E31804"/>
    <w:rsid w:val="00E32CAD"/>
    <w:rsid w:val="00E331A1"/>
    <w:rsid w:val="00E33202"/>
    <w:rsid w:val="00E336A9"/>
    <w:rsid w:val="00E472B1"/>
    <w:rsid w:val="00E50624"/>
    <w:rsid w:val="00E568DF"/>
    <w:rsid w:val="00E64269"/>
    <w:rsid w:val="00E70975"/>
    <w:rsid w:val="00E82267"/>
    <w:rsid w:val="00E853CE"/>
    <w:rsid w:val="00E867B6"/>
    <w:rsid w:val="00E9002D"/>
    <w:rsid w:val="00EA010F"/>
    <w:rsid w:val="00EA3086"/>
    <w:rsid w:val="00EB64D9"/>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1480"/>
    <w:rsid w:val="00F36D8F"/>
    <w:rsid w:val="00F417B1"/>
    <w:rsid w:val="00F45853"/>
    <w:rsid w:val="00F514E6"/>
    <w:rsid w:val="00F528F3"/>
    <w:rsid w:val="00F53347"/>
    <w:rsid w:val="00F56B97"/>
    <w:rsid w:val="00F602DF"/>
    <w:rsid w:val="00F754A1"/>
    <w:rsid w:val="00F772E5"/>
    <w:rsid w:val="00F81FD9"/>
    <w:rsid w:val="00F841AA"/>
    <w:rsid w:val="00F84A94"/>
    <w:rsid w:val="00F87E96"/>
    <w:rsid w:val="00FA23E8"/>
    <w:rsid w:val="00FC2607"/>
    <w:rsid w:val="00FC286F"/>
    <w:rsid w:val="00FD3CC1"/>
    <w:rsid w:val="00FE4627"/>
    <w:rsid w:val="00FF0F79"/>
    <w:rsid w:val="00FF1E02"/>
    <w:rsid w:val="00FF30B4"/>
    <w:rsid w:val="01011432"/>
    <w:rsid w:val="01170C55"/>
    <w:rsid w:val="02241FDF"/>
    <w:rsid w:val="056D353A"/>
    <w:rsid w:val="08384ACC"/>
    <w:rsid w:val="088C61A1"/>
    <w:rsid w:val="0A2032A3"/>
    <w:rsid w:val="0B226B74"/>
    <w:rsid w:val="0BA80E28"/>
    <w:rsid w:val="10C055FF"/>
    <w:rsid w:val="1122342A"/>
    <w:rsid w:val="118107EC"/>
    <w:rsid w:val="127D3A51"/>
    <w:rsid w:val="16BB723D"/>
    <w:rsid w:val="178070FD"/>
    <w:rsid w:val="18EA45A0"/>
    <w:rsid w:val="1A4E7CD9"/>
    <w:rsid w:val="1A515655"/>
    <w:rsid w:val="1B355F99"/>
    <w:rsid w:val="1D155CEE"/>
    <w:rsid w:val="21F568A6"/>
    <w:rsid w:val="223B434C"/>
    <w:rsid w:val="240371BF"/>
    <w:rsid w:val="24C36CD8"/>
    <w:rsid w:val="24D42622"/>
    <w:rsid w:val="295A3899"/>
    <w:rsid w:val="29FD04D3"/>
    <w:rsid w:val="2B095BA0"/>
    <w:rsid w:val="2B634FBD"/>
    <w:rsid w:val="2E423D71"/>
    <w:rsid w:val="2F05640D"/>
    <w:rsid w:val="319F7F4E"/>
    <w:rsid w:val="368D0A96"/>
    <w:rsid w:val="37060F75"/>
    <w:rsid w:val="39E62997"/>
    <w:rsid w:val="3CCD349B"/>
    <w:rsid w:val="3DC70D32"/>
    <w:rsid w:val="3FAC0712"/>
    <w:rsid w:val="3FE61943"/>
    <w:rsid w:val="41984EBF"/>
    <w:rsid w:val="42366486"/>
    <w:rsid w:val="473D3E13"/>
    <w:rsid w:val="491A265E"/>
    <w:rsid w:val="4A0A26D2"/>
    <w:rsid w:val="4ACD5375"/>
    <w:rsid w:val="4BD55BDF"/>
    <w:rsid w:val="4E3C6BD2"/>
    <w:rsid w:val="4E8F13F8"/>
    <w:rsid w:val="4ECE2238"/>
    <w:rsid w:val="4FE2511A"/>
    <w:rsid w:val="53D24869"/>
    <w:rsid w:val="56715961"/>
    <w:rsid w:val="5BD14DFE"/>
    <w:rsid w:val="5BD43888"/>
    <w:rsid w:val="5D333022"/>
    <w:rsid w:val="5EC23124"/>
    <w:rsid w:val="5EE05796"/>
    <w:rsid w:val="5F77A4F4"/>
    <w:rsid w:val="60C71747"/>
    <w:rsid w:val="62EE14A0"/>
    <w:rsid w:val="6424383C"/>
    <w:rsid w:val="65087B23"/>
    <w:rsid w:val="67BB5E6B"/>
    <w:rsid w:val="68AB2E7A"/>
    <w:rsid w:val="6905258B"/>
    <w:rsid w:val="69DF102E"/>
    <w:rsid w:val="69F05F45"/>
    <w:rsid w:val="6B2036AC"/>
    <w:rsid w:val="6C4A05C8"/>
    <w:rsid w:val="6F504A21"/>
    <w:rsid w:val="6FA443D3"/>
    <w:rsid w:val="70871AD7"/>
    <w:rsid w:val="72734D90"/>
    <w:rsid w:val="74D477FC"/>
    <w:rsid w:val="75FB71EF"/>
    <w:rsid w:val="7D17F982"/>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eastAsia="仿宋_GB2312"/>
      <w:sz w:val="32"/>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7"/>
    <w:qFormat/>
    <w:uiPriority w:val="0"/>
    <w:pPr>
      <w:spacing w:beforeLines="30"/>
    </w:pPr>
    <w:rPr>
      <w:rFonts w:ascii="仿宋_GB2312" w:eastAsia="仿宋_GB2312"/>
      <w:kern w:val="0"/>
      <w:sz w:val="24"/>
      <w:szCs w:val="20"/>
      <w:lang w:val="zh-CN"/>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2"/>
    <w:semiHidden/>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footnote text"/>
    <w:basedOn w:val="1"/>
    <w:next w:val="9"/>
    <w:semiHidden/>
    <w:qFormat/>
    <w:uiPriority w:val="0"/>
    <w:pPr>
      <w:snapToGrid w:val="0"/>
      <w:jc w:val="left"/>
    </w:pPr>
    <w:rPr>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qFormat/>
    <w:uiPriority w:val="0"/>
    <w:pPr>
      <w:spacing w:before="100" w:beforeAutospacing="1" w:after="100" w:afterAutospacing="1"/>
      <w:jc w:val="left"/>
    </w:pPr>
    <w:rPr>
      <w:rFonts w:ascii="Calibri" w:hAnsi="Calibri"/>
      <w:kern w:val="0"/>
      <w:sz w:val="24"/>
    </w:rPr>
  </w:style>
  <w:style w:type="table" w:styleId="2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cs="Times New Roman"/>
      <w:b/>
    </w:rPr>
  </w:style>
  <w:style w:type="character" w:styleId="27">
    <w:name w:val="Hyperlink"/>
    <w:basedOn w:val="25"/>
    <w:unhideWhenUsed/>
    <w:qFormat/>
    <w:uiPriority w:val="99"/>
    <w:rPr>
      <w:rFonts w:cs="Times New Roman"/>
      <w:color w:val="0000FF"/>
      <w:u w:val="single"/>
    </w:rPr>
  </w:style>
  <w:style w:type="character" w:customStyle="1" w:styleId="28">
    <w:name w:val="标题 1 Char"/>
    <w:basedOn w:val="25"/>
    <w:link w:val="3"/>
    <w:qFormat/>
    <w:locked/>
    <w:uiPriority w:val="9"/>
    <w:rPr>
      <w:rFonts w:ascii="Times New Roman" w:hAnsi="Times New Roman" w:cs="Times New Roman"/>
      <w:b/>
      <w:bCs/>
      <w:kern w:val="44"/>
      <w:sz w:val="44"/>
      <w:szCs w:val="44"/>
    </w:rPr>
  </w:style>
  <w:style w:type="character" w:customStyle="1" w:styleId="29">
    <w:name w:val="标题 2 Char"/>
    <w:basedOn w:val="25"/>
    <w:link w:val="4"/>
    <w:qFormat/>
    <w:locked/>
    <w:uiPriority w:val="9"/>
    <w:rPr>
      <w:rFonts w:ascii="Cambria" w:hAnsi="Cambria" w:eastAsia="宋体" w:cs="Times New Roman"/>
      <w:b/>
      <w:bCs/>
      <w:kern w:val="2"/>
      <w:sz w:val="32"/>
      <w:szCs w:val="32"/>
    </w:rPr>
  </w:style>
  <w:style w:type="character" w:customStyle="1" w:styleId="30">
    <w:name w:val="标题 3 Char"/>
    <w:basedOn w:val="25"/>
    <w:link w:val="5"/>
    <w:qFormat/>
    <w:locked/>
    <w:uiPriority w:val="9"/>
    <w:rPr>
      <w:rFonts w:ascii="Times New Roman" w:hAnsi="Times New Roman" w:cs="Times New Roman"/>
      <w:b/>
      <w:bCs/>
      <w:kern w:val="2"/>
      <w:sz w:val="32"/>
      <w:szCs w:val="32"/>
    </w:rPr>
  </w:style>
  <w:style w:type="character" w:customStyle="1" w:styleId="31">
    <w:name w:val="Body Text Char"/>
    <w:basedOn w:val="25"/>
    <w:semiHidden/>
    <w:qFormat/>
    <w:uiPriority w:val="99"/>
    <w:rPr>
      <w:rFonts w:ascii="Times New Roman" w:hAnsi="Times New Roman" w:cs="Times New Roman"/>
      <w:sz w:val="24"/>
      <w:szCs w:val="24"/>
    </w:rPr>
  </w:style>
  <w:style w:type="character" w:customStyle="1" w:styleId="32">
    <w:name w:val="批注框文本 Char"/>
    <w:basedOn w:val="25"/>
    <w:link w:val="13"/>
    <w:semiHidden/>
    <w:qFormat/>
    <w:locked/>
    <w:uiPriority w:val="99"/>
    <w:rPr>
      <w:rFonts w:ascii="Times New Roman" w:hAnsi="Times New Roman" w:cs="Times New Roman"/>
      <w:kern w:val="2"/>
      <w:sz w:val="18"/>
      <w:szCs w:val="18"/>
    </w:rPr>
  </w:style>
  <w:style w:type="character" w:customStyle="1" w:styleId="33">
    <w:name w:val="Footer Char"/>
    <w:basedOn w:val="25"/>
    <w:semiHidden/>
    <w:qFormat/>
    <w:uiPriority w:val="99"/>
    <w:rPr>
      <w:rFonts w:ascii="Times New Roman" w:hAnsi="Times New Roman" w:cs="Times New Roman"/>
      <w:sz w:val="18"/>
      <w:szCs w:val="18"/>
    </w:rPr>
  </w:style>
  <w:style w:type="character" w:customStyle="1" w:styleId="34">
    <w:name w:val="Header Char"/>
    <w:basedOn w:val="25"/>
    <w:semiHidden/>
    <w:qFormat/>
    <w:uiPriority w:val="99"/>
    <w:rPr>
      <w:rFonts w:ascii="Times New Roman" w:hAnsi="Times New Roman" w:cs="Times New Roman"/>
      <w:sz w:val="18"/>
      <w:szCs w:val="18"/>
    </w:rPr>
  </w:style>
  <w:style w:type="character" w:customStyle="1" w:styleId="35">
    <w:name w:val="页眉 Char"/>
    <w:link w:val="15"/>
    <w:semiHidden/>
    <w:qFormat/>
    <w:locked/>
    <w:uiPriority w:val="99"/>
    <w:rPr>
      <w:sz w:val="18"/>
    </w:rPr>
  </w:style>
  <w:style w:type="character" w:customStyle="1" w:styleId="36">
    <w:name w:val="页脚 Char"/>
    <w:link w:val="14"/>
    <w:qFormat/>
    <w:locked/>
    <w:uiPriority w:val="99"/>
    <w:rPr>
      <w:sz w:val="18"/>
    </w:rPr>
  </w:style>
  <w:style w:type="character" w:customStyle="1" w:styleId="37">
    <w:name w:val="正文文本 Char"/>
    <w:link w:val="7"/>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3">
    <w:name w:val="List Paragraph"/>
    <w:basedOn w:val="1"/>
    <w:qFormat/>
    <w:uiPriority w:val="34"/>
    <w:pPr>
      <w:ind w:firstLine="420" w:firstLineChars="200"/>
    </w:pPr>
  </w:style>
  <w:style w:type="paragraph" w:customStyle="1" w:styleId="44">
    <w:name w:val="四号正文"/>
    <w:qFormat/>
    <w:uiPriority w:val="0"/>
    <w:pPr>
      <w:widowControl w:val="0"/>
      <w:spacing w:line="360" w:lineRule="auto"/>
      <w:jc w:val="both"/>
    </w:pPr>
    <w:rPr>
      <w:rFonts w:ascii="??" w:hAnsi="??" w:eastAsia="宋体" w:cs="Times New Roman"/>
      <w:color w:val="000000"/>
      <w:sz w:val="28"/>
      <w:szCs w:val="21"/>
      <w:lang w:val="zh-CN" w:eastAsia="zh-CN" w:bidi="ar-SA"/>
    </w:rPr>
  </w:style>
  <w:style w:type="paragraph" w:customStyle="1" w:styleId="45">
    <w:name w:val="图表目录1"/>
    <w:basedOn w:val="1"/>
    <w:next w:val="1"/>
    <w:qFormat/>
    <w:uiPriority w:val="0"/>
    <w:pPr>
      <w:ind w:left="400" w:leftChars="200" w:hanging="200" w:hanging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3&#24180;&#36164;&#26009;\&#32852;&#31038;\&#25253;&#36130;&#25919;\&#33538;&#21439;&#20379;&#38144;&#31038;2022&#24180;&#20915;&#31639;&#20844;&#24320;\for%20&#26446;&#2315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800" b="0" i="0" baseline="0"/>
              <a:t>收、支决算总计变动情况图</a:t>
            </a:r>
            <a:endParaRPr lang="zh-CN" altLang="zh-CN"/>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李婷.xlsx]Sheet1'!$A$3:$A$4</c:f>
              <c:strCache>
                <c:ptCount val="2"/>
                <c:pt idx="0">
                  <c:v>2022年</c:v>
                </c:pt>
                <c:pt idx="1">
                  <c:v>2023年</c:v>
                </c:pt>
              </c:strCache>
            </c:strRef>
          </c:cat>
          <c:val>
            <c:numRef>
              <c:f>'[for 李婷.xlsx]Sheet1'!$B$3:$B$4</c:f>
              <c:numCache>
                <c:formatCode>General</c:formatCode>
                <c:ptCount val="2"/>
                <c:pt idx="0">
                  <c:v>525.75</c:v>
                </c:pt>
                <c:pt idx="1">
                  <c:v>403.99</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李婷.xlsx]Sheet1'!$A$3:$A$4</c:f>
              <c:strCache>
                <c:ptCount val="2"/>
                <c:pt idx="0">
                  <c:v>2022年</c:v>
                </c:pt>
                <c:pt idx="1">
                  <c:v>2023年</c:v>
                </c:pt>
              </c:strCache>
            </c:strRef>
          </c:cat>
          <c:val>
            <c:numRef>
              <c:f>'[for 李婷.xlsx]Sheet1'!$C$3:$C$4</c:f>
              <c:numCache>
                <c:formatCode>General</c:formatCode>
                <c:ptCount val="2"/>
                <c:pt idx="0">
                  <c:v>525.75</c:v>
                </c:pt>
                <c:pt idx="1">
                  <c:v>403.99</c:v>
                </c:pt>
              </c:numCache>
            </c:numRef>
          </c:val>
        </c:ser>
        <c:dLbls>
          <c:showLegendKey val="0"/>
          <c:showVal val="1"/>
          <c:showCatName val="0"/>
          <c:showSerName val="0"/>
          <c:showPercent val="0"/>
          <c:showBubbleSize val="0"/>
        </c:dLbls>
        <c:gapWidth val="219"/>
        <c:overlap val="-27"/>
        <c:axId val="104288640"/>
        <c:axId val="104290176"/>
      </c:barChart>
      <c:catAx>
        <c:axId val="10428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290176"/>
        <c:crosses val="autoZero"/>
        <c:auto val="1"/>
        <c:lblAlgn val="ctr"/>
        <c:lblOffset val="100"/>
        <c:noMultiLvlLbl val="0"/>
      </c:catAx>
      <c:valAx>
        <c:axId val="10429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288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23</a:t>
            </a:r>
            <a:r>
              <a:t>年度收入</a:t>
            </a:r>
          </a:p>
        </c:rich>
      </c:tx>
      <c:layout/>
      <c:overlay val="0"/>
      <c:spPr>
        <a:noFill/>
        <a:ln>
          <a:noFill/>
        </a:ln>
        <a:effectLst/>
      </c:spPr>
    </c:title>
    <c:autoTitleDeleted val="0"/>
    <c:plotArea>
      <c:layout/>
      <c:pieChart>
        <c:varyColors val="1"/>
        <c:ser>
          <c:idx val="0"/>
          <c:order val="0"/>
          <c:tx>
            <c:strRef>
              <c:f>[工作簿1]Sheet1!$B$10</c:f>
              <c:strCache>
                <c:ptCount val="1"/>
                <c:pt idx="0">
                  <c:v>2019年度收入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2500000000003"/>
          <c:y val="0.13483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李婷.xlsx]Sheet1'!$A$19:$A$23</c:f>
              <c:strCache>
                <c:ptCount val="5"/>
                <c:pt idx="0">
                  <c:v>基本支出</c:v>
                </c:pt>
                <c:pt idx="1">
                  <c:v>上缴上级支出</c:v>
                </c:pt>
                <c:pt idx="2">
                  <c:v>经营支出</c:v>
                </c:pt>
                <c:pt idx="3">
                  <c:v>对附属单位补助支出</c:v>
                </c:pt>
                <c:pt idx="4">
                  <c:v>项目支出</c:v>
                </c:pt>
              </c:strCache>
            </c:strRef>
          </c:cat>
          <c:val>
            <c:numRef>
              <c:f>'[for 李婷.xlsx]Sheet1'!$B$19:$B$23</c:f>
              <c:numCache>
                <c:formatCode>General</c:formatCode>
                <c:ptCount val="5"/>
                <c:pt idx="0">
                  <c:v>197.94</c:v>
                </c:pt>
                <c:pt idx="1">
                  <c:v>0</c:v>
                </c:pt>
                <c:pt idx="2">
                  <c:v>0</c:v>
                </c:pt>
                <c:pt idx="3">
                  <c:v>0</c:v>
                </c:pt>
                <c:pt idx="4">
                  <c:v>206.05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800" b="0" i="0" baseline="0"/>
              <a:t>财政拨款</a:t>
            </a:r>
            <a:r>
              <a:rPr lang="zh-CN" altLang="zh-CN" sz="1800" b="0" i="0" baseline="0"/>
              <a:t>收、支决算总计变动情况图</a:t>
            </a:r>
            <a:endParaRPr lang="zh-CN" altLang="zh-CN"/>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李婷.xlsx]Sheet1'!$A$3:$A$4</c:f>
              <c:strCache>
                <c:ptCount val="2"/>
                <c:pt idx="0">
                  <c:v>2022年</c:v>
                </c:pt>
                <c:pt idx="1">
                  <c:v>2023年</c:v>
                </c:pt>
              </c:strCache>
            </c:strRef>
          </c:cat>
          <c:val>
            <c:numRef>
              <c:f>'[for 李婷.xlsx]Sheet1'!$B$3:$B$4</c:f>
              <c:numCache>
                <c:formatCode>General</c:formatCode>
                <c:ptCount val="2"/>
                <c:pt idx="0">
                  <c:v>525.75</c:v>
                </c:pt>
                <c:pt idx="1">
                  <c:v>403.99</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李婷.xlsx]Sheet1'!$A$3:$A$4</c:f>
              <c:strCache>
                <c:ptCount val="2"/>
                <c:pt idx="0">
                  <c:v>2022年</c:v>
                </c:pt>
                <c:pt idx="1">
                  <c:v>2023年</c:v>
                </c:pt>
              </c:strCache>
            </c:strRef>
          </c:cat>
          <c:val>
            <c:numRef>
              <c:f>'[for 李婷.xlsx]Sheet1'!$C$3:$C$4</c:f>
              <c:numCache>
                <c:formatCode>General</c:formatCode>
                <c:ptCount val="2"/>
                <c:pt idx="0">
                  <c:v>525.75</c:v>
                </c:pt>
                <c:pt idx="1">
                  <c:v>403.99</c:v>
                </c:pt>
              </c:numCache>
            </c:numRef>
          </c:val>
        </c:ser>
        <c:dLbls>
          <c:showLegendKey val="0"/>
          <c:showVal val="1"/>
          <c:showCatName val="0"/>
          <c:showSerName val="0"/>
          <c:showPercent val="0"/>
          <c:showBubbleSize val="0"/>
        </c:dLbls>
        <c:gapWidth val="219"/>
        <c:overlap val="-27"/>
        <c:axId val="104288640"/>
        <c:axId val="104290176"/>
      </c:barChart>
      <c:catAx>
        <c:axId val="10428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290176"/>
        <c:crosses val="autoZero"/>
        <c:auto val="1"/>
        <c:lblAlgn val="ctr"/>
        <c:lblOffset val="100"/>
        <c:noMultiLvlLbl val="0"/>
      </c:catAx>
      <c:valAx>
        <c:axId val="10429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288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李婷.xlsx]Sheet1'!$A$55:$A$56</c:f>
              <c:strCache>
                <c:ptCount val="2"/>
                <c:pt idx="0">
                  <c:v>2022年</c:v>
                </c:pt>
                <c:pt idx="1">
                  <c:v>2023年</c:v>
                </c:pt>
              </c:strCache>
            </c:strRef>
          </c:cat>
          <c:val>
            <c:numRef>
              <c:f>'[for 李婷.xlsx]Sheet1'!$B$55:$B$56</c:f>
              <c:numCache>
                <c:formatCode>General</c:formatCode>
                <c:ptCount val="2"/>
                <c:pt idx="0">
                  <c:v>525.75</c:v>
                </c:pt>
                <c:pt idx="1">
                  <c:v>403.99</c:v>
                </c:pt>
              </c:numCache>
            </c:numRef>
          </c:val>
        </c:ser>
        <c:dLbls>
          <c:showLegendKey val="0"/>
          <c:showVal val="1"/>
          <c:showCatName val="0"/>
          <c:showSerName val="0"/>
          <c:showPercent val="0"/>
          <c:showBubbleSize val="0"/>
        </c:dLbls>
        <c:gapWidth val="219"/>
        <c:overlap val="-27"/>
        <c:axId val="41968384"/>
        <c:axId val="41969920"/>
      </c:barChart>
      <c:catAx>
        <c:axId val="4196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969920"/>
        <c:crosses val="autoZero"/>
        <c:auto val="1"/>
        <c:lblAlgn val="ctr"/>
        <c:lblOffset val="100"/>
        <c:noMultiLvlLbl val="0"/>
      </c:catAx>
      <c:valAx>
        <c:axId val="4196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96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'[for 李婷.xlsx]Sheet1'!$A$72:$A$76</c:f>
              <c:strCache>
                <c:ptCount val="5"/>
                <c:pt idx="0">
                  <c:v>社会保障和就业支出</c:v>
                </c:pt>
                <c:pt idx="1">
                  <c:v>卫生健康支出</c:v>
                </c:pt>
                <c:pt idx="2">
                  <c:v>农林水支出</c:v>
                </c:pt>
                <c:pt idx="3">
                  <c:v>商业服务业等支出</c:v>
                </c:pt>
                <c:pt idx="4">
                  <c:v>住房保障支出</c:v>
                </c:pt>
              </c:strCache>
            </c:strRef>
          </c:cat>
          <c:val>
            <c:numRef>
              <c:f>'[for 李婷.xlsx]Sheet1'!$B$72:$B$76</c:f>
              <c:numCache>
                <c:formatCode>0.00%</c:formatCode>
                <c:ptCount val="5"/>
                <c:pt idx="0">
                  <c:v>0.0420802495111265</c:v>
                </c:pt>
                <c:pt idx="1">
                  <c:v>0.036263273843412</c:v>
                </c:pt>
                <c:pt idx="2">
                  <c:v>0.510037377162801</c:v>
                </c:pt>
                <c:pt idx="3">
                  <c:v>0.377113294883537</c:v>
                </c:pt>
                <c:pt idx="4">
                  <c:v>0.0345058045991237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t>“三公”经费财政拨款支出结构</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Sheet1!$A$19:$A$21</c:f>
              <c:strCache>
                <c:ptCount val="3"/>
                <c:pt idx="0">
                  <c:v>公务接待费</c:v>
                </c:pt>
                <c:pt idx="1">
                  <c:v>因公出国</c:v>
                </c:pt>
                <c:pt idx="2">
                  <c:v>公务用车购置及运行维护费</c:v>
                </c:pt>
              </c:strCache>
            </c:strRef>
          </c:cat>
          <c:val>
            <c:numRef>
              <c:f>Sheet1!$B$19:$B$21</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3096FD-59EE-4FD7-B65B-B1AAC58601E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55</Pages>
  <Words>18615</Words>
  <Characters>20189</Characters>
  <Lines>136</Lines>
  <Paragraphs>38</Paragraphs>
  <TotalTime>4</TotalTime>
  <ScaleCrop>false</ScaleCrop>
  <LinksUpToDate>false</LinksUpToDate>
  <CharactersWithSpaces>20322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2023-09-07T03:49:00Z</dcterms:created>
  <dc:creator>曹颖</dc:creator>
  <cp:lastModifiedBy>初</cp:lastModifiedBy>
  <cp:lastPrinted>2024-09-19T02:04:49Z</cp:lastPrinted>
  <dcterms:modified xsi:type="dcterms:W3CDTF">2024-09-19T02:05:37Z</dcterms:modified>
  <dc:title>阿坝州部门决算说明</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513E2E8EA28540FA8E834B4EE5BF24B3_13</vt:lpwstr>
  </property>
</Properties>
</file>