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F041">
      <w:pPr>
        <w:spacing w:line="600" w:lineRule="exact"/>
        <w:outlineLvl w:val="0"/>
        <w:rPr>
          <w:rFonts w:ascii="方正小标宋简体" w:hAnsi="宋体" w:eastAsia="方正小标宋简体"/>
          <w:color w:val="000000"/>
          <w:sz w:val="72"/>
          <w:szCs w:val="72"/>
        </w:rPr>
      </w:pPr>
      <w:bookmarkStart w:id="0" w:name="_Toc15306267"/>
    </w:p>
    <w:p w14:paraId="50EBAAF4">
      <w:pPr>
        <w:jc w:val="center"/>
        <w:rPr>
          <w:rFonts w:ascii="黑体" w:hAnsi="黑体" w:eastAsia="黑体"/>
          <w:sz w:val="72"/>
          <w:szCs w:val="72"/>
        </w:rPr>
      </w:pPr>
      <w:bookmarkStart w:id="1" w:name="_Toc15396597"/>
      <w:bookmarkStart w:id="2" w:name="_Toc15377193"/>
      <w:bookmarkStart w:id="3" w:name="_Toc15396475"/>
      <w:bookmarkStart w:id="4" w:name="_Toc15378441"/>
      <w:bookmarkStart w:id="5" w:name="_Toc15377425"/>
      <w:r>
        <w:rPr>
          <w:rFonts w:hint="eastAsia" w:ascii="方正小标宋简体" w:eastAsia="方正小标宋简体"/>
          <w:sz w:val="72"/>
          <w:szCs w:val="72"/>
        </w:rPr>
        <w:t>202</w:t>
      </w:r>
      <w:r>
        <w:rPr>
          <w:rFonts w:hint="eastAsia" w:ascii="方正小标宋简体" w:eastAsia="方正小标宋简体"/>
          <w:sz w:val="72"/>
          <w:szCs w:val="72"/>
          <w:lang w:val="en-US" w:eastAsia="zh-CN"/>
        </w:rPr>
        <w:t>4</w:t>
      </w:r>
      <w:r>
        <w:rPr>
          <w:rFonts w:hint="eastAsia" w:ascii="方正小标宋简体" w:eastAsia="方正小标宋简体"/>
          <w:sz w:val="72"/>
          <w:szCs w:val="72"/>
        </w:rPr>
        <w:t>年度</w:t>
      </w:r>
      <w:bookmarkEnd w:id="1"/>
      <w:bookmarkEnd w:id="2"/>
      <w:bookmarkEnd w:id="3"/>
      <w:bookmarkEnd w:id="4"/>
      <w:bookmarkEnd w:id="5"/>
      <w:bookmarkStart w:id="6" w:name="_Toc15377194"/>
      <w:bookmarkStart w:id="7" w:name="_Toc15377426"/>
      <w:bookmarkStart w:id="8" w:name="_Toc15396598"/>
      <w:bookmarkStart w:id="9" w:name="_Toc15396476"/>
      <w:bookmarkStart w:id="10" w:name="_Toc15378442"/>
      <w:r>
        <w:rPr>
          <w:rFonts w:hint="eastAsia" w:ascii="方正小标宋简体" w:eastAsia="方正小标宋简体"/>
          <w:sz w:val="72"/>
          <w:szCs w:val="72"/>
          <w:lang w:eastAsia="zh-CN"/>
        </w:rPr>
        <w:t>四川省</w:t>
      </w:r>
      <w:r>
        <w:rPr>
          <w:rFonts w:hint="eastAsia" w:ascii="方正小标宋简体" w:eastAsia="方正小标宋简体"/>
          <w:sz w:val="72"/>
          <w:szCs w:val="72"/>
        </w:rPr>
        <w:t>阿坝州</w:t>
      </w:r>
    </w:p>
    <w:p w14:paraId="3D11F1F0">
      <w:pPr>
        <w:jc w:val="center"/>
        <w:rPr>
          <w:rFonts w:ascii="方正小标宋简体" w:eastAsia="方正小标宋简体"/>
          <w:sz w:val="72"/>
          <w:szCs w:val="72"/>
        </w:rPr>
      </w:pPr>
      <w:r>
        <w:rPr>
          <w:rFonts w:hint="eastAsia" w:ascii="方正小标宋简体" w:eastAsia="方正小标宋简体"/>
          <w:sz w:val="72"/>
          <w:szCs w:val="72"/>
        </w:rPr>
        <w:t>茂县</w:t>
      </w:r>
      <w:bookmarkEnd w:id="0"/>
      <w:bookmarkStart w:id="11" w:name="_Toc15306268"/>
      <w:r>
        <w:rPr>
          <w:rFonts w:hint="eastAsia" w:ascii="方正小标宋简体" w:eastAsia="方正小标宋简体"/>
          <w:sz w:val="72"/>
          <w:szCs w:val="72"/>
        </w:rPr>
        <w:t>供销合作社联合社</w:t>
      </w:r>
    </w:p>
    <w:p w14:paraId="0DDAF2D1">
      <w:pPr>
        <w:jc w:val="center"/>
        <w:rPr>
          <w:rFonts w:ascii="方正小标宋简体" w:eastAsia="方正小标宋简体"/>
          <w:sz w:val="72"/>
          <w:szCs w:val="72"/>
        </w:rPr>
      </w:pPr>
      <w:r>
        <w:rPr>
          <w:rFonts w:hint="eastAsia" w:ascii="方正小标宋简体" w:eastAsia="方正小标宋简体"/>
          <w:sz w:val="72"/>
          <w:szCs w:val="72"/>
          <w:lang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14:paraId="7FF48B8D">
      <w:pPr>
        <w:widowControl/>
        <w:jc w:val="center"/>
        <w:rPr>
          <w:rFonts w:ascii="方正小标宋简体" w:hAnsi="宋体" w:eastAsia="方正小标宋简体"/>
          <w:color w:val="000000"/>
          <w:sz w:val="36"/>
          <w:szCs w:val="36"/>
        </w:rPr>
      </w:pPr>
    </w:p>
    <w:p w14:paraId="502A6364">
      <w:pPr>
        <w:rPr>
          <w:rFonts w:ascii="方正小标宋简体" w:hAnsi="宋体" w:eastAsia="方正小标宋简体"/>
          <w:sz w:val="36"/>
          <w:szCs w:val="36"/>
        </w:rPr>
      </w:pPr>
    </w:p>
    <w:p w14:paraId="0CD43D92">
      <w:pPr>
        <w:rPr>
          <w:rFonts w:ascii="方正小标宋简体" w:hAnsi="宋体" w:eastAsia="方正小标宋简体"/>
          <w:sz w:val="36"/>
          <w:szCs w:val="36"/>
        </w:rPr>
      </w:pPr>
    </w:p>
    <w:p w14:paraId="7C1D7F29">
      <w:pPr>
        <w:rPr>
          <w:rFonts w:ascii="方正小标宋简体" w:hAnsi="宋体" w:eastAsia="方正小标宋简体"/>
          <w:sz w:val="36"/>
          <w:szCs w:val="36"/>
        </w:rPr>
      </w:pPr>
    </w:p>
    <w:p w14:paraId="0464C561">
      <w:pPr>
        <w:rPr>
          <w:rFonts w:ascii="方正小标宋简体" w:hAnsi="宋体" w:eastAsia="方正小标宋简体"/>
          <w:sz w:val="36"/>
          <w:szCs w:val="36"/>
        </w:rPr>
      </w:pPr>
    </w:p>
    <w:p w14:paraId="6AAFF673">
      <w:pPr>
        <w:rPr>
          <w:rFonts w:ascii="方正小标宋简体" w:hAnsi="宋体" w:eastAsia="方正小标宋简体"/>
          <w:sz w:val="36"/>
          <w:szCs w:val="36"/>
        </w:rPr>
      </w:pPr>
    </w:p>
    <w:p w14:paraId="459732EB">
      <w:pPr>
        <w:rPr>
          <w:rFonts w:ascii="方正小标宋简体" w:hAnsi="宋体" w:eastAsia="方正小标宋简体"/>
          <w:sz w:val="36"/>
          <w:szCs w:val="36"/>
        </w:rPr>
      </w:pPr>
    </w:p>
    <w:p w14:paraId="169A2872">
      <w:pPr>
        <w:rPr>
          <w:rFonts w:ascii="方正小标宋简体" w:hAnsi="宋体" w:eastAsia="方正小标宋简体"/>
          <w:sz w:val="36"/>
          <w:szCs w:val="36"/>
        </w:rPr>
      </w:pPr>
    </w:p>
    <w:p w14:paraId="7C4A6D86">
      <w:pPr>
        <w:rPr>
          <w:rFonts w:ascii="方正小标宋简体" w:hAnsi="宋体" w:eastAsia="方正小标宋简体"/>
          <w:sz w:val="36"/>
          <w:szCs w:val="36"/>
        </w:rPr>
      </w:pPr>
    </w:p>
    <w:p w14:paraId="069B81EF">
      <w:pPr>
        <w:rPr>
          <w:rFonts w:ascii="方正小标宋简体" w:hAnsi="宋体" w:eastAsia="方正小标宋简体"/>
          <w:sz w:val="36"/>
          <w:szCs w:val="36"/>
        </w:rPr>
      </w:pPr>
    </w:p>
    <w:p w14:paraId="2423A5F1">
      <w:pPr>
        <w:autoSpaceDE w:val="0"/>
        <w:autoSpaceDN w:val="0"/>
        <w:adjustRightInd w:val="0"/>
        <w:spacing w:line="576" w:lineRule="exact"/>
        <w:ind w:left="420" w:leftChars="200" w:firstLine="320" w:firstLineChars="100"/>
        <w:jc w:val="left"/>
        <w:rPr>
          <w:rFonts w:ascii="宋体" w:cs="仿宋_GB2312"/>
          <w:sz w:val="32"/>
          <w:szCs w:val="32"/>
        </w:rPr>
      </w:pPr>
      <w:r>
        <w:rPr>
          <w:rFonts w:hint="eastAsia" w:ascii="宋体" w:cs="仿宋_GB2312"/>
          <w:sz w:val="32"/>
          <w:szCs w:val="32"/>
        </w:rPr>
        <w:t>已经保密审查、内容审定，同意对外公开</w:t>
      </w:r>
    </w:p>
    <w:p w14:paraId="7A936944">
      <w:pPr>
        <w:widowControl/>
        <w:jc w:val="center"/>
        <w:rPr>
          <w:rFonts w:ascii="方正小标宋简体" w:hAnsi="宋体" w:eastAsia="方正小标宋简体"/>
          <w:color w:val="000000"/>
          <w:sz w:val="36"/>
          <w:szCs w:val="36"/>
        </w:rPr>
      </w:pPr>
    </w:p>
    <w:p w14:paraId="31783C1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A8A8CC9">
      <w:pPr>
        <w:pStyle w:val="15"/>
        <w:jc w:val="center"/>
        <w:rPr>
          <w:rFonts w:ascii="仿宋_GB2312" w:eastAsia="仿宋_GB2312" w:hAnsiTheme="minorHAnsi"/>
          <w:b w:val="0"/>
          <w:bCs w:val="0"/>
          <w:sz w:val="24"/>
          <w:szCs w:val="24"/>
        </w:rPr>
      </w:pPr>
      <w:r>
        <w:rPr>
          <w:rFonts w:hint="eastAsia" w:ascii="仿宋_GB2312" w:eastAsia="仿宋_GB2312" w:hAnsiTheme="minorHAnsi"/>
          <w:b w:val="0"/>
          <w:bCs w:val="0"/>
          <w:sz w:val="24"/>
          <w:szCs w:val="24"/>
        </w:rPr>
        <w:t>公开时间：202</w:t>
      </w:r>
      <w:r>
        <w:rPr>
          <w:rFonts w:hint="eastAsia" w:ascii="仿宋_GB2312" w:eastAsia="仿宋_GB2312" w:hAnsiTheme="minorHAnsi"/>
          <w:b w:val="0"/>
          <w:bCs w:val="0"/>
          <w:sz w:val="24"/>
          <w:szCs w:val="24"/>
          <w:lang w:val="en-US" w:eastAsia="zh-CN"/>
        </w:rPr>
        <w:t>5</w:t>
      </w:r>
      <w:r>
        <w:rPr>
          <w:rFonts w:hint="eastAsia" w:ascii="仿宋_GB2312" w:eastAsia="仿宋_GB2312" w:hAnsiTheme="minorHAnsi"/>
          <w:b w:val="0"/>
          <w:bCs w:val="0"/>
          <w:sz w:val="24"/>
          <w:szCs w:val="24"/>
        </w:rPr>
        <w:t>年9 月</w:t>
      </w:r>
      <w:r>
        <w:rPr>
          <w:rFonts w:hint="eastAsia" w:ascii="仿宋_GB2312" w:eastAsia="仿宋_GB2312" w:hAnsiTheme="minorHAnsi"/>
          <w:b w:val="0"/>
          <w:bCs w:val="0"/>
          <w:sz w:val="24"/>
          <w:szCs w:val="24"/>
          <w:lang w:val="en-US" w:eastAsia="zh-CN"/>
        </w:rPr>
        <w:t>25</w:t>
      </w:r>
      <w:r>
        <w:rPr>
          <w:rFonts w:hint="eastAsia" w:ascii="仿宋_GB2312" w:eastAsia="仿宋_GB2312" w:hAnsiTheme="minorHAnsi"/>
          <w:b w:val="0"/>
          <w:bCs w:val="0"/>
          <w:sz w:val="24"/>
          <w:szCs w:val="24"/>
        </w:rPr>
        <w:t xml:space="preserve"> 日</w:t>
      </w:r>
    </w:p>
    <w:p w14:paraId="016FB95A">
      <w:pPr>
        <w:pStyle w:val="15"/>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TOC \o \u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 xml:space="preserve">第一部分 </w:t>
      </w:r>
      <w:r>
        <w:rPr>
          <w:rFonts w:hint="eastAsia" w:ascii="仿宋_GB2312" w:hAnsi="仿宋" w:eastAsia="仿宋_GB2312"/>
          <w:b w:val="0"/>
          <w:bCs w:val="0"/>
          <w:caps w:val="0"/>
          <w:smallCaps/>
          <w:lang w:eastAsia="zh-CN"/>
        </w:rPr>
        <w:t>单位</w:t>
      </w:r>
      <w:r>
        <w:rPr>
          <w:rFonts w:hint="eastAsia" w:ascii="仿宋_GB2312" w:hAnsi="仿宋" w:eastAsia="仿宋_GB2312"/>
          <w:b w:val="0"/>
          <w:bCs w:val="0"/>
          <w:caps w:val="0"/>
          <w:smallCaps/>
        </w:rPr>
        <w:t>概况</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PAGEREF _Toc79163851 \h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4</w:t>
      </w:r>
      <w:r>
        <w:rPr>
          <w:rFonts w:hint="eastAsia" w:ascii="仿宋_GB2312" w:hAnsi="仿宋" w:eastAsia="仿宋_GB2312"/>
          <w:b w:val="0"/>
          <w:bCs w:val="0"/>
          <w:caps w:val="0"/>
          <w:smallCaps/>
        </w:rPr>
        <w:fldChar w:fldCharType="end"/>
      </w:r>
    </w:p>
    <w:p w14:paraId="261BAD9F">
      <w:pPr>
        <w:pStyle w:val="21"/>
        <w:tabs>
          <w:tab w:val="right" w:leader="dot" w:pos="8296"/>
        </w:tabs>
        <w:rPr>
          <w:rFonts w:ascii="仿宋_GB2312" w:hAnsi="仿宋" w:eastAsia="仿宋_GB2312"/>
        </w:rPr>
      </w:pPr>
      <w:r>
        <w:rPr>
          <w:rFonts w:hint="eastAsia" w:ascii="仿宋_GB2312" w:hAnsi="仿宋" w:eastAsia="仿宋_GB2312"/>
        </w:rPr>
        <w:t>一、</w:t>
      </w:r>
      <w:r>
        <w:rPr>
          <w:rFonts w:hint="eastAsia" w:ascii="仿宋_GB2312" w:hAnsi="仿宋" w:eastAsia="仿宋_GB2312"/>
          <w:lang w:eastAsia="zh-CN"/>
        </w:rPr>
        <w:t>主要职责</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_Toc79163852 \h </w:instrText>
      </w:r>
      <w:r>
        <w:rPr>
          <w:rFonts w:hint="eastAsia" w:ascii="仿宋_GB2312" w:hAnsi="仿宋" w:eastAsia="仿宋_GB2312"/>
        </w:rPr>
        <w:fldChar w:fldCharType="separate"/>
      </w:r>
      <w:r>
        <w:rPr>
          <w:rFonts w:hint="eastAsia" w:ascii="仿宋_GB2312" w:hAnsi="仿宋" w:eastAsia="仿宋_GB2312"/>
        </w:rPr>
        <w:t>4</w:t>
      </w:r>
      <w:r>
        <w:rPr>
          <w:rFonts w:hint="eastAsia" w:ascii="仿宋_GB2312" w:hAnsi="仿宋" w:eastAsia="仿宋_GB2312"/>
        </w:rPr>
        <w:fldChar w:fldCharType="end"/>
      </w:r>
    </w:p>
    <w:p w14:paraId="792422D1">
      <w:pPr>
        <w:pStyle w:val="21"/>
        <w:tabs>
          <w:tab w:val="right" w:leader="dot" w:pos="8296"/>
        </w:tabs>
        <w:rPr>
          <w:rFonts w:hint="eastAsia" w:ascii="仿宋_GB2312" w:hAnsi="仿宋" w:eastAsia="仿宋_GB2312"/>
          <w:lang w:val="en-US" w:eastAsia="zh-CN"/>
        </w:rPr>
      </w:pPr>
      <w:r>
        <w:rPr>
          <w:rFonts w:hint="eastAsia" w:ascii="仿宋_GB2312" w:hAnsi="仿宋" w:eastAsia="仿宋_GB2312"/>
        </w:rPr>
        <w:t>二、机构设置</w:t>
      </w:r>
      <w:r>
        <w:rPr>
          <w:rFonts w:hint="eastAsia" w:ascii="仿宋_GB2312" w:hAnsi="仿宋" w:eastAsia="仿宋_GB2312"/>
        </w:rPr>
        <w:tab/>
      </w:r>
      <w:r>
        <w:rPr>
          <w:rFonts w:hint="eastAsia" w:ascii="仿宋_GB2312" w:hAnsi="仿宋" w:eastAsia="仿宋_GB2312"/>
          <w:lang w:val="en-US" w:eastAsia="zh-CN"/>
        </w:rPr>
        <w:t>5</w:t>
      </w:r>
    </w:p>
    <w:p w14:paraId="181DA90D">
      <w:pPr>
        <w:pStyle w:val="15"/>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第二部分 202</w:t>
      </w:r>
      <w:r>
        <w:rPr>
          <w:rFonts w:hint="eastAsia" w:ascii="仿宋_GB2312" w:hAnsi="仿宋" w:eastAsia="仿宋_GB2312"/>
          <w:b w:val="0"/>
          <w:bCs w:val="0"/>
          <w:caps w:val="0"/>
          <w:smallCaps/>
          <w:lang w:val="en-US" w:eastAsia="zh-CN"/>
        </w:rPr>
        <w:t>4</w:t>
      </w:r>
      <w:r>
        <w:rPr>
          <w:rFonts w:hint="eastAsia" w:ascii="仿宋_GB2312" w:hAnsi="仿宋" w:eastAsia="仿宋_GB2312"/>
          <w:b w:val="0"/>
          <w:bCs w:val="0"/>
          <w:caps w:val="0"/>
          <w:smallCaps/>
        </w:rPr>
        <w:t>年度</w:t>
      </w:r>
      <w:r>
        <w:rPr>
          <w:rFonts w:hint="eastAsia" w:ascii="仿宋_GB2312" w:hAnsi="仿宋" w:eastAsia="仿宋_GB2312"/>
          <w:b w:val="0"/>
          <w:bCs w:val="0"/>
          <w:caps w:val="0"/>
          <w:smallCaps/>
          <w:lang w:eastAsia="zh-CN"/>
        </w:rPr>
        <w:t>单位</w:t>
      </w:r>
      <w:r>
        <w:rPr>
          <w:rFonts w:hint="eastAsia" w:ascii="仿宋_GB2312" w:hAnsi="仿宋" w:eastAsia="仿宋_GB2312"/>
          <w:b w:val="0"/>
          <w:bCs w:val="0"/>
          <w:caps w:val="0"/>
          <w:smallCaps/>
        </w:rPr>
        <w:t>决算情况说明</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6</w:t>
      </w:r>
    </w:p>
    <w:p w14:paraId="579FF0BB">
      <w:pPr>
        <w:pStyle w:val="21"/>
        <w:tabs>
          <w:tab w:val="left" w:pos="840"/>
          <w:tab w:val="right" w:leader="dot" w:pos="8296"/>
        </w:tabs>
        <w:rPr>
          <w:rFonts w:hint="eastAsia" w:ascii="仿宋_GB2312" w:hAnsi="仿宋" w:eastAsia="仿宋_GB2312"/>
          <w:lang w:eastAsia="zh-CN"/>
        </w:rPr>
      </w:pPr>
      <w:r>
        <w:rPr>
          <w:rFonts w:hint="eastAsia" w:ascii="仿宋_GB2312" w:hAnsi="仿宋" w:eastAsia="仿宋_GB2312"/>
        </w:rPr>
        <w:t>一、</w:t>
      </w:r>
      <w:r>
        <w:rPr>
          <w:rFonts w:hint="eastAsia" w:ascii="仿宋_GB2312" w:hAnsi="仿宋" w:eastAsia="仿宋_GB2312"/>
        </w:rPr>
        <w:tab/>
      </w:r>
      <w:r>
        <w:rPr>
          <w:rFonts w:hint="eastAsia" w:ascii="仿宋_GB2312" w:hAnsi="仿宋" w:eastAsia="仿宋_GB2312"/>
        </w:rPr>
        <w:t>收入支出决算总体情况说明</w:t>
      </w:r>
      <w:r>
        <w:rPr>
          <w:rFonts w:hint="eastAsia" w:ascii="仿宋_GB2312" w:hAnsi="仿宋" w:eastAsia="仿宋_GB2312"/>
        </w:rPr>
        <w:tab/>
      </w:r>
      <w:r>
        <w:rPr>
          <w:rFonts w:hint="eastAsia" w:ascii="仿宋_GB2312" w:hAnsi="仿宋" w:eastAsia="仿宋_GB2312"/>
          <w:lang w:val="en-US" w:eastAsia="zh-CN"/>
        </w:rPr>
        <w:t>6</w:t>
      </w:r>
    </w:p>
    <w:p w14:paraId="69978F0B">
      <w:pPr>
        <w:pStyle w:val="21"/>
        <w:tabs>
          <w:tab w:val="left" w:pos="840"/>
          <w:tab w:val="right" w:leader="dot" w:pos="8296"/>
        </w:tabs>
        <w:rPr>
          <w:rFonts w:hint="eastAsia" w:ascii="仿宋_GB2312" w:hAnsi="仿宋" w:eastAsia="仿宋_GB2312"/>
          <w:lang w:eastAsia="zh-CN"/>
        </w:rPr>
      </w:pPr>
      <w:r>
        <w:rPr>
          <w:rFonts w:hint="eastAsia" w:ascii="仿宋_GB2312" w:hAnsi="仿宋" w:eastAsia="仿宋_GB2312"/>
        </w:rPr>
        <w:t>二、</w:t>
      </w:r>
      <w:r>
        <w:rPr>
          <w:rFonts w:hint="eastAsia" w:ascii="仿宋_GB2312" w:hAnsi="仿宋" w:eastAsia="仿宋_GB2312"/>
        </w:rPr>
        <w:tab/>
      </w:r>
      <w:r>
        <w:rPr>
          <w:rFonts w:hint="eastAsia" w:ascii="仿宋_GB2312" w:hAnsi="仿宋" w:eastAsia="仿宋_GB2312"/>
        </w:rPr>
        <w:t>收入决算情况说明</w:t>
      </w:r>
      <w:r>
        <w:rPr>
          <w:rFonts w:hint="eastAsia" w:ascii="仿宋_GB2312" w:hAnsi="仿宋" w:eastAsia="仿宋_GB2312"/>
        </w:rPr>
        <w:tab/>
      </w:r>
      <w:r>
        <w:rPr>
          <w:rFonts w:hint="eastAsia" w:ascii="仿宋_GB2312" w:hAnsi="仿宋" w:eastAsia="仿宋_GB2312"/>
          <w:lang w:val="en-US" w:eastAsia="zh-CN"/>
        </w:rPr>
        <w:t>7</w:t>
      </w:r>
    </w:p>
    <w:p w14:paraId="2E809527">
      <w:pPr>
        <w:pStyle w:val="21"/>
        <w:tabs>
          <w:tab w:val="left" w:pos="840"/>
          <w:tab w:val="right" w:leader="dot" w:pos="8296"/>
        </w:tabs>
        <w:rPr>
          <w:rFonts w:hint="eastAsia" w:ascii="仿宋_GB2312" w:hAnsi="仿宋" w:eastAsia="仿宋_GB2312"/>
          <w:lang w:eastAsia="zh-CN"/>
        </w:rPr>
      </w:pPr>
      <w:r>
        <w:rPr>
          <w:rFonts w:hint="eastAsia" w:ascii="仿宋_GB2312" w:hAnsi="仿宋" w:eastAsia="仿宋_GB2312"/>
        </w:rPr>
        <w:t>三、</w:t>
      </w:r>
      <w:r>
        <w:rPr>
          <w:rFonts w:hint="eastAsia" w:ascii="仿宋_GB2312" w:hAnsi="仿宋" w:eastAsia="仿宋_GB2312"/>
        </w:rPr>
        <w:tab/>
      </w:r>
      <w:r>
        <w:rPr>
          <w:rFonts w:hint="eastAsia" w:ascii="仿宋_GB2312" w:hAnsi="仿宋" w:eastAsia="仿宋_GB2312"/>
        </w:rPr>
        <w:t>支出决算情况说明</w:t>
      </w:r>
      <w:r>
        <w:rPr>
          <w:rFonts w:hint="eastAsia" w:ascii="仿宋_GB2312" w:hAnsi="仿宋" w:eastAsia="仿宋_GB2312"/>
        </w:rPr>
        <w:tab/>
      </w:r>
      <w:r>
        <w:rPr>
          <w:rFonts w:hint="eastAsia" w:ascii="仿宋_GB2312" w:hAnsi="仿宋" w:eastAsia="仿宋_GB2312"/>
          <w:lang w:val="en-US" w:eastAsia="zh-CN"/>
        </w:rPr>
        <w:t>7</w:t>
      </w:r>
    </w:p>
    <w:p w14:paraId="75BB5F85">
      <w:pPr>
        <w:pStyle w:val="21"/>
        <w:tabs>
          <w:tab w:val="right" w:leader="dot" w:pos="8296"/>
        </w:tabs>
        <w:rPr>
          <w:rFonts w:hint="eastAsia" w:ascii="仿宋_GB2312" w:hAnsi="仿宋" w:eastAsia="仿宋_GB2312"/>
          <w:lang w:eastAsia="zh-CN"/>
        </w:rPr>
      </w:pPr>
      <w:r>
        <w:rPr>
          <w:rFonts w:hint="eastAsia" w:ascii="仿宋_GB2312" w:hAnsi="仿宋" w:eastAsia="仿宋_GB2312"/>
        </w:rPr>
        <w:t>四、财政拨款收入支出决算总体情况说明</w:t>
      </w:r>
      <w:r>
        <w:rPr>
          <w:rFonts w:hint="eastAsia" w:ascii="仿宋_GB2312" w:hAnsi="仿宋" w:eastAsia="仿宋_GB2312"/>
        </w:rPr>
        <w:tab/>
      </w:r>
      <w:r>
        <w:rPr>
          <w:rFonts w:hint="eastAsia" w:ascii="仿宋_GB2312" w:hAnsi="仿宋" w:eastAsia="仿宋_GB2312"/>
          <w:lang w:val="en-US" w:eastAsia="zh-CN"/>
        </w:rPr>
        <w:t>8</w:t>
      </w:r>
    </w:p>
    <w:p w14:paraId="2B0362C7">
      <w:pPr>
        <w:pStyle w:val="21"/>
        <w:tabs>
          <w:tab w:val="right" w:leader="dot" w:pos="8296"/>
        </w:tabs>
        <w:rPr>
          <w:rFonts w:hint="eastAsia" w:ascii="仿宋_GB2312" w:hAnsi="仿宋" w:eastAsia="仿宋_GB2312"/>
          <w:lang w:val="en-US" w:eastAsia="zh-CN"/>
        </w:rPr>
      </w:pPr>
      <w:r>
        <w:rPr>
          <w:rFonts w:hint="eastAsia" w:ascii="仿宋_GB2312" w:hAnsi="仿宋" w:eastAsia="仿宋_GB2312"/>
        </w:rPr>
        <w:t>五、一般公共预算财政拨款支出决算情况说明</w:t>
      </w:r>
      <w:r>
        <w:rPr>
          <w:rFonts w:hint="eastAsia" w:ascii="仿宋_GB2312" w:hAnsi="仿宋" w:eastAsia="仿宋_GB2312"/>
        </w:rPr>
        <w:tab/>
      </w:r>
      <w:r>
        <w:rPr>
          <w:rFonts w:hint="eastAsia" w:ascii="仿宋_GB2312" w:hAnsi="仿宋" w:eastAsia="仿宋_GB2312"/>
          <w:lang w:val="en-US" w:eastAsia="zh-CN"/>
        </w:rPr>
        <w:t>9</w:t>
      </w:r>
    </w:p>
    <w:p w14:paraId="7E01C0E1">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（一）一般公共预算财政拨款支出决算总体情况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9</w:t>
      </w:r>
    </w:p>
    <w:p w14:paraId="4FFC9A65">
      <w:pPr>
        <w:pStyle w:val="10"/>
        <w:tabs>
          <w:tab w:val="right" w:leader="dot" w:pos="8296"/>
        </w:tabs>
        <w:rPr>
          <w:rFonts w:hint="default" w:ascii="仿宋_GB2312" w:hAnsi="仿宋" w:eastAsia="仿宋_GB2312"/>
          <w:i w:val="0"/>
          <w:iCs w:val="0"/>
          <w:smallCaps/>
          <w:lang w:val="en-US" w:eastAsia="zh-CN"/>
        </w:rPr>
      </w:pPr>
      <w:r>
        <w:rPr>
          <w:rFonts w:hint="eastAsia" w:ascii="仿宋_GB2312" w:hAnsi="仿宋" w:eastAsia="仿宋_GB2312"/>
          <w:i w:val="0"/>
          <w:iCs w:val="0"/>
          <w:smallCaps/>
        </w:rPr>
        <w:t>（二）一般公共预算财政拨款支出决算结构情况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10</w:t>
      </w:r>
    </w:p>
    <w:p w14:paraId="2CF5F895">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（三）一般公共预算财政拨款支出决算具体情况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0</w:t>
      </w:r>
    </w:p>
    <w:p w14:paraId="55A43173">
      <w:pPr>
        <w:pStyle w:val="21"/>
        <w:tabs>
          <w:tab w:val="right" w:leader="dot" w:pos="8296"/>
        </w:tabs>
        <w:rPr>
          <w:rFonts w:hint="eastAsia" w:ascii="仿宋_GB2312" w:hAnsi="仿宋" w:eastAsia="仿宋_GB2312"/>
          <w:lang w:val="en-US" w:eastAsia="zh-CN"/>
        </w:rPr>
      </w:pPr>
      <w:r>
        <w:rPr>
          <w:rFonts w:hint="eastAsia" w:ascii="仿宋_GB2312" w:hAnsi="仿宋" w:eastAsia="仿宋_GB2312"/>
        </w:rPr>
        <w:t>六、一般公共预算财政拨款基本支出决算情况说明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14:paraId="0565A5AE">
      <w:pPr>
        <w:pStyle w:val="21"/>
        <w:tabs>
          <w:tab w:val="right" w:leader="dot" w:pos="8296"/>
        </w:tabs>
        <w:rPr>
          <w:rFonts w:hint="eastAsia" w:ascii="仿宋_GB2312" w:hAnsi="仿宋" w:eastAsia="仿宋_GB2312"/>
          <w:lang w:val="en-US" w:eastAsia="zh-CN"/>
        </w:rPr>
      </w:pPr>
      <w:r>
        <w:rPr>
          <w:rFonts w:hint="eastAsia" w:ascii="仿宋_GB2312" w:hAnsi="仿宋" w:eastAsia="仿宋_GB2312"/>
        </w:rPr>
        <w:t>七、</w:t>
      </w:r>
      <w:r>
        <w:rPr>
          <w:rFonts w:hint="eastAsia" w:ascii="仿宋_GB2312" w:hAnsi="仿宋" w:eastAsia="仿宋_GB2312"/>
          <w:lang w:eastAsia="zh-CN"/>
        </w:rPr>
        <w:t>财政拨款</w:t>
      </w:r>
      <w:r>
        <w:rPr>
          <w:rFonts w:hint="eastAsia" w:ascii="仿宋_GB2312" w:hAnsi="仿宋" w:eastAsia="仿宋_GB2312"/>
        </w:rPr>
        <w:t>“三公”经费支出决算情况说明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14:paraId="5CF468D9">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（一）“三公”经费财政拨款支出决算总体情况说明</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2</w:t>
      </w:r>
    </w:p>
    <w:p w14:paraId="2A22FD96">
      <w:pPr>
        <w:pStyle w:val="10"/>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（二）“三公”经费财政拨款支出决算具体情况说明</w:t>
      </w:r>
      <w:r>
        <w:rPr>
          <w:rFonts w:hint="eastAsia" w:ascii="仿宋_GB2312" w:hAnsi="仿宋" w:eastAsia="仿宋_GB2312"/>
          <w:i w:val="0"/>
          <w:iCs w:val="0"/>
          <w:smallCaps/>
        </w:rPr>
        <w:tab/>
      </w:r>
      <w:r>
        <w:rPr>
          <w:rFonts w:hint="eastAsia" w:ascii="仿宋_GB2312" w:hAnsi="仿宋" w:eastAsia="仿宋_GB2312"/>
          <w:i w:val="0"/>
          <w:iCs w:val="0"/>
          <w:smallCaps/>
        </w:rPr>
        <w:fldChar w:fldCharType="begin"/>
      </w:r>
      <w:r>
        <w:rPr>
          <w:rFonts w:hint="eastAsia" w:ascii="仿宋_GB2312" w:hAnsi="仿宋" w:eastAsia="仿宋_GB2312"/>
          <w:i w:val="0"/>
          <w:iCs w:val="0"/>
          <w:smallCaps/>
        </w:rPr>
        <w:instrText xml:space="preserve"> PAGEREF _Toc79163871 \h </w:instrText>
      </w:r>
      <w:r>
        <w:rPr>
          <w:rFonts w:hint="eastAsia" w:ascii="仿宋_GB2312" w:hAnsi="仿宋" w:eastAsia="仿宋_GB2312"/>
          <w:i w:val="0"/>
          <w:iCs w:val="0"/>
          <w:smallCaps/>
        </w:rPr>
        <w:fldChar w:fldCharType="separate"/>
      </w:r>
      <w:r>
        <w:rPr>
          <w:rFonts w:hint="eastAsia" w:ascii="仿宋_GB2312" w:hAnsi="仿宋" w:eastAsia="仿宋_GB2312"/>
          <w:i w:val="0"/>
          <w:iCs w:val="0"/>
          <w:smallCaps/>
        </w:rPr>
        <w:t>11</w:t>
      </w:r>
      <w:r>
        <w:rPr>
          <w:rFonts w:hint="eastAsia" w:ascii="仿宋_GB2312" w:hAnsi="仿宋" w:eastAsia="仿宋_GB2312"/>
          <w:i w:val="0"/>
          <w:iCs w:val="0"/>
          <w:smallCaps/>
        </w:rPr>
        <w:fldChar w:fldCharType="end"/>
      </w:r>
    </w:p>
    <w:p w14:paraId="108EF00B">
      <w:pPr>
        <w:pStyle w:val="21"/>
        <w:tabs>
          <w:tab w:val="right" w:leader="dot" w:pos="8296"/>
        </w:tabs>
        <w:rPr>
          <w:rFonts w:ascii="仿宋_GB2312" w:hAnsi="仿宋" w:eastAsia="仿宋_GB2312"/>
        </w:rPr>
      </w:pPr>
      <w:r>
        <w:rPr>
          <w:rFonts w:hint="eastAsia" w:ascii="仿宋_GB2312" w:hAnsi="仿宋" w:eastAsia="仿宋_GB2312"/>
        </w:rPr>
        <w:t>八、政府性基金预算支出决算情况说明</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_Toc79163872 \h </w:instrText>
      </w:r>
      <w:r>
        <w:rPr>
          <w:rFonts w:hint="eastAsia" w:ascii="仿宋_GB2312" w:hAnsi="仿宋" w:eastAsia="仿宋_GB2312"/>
        </w:rPr>
        <w:fldChar w:fldCharType="separate"/>
      </w:r>
      <w:r>
        <w:rPr>
          <w:rFonts w:hint="eastAsia" w:ascii="仿宋_GB2312" w:hAnsi="仿宋" w:eastAsia="仿宋_GB2312"/>
        </w:rPr>
        <w:t>12</w:t>
      </w:r>
      <w:r>
        <w:rPr>
          <w:rFonts w:hint="eastAsia" w:ascii="仿宋_GB2312" w:hAnsi="仿宋" w:eastAsia="仿宋_GB2312"/>
        </w:rPr>
        <w:fldChar w:fldCharType="end"/>
      </w:r>
    </w:p>
    <w:p w14:paraId="21F8BCF4">
      <w:pPr>
        <w:pStyle w:val="21"/>
        <w:tabs>
          <w:tab w:val="right" w:leader="dot" w:pos="8296"/>
        </w:tabs>
        <w:rPr>
          <w:rFonts w:hint="eastAsia" w:ascii="仿宋_GB2312" w:hAnsi="仿宋" w:eastAsia="仿宋_GB2312"/>
          <w:lang w:val="en-US" w:eastAsia="zh-CN"/>
        </w:rPr>
      </w:pPr>
      <w:r>
        <w:rPr>
          <w:rFonts w:hint="eastAsia" w:ascii="仿宋_GB2312" w:hAnsi="仿宋" w:eastAsia="仿宋_GB2312"/>
        </w:rPr>
        <w:t>九、 国有资本经营预算支出决算情况说明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14:paraId="01E3B23E">
      <w:pPr>
        <w:pStyle w:val="21"/>
        <w:tabs>
          <w:tab w:val="right" w:leader="dot" w:pos="8296"/>
        </w:tabs>
        <w:rPr>
          <w:rFonts w:hint="eastAsia" w:ascii="仿宋_GB2312" w:hAnsi="仿宋" w:eastAsia="仿宋_GB2312"/>
          <w:lang w:val="en-US" w:eastAsia="zh-CN"/>
        </w:rPr>
      </w:pPr>
      <w:r>
        <w:rPr>
          <w:rFonts w:hint="eastAsia" w:ascii="仿宋_GB2312" w:hAnsi="仿宋" w:eastAsia="仿宋_GB2312"/>
        </w:rPr>
        <w:t>十、其他重要事项的情况说明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14:paraId="3B053725">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（一）机关运行经费支出情况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23D5740D">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（二）政府采购支出情况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79C95E63">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（三）国有资产占有使用情况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51F6070B">
      <w:pPr>
        <w:pStyle w:val="10"/>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（四）预算绩效管理情况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73A3D087">
      <w:pPr>
        <w:pStyle w:val="15"/>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第三部分 名词解释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1</w:t>
      </w:r>
      <w:r>
        <w:rPr>
          <w:rFonts w:hint="eastAsia" w:ascii="仿宋_GB2312" w:hAnsi="仿宋" w:eastAsia="仿宋_GB2312"/>
          <w:b w:val="0"/>
          <w:bCs w:val="0"/>
          <w:caps w:val="0"/>
          <w:smallCaps/>
          <w:lang w:val="en-US" w:eastAsia="zh-CN"/>
        </w:rPr>
        <w:t>6</w:t>
      </w:r>
    </w:p>
    <w:p w14:paraId="176A38EE">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第四部分 附件</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77FCF84E">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附件1</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23A9A46A">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茂县供销合作社联合社驻村人员临岗补贴和乡镇补贴</w:t>
      </w:r>
      <w:r>
        <w:rPr>
          <w:rFonts w:hint="eastAsia" w:ascii="仿宋_GB2312" w:hAnsi="仿宋" w:eastAsia="仿宋_GB2312"/>
          <w:b w:val="0"/>
          <w:bCs w:val="0"/>
          <w:caps w:val="0"/>
          <w:smallCaps/>
          <w:lang w:eastAsia="zh-CN"/>
        </w:rPr>
        <w:t>项目支出绩效自评表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7D077017">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附件2</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21</w:t>
      </w:r>
    </w:p>
    <w:p w14:paraId="753C995D">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茂县供销合作社联合社供销为农服务综合平台试点县建设</w:t>
      </w:r>
      <w:r>
        <w:rPr>
          <w:rFonts w:hint="eastAsia" w:ascii="仿宋_GB2312" w:hAnsi="仿宋" w:eastAsia="仿宋_GB2312"/>
          <w:b w:val="0"/>
          <w:bCs w:val="0"/>
          <w:caps w:val="0"/>
          <w:smallCaps/>
          <w:lang w:eastAsia="zh-CN"/>
        </w:rPr>
        <w:t>项目支出绩效自评表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21</w:t>
      </w:r>
    </w:p>
    <w:p w14:paraId="23D5EABE">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附件3</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23</w:t>
      </w:r>
    </w:p>
    <w:p w14:paraId="05B5A1A9">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茂县供销合作社联合社2024年度“发展数智茂农，共创云链供销”交融交往资金</w:t>
      </w:r>
      <w:r>
        <w:rPr>
          <w:rFonts w:hint="eastAsia" w:ascii="仿宋_GB2312" w:hAnsi="仿宋" w:eastAsia="仿宋_GB2312"/>
          <w:b w:val="0"/>
          <w:bCs w:val="0"/>
          <w:caps w:val="0"/>
          <w:smallCaps/>
          <w:lang w:eastAsia="zh-CN"/>
        </w:rPr>
        <w:t>项目支出绩效自评表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23</w:t>
      </w:r>
    </w:p>
    <w:p w14:paraId="694CB37F">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附件4</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25</w:t>
      </w:r>
    </w:p>
    <w:p w14:paraId="1CF07D3C">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茂县供销合作社联合社2024年州级农资价格及储备补贴资金</w:t>
      </w:r>
      <w:r>
        <w:rPr>
          <w:rFonts w:hint="eastAsia" w:ascii="仿宋_GB2312" w:hAnsi="仿宋" w:eastAsia="仿宋_GB2312"/>
          <w:b w:val="0"/>
          <w:bCs w:val="0"/>
          <w:caps w:val="0"/>
          <w:smallCaps/>
          <w:lang w:eastAsia="zh-CN"/>
        </w:rPr>
        <w:t>项目支出绩效自评表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25</w:t>
      </w:r>
    </w:p>
    <w:p w14:paraId="1529E2DA">
      <w:pPr>
        <w:pStyle w:val="15"/>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第五部分 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26</w:t>
      </w:r>
    </w:p>
    <w:p w14:paraId="7FB00550">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一、收入支出决算总表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0CDC1A17">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二、收入决算表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68983B13">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三、支出决算表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2D7C65F3">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四、财政拨款收入支出决算总表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3B0659A9">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五、财政拨款支出决算明细表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5C87F280">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六、一般公共预算财政拨款支出决算表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04E615B4">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七、一般公共预算财政拨款支出决算明细表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47AB8EB3">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八、一般公共预算财政拨款基本支出决算表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5D646889">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九、一般公共预算财政拨款项目支出决算表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66F920AF">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十、政府性基金预算财政拨款收入支出决算表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1B3D1A66">
      <w:pPr>
        <w:pStyle w:val="21"/>
        <w:tabs>
          <w:tab w:val="right" w:leader="dot" w:pos="8296"/>
        </w:tabs>
        <w:rPr>
          <w:rFonts w:hint="default" w:ascii="仿宋_GB2312" w:hAnsi="仿宋" w:eastAsia="仿宋_GB2312"/>
          <w:lang w:val="en-US" w:eastAsia="zh-CN"/>
        </w:rPr>
      </w:pPr>
      <w:r>
        <w:rPr>
          <w:rFonts w:hint="eastAsia" w:ascii="仿宋_GB2312" w:hAnsi="仿宋" w:eastAsia="仿宋_GB2312"/>
        </w:rPr>
        <w:t>十</w:t>
      </w:r>
      <w:r>
        <w:rPr>
          <w:rFonts w:hint="eastAsia" w:ascii="仿宋_GB2312" w:hAnsi="仿宋" w:eastAsia="仿宋_GB2312"/>
          <w:lang w:eastAsia="zh-CN"/>
        </w:rPr>
        <w:t>一</w:t>
      </w:r>
      <w:r>
        <w:rPr>
          <w:rFonts w:hint="eastAsia" w:ascii="仿宋_GB2312" w:hAnsi="仿宋" w:eastAsia="仿宋_GB2312"/>
        </w:rPr>
        <w:t>、国有资本经营预算财政拨款</w:t>
      </w:r>
      <w:r>
        <w:rPr>
          <w:rFonts w:hint="eastAsia" w:ascii="仿宋_GB2312" w:hAnsi="仿宋" w:eastAsia="仿宋_GB2312"/>
          <w:lang w:eastAsia="zh-CN"/>
        </w:rPr>
        <w:t>收入</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31B63BE4">
      <w:pPr>
        <w:pStyle w:val="21"/>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rPr>
        <w:t>十</w:t>
      </w:r>
      <w:r>
        <w:rPr>
          <w:rFonts w:hint="eastAsia" w:ascii="仿宋_GB2312" w:hAnsi="仿宋" w:eastAsia="仿宋_GB2312"/>
          <w:lang w:eastAsia="zh-CN"/>
        </w:rPr>
        <w:t>二</w:t>
      </w:r>
      <w:r>
        <w:rPr>
          <w:rFonts w:hint="eastAsia" w:ascii="仿宋_GB2312" w:hAnsi="仿宋" w:eastAsia="仿宋_GB2312"/>
        </w:rPr>
        <w:t>、国有资本经营预算财政拨款支出决算表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25A5878B">
      <w:pPr>
        <w:pStyle w:val="21"/>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smallCaps/>
          <w:sz w:val="20"/>
          <w:szCs w:val="20"/>
        </w:rPr>
        <w:fldChar w:fldCharType="end"/>
      </w:r>
      <w:bookmarkStart w:id="12" w:name="_Toc15396599"/>
      <w:bookmarkStart w:id="13" w:name="_Toc15377196"/>
      <w:r>
        <w:rPr>
          <w:rFonts w:hint="eastAsia" w:ascii="仿宋_GB2312" w:hAnsi="仿宋" w:eastAsia="仿宋_GB2312"/>
        </w:rPr>
        <w:t>十</w:t>
      </w:r>
      <w:r>
        <w:rPr>
          <w:rFonts w:hint="eastAsia" w:ascii="仿宋_GB2312" w:hAnsi="仿宋" w:eastAsia="仿宋_GB2312"/>
          <w:lang w:eastAsia="zh-CN"/>
        </w:rPr>
        <w:t>三</w:t>
      </w:r>
      <w:r>
        <w:rPr>
          <w:rFonts w:hint="eastAsia" w:ascii="仿宋_GB2312" w:hAnsi="仿宋" w:eastAsia="仿宋_GB2312"/>
        </w:rPr>
        <w:t>、</w:t>
      </w:r>
      <w:r>
        <w:rPr>
          <w:rFonts w:hint="eastAsia" w:ascii="仿宋_GB2312" w:hAnsi="仿宋" w:eastAsia="仿宋_GB2312"/>
          <w:lang w:eastAsia="zh-CN"/>
        </w:rPr>
        <w:t>财政拨款“三公”经费</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b w:val="0"/>
          <w:bCs w:val="0"/>
          <w:caps w:val="0"/>
          <w:smallCaps/>
          <w:lang w:val="en-US" w:eastAsia="zh-CN"/>
        </w:rPr>
        <w:t>26</w:t>
      </w:r>
    </w:p>
    <w:p w14:paraId="02203694">
      <w:pPr>
        <w:widowControl/>
        <w:spacing w:line="440" w:lineRule="exact"/>
        <w:jc w:val="left"/>
        <w:rPr>
          <w:rFonts w:ascii="仿宋_GB2312" w:hAnsi="仿宋" w:eastAsia="仿宋_GB2312"/>
          <w:smallCaps/>
          <w:sz w:val="20"/>
          <w:szCs w:val="20"/>
        </w:rPr>
      </w:pPr>
    </w:p>
    <w:p w14:paraId="0F4AD0A4">
      <w:pPr>
        <w:widowControl/>
        <w:spacing w:line="440" w:lineRule="exact"/>
        <w:jc w:val="left"/>
        <w:rPr>
          <w:rFonts w:ascii="仿宋_GB2312" w:hAnsi="仿宋" w:eastAsia="仿宋_GB2312"/>
          <w:smallCaps/>
          <w:sz w:val="20"/>
          <w:szCs w:val="20"/>
        </w:rPr>
      </w:pPr>
    </w:p>
    <w:p w14:paraId="036C2012">
      <w:pPr>
        <w:widowControl/>
        <w:spacing w:line="440" w:lineRule="exact"/>
        <w:jc w:val="left"/>
        <w:rPr>
          <w:rFonts w:ascii="仿宋" w:hAnsi="仿宋" w:eastAsia="仿宋"/>
          <w:smallCaps/>
          <w:sz w:val="20"/>
          <w:szCs w:val="20"/>
        </w:rPr>
      </w:pPr>
    </w:p>
    <w:p w14:paraId="51AB36FB">
      <w:pPr>
        <w:widowControl/>
        <w:spacing w:line="440" w:lineRule="exact"/>
        <w:jc w:val="left"/>
        <w:rPr>
          <w:rFonts w:ascii="仿宋" w:hAnsi="仿宋" w:eastAsia="仿宋"/>
          <w:smallCaps/>
          <w:sz w:val="20"/>
          <w:szCs w:val="20"/>
        </w:rPr>
      </w:pPr>
    </w:p>
    <w:p w14:paraId="143EBB20">
      <w:pPr>
        <w:widowControl/>
        <w:spacing w:line="440" w:lineRule="exact"/>
        <w:jc w:val="left"/>
        <w:rPr>
          <w:rFonts w:ascii="仿宋" w:hAnsi="仿宋" w:eastAsia="仿宋"/>
          <w:smallCaps/>
          <w:sz w:val="20"/>
          <w:szCs w:val="20"/>
        </w:rPr>
      </w:pPr>
    </w:p>
    <w:p w14:paraId="1FC93307">
      <w:pPr>
        <w:widowControl/>
        <w:spacing w:line="440" w:lineRule="exact"/>
        <w:jc w:val="left"/>
        <w:rPr>
          <w:rFonts w:ascii="仿宋" w:hAnsi="仿宋" w:eastAsia="仿宋"/>
          <w:smallCaps/>
          <w:sz w:val="20"/>
          <w:szCs w:val="20"/>
        </w:rPr>
      </w:pPr>
    </w:p>
    <w:p w14:paraId="267772D7">
      <w:pPr>
        <w:widowControl/>
        <w:spacing w:line="440" w:lineRule="exact"/>
        <w:jc w:val="left"/>
        <w:rPr>
          <w:rFonts w:ascii="仿宋" w:hAnsi="仿宋" w:eastAsia="仿宋"/>
          <w:smallCaps/>
          <w:sz w:val="20"/>
          <w:szCs w:val="20"/>
        </w:rPr>
      </w:pPr>
    </w:p>
    <w:p w14:paraId="1890BEB4">
      <w:pPr>
        <w:widowControl/>
        <w:spacing w:line="440" w:lineRule="exact"/>
        <w:jc w:val="left"/>
        <w:rPr>
          <w:rFonts w:ascii="仿宋" w:hAnsi="仿宋" w:eastAsia="仿宋"/>
          <w:smallCaps/>
          <w:sz w:val="20"/>
          <w:szCs w:val="20"/>
        </w:rPr>
      </w:pPr>
    </w:p>
    <w:p w14:paraId="0189AC2A">
      <w:pPr>
        <w:widowControl/>
        <w:spacing w:line="440" w:lineRule="exact"/>
        <w:jc w:val="left"/>
        <w:rPr>
          <w:rFonts w:ascii="仿宋" w:hAnsi="仿宋" w:eastAsia="仿宋"/>
          <w:smallCaps/>
          <w:sz w:val="20"/>
          <w:szCs w:val="20"/>
        </w:rPr>
      </w:pPr>
    </w:p>
    <w:p w14:paraId="708EE0B5">
      <w:pPr>
        <w:widowControl/>
        <w:spacing w:line="440" w:lineRule="exact"/>
        <w:jc w:val="left"/>
        <w:rPr>
          <w:rFonts w:ascii="仿宋" w:hAnsi="仿宋" w:eastAsia="仿宋"/>
          <w:smallCaps/>
          <w:sz w:val="20"/>
          <w:szCs w:val="20"/>
        </w:rPr>
      </w:pPr>
    </w:p>
    <w:p w14:paraId="4F9B5966">
      <w:pPr>
        <w:widowControl/>
        <w:spacing w:line="440" w:lineRule="exact"/>
        <w:jc w:val="left"/>
        <w:rPr>
          <w:rFonts w:ascii="仿宋" w:hAnsi="仿宋" w:eastAsia="仿宋"/>
          <w:smallCaps/>
          <w:sz w:val="20"/>
          <w:szCs w:val="20"/>
        </w:rPr>
      </w:pPr>
    </w:p>
    <w:p w14:paraId="6E9811E3">
      <w:pPr>
        <w:widowControl/>
        <w:spacing w:line="440" w:lineRule="exact"/>
        <w:jc w:val="left"/>
        <w:rPr>
          <w:rFonts w:ascii="仿宋" w:hAnsi="仿宋" w:eastAsia="仿宋"/>
          <w:smallCaps/>
          <w:sz w:val="20"/>
          <w:szCs w:val="20"/>
        </w:rPr>
      </w:pPr>
    </w:p>
    <w:p w14:paraId="367D4E78">
      <w:pPr>
        <w:widowControl/>
        <w:spacing w:line="440" w:lineRule="exact"/>
        <w:jc w:val="left"/>
        <w:rPr>
          <w:rFonts w:ascii="仿宋" w:hAnsi="仿宋" w:eastAsia="仿宋"/>
          <w:smallCaps/>
          <w:sz w:val="20"/>
          <w:szCs w:val="20"/>
        </w:rPr>
      </w:pPr>
    </w:p>
    <w:p w14:paraId="64F29CCF">
      <w:pPr>
        <w:widowControl/>
        <w:spacing w:line="440" w:lineRule="exact"/>
        <w:jc w:val="left"/>
        <w:rPr>
          <w:rFonts w:ascii="仿宋" w:hAnsi="仿宋" w:eastAsia="仿宋"/>
          <w:smallCaps/>
          <w:sz w:val="20"/>
          <w:szCs w:val="20"/>
        </w:rPr>
      </w:pPr>
    </w:p>
    <w:p w14:paraId="6C043E1E">
      <w:pPr>
        <w:widowControl/>
        <w:spacing w:line="440" w:lineRule="exact"/>
        <w:jc w:val="left"/>
        <w:rPr>
          <w:rFonts w:ascii="仿宋" w:hAnsi="仿宋" w:eastAsia="仿宋"/>
          <w:smallCaps/>
          <w:sz w:val="20"/>
          <w:szCs w:val="20"/>
        </w:rPr>
      </w:pPr>
    </w:p>
    <w:p w14:paraId="75B6BA30">
      <w:pPr>
        <w:widowControl/>
        <w:spacing w:line="440" w:lineRule="exact"/>
        <w:jc w:val="left"/>
        <w:rPr>
          <w:rFonts w:ascii="仿宋" w:hAnsi="仿宋" w:eastAsia="仿宋"/>
          <w:smallCaps/>
          <w:sz w:val="20"/>
          <w:szCs w:val="20"/>
        </w:rPr>
      </w:pPr>
    </w:p>
    <w:p w14:paraId="04B2B1F8">
      <w:pPr>
        <w:widowControl/>
        <w:spacing w:line="440" w:lineRule="exact"/>
        <w:jc w:val="left"/>
        <w:rPr>
          <w:rFonts w:ascii="仿宋" w:hAnsi="仿宋" w:eastAsia="仿宋"/>
          <w:smallCaps/>
          <w:sz w:val="20"/>
          <w:szCs w:val="20"/>
        </w:rPr>
      </w:pPr>
    </w:p>
    <w:p w14:paraId="254F0E03">
      <w:pPr>
        <w:rPr>
          <w:rFonts w:ascii="方正小标宋简体" w:hAnsi="方正小标宋简体" w:eastAsia="方正小标宋简体" w:cs="方正小标宋简体"/>
          <w:sz w:val="44"/>
          <w:szCs w:val="44"/>
        </w:rPr>
      </w:pPr>
      <w:bookmarkStart w:id="14" w:name="_Toc79163851"/>
      <w:bookmarkStart w:id="15" w:name="_Toc79163601"/>
    </w:p>
    <w:p w14:paraId="0C390E88">
      <w:pPr>
        <w:pStyle w:val="17"/>
        <w:rPr>
          <w:rFonts w:ascii="方正小标宋简体" w:hAnsi="方正小标宋简体" w:eastAsia="方正小标宋简体" w:cs="方正小标宋简体"/>
          <w:sz w:val="44"/>
          <w:szCs w:val="44"/>
        </w:rPr>
      </w:pPr>
    </w:p>
    <w:p w14:paraId="6F613EE6">
      <w:pPr>
        <w:pStyle w:val="18"/>
      </w:pPr>
    </w:p>
    <w:p w14:paraId="38592512">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12"/>
      <w:bookmarkEnd w:id="13"/>
      <w:bookmarkEnd w:id="14"/>
      <w:bookmarkEnd w:id="15"/>
      <w:bookmarkStart w:id="16" w:name="_Toc79163852"/>
      <w:bookmarkStart w:id="17" w:name="_Toc15377197"/>
      <w:bookmarkStart w:id="18" w:name="_Toc15396600"/>
      <w:bookmarkStart w:id="19" w:name="_Toc79163602"/>
    </w:p>
    <w:p w14:paraId="43D982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p>
    <w:bookmarkEnd w:id="16"/>
    <w:bookmarkEnd w:id="17"/>
    <w:bookmarkEnd w:id="18"/>
    <w:bookmarkEnd w:id="19"/>
    <w:p w14:paraId="15CE2EA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主要职责</w:t>
      </w:r>
    </w:p>
    <w:p w14:paraId="068457DD">
      <w:pPr>
        <w:spacing w:line="576" w:lineRule="exact"/>
        <w:ind w:firstLine="640" w:firstLineChars="200"/>
        <w:rPr>
          <w:rFonts w:ascii="仿宋_GB2312" w:hAnsi="仿宋_GB2312" w:eastAsia="仿宋_GB2312" w:cs="仿宋_GB2312"/>
          <w:sz w:val="32"/>
          <w:szCs w:val="32"/>
        </w:rPr>
      </w:pPr>
      <w:bookmarkStart w:id="20" w:name="_Toc79163605"/>
      <w:bookmarkStart w:id="21" w:name="_Toc15396601"/>
      <w:bookmarkStart w:id="22" w:name="_Toc79163855"/>
      <w:bookmarkStart w:id="23" w:name="_Toc15377200"/>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宣传贯彻中央“三农”工作方针政策和州委、州政府及县委、县政府有关决策部署，指导全县供销合作事业发展。</w:t>
      </w:r>
    </w:p>
    <w:p w14:paraId="299556CC">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负责研究和制定全县供销合作社发展规划并组织实施，指导服务全县供销合作社系统改革发展</w:t>
      </w:r>
      <w:r>
        <w:rPr>
          <w:rFonts w:hint="eastAsia" w:ascii="仿宋_GB2312" w:hAnsi="仿宋_GB2312" w:eastAsia="仿宋_GB2312" w:cs="仿宋_GB2312"/>
          <w:sz w:val="32"/>
          <w:szCs w:val="32"/>
          <w:lang w:eastAsia="zh-CN"/>
        </w:rPr>
        <w:t>。</w:t>
      </w:r>
    </w:p>
    <w:p w14:paraId="1F480BD9">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履行社有资产运营指导和监督管理职责，发展社有企业，确保社有企业为农服务方向，落实社有资产保值增值和安全责任</w:t>
      </w:r>
      <w:r>
        <w:rPr>
          <w:rFonts w:hint="eastAsia" w:ascii="仿宋_GB2312" w:hAnsi="仿宋_GB2312" w:eastAsia="仿宋_GB2312" w:cs="仿宋_GB2312"/>
          <w:sz w:val="32"/>
          <w:szCs w:val="32"/>
          <w:lang w:eastAsia="zh-CN"/>
        </w:rPr>
        <w:t>。</w:t>
      </w:r>
    </w:p>
    <w:p w14:paraId="0DA10587">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根据授权对重要生产生活资料的经营、储备进行组织、协调和管理，指导全县供销合作社承担政府委托的公益性服务和其他任务</w:t>
      </w:r>
      <w:r>
        <w:rPr>
          <w:rFonts w:hint="eastAsia" w:ascii="仿宋_GB2312" w:hAnsi="仿宋_GB2312" w:eastAsia="仿宋_GB2312" w:cs="仿宋_GB2312"/>
          <w:sz w:val="32"/>
          <w:szCs w:val="32"/>
          <w:lang w:eastAsia="zh-CN"/>
        </w:rPr>
        <w:t>。</w:t>
      </w:r>
    </w:p>
    <w:p w14:paraId="2DE533FD">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指导全县供销合作社开展农业生产经营服务、城乡消费品流通服务、再生资源回收利用服务和生产、供销、信用“三位一体”综合合作等业务活动</w:t>
      </w:r>
      <w:r>
        <w:rPr>
          <w:rFonts w:hint="eastAsia" w:ascii="仿宋_GB2312" w:hAnsi="仿宋_GB2312" w:eastAsia="仿宋_GB2312" w:cs="仿宋_GB2312"/>
          <w:sz w:val="32"/>
          <w:szCs w:val="32"/>
          <w:lang w:eastAsia="zh-CN"/>
        </w:rPr>
        <w:t>。</w:t>
      </w:r>
    </w:p>
    <w:p w14:paraId="343B0A8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参与公益性农产品市场建设，参与国有控股的农产品批发市场的建设、运营和管护。</w:t>
      </w:r>
    </w:p>
    <w:p w14:paraId="2910FE8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领办创办农民专业合作社，发展基层供销合作社，更好履行为农服务职责；推进供销合作社法治建设，研究提出促进农村经济社会和行业发展的政策法规建议，维护全县供销合作社的合法权益。</w:t>
      </w:r>
    </w:p>
    <w:p w14:paraId="2565CC1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指导全县供销合作社开展教育培训工作。</w:t>
      </w:r>
    </w:p>
    <w:p w14:paraId="0FEB9AA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负责职责范围内的安全生产、公共机构节能减排、生态环境保护等工作。</w:t>
      </w:r>
    </w:p>
    <w:p w14:paraId="661FCB96">
      <w:pPr>
        <w:spacing w:line="576" w:lineRule="exact"/>
        <w:ind w:firstLine="640" w:firstLineChars="200"/>
        <w:rPr>
          <w:rFonts w:hint="eastAsia" w:eastAsia="仿宋_GB2312"/>
          <w:lang w:eastAsia="zh-CN"/>
        </w:rPr>
      </w:pPr>
      <w:r>
        <w:rPr>
          <w:rFonts w:hint="eastAsia" w:ascii="仿宋_GB2312" w:hAnsi="仿宋_GB2312" w:cs="仿宋_GB2312"/>
          <w:sz w:val="32"/>
          <w:szCs w:val="32"/>
          <w:lang w:eastAsia="zh-CN"/>
        </w:rPr>
        <w:t>（十）</w:t>
      </w:r>
      <w:r>
        <w:rPr>
          <w:rFonts w:hint="eastAsia" w:ascii="仿宋_GB2312" w:hAnsi="仿宋_GB2312" w:eastAsia="仿宋_GB2312" w:cs="仿宋_GB2312"/>
          <w:sz w:val="32"/>
          <w:szCs w:val="32"/>
        </w:rPr>
        <w:t>完成县委、县政府交办的其他任务</w:t>
      </w:r>
      <w:r>
        <w:rPr>
          <w:rFonts w:hint="eastAsia" w:ascii="仿宋_GB2312" w:hAnsi="仿宋_GB2312" w:eastAsia="仿宋_GB2312" w:cs="仿宋_GB2312"/>
          <w:sz w:val="32"/>
          <w:szCs w:val="32"/>
          <w:lang w:eastAsia="zh-CN"/>
        </w:rPr>
        <w:t>。</w:t>
      </w:r>
    </w:p>
    <w:p w14:paraId="50987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二、机构设置</w:t>
      </w:r>
      <w:bookmarkEnd w:id="20"/>
      <w:bookmarkEnd w:id="21"/>
      <w:bookmarkEnd w:id="22"/>
      <w:bookmarkEnd w:id="23"/>
    </w:p>
    <w:p w14:paraId="795687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bookmarkStart w:id="24" w:name="_Toc15396602"/>
      <w:bookmarkStart w:id="25" w:name="_Toc15377204"/>
      <w:bookmarkStart w:id="26" w:name="_Toc79163859"/>
      <w:bookmarkStart w:id="27" w:name="_Toc79163609"/>
      <w:r>
        <w:rPr>
          <w:rFonts w:hint="eastAsia" w:ascii="仿宋_GB2312" w:hAnsi="仿宋_GB2312" w:eastAsia="仿宋_GB2312" w:cs="仿宋_GB2312"/>
          <w:sz w:val="32"/>
          <w:szCs w:val="32"/>
        </w:rPr>
        <w:t>茂县供销</w:t>
      </w:r>
      <w:r>
        <w:rPr>
          <w:rFonts w:hint="eastAsia" w:ascii="仿宋_GB2312" w:hAnsi="仿宋_GB2312" w:eastAsia="仿宋_GB2312" w:cs="仿宋_GB2312"/>
          <w:sz w:val="32"/>
          <w:szCs w:val="32"/>
          <w:lang w:eastAsia="zh-CN"/>
        </w:rPr>
        <w:t>合作社联合</w:t>
      </w:r>
      <w:r>
        <w:rPr>
          <w:rFonts w:hint="eastAsia" w:ascii="仿宋_GB2312" w:hAnsi="仿宋_GB2312" w:eastAsia="仿宋_GB2312" w:cs="仿宋_GB2312"/>
          <w:sz w:val="32"/>
          <w:szCs w:val="32"/>
        </w:rPr>
        <w:t>社下属二级单位0个，其中行政单位0个，参照公务员法管理的事业单位0个，其他事业单位0个。</w:t>
      </w:r>
    </w:p>
    <w:p w14:paraId="1757C1C3">
      <w:pPr>
        <w:jc w:val="both"/>
        <w:rPr>
          <w:rFonts w:ascii="方正小标宋简体" w:hAnsi="方正小标宋简体" w:eastAsia="方正小标宋简体" w:cs="方正小标宋简体"/>
          <w:sz w:val="44"/>
          <w:szCs w:val="44"/>
        </w:rPr>
      </w:pPr>
    </w:p>
    <w:p w14:paraId="7F8643F5">
      <w:pPr>
        <w:jc w:val="center"/>
        <w:rPr>
          <w:rFonts w:hint="eastAsia" w:ascii="方正小标宋简体" w:hAnsi="方正小标宋简体" w:eastAsia="方正小标宋简体" w:cs="方正小标宋简体"/>
          <w:sz w:val="44"/>
          <w:szCs w:val="44"/>
        </w:rPr>
      </w:pPr>
    </w:p>
    <w:p w14:paraId="61FB7FC3">
      <w:pPr>
        <w:jc w:val="center"/>
        <w:rPr>
          <w:rFonts w:hint="eastAsia" w:ascii="方正小标宋简体" w:hAnsi="方正小标宋简体" w:eastAsia="方正小标宋简体" w:cs="方正小标宋简体"/>
          <w:sz w:val="44"/>
          <w:szCs w:val="44"/>
        </w:rPr>
      </w:pPr>
    </w:p>
    <w:p w14:paraId="2F5EE473">
      <w:pPr>
        <w:jc w:val="center"/>
        <w:rPr>
          <w:rFonts w:hint="eastAsia" w:ascii="方正小标宋简体" w:hAnsi="方正小标宋简体" w:eastAsia="方正小标宋简体" w:cs="方正小标宋简体"/>
          <w:sz w:val="44"/>
          <w:szCs w:val="44"/>
        </w:rPr>
      </w:pPr>
    </w:p>
    <w:p w14:paraId="163A687F">
      <w:pPr>
        <w:jc w:val="center"/>
        <w:rPr>
          <w:rFonts w:hint="eastAsia" w:ascii="方正小标宋简体" w:hAnsi="方正小标宋简体" w:eastAsia="方正小标宋简体" w:cs="方正小标宋简体"/>
          <w:sz w:val="44"/>
          <w:szCs w:val="44"/>
        </w:rPr>
      </w:pPr>
    </w:p>
    <w:p w14:paraId="0B84E4D4">
      <w:pPr>
        <w:jc w:val="center"/>
        <w:rPr>
          <w:rFonts w:hint="eastAsia" w:ascii="方正小标宋简体" w:hAnsi="方正小标宋简体" w:eastAsia="方正小标宋简体" w:cs="方正小标宋简体"/>
          <w:sz w:val="44"/>
          <w:szCs w:val="44"/>
        </w:rPr>
      </w:pPr>
    </w:p>
    <w:p w14:paraId="165677B3">
      <w:pPr>
        <w:jc w:val="center"/>
        <w:rPr>
          <w:rFonts w:hint="eastAsia" w:ascii="方正小标宋简体" w:hAnsi="方正小标宋简体" w:eastAsia="方正小标宋简体" w:cs="方正小标宋简体"/>
          <w:sz w:val="44"/>
          <w:szCs w:val="44"/>
        </w:rPr>
      </w:pPr>
    </w:p>
    <w:p w14:paraId="4462BBD9">
      <w:pPr>
        <w:jc w:val="center"/>
        <w:rPr>
          <w:rFonts w:hint="eastAsia" w:ascii="方正小标宋简体" w:hAnsi="方正小标宋简体" w:eastAsia="方正小标宋简体" w:cs="方正小标宋简体"/>
          <w:sz w:val="44"/>
          <w:szCs w:val="44"/>
        </w:rPr>
      </w:pPr>
    </w:p>
    <w:p w14:paraId="02A846DC">
      <w:pPr>
        <w:pStyle w:val="2"/>
        <w:rPr>
          <w:rFonts w:hint="eastAsia"/>
        </w:rPr>
      </w:pPr>
    </w:p>
    <w:p w14:paraId="6F152AB1">
      <w:pPr>
        <w:rPr>
          <w:rFonts w:hint="eastAsia"/>
        </w:rPr>
      </w:pPr>
    </w:p>
    <w:p w14:paraId="586A191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决算情况说明</w:t>
      </w:r>
      <w:bookmarkEnd w:id="24"/>
      <w:bookmarkEnd w:id="25"/>
      <w:bookmarkEnd w:id="26"/>
      <w:bookmarkEnd w:id="27"/>
    </w:p>
    <w:p w14:paraId="6A25B0CB">
      <w:pPr>
        <w:jc w:val="center"/>
      </w:pPr>
    </w:p>
    <w:p w14:paraId="08230865">
      <w:pPr>
        <w:pStyle w:val="41"/>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1"/>
          <w:rFonts w:ascii="黑体" w:hAnsi="黑体" w:eastAsia="黑体"/>
          <w:b w:val="0"/>
        </w:rPr>
      </w:pPr>
      <w:bookmarkStart w:id="28" w:name="_Toc15377205"/>
      <w:bookmarkStart w:id="29" w:name="_Toc79163610"/>
      <w:bookmarkStart w:id="30" w:name="_Toc15396603"/>
      <w:bookmarkStart w:id="31" w:name="_Toc79163860"/>
      <w:r>
        <w:rPr>
          <w:rFonts w:hint="eastAsia" w:ascii="黑体" w:hAnsi="黑体" w:eastAsia="黑体"/>
          <w:color w:val="000000"/>
          <w:sz w:val="32"/>
          <w:szCs w:val="32"/>
        </w:rPr>
        <w:t>收</w:t>
      </w:r>
      <w:r>
        <w:rPr>
          <w:rStyle w:val="31"/>
          <w:rFonts w:hint="eastAsia" w:ascii="黑体" w:hAnsi="黑体" w:eastAsia="黑体"/>
          <w:b w:val="0"/>
        </w:rPr>
        <w:t>入支出决算总体情况说明</w:t>
      </w:r>
      <w:bookmarkEnd w:id="28"/>
      <w:bookmarkEnd w:id="29"/>
      <w:bookmarkEnd w:id="30"/>
      <w:bookmarkEnd w:id="31"/>
    </w:p>
    <w:p w14:paraId="60505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年度收、支总计</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年相比，收、支总计各</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132.22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32.73</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:2024年</w:t>
      </w:r>
      <w:r>
        <w:rPr>
          <w:rFonts w:hint="eastAsia" w:ascii="仿宋_GB2312" w:eastAsia="仿宋_GB2312" w:cs="仿宋_GB2312"/>
          <w:sz w:val="32"/>
          <w:szCs w:val="32"/>
          <w:lang w:eastAsia="zh-CN"/>
        </w:rPr>
        <w:t>新增</w:t>
      </w:r>
      <w:r>
        <w:rPr>
          <w:rFonts w:hint="eastAsia" w:ascii="仿宋_GB2312" w:eastAsia="仿宋_GB2312" w:cs="仿宋_GB2312"/>
          <w:sz w:val="32"/>
          <w:szCs w:val="32"/>
          <w:lang w:val="en-US" w:eastAsia="zh-CN"/>
        </w:rPr>
        <w:t>供销为农服务综合平台试点县建设项目资金283.00万元</w:t>
      </w:r>
      <w:r>
        <w:rPr>
          <w:rFonts w:hint="eastAsia" w:ascii="仿宋_GB2312" w:eastAsia="仿宋_GB2312" w:cs="仿宋_GB2312"/>
          <w:sz w:val="32"/>
          <w:szCs w:val="32"/>
        </w:rPr>
        <w:t>。</w:t>
      </w:r>
    </w:p>
    <w:p w14:paraId="12FE93F9">
      <w:pPr>
        <w:ind w:firstLine="420" w:firstLineChars="200"/>
        <w:rPr>
          <w:rFonts w:ascii="仿宋_GB2312" w:eastAsia="仿宋_GB2312"/>
          <w:color w:val="000000"/>
          <w:sz w:val="32"/>
          <w:szCs w:val="32"/>
        </w:rPr>
      </w:pPr>
      <w:r>
        <w:drawing>
          <wp:inline distT="0" distB="0" distL="114300" distR="114300">
            <wp:extent cx="4091940" cy="2771775"/>
            <wp:effectExtent l="4445" t="5080" r="18415" b="1206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333A5C">
      <w:pPr>
        <w:pStyle w:val="41"/>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31"/>
          <w:rFonts w:ascii="黑体" w:hAnsi="黑体" w:eastAsia="黑体"/>
          <w:b w:val="0"/>
        </w:rPr>
      </w:pPr>
      <w:bookmarkStart w:id="32" w:name="_Toc79163861"/>
      <w:bookmarkStart w:id="33" w:name="_Toc15377206"/>
      <w:bookmarkStart w:id="34" w:name="_Toc79163611"/>
      <w:bookmarkStart w:id="35"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1"/>
          <w:rFonts w:hint="eastAsia" w:ascii="黑体" w:hAnsi="黑体" w:eastAsia="黑体"/>
          <w:b w:val="0"/>
        </w:rPr>
        <w:t>入决算情况说明</w:t>
      </w:r>
      <w:bookmarkEnd w:id="32"/>
      <w:bookmarkEnd w:id="33"/>
      <w:bookmarkEnd w:id="34"/>
      <w:bookmarkEnd w:id="35"/>
    </w:p>
    <w:p w14:paraId="4703DA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本年收入合计</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%；政府性基金预算财政拨款收入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14:paraId="37258B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340D517A">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r>
        <w:rPr>
          <w:rFonts w:asci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899795</wp:posOffset>
            </wp:positionV>
            <wp:extent cx="4572000" cy="2743200"/>
            <wp:effectExtent l="19050" t="0" r="19050" b="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3BBA317">
      <w:pPr>
        <w:spacing w:line="600" w:lineRule="exact"/>
        <w:rPr>
          <w:rFonts w:ascii="仿宋_GB2312" w:eastAsia="仿宋_GB2312"/>
          <w:color w:val="FF0000"/>
          <w:sz w:val="32"/>
          <w:szCs w:val="32"/>
        </w:rPr>
      </w:pPr>
    </w:p>
    <w:p w14:paraId="405F5722">
      <w:pPr>
        <w:pStyle w:val="41"/>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31"/>
          <w:rFonts w:ascii="黑体" w:hAnsi="黑体" w:eastAsia="黑体"/>
          <w:b w:val="0"/>
        </w:rPr>
      </w:pPr>
      <w:bookmarkStart w:id="36" w:name="_Toc79163612"/>
      <w:bookmarkStart w:id="37" w:name="_Toc79163862"/>
      <w:bookmarkStart w:id="38" w:name="_Toc15396605"/>
      <w:bookmarkStart w:id="3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1"/>
          <w:rFonts w:hint="eastAsia" w:ascii="黑体" w:hAnsi="黑体" w:eastAsia="黑体"/>
          <w:b w:val="0"/>
        </w:rPr>
        <w:t>出决算情况说明</w:t>
      </w:r>
      <w:bookmarkEnd w:id="36"/>
      <w:bookmarkEnd w:id="37"/>
      <w:bookmarkEnd w:id="38"/>
      <w:bookmarkEnd w:id="39"/>
    </w:p>
    <w:p w14:paraId="76048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本年支出合计</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208.21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38.83</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328.00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61.17</w:t>
      </w:r>
      <w:r>
        <w:rPr>
          <w:rFonts w:hint="eastAsia" w:ascii="仿宋_GB2312" w:eastAsia="仿宋_GB2312" w:cs="仿宋_GB2312"/>
          <w:sz w:val="32"/>
          <w:szCs w:val="32"/>
        </w:rPr>
        <w:t>%；上缴上级支出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%；经营支出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%；对附属单位补助支出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14:paraId="1FF47C19">
      <w:pPr>
        <w:spacing w:line="576" w:lineRule="atLeast"/>
        <w:ind w:firstLine="640" w:firstLineChars="200"/>
        <w:rPr>
          <w:rFonts w:ascii="仿宋_GB2312" w:eastAsia="仿宋_GB2312" w:cs="仿宋_GB2312"/>
          <w:sz w:val="32"/>
          <w:szCs w:val="32"/>
        </w:rPr>
      </w:pPr>
    </w:p>
    <w:p w14:paraId="51B99ECF">
      <w:pPr>
        <w:ind w:firstLine="420" w:firstLineChars="200"/>
        <w:rPr>
          <w:rFonts w:ascii="仿宋_GB2312" w:eastAsia="仿宋_GB2312"/>
          <w:color w:val="FF0000"/>
          <w:sz w:val="32"/>
          <w:szCs w:val="32"/>
        </w:rPr>
      </w:pPr>
      <w:r>
        <w:drawing>
          <wp:inline distT="0" distB="0" distL="114300" distR="114300">
            <wp:extent cx="4115435" cy="2838450"/>
            <wp:effectExtent l="4445" t="4445" r="10160" b="698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8C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黑体" w:hAnsi="黑体" w:eastAsia="黑体"/>
          <w:b w:val="0"/>
        </w:rPr>
      </w:pPr>
      <w:bookmarkStart w:id="40" w:name="_Toc15377208"/>
      <w:bookmarkStart w:id="41" w:name="_Toc79163863"/>
      <w:bookmarkStart w:id="42" w:name="_Toc15396606"/>
      <w:bookmarkStart w:id="43" w:name="_Toc79163613"/>
      <w:r>
        <w:rPr>
          <w:rFonts w:hint="eastAsia" w:ascii="黑体" w:hAnsi="黑体" w:eastAsia="黑体"/>
          <w:color w:val="000000"/>
          <w:sz w:val="32"/>
          <w:szCs w:val="32"/>
        </w:rPr>
        <w:t>四、财</w:t>
      </w:r>
      <w:r>
        <w:rPr>
          <w:rStyle w:val="31"/>
          <w:rFonts w:hint="eastAsia" w:ascii="黑体" w:hAnsi="黑体" w:eastAsia="黑体"/>
          <w:b w:val="0"/>
        </w:rPr>
        <w:t>政拨款收入支出决算总体情况说明</w:t>
      </w:r>
      <w:bookmarkEnd w:id="40"/>
      <w:bookmarkEnd w:id="41"/>
      <w:bookmarkEnd w:id="42"/>
      <w:bookmarkEnd w:id="43"/>
    </w:p>
    <w:p w14:paraId="4B3CC25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财政拨款收、支总计</w:t>
      </w:r>
      <w:r>
        <w:rPr>
          <w:rFonts w:hint="eastAsia" w:ascii="仿宋_GB2312" w:eastAsia="仿宋_GB2312" w:cs="仿宋_GB2312"/>
          <w:sz w:val="32"/>
          <w:szCs w:val="32"/>
          <w:lang w:eastAsia="zh-CN"/>
        </w:rPr>
        <w:t>均为</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万元。与</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相比，财政拨款收、支总计各</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132.22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32.73</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:2024年</w:t>
      </w:r>
      <w:r>
        <w:rPr>
          <w:rFonts w:hint="eastAsia" w:ascii="仿宋_GB2312" w:eastAsia="仿宋_GB2312" w:cs="仿宋_GB2312"/>
          <w:sz w:val="32"/>
          <w:szCs w:val="32"/>
          <w:lang w:eastAsia="zh-CN"/>
        </w:rPr>
        <w:t>新增</w:t>
      </w:r>
      <w:r>
        <w:rPr>
          <w:rFonts w:hint="eastAsia" w:ascii="仿宋_GB2312" w:eastAsia="仿宋_GB2312" w:cs="仿宋_GB2312"/>
          <w:sz w:val="32"/>
          <w:szCs w:val="32"/>
          <w:lang w:val="en-US" w:eastAsia="zh-CN"/>
        </w:rPr>
        <w:t>供销为农服务综合平台试点县建设项目资金283.00万元</w:t>
      </w:r>
      <w:r>
        <w:rPr>
          <w:rFonts w:hint="eastAsia" w:ascii="仿宋_GB2312" w:eastAsia="仿宋_GB2312" w:cs="仿宋_GB2312"/>
          <w:sz w:val="32"/>
          <w:szCs w:val="32"/>
        </w:rPr>
        <w:t>。</w:t>
      </w:r>
    </w:p>
    <w:p w14:paraId="374251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39131843">
      <w:pPr>
        <w:ind w:firstLine="420" w:firstLineChars="200"/>
        <w:rPr>
          <w:rFonts w:ascii="仿宋" w:hAnsi="仿宋" w:eastAsia="仿宋"/>
          <w:b/>
          <w:color w:val="00B050"/>
          <w:sz w:val="32"/>
          <w:szCs w:val="32"/>
        </w:rPr>
      </w:pPr>
      <w:r>
        <w:drawing>
          <wp:inline distT="0" distB="0" distL="114300" distR="114300">
            <wp:extent cx="4091940" cy="2771775"/>
            <wp:effectExtent l="4445" t="5080" r="18415" b="1206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E6DC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黑体" w:hAnsi="黑体" w:eastAsia="黑体"/>
          <w:b w:val="0"/>
        </w:rPr>
      </w:pPr>
      <w:bookmarkStart w:id="44" w:name="_Toc79163864"/>
      <w:bookmarkStart w:id="45" w:name="_Toc15377209"/>
      <w:bookmarkStart w:id="46" w:name="_Toc79163614"/>
      <w:bookmarkStart w:id="4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1"/>
          <w:rFonts w:hint="eastAsia" w:ascii="黑体" w:hAnsi="黑体" w:eastAsia="黑体"/>
          <w:b w:val="0"/>
        </w:rPr>
        <w:t>般公共预算财政拨款支出决算情况说明</w:t>
      </w:r>
      <w:bookmarkEnd w:id="44"/>
      <w:bookmarkEnd w:id="45"/>
      <w:bookmarkEnd w:id="46"/>
      <w:bookmarkEnd w:id="47"/>
    </w:p>
    <w:p w14:paraId="42996F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48" w:name="_Toc79163865"/>
      <w:bookmarkStart w:id="49" w:name="_Toc79163615"/>
      <w:bookmarkStart w:id="50" w:name="_Toc15377210"/>
      <w:r>
        <w:rPr>
          <w:rFonts w:hint="eastAsia" w:ascii="楷体_GB2312" w:hAnsi="楷体_GB2312" w:eastAsia="楷体_GB2312" w:cs="楷体_GB2312"/>
          <w:b/>
          <w:bCs/>
          <w:sz w:val="32"/>
          <w:szCs w:val="32"/>
        </w:rPr>
        <w:t>（一）一般公共预算财政拨款支出决算总体情况</w:t>
      </w:r>
      <w:bookmarkEnd w:id="48"/>
      <w:bookmarkEnd w:id="49"/>
      <w:bookmarkEnd w:id="50"/>
    </w:p>
    <w:p w14:paraId="16D42E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年一般公共预算财政拨款支出</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万元，占本年支出合计的100%。与202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132.22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32.73</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:2024年</w:t>
      </w:r>
      <w:r>
        <w:rPr>
          <w:rFonts w:hint="eastAsia" w:ascii="仿宋_GB2312" w:eastAsia="仿宋_GB2312" w:cs="仿宋_GB2312"/>
          <w:sz w:val="32"/>
          <w:szCs w:val="32"/>
          <w:lang w:eastAsia="zh-CN"/>
        </w:rPr>
        <w:t>新增</w:t>
      </w:r>
      <w:r>
        <w:rPr>
          <w:rFonts w:hint="eastAsia" w:ascii="仿宋_GB2312" w:eastAsia="仿宋_GB2312" w:cs="仿宋_GB2312"/>
          <w:sz w:val="32"/>
          <w:szCs w:val="32"/>
          <w:lang w:val="en-US" w:eastAsia="zh-CN"/>
        </w:rPr>
        <w:t>供销为农服务综合平台试点县建设项目资金283.00万元</w:t>
      </w:r>
      <w:r>
        <w:rPr>
          <w:rFonts w:hint="eastAsia" w:ascii="仿宋_GB2312" w:eastAsia="仿宋_GB2312" w:cs="仿宋_GB2312"/>
          <w:sz w:val="32"/>
          <w:szCs w:val="32"/>
        </w:rPr>
        <w:t>。</w:t>
      </w:r>
    </w:p>
    <w:p w14:paraId="36E93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p>
    <w:p w14:paraId="17CF792E">
      <w:pPr>
        <w:ind w:firstLine="420" w:firstLineChars="200"/>
        <w:rPr>
          <w:rFonts w:ascii="仿宋" w:hAnsi="仿宋" w:eastAsia="仿宋"/>
          <w:color w:val="000000"/>
          <w:sz w:val="32"/>
          <w:szCs w:val="32"/>
        </w:rPr>
      </w:pPr>
      <w:r>
        <w:drawing>
          <wp:inline distT="0" distB="0" distL="114300" distR="114300">
            <wp:extent cx="4091940" cy="2771775"/>
            <wp:effectExtent l="4445" t="5080" r="18415"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B7BD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51" w:name="_Toc79163866"/>
      <w:bookmarkStart w:id="52" w:name="_Toc15377211"/>
      <w:bookmarkStart w:id="53" w:name="_Toc79163616"/>
      <w:r>
        <w:rPr>
          <w:rFonts w:hint="eastAsia" w:ascii="楷体_GB2312" w:hAnsi="楷体_GB2312" w:eastAsia="楷体_GB2312" w:cs="楷体_GB2312"/>
          <w:b/>
          <w:bCs/>
          <w:sz w:val="32"/>
          <w:szCs w:val="32"/>
        </w:rPr>
        <w:t>（二）一般公共预算财政拨款支出决算结构情况</w:t>
      </w:r>
      <w:bookmarkEnd w:id="51"/>
      <w:bookmarkEnd w:id="52"/>
      <w:bookmarkEnd w:id="53"/>
    </w:p>
    <w:p w14:paraId="619768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536.21</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sz w:val="32"/>
          <w:szCs w:val="32"/>
          <w:lang w:val="en-US" w:eastAsia="zh-CN"/>
        </w:rPr>
        <w:t>25.21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14.63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农林水</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sz w:val="32"/>
          <w:szCs w:val="32"/>
          <w:lang w:val="en-US" w:eastAsia="zh-CN"/>
        </w:rPr>
        <w:t>193.00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35.99</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商业服务业等支出</w:t>
      </w:r>
      <w:r>
        <w:rPr>
          <w:rFonts w:hint="eastAsia" w:ascii="仿宋_GB2312" w:hAnsi="仿宋_GB2312" w:eastAsia="仿宋_GB2312" w:cs="仿宋_GB2312"/>
          <w:sz w:val="32"/>
          <w:szCs w:val="32"/>
          <w:lang w:val="en-US" w:eastAsia="zh-CN"/>
        </w:rPr>
        <w:t>287.46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53.61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15.91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2.97</w:t>
      </w:r>
      <w:r>
        <w:rPr>
          <w:rFonts w:hint="eastAsia" w:ascii="仿宋_GB2312" w:eastAsia="仿宋_GB2312" w:cs="仿宋_GB2312"/>
          <w:sz w:val="32"/>
          <w:szCs w:val="32"/>
        </w:rPr>
        <w:t>%。</w:t>
      </w:r>
    </w:p>
    <w:p w14:paraId="2693A2D7">
      <w:pPr>
        <w:ind w:firstLine="420" w:firstLineChars="200"/>
        <w:rPr>
          <w:rFonts w:ascii="仿宋" w:hAnsi="仿宋" w:eastAsia="仿宋"/>
          <w:color w:val="000000"/>
          <w:sz w:val="32"/>
          <w:szCs w:val="32"/>
        </w:rPr>
      </w:pPr>
      <w:r>
        <w:drawing>
          <wp:inline distT="0" distB="0" distL="114300" distR="114300">
            <wp:extent cx="4198620" cy="2828925"/>
            <wp:effectExtent l="4445" t="4445" r="18415" b="1651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76773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54" w:name="_Toc15377212"/>
      <w:bookmarkStart w:id="55" w:name="_Toc79163867"/>
      <w:bookmarkStart w:id="56" w:name="_Toc79163617"/>
      <w:r>
        <w:rPr>
          <w:rFonts w:hint="eastAsia" w:ascii="楷体_GB2312" w:hAnsi="楷体_GB2312" w:eastAsia="楷体_GB2312" w:cs="楷体_GB2312"/>
          <w:b/>
          <w:bCs/>
          <w:sz w:val="32"/>
          <w:szCs w:val="32"/>
        </w:rPr>
        <w:t>（三）一般公共预算财政拨款支出决算具体情况</w:t>
      </w:r>
      <w:bookmarkEnd w:id="54"/>
      <w:bookmarkEnd w:id="55"/>
      <w:bookmarkEnd w:id="56"/>
    </w:p>
    <w:p w14:paraId="10A265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val="0"/>
          <w:bCs w:val="0"/>
          <w:sz w:val="32"/>
          <w:szCs w:val="32"/>
        </w:rPr>
      </w:pPr>
      <w:bookmarkStart w:id="57" w:name="_Toc15377444"/>
      <w:bookmarkStart w:id="58" w:name="_Toc15377213"/>
      <w:bookmarkStart w:id="59" w:name="_Toc15378460"/>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年一般公共预算支出决算数为</w:t>
      </w:r>
      <w:r>
        <w:rPr>
          <w:rFonts w:hint="eastAsia" w:ascii="仿宋_GB2312" w:hAnsi="仿宋_GB2312" w:eastAsia="仿宋_GB2312" w:cs="仿宋_GB2312"/>
          <w:b w:val="0"/>
          <w:bCs w:val="0"/>
          <w:sz w:val="32"/>
          <w:szCs w:val="32"/>
          <w:lang w:val="en-US" w:eastAsia="zh-CN"/>
        </w:rPr>
        <w:t>536.21</w:t>
      </w:r>
      <w:r>
        <w:rPr>
          <w:rFonts w:hint="eastAsia" w:ascii="仿宋_GB2312" w:hAnsi="仿宋_GB2312" w:eastAsia="仿宋_GB2312" w:cs="仿宋_GB2312"/>
          <w:b w:val="0"/>
          <w:bCs w:val="0"/>
          <w:sz w:val="32"/>
          <w:szCs w:val="32"/>
        </w:rPr>
        <w:t>万元，完成预算100%。其中：</w:t>
      </w:r>
      <w:bookmarkEnd w:id="57"/>
      <w:bookmarkEnd w:id="58"/>
      <w:bookmarkEnd w:id="59"/>
    </w:p>
    <w:p w14:paraId="4357D8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7"/>
          <w:rFonts w:ascii="仿宋_GB2312" w:hAnsi="仿宋_GB2312" w:eastAsia="仿宋_GB2312" w:cs="仿宋_GB2312"/>
          <w:b w:val="0"/>
          <w:bCs/>
          <w:color w:val="000000"/>
          <w:sz w:val="32"/>
          <w:szCs w:val="32"/>
        </w:rPr>
      </w:pPr>
      <w:r>
        <w:rPr>
          <w:rStyle w:val="27"/>
          <w:rFonts w:hint="eastAsia" w:ascii="仿宋_GB2312" w:hAnsi="仿宋_GB2312" w:eastAsia="仿宋_GB2312" w:cs="仿宋_GB2312"/>
          <w:bCs/>
          <w:color w:val="000000"/>
          <w:sz w:val="32"/>
          <w:szCs w:val="32"/>
        </w:rPr>
        <w:t>1.社会保障和就业支出（208）行政事业单位养老支出（05）机关事业单位基本养老保险支出（05）</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16.81</w:t>
      </w:r>
      <w:r>
        <w:rPr>
          <w:rStyle w:val="27"/>
          <w:rFonts w:hint="eastAsia" w:ascii="仿宋_GB2312" w:hAnsi="仿宋_GB2312" w:eastAsia="仿宋_GB2312" w:cs="仿宋_GB2312"/>
          <w:b w:val="0"/>
          <w:bCs/>
          <w:color w:val="000000"/>
          <w:sz w:val="32"/>
          <w:szCs w:val="32"/>
        </w:rPr>
        <w:t>万元，完成预算100%，决算数与预算数持平。</w:t>
      </w:r>
    </w:p>
    <w:p w14:paraId="563C56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7"/>
          <w:rFonts w:ascii="仿宋_GB2312" w:hAnsi="仿宋_GB2312" w:eastAsia="仿宋_GB2312" w:cs="仿宋_GB2312"/>
          <w:b w:val="0"/>
          <w:bCs/>
          <w:color w:val="000000"/>
          <w:sz w:val="32"/>
          <w:szCs w:val="32"/>
        </w:rPr>
      </w:pPr>
      <w:r>
        <w:rPr>
          <w:rStyle w:val="27"/>
          <w:rFonts w:hint="eastAsia" w:ascii="仿宋_GB2312" w:hAnsi="仿宋_GB2312" w:eastAsia="仿宋_GB2312" w:cs="仿宋_GB2312"/>
          <w:bCs/>
          <w:color w:val="000000"/>
          <w:sz w:val="32"/>
          <w:szCs w:val="32"/>
        </w:rPr>
        <w:t>2.社会保障和就业支出（208）行政事业单位养老支出（05）机关事业单位职业年金缴费支出（06）</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8.40</w:t>
      </w:r>
      <w:r>
        <w:rPr>
          <w:rStyle w:val="27"/>
          <w:rFonts w:hint="eastAsia" w:ascii="仿宋_GB2312" w:hAnsi="仿宋_GB2312" w:eastAsia="仿宋_GB2312" w:cs="仿宋_GB2312"/>
          <w:b w:val="0"/>
          <w:bCs/>
          <w:color w:val="000000"/>
          <w:sz w:val="32"/>
          <w:szCs w:val="32"/>
        </w:rPr>
        <w:t>万元，完成预算100%，决算数与预算数持平。</w:t>
      </w:r>
    </w:p>
    <w:p w14:paraId="4648A4D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7"/>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color w:val="000000"/>
          <w:sz w:val="32"/>
          <w:szCs w:val="32"/>
        </w:rPr>
        <w:t>卫生健康支出</w:t>
      </w:r>
      <w:r>
        <w:rPr>
          <w:rStyle w:val="27"/>
          <w:rFonts w:hint="eastAsia" w:ascii="仿宋_GB2312" w:hAnsi="仿宋_GB2312" w:eastAsia="仿宋_GB2312" w:cs="仿宋_GB2312"/>
          <w:bCs/>
          <w:color w:val="000000"/>
          <w:sz w:val="32"/>
          <w:szCs w:val="32"/>
        </w:rPr>
        <w:t>（210）行政事业单位医疗（11）行政单位医疗01）</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14.63</w:t>
      </w:r>
      <w:r>
        <w:rPr>
          <w:rStyle w:val="27"/>
          <w:rFonts w:hint="eastAsia" w:ascii="仿宋_GB2312" w:hAnsi="仿宋_GB2312" w:eastAsia="仿宋_GB2312" w:cs="仿宋_GB2312"/>
          <w:b w:val="0"/>
          <w:bCs/>
          <w:color w:val="000000"/>
          <w:sz w:val="32"/>
          <w:szCs w:val="32"/>
        </w:rPr>
        <w:t>万元，完成预算100%决算数与预算数持平。</w:t>
      </w:r>
    </w:p>
    <w:p w14:paraId="2DF46D7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7"/>
          <w:rFonts w:ascii="仿宋_GB2312" w:hAnsi="仿宋_GB2312" w:eastAsia="仿宋_GB2312" w:cs="仿宋_GB2312"/>
          <w:b w:val="0"/>
          <w:bCs/>
          <w:color w:val="000000"/>
          <w:sz w:val="32"/>
          <w:szCs w:val="32"/>
        </w:rPr>
      </w:pPr>
      <w:r>
        <w:rPr>
          <w:rStyle w:val="27"/>
          <w:rFonts w:hint="eastAsia" w:ascii="仿宋_GB2312" w:hAnsi="仿宋_GB2312" w:eastAsia="仿宋_GB2312" w:cs="仿宋_GB2312"/>
          <w:bCs/>
          <w:color w:val="000000"/>
          <w:sz w:val="32"/>
          <w:szCs w:val="32"/>
          <w:lang w:val="en-US" w:eastAsia="zh-CN"/>
        </w:rPr>
        <w:t>4</w:t>
      </w:r>
      <w:r>
        <w:rPr>
          <w:rStyle w:val="27"/>
          <w:rFonts w:hint="eastAsia" w:ascii="仿宋_GB2312" w:hAnsi="仿宋_GB2312" w:eastAsia="仿宋_GB2312" w:cs="仿宋_GB2312"/>
          <w:bCs/>
          <w:color w:val="000000"/>
          <w:sz w:val="32"/>
          <w:szCs w:val="32"/>
        </w:rPr>
        <w:t>.农林水支出（213）</w:t>
      </w:r>
      <w:r>
        <w:rPr>
          <w:rStyle w:val="27"/>
          <w:rFonts w:hint="eastAsia" w:ascii="仿宋_GB2312" w:hAnsi="仿宋_GB2312" w:eastAsia="仿宋_GB2312" w:cs="仿宋_GB2312"/>
          <w:bCs/>
          <w:color w:val="000000"/>
          <w:sz w:val="32"/>
          <w:szCs w:val="32"/>
          <w:lang w:eastAsia="zh-CN"/>
        </w:rPr>
        <w:t>巩固脱贫攻坚成果衔接乡村振兴</w:t>
      </w:r>
      <w:r>
        <w:rPr>
          <w:rStyle w:val="27"/>
          <w:rFonts w:hint="eastAsia" w:ascii="仿宋_GB2312" w:hAnsi="仿宋_GB2312" w:eastAsia="仿宋_GB2312" w:cs="仿宋_GB2312"/>
          <w:bCs/>
          <w:color w:val="000000"/>
          <w:sz w:val="32"/>
          <w:szCs w:val="32"/>
        </w:rPr>
        <w:t>（0</w:t>
      </w:r>
      <w:r>
        <w:rPr>
          <w:rStyle w:val="27"/>
          <w:rFonts w:hint="eastAsia" w:ascii="仿宋_GB2312" w:hAnsi="仿宋_GB2312" w:eastAsia="仿宋_GB2312" w:cs="仿宋_GB2312"/>
          <w:bCs/>
          <w:color w:val="000000"/>
          <w:sz w:val="32"/>
          <w:szCs w:val="32"/>
          <w:lang w:val="en-US" w:eastAsia="zh-CN"/>
        </w:rPr>
        <w:t>5</w:t>
      </w:r>
      <w:r>
        <w:rPr>
          <w:rStyle w:val="27"/>
          <w:rFonts w:hint="eastAsia" w:ascii="仿宋_GB2312" w:hAnsi="仿宋_GB2312" w:eastAsia="仿宋_GB2312" w:cs="仿宋_GB2312"/>
          <w:bCs/>
          <w:color w:val="000000"/>
          <w:sz w:val="32"/>
          <w:szCs w:val="32"/>
        </w:rPr>
        <w:t>）</w:t>
      </w:r>
      <w:r>
        <w:rPr>
          <w:rStyle w:val="27"/>
          <w:rFonts w:hint="eastAsia" w:ascii="仿宋_GB2312" w:hAnsi="仿宋_GB2312" w:eastAsia="仿宋_GB2312" w:cs="仿宋_GB2312"/>
          <w:bCs/>
          <w:color w:val="000000"/>
          <w:sz w:val="32"/>
          <w:szCs w:val="32"/>
          <w:lang w:eastAsia="zh-CN"/>
        </w:rPr>
        <w:t>生产发展</w:t>
      </w:r>
      <w:r>
        <w:rPr>
          <w:rStyle w:val="27"/>
          <w:rFonts w:hint="eastAsia" w:ascii="仿宋_GB2312" w:hAnsi="仿宋_GB2312" w:eastAsia="仿宋_GB2312" w:cs="仿宋_GB2312"/>
          <w:bCs/>
          <w:color w:val="000000"/>
          <w:sz w:val="32"/>
          <w:szCs w:val="32"/>
        </w:rPr>
        <w:t>（</w:t>
      </w:r>
      <w:r>
        <w:rPr>
          <w:rStyle w:val="27"/>
          <w:rFonts w:hint="eastAsia" w:ascii="仿宋_GB2312" w:hAnsi="仿宋_GB2312" w:eastAsia="仿宋_GB2312" w:cs="仿宋_GB2312"/>
          <w:bCs/>
          <w:color w:val="000000"/>
          <w:sz w:val="32"/>
          <w:szCs w:val="32"/>
          <w:lang w:val="en-US" w:eastAsia="zh-CN"/>
        </w:rPr>
        <w:t>05</w:t>
      </w:r>
      <w:r>
        <w:rPr>
          <w:rStyle w:val="27"/>
          <w:rFonts w:ascii="仿宋_GB2312" w:hAnsi="仿宋_GB2312" w:eastAsia="仿宋_GB2312" w:cs="仿宋_GB2312"/>
          <w:bCs/>
          <w:color w:val="000000"/>
          <w:sz w:val="32"/>
          <w:szCs w:val="32"/>
        </w:rPr>
        <w:t>）</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181.00</w:t>
      </w:r>
      <w:r>
        <w:rPr>
          <w:rStyle w:val="27"/>
          <w:rFonts w:hint="eastAsia" w:ascii="仿宋_GB2312" w:hAnsi="仿宋_GB2312" w:eastAsia="仿宋_GB2312" w:cs="仿宋_GB2312"/>
          <w:b w:val="0"/>
          <w:bCs/>
          <w:color w:val="000000"/>
          <w:sz w:val="32"/>
          <w:szCs w:val="32"/>
        </w:rPr>
        <w:t>万元，完成预算100%，决算数与预算数持平。</w:t>
      </w:r>
    </w:p>
    <w:p w14:paraId="58B8B5D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7"/>
          <w:rFonts w:hint="eastAsia" w:ascii="仿宋_GB2312" w:hAnsi="仿宋_GB2312" w:eastAsia="仿宋_GB2312" w:cs="仿宋_GB2312"/>
          <w:bCs/>
          <w:color w:val="000000"/>
          <w:sz w:val="32"/>
          <w:szCs w:val="32"/>
          <w:lang w:val="en-US" w:eastAsia="zh-CN"/>
        </w:rPr>
        <w:t>5</w:t>
      </w:r>
      <w:r>
        <w:rPr>
          <w:rStyle w:val="27"/>
          <w:rFonts w:hint="eastAsia" w:ascii="仿宋_GB2312" w:hAnsi="仿宋_GB2312" w:eastAsia="仿宋_GB2312" w:cs="仿宋_GB2312"/>
          <w:bCs/>
          <w:color w:val="000000"/>
          <w:sz w:val="32"/>
          <w:szCs w:val="32"/>
        </w:rPr>
        <w:t>.农林水支出（213）巩固脱贫衔接乡村振兴（05）其他巩固脱贫攻坚衔接乡村振兴支出（99）:</w:t>
      </w:r>
      <w:r>
        <w:rPr>
          <w:rStyle w:val="27"/>
          <w:rFonts w:hint="eastAsia" w:ascii="仿宋_GB2312" w:hAnsi="仿宋_GB2312" w:eastAsia="仿宋_GB2312" w:cs="仿宋_GB2312"/>
          <w:b w:val="0"/>
          <w:bCs/>
          <w:color w:val="000000"/>
          <w:sz w:val="32"/>
          <w:szCs w:val="32"/>
        </w:rPr>
        <w:t xml:space="preserve"> 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12.00</w:t>
      </w:r>
      <w:r>
        <w:rPr>
          <w:rStyle w:val="27"/>
          <w:rFonts w:hint="eastAsia" w:ascii="仿宋_GB2312" w:hAnsi="仿宋_GB2312" w:eastAsia="仿宋_GB2312" w:cs="仿宋_GB2312"/>
          <w:b w:val="0"/>
          <w:bCs/>
          <w:color w:val="000000"/>
          <w:sz w:val="32"/>
          <w:szCs w:val="32"/>
        </w:rPr>
        <w:t>万元，完成预算100%，决算数与预算数持平。</w:t>
      </w:r>
    </w:p>
    <w:p w14:paraId="172FDA7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7"/>
          <w:rFonts w:hint="eastAsia" w:ascii="仿宋_GB2312" w:hAnsi="仿宋_GB2312" w:eastAsia="仿宋_GB2312" w:cs="仿宋_GB2312"/>
          <w:b w:val="0"/>
          <w:bCs/>
          <w:color w:val="000000"/>
          <w:sz w:val="32"/>
          <w:szCs w:val="32"/>
        </w:rPr>
      </w:pPr>
      <w:r>
        <w:rPr>
          <w:rStyle w:val="27"/>
          <w:rFonts w:hint="eastAsia" w:ascii="仿宋_GB2312" w:hAnsi="仿宋_GB2312" w:eastAsia="仿宋_GB2312" w:cs="仿宋_GB2312"/>
          <w:bCs/>
          <w:color w:val="000000"/>
          <w:sz w:val="32"/>
          <w:szCs w:val="32"/>
          <w:lang w:val="en-US" w:eastAsia="zh-CN"/>
        </w:rPr>
        <w:t>6</w:t>
      </w:r>
      <w:r>
        <w:rPr>
          <w:rStyle w:val="27"/>
          <w:rFonts w:hint="eastAsia" w:ascii="仿宋_GB2312" w:hAnsi="仿宋_GB2312" w:eastAsia="仿宋_GB2312" w:cs="仿宋_GB2312"/>
          <w:bCs/>
          <w:color w:val="000000"/>
          <w:sz w:val="32"/>
          <w:szCs w:val="32"/>
        </w:rPr>
        <w:t>.商业服务业等支出（216）商业流通事务（02）行政运行（01）</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152.46</w:t>
      </w:r>
      <w:r>
        <w:rPr>
          <w:rStyle w:val="27"/>
          <w:rFonts w:hint="eastAsia" w:ascii="仿宋_GB2312" w:hAnsi="仿宋_GB2312" w:eastAsia="仿宋_GB2312" w:cs="仿宋_GB2312"/>
          <w:b w:val="0"/>
          <w:bCs/>
          <w:color w:val="000000"/>
          <w:sz w:val="32"/>
          <w:szCs w:val="32"/>
        </w:rPr>
        <w:t>万元，完成预算100%，决算数与预算数持平。</w:t>
      </w:r>
    </w:p>
    <w:p w14:paraId="4C9CA2E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仿宋_GB2312"/>
          <w:lang w:val="en-US" w:eastAsia="zh-CN"/>
        </w:rPr>
      </w:pPr>
      <w:r>
        <w:rPr>
          <w:rStyle w:val="27"/>
          <w:rFonts w:hint="eastAsia" w:ascii="仿宋_GB2312" w:hAnsi="仿宋_GB2312" w:eastAsia="仿宋_GB2312" w:cs="仿宋_GB2312"/>
          <w:bCs/>
          <w:color w:val="000000"/>
          <w:sz w:val="32"/>
          <w:szCs w:val="32"/>
          <w:lang w:val="en-US" w:eastAsia="zh-CN"/>
        </w:rPr>
        <w:t>7</w:t>
      </w:r>
      <w:r>
        <w:rPr>
          <w:rStyle w:val="27"/>
          <w:rFonts w:hint="eastAsia" w:ascii="仿宋_GB2312" w:hAnsi="仿宋_GB2312" w:eastAsia="仿宋_GB2312" w:cs="仿宋_GB2312"/>
          <w:bCs/>
          <w:color w:val="000000"/>
          <w:sz w:val="32"/>
          <w:szCs w:val="32"/>
        </w:rPr>
        <w:t>.商业服务业等支出（216）商业流通事务（02）</w:t>
      </w:r>
      <w:r>
        <w:rPr>
          <w:rStyle w:val="27"/>
          <w:rFonts w:hint="eastAsia" w:ascii="仿宋_GB2312" w:hAnsi="仿宋_GB2312" w:eastAsia="仿宋_GB2312" w:cs="仿宋_GB2312"/>
          <w:bCs/>
          <w:color w:val="000000"/>
          <w:sz w:val="32"/>
          <w:szCs w:val="32"/>
          <w:lang w:eastAsia="zh-CN"/>
        </w:rPr>
        <w:t>其他商业流通事务支出</w:t>
      </w:r>
      <w:r>
        <w:rPr>
          <w:rStyle w:val="27"/>
          <w:rFonts w:hint="eastAsia" w:ascii="仿宋_GB2312" w:hAnsi="仿宋_GB2312" w:eastAsia="仿宋_GB2312" w:cs="仿宋_GB2312"/>
          <w:bCs/>
          <w:color w:val="000000"/>
          <w:sz w:val="32"/>
          <w:szCs w:val="32"/>
        </w:rPr>
        <w:t>（</w:t>
      </w:r>
      <w:r>
        <w:rPr>
          <w:rStyle w:val="27"/>
          <w:rFonts w:hint="eastAsia" w:ascii="仿宋_GB2312" w:hAnsi="仿宋_GB2312" w:eastAsia="仿宋_GB2312" w:cs="仿宋_GB2312"/>
          <w:bCs/>
          <w:color w:val="000000"/>
          <w:sz w:val="32"/>
          <w:szCs w:val="32"/>
          <w:lang w:val="en-US" w:eastAsia="zh-CN"/>
        </w:rPr>
        <w:t>99</w:t>
      </w:r>
      <w:r>
        <w:rPr>
          <w:rStyle w:val="27"/>
          <w:rFonts w:hint="eastAsia" w:ascii="仿宋_GB2312" w:hAnsi="仿宋_GB2312" w:eastAsia="仿宋_GB2312" w:cs="仿宋_GB2312"/>
          <w:bCs/>
          <w:color w:val="000000"/>
          <w:sz w:val="32"/>
          <w:szCs w:val="32"/>
        </w:rPr>
        <w:t>）</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135.00</w:t>
      </w:r>
      <w:r>
        <w:rPr>
          <w:rStyle w:val="27"/>
          <w:rFonts w:hint="eastAsia" w:ascii="仿宋_GB2312" w:hAnsi="仿宋_GB2312" w:eastAsia="仿宋_GB2312" w:cs="仿宋_GB2312"/>
          <w:b w:val="0"/>
          <w:bCs/>
          <w:color w:val="000000"/>
          <w:sz w:val="32"/>
          <w:szCs w:val="32"/>
        </w:rPr>
        <w:t>万元，完成预算100%，决算数与预算数持平。</w:t>
      </w:r>
    </w:p>
    <w:p w14:paraId="7335100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7"/>
          <w:rFonts w:hint="eastAsia" w:ascii="仿宋_GB2312" w:hAnsi="仿宋_GB2312" w:eastAsia="仿宋_GB2312" w:cs="仿宋_GB2312"/>
          <w:bCs/>
          <w:color w:val="000000"/>
          <w:sz w:val="32"/>
          <w:szCs w:val="32"/>
          <w:lang w:val="en-US" w:eastAsia="zh-CN"/>
        </w:rPr>
        <w:t>8</w:t>
      </w:r>
      <w:r>
        <w:rPr>
          <w:rStyle w:val="27"/>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7"/>
          <w:rFonts w:hint="eastAsia" w:ascii="仿宋_GB2312" w:hAnsi="仿宋_GB2312" w:eastAsia="仿宋_GB2312" w:cs="仿宋_GB2312"/>
          <w:bCs/>
          <w:color w:val="000000"/>
          <w:sz w:val="32"/>
          <w:szCs w:val="32"/>
        </w:rPr>
        <w:t>（221）住房改革支出（02）住房公积金（01）</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13.89</w:t>
      </w:r>
      <w:r>
        <w:rPr>
          <w:rStyle w:val="27"/>
          <w:rFonts w:hint="eastAsia" w:ascii="仿宋_GB2312" w:hAnsi="仿宋_GB2312" w:eastAsia="仿宋_GB2312" w:cs="仿宋_GB2312"/>
          <w:b w:val="0"/>
          <w:bCs/>
          <w:color w:val="000000"/>
          <w:sz w:val="32"/>
          <w:szCs w:val="32"/>
        </w:rPr>
        <w:t>万元，完成预算100%，决算数与预算数持平。</w:t>
      </w:r>
    </w:p>
    <w:p w14:paraId="7A116E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7"/>
          <w:rFonts w:hint="eastAsia" w:ascii="仿宋_GB2312" w:hAnsi="仿宋_GB2312" w:eastAsia="仿宋_GB2312" w:cs="仿宋_GB2312"/>
          <w:bCs/>
          <w:color w:val="000000"/>
          <w:sz w:val="32"/>
          <w:szCs w:val="32"/>
          <w:lang w:val="en-US" w:eastAsia="zh-CN"/>
        </w:rPr>
        <w:t>9</w:t>
      </w:r>
      <w:r>
        <w:rPr>
          <w:rStyle w:val="27"/>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7"/>
          <w:rFonts w:hint="eastAsia" w:ascii="仿宋_GB2312" w:hAnsi="仿宋_GB2312" w:eastAsia="仿宋_GB2312" w:cs="仿宋_GB2312"/>
          <w:bCs/>
          <w:color w:val="000000"/>
          <w:sz w:val="32"/>
          <w:szCs w:val="32"/>
        </w:rPr>
        <w:t>（221）住房改革支出（02）购房补贴（03）</w:t>
      </w:r>
      <w:r>
        <w:rPr>
          <w:rStyle w:val="27"/>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7"/>
          <w:rFonts w:hint="eastAsia" w:ascii="仿宋_GB2312" w:hAnsi="仿宋_GB2312" w:eastAsia="仿宋_GB2312" w:cs="仿宋_GB2312"/>
          <w:b w:val="0"/>
          <w:bCs/>
          <w:color w:val="000000"/>
          <w:sz w:val="32"/>
          <w:szCs w:val="32"/>
          <w:lang w:val="en-US" w:eastAsia="zh-CN"/>
        </w:rPr>
        <w:t>2.02</w:t>
      </w:r>
      <w:r>
        <w:rPr>
          <w:rStyle w:val="27"/>
          <w:rFonts w:hint="eastAsia" w:ascii="仿宋_GB2312" w:hAnsi="仿宋_GB2312" w:eastAsia="仿宋_GB2312" w:cs="仿宋_GB2312"/>
          <w:b w:val="0"/>
          <w:bCs/>
          <w:color w:val="000000"/>
          <w:sz w:val="32"/>
          <w:szCs w:val="32"/>
        </w:rPr>
        <w:t>万元，完成预算100%，决算数与预算数持平。</w:t>
      </w:r>
    </w:p>
    <w:p w14:paraId="11DC05A5">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31"/>
        </w:rPr>
      </w:pPr>
      <w:bookmarkStart w:id="60" w:name="_Toc15396608"/>
      <w:bookmarkStart w:id="61" w:name="_Toc79163618"/>
      <w:bookmarkStart w:id="62" w:name="_Toc15377214"/>
      <w:bookmarkStart w:id="63"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1"/>
          <w:rFonts w:hint="eastAsia" w:ascii="黑体" w:hAnsi="黑体" w:eastAsia="黑体"/>
          <w:b w:val="0"/>
        </w:rPr>
        <w:t>般公共预算财政拨款基本支出决算情况说明</w:t>
      </w:r>
      <w:bookmarkEnd w:id="60"/>
      <w:bookmarkEnd w:id="61"/>
      <w:bookmarkEnd w:id="62"/>
      <w:bookmarkEnd w:id="63"/>
      <w:r>
        <w:rPr>
          <w:rStyle w:val="31"/>
          <w:rFonts w:ascii="黑体" w:hAnsi="黑体" w:eastAsia="黑体"/>
          <w:b w:val="0"/>
        </w:rPr>
        <w:tab/>
      </w:r>
    </w:p>
    <w:p w14:paraId="5663DB93">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208.21</w:t>
      </w:r>
      <w:r>
        <w:rPr>
          <w:rFonts w:hint="eastAsia" w:ascii="仿宋_GB2312" w:hAnsi="仿宋_GB2312" w:eastAsia="仿宋_GB2312" w:cs="仿宋_GB2312"/>
          <w:color w:val="000000"/>
          <w:sz w:val="32"/>
          <w:szCs w:val="32"/>
        </w:rPr>
        <w:t>万元，其中：</w:t>
      </w:r>
    </w:p>
    <w:p w14:paraId="617582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202.61</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40.55</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37.62</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46.21</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16.81</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8.40</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11.35</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13.89</w:t>
      </w:r>
      <w:r>
        <w:rPr>
          <w:rFonts w:hint="eastAsia" w:ascii="仿宋_GB2312" w:hAnsi="仿宋_GB2312" w:eastAsia="仿宋_GB2312" w:cs="仿宋_GB2312"/>
          <w:sz w:val="32"/>
          <w:szCs w:val="32"/>
        </w:rPr>
        <w:t>万元、医疗费</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万元、生活补助</w:t>
      </w:r>
      <w:r>
        <w:rPr>
          <w:rFonts w:hint="eastAsia" w:ascii="仿宋_GB2312" w:hAnsi="仿宋_GB2312" w:eastAsia="仿宋_GB2312" w:cs="仿宋_GB2312"/>
          <w:sz w:val="32"/>
          <w:szCs w:val="32"/>
          <w:lang w:val="en-US" w:eastAsia="zh-CN"/>
        </w:rPr>
        <w:t>19.61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公务员医疗补助缴费</w:t>
      </w:r>
      <w:r>
        <w:rPr>
          <w:rFonts w:hint="eastAsia" w:ascii="仿宋_GB2312" w:hAnsi="仿宋_GB2312" w:eastAsia="仿宋_GB2312" w:cs="仿宋_GB2312"/>
          <w:sz w:val="32"/>
          <w:szCs w:val="32"/>
          <w:lang w:val="en-US" w:eastAsia="zh-CN"/>
        </w:rPr>
        <w:t>3.27</w:t>
      </w:r>
      <w:r>
        <w:rPr>
          <w:rFonts w:hint="eastAsia" w:ascii="仿宋_GB2312" w:hAnsi="仿宋_GB2312" w:eastAsia="仿宋_GB2312" w:cs="仿宋_GB2312"/>
          <w:sz w:val="32"/>
          <w:szCs w:val="32"/>
        </w:rPr>
        <w:t>万元、奖励金0.01万元。</w:t>
      </w:r>
    </w:p>
    <w:p w14:paraId="292DF7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2.69万元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万元、公务接待费0.1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0.60</w:t>
      </w:r>
      <w:r>
        <w:rPr>
          <w:rFonts w:hint="eastAsia" w:ascii="仿宋_GB2312" w:hAnsi="仿宋_GB2312" w:eastAsia="仿宋_GB2312" w:cs="仿宋_GB2312"/>
          <w:sz w:val="32"/>
          <w:szCs w:val="32"/>
        </w:rPr>
        <w:t>万元。</w:t>
      </w:r>
    </w:p>
    <w:p w14:paraId="16D5E01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1"/>
          <w:rFonts w:ascii="黑体" w:hAnsi="黑体" w:eastAsia="黑体"/>
          <w:b w:val="0"/>
        </w:rPr>
      </w:pPr>
      <w:bookmarkStart w:id="64" w:name="_Toc79163869"/>
      <w:bookmarkStart w:id="65" w:name="_Toc15396609"/>
      <w:bookmarkStart w:id="66" w:name="_Toc79163619"/>
      <w:bookmarkStart w:id="67" w:name="_Toc15377215"/>
      <w:r>
        <w:rPr>
          <w:rStyle w:val="31"/>
          <w:rFonts w:hint="eastAsia" w:ascii="黑体" w:hAnsi="黑体" w:eastAsia="黑体"/>
          <w:b w:val="0"/>
          <w:bCs w:val="0"/>
          <w:lang w:eastAsia="zh-CN"/>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64"/>
      <w:bookmarkEnd w:id="65"/>
      <w:bookmarkEnd w:id="66"/>
      <w:bookmarkEnd w:id="67"/>
    </w:p>
    <w:p w14:paraId="0A2901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68" w:name="_Toc79163870"/>
      <w:bookmarkStart w:id="69" w:name="_Toc15377216"/>
      <w:bookmarkStart w:id="70" w:name="_Toc79163620"/>
      <w:r>
        <w:rPr>
          <w:rFonts w:hint="eastAsia" w:ascii="楷体_GB2312" w:hAnsi="楷体_GB2312" w:eastAsia="楷体_GB2312" w:cs="楷体_GB2312"/>
          <w:b/>
          <w:bCs/>
          <w:sz w:val="32"/>
          <w:szCs w:val="32"/>
        </w:rPr>
        <w:t>（一）“三公”经费财政拨款支出决算总体情况说明</w:t>
      </w:r>
      <w:bookmarkEnd w:id="68"/>
      <w:bookmarkEnd w:id="69"/>
      <w:bookmarkEnd w:id="70"/>
    </w:p>
    <w:p w14:paraId="2C3D7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“三公”经费财政拨款支出决算为</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减少0.02万元，下降15.38%，下降的主要原因是：接待费减少，</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预算数持平。</w:t>
      </w:r>
    </w:p>
    <w:p w14:paraId="3A59EC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71" w:name="_Toc15377217"/>
      <w:bookmarkStart w:id="72" w:name="_Toc79163871"/>
      <w:bookmarkStart w:id="73" w:name="_Toc79163621"/>
      <w:r>
        <w:rPr>
          <w:rFonts w:hint="eastAsia" w:ascii="楷体_GB2312" w:hAnsi="楷体_GB2312" w:eastAsia="楷体_GB2312" w:cs="楷体_GB2312"/>
          <w:b/>
          <w:bCs/>
          <w:sz w:val="32"/>
          <w:szCs w:val="32"/>
        </w:rPr>
        <w:t>（二）“三公”经费财政拨款支出决算具体情况说明</w:t>
      </w:r>
      <w:bookmarkEnd w:id="71"/>
      <w:bookmarkEnd w:id="72"/>
      <w:bookmarkEnd w:id="73"/>
    </w:p>
    <w:p w14:paraId="61868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533E1A1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95495" cy="2838450"/>
            <wp:effectExtent l="19050" t="0" r="14287" b="0"/>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3F375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highlight w:val="none"/>
          <w:lang w:eastAsia="zh-CN"/>
        </w:rPr>
      </w:pPr>
      <w:bookmarkStart w:id="74" w:name="_Toc79163872"/>
      <w:bookmarkStart w:id="75" w:name="_Toc15396610"/>
      <w:bookmarkStart w:id="76" w:name="_Toc79163622"/>
      <w:bookmarkStart w:id="77" w:name="_Toc15377218"/>
      <w:r>
        <w:rPr>
          <w:rFonts w:hint="eastAsia" w:ascii="仿宋_GB2312" w:hAnsi="仿宋_GB2312" w:eastAsia="仿宋_GB2312" w:cs="仿宋_GB2312"/>
          <w:b/>
          <w:bCs/>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0万元，全年安排因公出国（境）团组0次，出国（境）0人</w:t>
      </w:r>
      <w:r>
        <w:rPr>
          <w:rFonts w:hint="eastAsia" w:ascii="仿宋_GB2312" w:hAnsi="仿宋_GB2312" w:eastAsia="仿宋_GB2312" w:cs="仿宋_GB2312"/>
          <w:color w:val="000000"/>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因公出国（境）支出决算与2023年持平</w:t>
      </w:r>
      <w:r>
        <w:rPr>
          <w:rFonts w:hint="eastAsia" w:ascii="仿宋_GB2312" w:hAnsi="仿宋_GB2312" w:eastAsia="仿宋_GB2312" w:cs="仿宋_GB2312"/>
          <w:color w:val="000000"/>
          <w:sz w:val="32"/>
          <w:szCs w:val="32"/>
          <w:highlight w:val="none"/>
          <w:lang w:eastAsia="zh-CN"/>
        </w:rPr>
        <w:t>。</w:t>
      </w:r>
    </w:p>
    <w:p w14:paraId="52E0AC9D">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000000"/>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公务用车购置及运行维护费支出决算与2023年度持平</w:t>
      </w:r>
      <w:r>
        <w:rPr>
          <w:rFonts w:hint="eastAsia" w:ascii="仿宋_GB2312" w:eastAsia="仿宋_GB2312"/>
          <w:color w:val="auto"/>
          <w:sz w:val="32"/>
          <w:szCs w:val="32"/>
          <w:highlight w:val="none"/>
          <w:lang w:eastAsia="zh-CN"/>
        </w:rPr>
        <w:t>。</w:t>
      </w:r>
    </w:p>
    <w:p w14:paraId="005454DC">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w:t>
      </w:r>
    </w:p>
    <w:p w14:paraId="22D0AB39">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万元，完成预算100%。公务接待费支出决算比202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减少</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02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lang w:val="en-US" w:eastAsia="zh-CN"/>
        </w:rPr>
        <w:t>15.38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rPr>
        <w:t>主要原因</w:t>
      </w:r>
      <w:r>
        <w:rPr>
          <w:rFonts w:hint="eastAsia" w:ascii="仿宋_GB2312" w:hAnsi="仿宋_GB2312" w:eastAsia="仿宋_GB2312" w:cs="仿宋_GB2312"/>
          <w:color w:val="000000"/>
          <w:sz w:val="32"/>
          <w:szCs w:val="32"/>
          <w:highlight w:val="none"/>
          <w:lang w:eastAsia="zh-CN"/>
        </w:rPr>
        <w:t>是：</w:t>
      </w:r>
      <w:r>
        <w:rPr>
          <w:rFonts w:hint="eastAsia" w:ascii="仿宋_GB2312" w:hAnsi="仿宋_GB2312" w:eastAsia="仿宋_GB2312" w:cs="仿宋_GB2312"/>
          <w:color w:val="000000"/>
          <w:sz w:val="32"/>
          <w:szCs w:val="32"/>
          <w:highlight w:val="none"/>
          <w:lang w:val="en-US" w:eastAsia="zh-CN"/>
        </w:rPr>
        <w:t>2024年与2023年相比接待人数未变，接待标准减少，接待费用支出减少。</w:t>
      </w:r>
    </w:p>
    <w:p w14:paraId="4BAF650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万元，主要用于业务接待的用餐费。国内公务接待</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批次，</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人次（不包括陪同人员），共计支出0.1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具体内容包括：</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接待202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省供销社来我县沟口镇供销社开展“走下去”调研工作，接待金额</w:t>
      </w:r>
      <w:r>
        <w:rPr>
          <w:rFonts w:hint="eastAsia" w:ascii="仿宋_GB2312" w:hAnsi="仿宋_GB2312" w:eastAsia="仿宋_GB2312" w:cs="仿宋_GB2312"/>
          <w:sz w:val="32"/>
          <w:szCs w:val="32"/>
          <w:highlight w:val="none"/>
          <w:lang w:val="en-US" w:eastAsia="zh-CN"/>
        </w:rPr>
        <w:t>0.10万元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2、接待州供销社4月16日来我县调研为农服务综合平台试点县建设工作，接待金额0.01万元。</w:t>
      </w:r>
    </w:p>
    <w:p w14:paraId="6D75662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FF0000"/>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，外事接待支出</w:t>
      </w:r>
      <w:r>
        <w:rPr>
          <w:rFonts w:hint="eastAsia" w:ascii="Times New Roman" w:hAnsi="Times New Roman" w:eastAsia="仿宋_GB2312" w:cs="仿宋_GB2312"/>
          <w:color w:val="auto"/>
          <w:kern w:val="2"/>
          <w:sz w:val="32"/>
          <w:szCs w:val="32"/>
          <w:highlight w:val="none"/>
          <w:lang w:val="en-US" w:eastAsia="zh-CN" w:bidi="ar-SA"/>
        </w:rPr>
        <w:t>支出决算与2023年度持平</w:t>
      </w:r>
      <w:r>
        <w:rPr>
          <w:rFonts w:hint="eastAsia" w:ascii="仿宋_GB2312" w:eastAsia="仿宋_GB2312"/>
          <w:color w:val="auto"/>
          <w:sz w:val="32"/>
          <w:szCs w:val="32"/>
          <w:highlight w:val="none"/>
          <w:lang w:eastAsia="zh-CN"/>
        </w:rPr>
        <w:t>。</w:t>
      </w:r>
    </w:p>
    <w:p w14:paraId="6C0E2F9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1"/>
          <w:rFonts w:ascii="黑体" w:hAnsi="黑体" w:eastAsia="黑体"/>
          <w:highlight w:val="none"/>
        </w:rPr>
      </w:pPr>
      <w:r>
        <w:rPr>
          <w:rFonts w:hint="eastAsia" w:ascii="黑体" w:eastAsia="黑体"/>
          <w:color w:val="000000"/>
          <w:sz w:val="32"/>
          <w:szCs w:val="32"/>
          <w:highlight w:val="none"/>
        </w:rPr>
        <w:t>八、</w:t>
      </w:r>
      <w:r>
        <w:rPr>
          <w:rStyle w:val="31"/>
          <w:rFonts w:hint="eastAsia" w:ascii="黑体" w:hAnsi="黑体" w:eastAsia="黑体"/>
          <w:b w:val="0"/>
          <w:highlight w:val="none"/>
        </w:rPr>
        <w:t>政府性基金预算支出决算情况说明</w:t>
      </w:r>
      <w:bookmarkEnd w:id="74"/>
      <w:bookmarkEnd w:id="75"/>
      <w:bookmarkEnd w:id="76"/>
      <w:bookmarkEnd w:id="77"/>
    </w:p>
    <w:p w14:paraId="78472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年政府性基金预算拨款支出0万元。</w:t>
      </w:r>
    </w:p>
    <w:p w14:paraId="194AC0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ascii="黑体" w:hAnsi="黑体" w:eastAsia="黑体"/>
          <w:b w:val="0"/>
          <w:highlight w:val="none"/>
        </w:rPr>
      </w:pPr>
      <w:bookmarkStart w:id="78" w:name="_Toc15377219"/>
      <w:bookmarkStart w:id="79" w:name="_Toc79163873"/>
      <w:bookmarkStart w:id="80" w:name="_Toc79163623"/>
      <w:bookmarkStart w:id="81" w:name="_Toc15396611"/>
      <w:r>
        <w:rPr>
          <w:rStyle w:val="31"/>
          <w:rFonts w:hint="eastAsia" w:ascii="黑体" w:hAnsi="黑体" w:eastAsia="黑体"/>
          <w:b w:val="0"/>
          <w:highlight w:val="none"/>
          <w:lang w:eastAsia="zh-CN"/>
        </w:rPr>
        <w:t>九、</w:t>
      </w:r>
      <w:r>
        <w:rPr>
          <w:rStyle w:val="31"/>
          <w:rFonts w:hint="eastAsia" w:ascii="黑体" w:hAnsi="黑体" w:eastAsia="黑体"/>
          <w:b w:val="0"/>
          <w:highlight w:val="none"/>
        </w:rPr>
        <w:t>国有资本经营预算支出决算情况说明</w:t>
      </w:r>
      <w:bookmarkEnd w:id="78"/>
      <w:bookmarkEnd w:id="79"/>
      <w:bookmarkEnd w:id="80"/>
      <w:bookmarkEnd w:id="81"/>
    </w:p>
    <w:p w14:paraId="763818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因我社不涉及国有资本经营预算支出，所以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年国有资本经营预算拨款支出0万元。</w:t>
      </w:r>
    </w:p>
    <w:p w14:paraId="3A3A83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黑体" w:hAnsi="黑体" w:eastAsia="黑体"/>
        </w:rPr>
      </w:pPr>
      <w:bookmarkStart w:id="82" w:name="_Toc79163874"/>
      <w:bookmarkStart w:id="83" w:name="_Toc79163624"/>
      <w:bookmarkStart w:id="84" w:name="_Toc15377221"/>
      <w:bookmarkStart w:id="85" w:name="_Toc15396612"/>
      <w:r>
        <w:rPr>
          <w:rFonts w:hint="eastAsia" w:ascii="黑体" w:hAnsi="黑体" w:eastAsia="黑体"/>
          <w:color w:val="000000"/>
          <w:sz w:val="32"/>
          <w:szCs w:val="32"/>
        </w:rPr>
        <w:t>十</w:t>
      </w:r>
      <w:r>
        <w:rPr>
          <w:rStyle w:val="31"/>
          <w:rFonts w:hint="eastAsia" w:ascii="黑体" w:hAnsi="黑体" w:eastAsia="黑体"/>
        </w:rPr>
        <w:t>、</w:t>
      </w:r>
      <w:r>
        <w:rPr>
          <w:rStyle w:val="31"/>
          <w:rFonts w:hint="eastAsia" w:ascii="黑体" w:hAnsi="黑体" w:eastAsia="黑体"/>
          <w:b w:val="0"/>
        </w:rPr>
        <w:t>其他重要事项的情况说明</w:t>
      </w:r>
      <w:bookmarkEnd w:id="82"/>
      <w:bookmarkEnd w:id="83"/>
      <w:bookmarkEnd w:id="84"/>
      <w:bookmarkEnd w:id="85"/>
    </w:p>
    <w:p w14:paraId="39CA63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86" w:name="_Toc79163625"/>
      <w:bookmarkStart w:id="87" w:name="_Toc79163875"/>
      <w:bookmarkStart w:id="88" w:name="_Toc15377222"/>
      <w:r>
        <w:rPr>
          <w:rFonts w:hint="eastAsia" w:ascii="楷体_GB2312" w:hAnsi="楷体_GB2312" w:eastAsia="楷体_GB2312" w:cs="楷体_GB2312"/>
          <w:b/>
          <w:bCs/>
          <w:sz w:val="32"/>
          <w:szCs w:val="32"/>
        </w:rPr>
        <w:t>（一）机关运行经费支出情况</w:t>
      </w:r>
      <w:bookmarkEnd w:id="86"/>
      <w:bookmarkEnd w:id="87"/>
      <w:bookmarkEnd w:id="88"/>
    </w:p>
    <w:p w14:paraId="3991B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年，茂县供销社机关运行经费支出</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lang w:eastAsia="zh-CN"/>
        </w:rPr>
        <w:t>万元，比202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年减少</w:t>
      </w:r>
      <w:r>
        <w:rPr>
          <w:rFonts w:hint="eastAsia" w:ascii="仿宋_GB2312" w:hAnsi="仿宋_GB2312" w:eastAsia="仿宋_GB2312" w:cs="仿宋_GB2312"/>
          <w:sz w:val="32"/>
          <w:szCs w:val="32"/>
          <w:highlight w:val="none"/>
          <w:lang w:val="en-US" w:eastAsia="zh-CN"/>
        </w:rPr>
        <w:t>0.80</w:t>
      </w:r>
      <w:r>
        <w:rPr>
          <w:rFonts w:hint="eastAsia" w:ascii="仿宋_GB2312" w:hAnsi="仿宋_GB2312" w:eastAsia="仿宋_GB2312" w:cs="仿宋_GB2312"/>
          <w:sz w:val="32"/>
          <w:szCs w:val="32"/>
          <w:highlight w:val="none"/>
          <w:lang w:eastAsia="zh-CN"/>
        </w:rPr>
        <w:t>万元，下降</w:t>
      </w:r>
      <w:r>
        <w:rPr>
          <w:rFonts w:hint="eastAsia" w:ascii="仿宋_GB2312" w:hAnsi="仿宋_GB2312" w:eastAsia="仿宋_GB2312" w:cs="仿宋_GB2312"/>
          <w:sz w:val="32"/>
          <w:szCs w:val="32"/>
          <w:highlight w:val="none"/>
          <w:lang w:val="en-US" w:eastAsia="zh-CN"/>
        </w:rPr>
        <w:t>12.5</w:t>
      </w:r>
      <w:r>
        <w:rPr>
          <w:rFonts w:hint="eastAsia" w:ascii="仿宋_GB2312" w:hAnsi="仿宋_GB2312" w:eastAsia="仿宋_GB2312" w:cs="仿宋_GB2312"/>
          <w:sz w:val="32"/>
          <w:szCs w:val="32"/>
          <w:highlight w:val="none"/>
          <w:lang w:eastAsia="zh-CN"/>
        </w:rPr>
        <w:t>%。主要原因是：我社退休</w:t>
      </w:r>
      <w:r>
        <w:rPr>
          <w:rFonts w:hint="eastAsia" w:ascii="仿宋_GB2312" w:hAnsi="仿宋_GB2312" w:eastAsia="仿宋_GB2312" w:cs="仿宋_GB2312"/>
          <w:sz w:val="32"/>
          <w:szCs w:val="32"/>
          <w:highlight w:val="none"/>
          <w:lang w:val="en-US" w:eastAsia="zh-CN"/>
        </w:rPr>
        <w:t>1人，2024年公用经费预算人数为7人，2023年公用经费预算人数为8人，因此公用经费减少</w:t>
      </w:r>
      <w:r>
        <w:rPr>
          <w:rFonts w:hint="eastAsia" w:ascii="仿宋_GB2312" w:hAnsi="仿宋_GB2312" w:eastAsia="仿宋_GB2312" w:cs="仿宋_GB2312"/>
          <w:sz w:val="32"/>
          <w:szCs w:val="32"/>
          <w:highlight w:val="none"/>
          <w:lang w:eastAsia="zh-CN"/>
        </w:rPr>
        <w:t>。</w:t>
      </w:r>
    </w:p>
    <w:p w14:paraId="7F223B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highlight w:val="none"/>
        </w:rPr>
      </w:pPr>
      <w:bookmarkStart w:id="89" w:name="_Toc15377223"/>
      <w:bookmarkStart w:id="90" w:name="_Toc79163626"/>
      <w:bookmarkStart w:id="91" w:name="_Toc79163876"/>
      <w:r>
        <w:rPr>
          <w:rFonts w:hint="eastAsia" w:ascii="楷体_GB2312" w:hAnsi="楷体_GB2312" w:eastAsia="楷体_GB2312" w:cs="楷体_GB2312"/>
          <w:b/>
          <w:bCs/>
          <w:sz w:val="32"/>
          <w:szCs w:val="32"/>
          <w:highlight w:val="none"/>
        </w:rPr>
        <w:t>（二）政府采购支出情况</w:t>
      </w:r>
      <w:bookmarkEnd w:id="89"/>
      <w:bookmarkEnd w:id="90"/>
      <w:bookmarkEnd w:id="91"/>
    </w:p>
    <w:p w14:paraId="1B2118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万元、政府采购工程支出0万元、政府采购服务支出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66EB6B8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92" w:name="_Toc15377224"/>
      <w:bookmarkStart w:id="93" w:name="_Toc79163877"/>
      <w:bookmarkStart w:id="94" w:name="_Toc79163627"/>
      <w:r>
        <w:rPr>
          <w:rFonts w:hint="eastAsia" w:ascii="楷体_GB2312" w:hAnsi="楷体_GB2312" w:eastAsia="楷体_GB2312" w:cs="楷体_GB2312"/>
          <w:b/>
          <w:bCs/>
          <w:sz w:val="32"/>
          <w:szCs w:val="32"/>
        </w:rPr>
        <w:t>（三）国有资产占有使用情况</w:t>
      </w:r>
      <w:bookmarkEnd w:id="92"/>
      <w:bookmarkEnd w:id="93"/>
      <w:bookmarkEnd w:id="94"/>
    </w:p>
    <w:p w14:paraId="61AD0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年12月31日，茂县供销合作社联合社共有车辆0辆。</w:t>
      </w:r>
    </w:p>
    <w:p w14:paraId="7F4BED6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highlight w:val="none"/>
        </w:rPr>
      </w:pPr>
      <w:bookmarkStart w:id="95" w:name="_Toc79163628"/>
      <w:bookmarkStart w:id="96" w:name="_Toc79163878"/>
      <w:r>
        <w:rPr>
          <w:rFonts w:hint="eastAsia" w:ascii="楷体_GB2312" w:hAnsi="楷体_GB2312" w:eastAsia="楷体_GB2312" w:cs="楷体_GB2312"/>
          <w:b/>
          <w:bCs/>
          <w:sz w:val="32"/>
          <w:szCs w:val="32"/>
          <w:highlight w:val="none"/>
        </w:rPr>
        <w:t>（四）预算绩效管理情况</w:t>
      </w:r>
      <w:bookmarkEnd w:id="95"/>
      <w:bookmarkEnd w:id="96"/>
    </w:p>
    <w:p w14:paraId="5C25BA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根据预算绩效管理要求，本单位在年初预算编制阶段，组织对供销为农服务综合平台试点县建设项目、驻村人员临岗补贴和乡镇补贴项目、2024年度“发展数智茂农，共创云链供销”交融交往项目</w:t>
      </w:r>
      <w:r>
        <w:rPr>
          <w:rFonts w:hint="eastAsia" w:ascii="仿宋_GB2312" w:hAnsi="仿宋_GB2312" w:eastAsia="仿宋_GB2312" w:cs="仿宋_GB2312"/>
          <w:sz w:val="32"/>
          <w:szCs w:val="32"/>
          <w:highlight w:val="none"/>
          <w:lang w:eastAsia="zh-CN"/>
        </w:rPr>
        <w:t>、2024年州级农资价格及储备补贴项目</w:t>
      </w:r>
      <w:r>
        <w:rPr>
          <w:rFonts w:hint="eastAsia" w:ascii="仿宋_GB2312" w:hAnsi="仿宋_GB2312" w:eastAsia="仿宋_GB2312" w:cs="仿宋_GB2312"/>
          <w:sz w:val="32"/>
          <w:szCs w:val="32"/>
          <w:highlight w:val="none"/>
        </w:rPr>
        <w:t>开展了预算事前绩效评估，对4个项目编制了绩效目标，预算执行过程中，选取该项目开展绩效监控，年终执行完毕后，对该项目开展了绩效目标完成情况自评，</w:t>
      </w:r>
      <w:r>
        <w:rPr>
          <w:rFonts w:ascii="仿宋_GB2312" w:hAnsi="仿宋_GB2312" w:eastAsia="仿宋_GB2312" w:cs="仿宋_GB2312"/>
          <w:sz w:val="32"/>
          <w:szCs w:val="32"/>
          <w:highlight w:val="none"/>
        </w:rPr>
        <w:t>绩效自评表详见第四部分附件</w:t>
      </w:r>
      <w:r>
        <w:rPr>
          <w:rFonts w:hint="eastAsia" w:ascii="仿宋_GB2312" w:hAnsi="仿宋_GB2312" w:eastAsia="仿宋_GB2312" w:cs="仿宋_GB2312"/>
          <w:sz w:val="32"/>
          <w:szCs w:val="32"/>
          <w:highlight w:val="none"/>
        </w:rPr>
        <w:t>。</w:t>
      </w:r>
    </w:p>
    <w:p w14:paraId="080A4B90">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2F8248B4">
      <w:pPr>
        <w:pStyle w:val="20"/>
        <w:rPr>
          <w:rFonts w:ascii="仿宋_GB2312" w:hAnsi="仿宋_GB2312" w:eastAsia="仿宋_GB2312" w:cs="仿宋_GB2312"/>
          <w:sz w:val="32"/>
          <w:szCs w:val="32"/>
        </w:rPr>
      </w:pPr>
    </w:p>
    <w:p w14:paraId="3B1A6029">
      <w:pPr>
        <w:rPr>
          <w:rFonts w:ascii="仿宋_GB2312" w:hAnsi="仿宋_GB2312" w:eastAsia="仿宋_GB2312" w:cs="仿宋_GB2312"/>
          <w:sz w:val="32"/>
          <w:szCs w:val="32"/>
        </w:rPr>
      </w:pPr>
    </w:p>
    <w:p w14:paraId="0A8621D9">
      <w:pPr>
        <w:pStyle w:val="20"/>
        <w:ind w:left="0" w:leftChars="0" w:firstLine="0" w:firstLineChars="0"/>
      </w:pPr>
    </w:p>
    <w:p w14:paraId="01F296B7"/>
    <w:p w14:paraId="0BC00A7A">
      <w:pPr>
        <w:pStyle w:val="2"/>
      </w:pPr>
    </w:p>
    <w:p w14:paraId="5CEA25C7"/>
    <w:p w14:paraId="3BAF66E6">
      <w:pPr>
        <w:pStyle w:val="2"/>
      </w:pPr>
    </w:p>
    <w:p w14:paraId="64F03FC2"/>
    <w:p w14:paraId="60647536">
      <w:pPr>
        <w:pStyle w:val="2"/>
      </w:pPr>
    </w:p>
    <w:p w14:paraId="30AE465A">
      <w:bookmarkStart w:id="134" w:name="_GoBack"/>
      <w:bookmarkEnd w:id="134"/>
    </w:p>
    <w:p w14:paraId="382E7D0F">
      <w:pPr>
        <w:numPr>
          <w:ilvl w:val="0"/>
          <w:numId w:val="0"/>
        </w:numPr>
        <w:spacing w:line="600" w:lineRule="exact"/>
        <w:ind w:left="2730" w:leftChars="0"/>
        <w:outlineLvl w:val="0"/>
        <w:rPr>
          <w:rStyle w:val="30"/>
          <w:rFonts w:hint="eastAsia" w:ascii="方正小标宋简体" w:hAnsi="方正小标宋简体" w:eastAsia="方正小标宋简体" w:cs="方正小标宋简体"/>
          <w:b w:val="0"/>
        </w:rPr>
      </w:pPr>
      <w:bookmarkStart w:id="97" w:name="_Toc79163629"/>
      <w:bookmarkStart w:id="98" w:name="_Toc15377225"/>
      <w:bookmarkStart w:id="99" w:name="_Toc79163879"/>
      <w:bookmarkStart w:id="100" w:name="_Toc15396613"/>
      <w:r>
        <w:rPr>
          <w:rFonts w:hint="eastAsia" w:ascii="方正小标宋简体" w:hAnsi="方正小标宋简体" w:eastAsia="方正小标宋简体" w:cs="方正小标宋简体"/>
          <w:color w:val="000000"/>
          <w:sz w:val="44"/>
          <w:szCs w:val="44"/>
          <w:lang w:eastAsia="zh-CN"/>
        </w:rPr>
        <w:t>第三部分</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名</w:t>
      </w:r>
      <w:r>
        <w:rPr>
          <w:rStyle w:val="30"/>
          <w:rFonts w:hint="eastAsia" w:ascii="方正小标宋简体" w:hAnsi="方正小标宋简体" w:eastAsia="方正小标宋简体" w:cs="方正小标宋简体"/>
          <w:b w:val="0"/>
        </w:rPr>
        <w:t>词解释</w:t>
      </w:r>
      <w:bookmarkEnd w:id="97"/>
      <w:bookmarkEnd w:id="98"/>
      <w:bookmarkEnd w:id="99"/>
      <w:bookmarkEnd w:id="100"/>
    </w:p>
    <w:p w14:paraId="76B6DFBC">
      <w:pPr>
        <w:spacing w:line="600" w:lineRule="exact"/>
        <w:jc w:val="left"/>
        <w:rPr>
          <w:rFonts w:ascii="宋体"/>
          <w:b/>
          <w:color w:val="000000"/>
          <w:sz w:val="44"/>
          <w:szCs w:val="44"/>
        </w:rPr>
      </w:pPr>
    </w:p>
    <w:p w14:paraId="6A641E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14:paraId="5ADF02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事业收入：指事业单位开展专业业务活动及辅助活动取得的收入。</w:t>
      </w:r>
    </w:p>
    <w:p w14:paraId="04D4F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14:paraId="026C07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其他收入：指单位取得的除上述收入以外的各项收入。</w:t>
      </w:r>
    </w:p>
    <w:p w14:paraId="194D3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使用非财政拨款结余：指事业单位使用以前年度积累的非财政拨款结余弥补当年收支差额的金额。</w:t>
      </w:r>
      <w:r>
        <w:rPr>
          <w:rFonts w:ascii="仿宋_GB2312" w:hAnsi="仿宋_GB2312" w:eastAsia="仿宋_GB2312" w:cs="仿宋_GB2312"/>
          <w:sz w:val="32"/>
          <w:szCs w:val="32"/>
        </w:rPr>
        <w:t xml:space="preserve"> </w:t>
      </w:r>
    </w:p>
    <w:p w14:paraId="1B3DC8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年初结转和结余：指以前年度尚未完成、结转到本年按有关规定继续使用的资金。</w:t>
      </w:r>
      <w:r>
        <w:rPr>
          <w:rFonts w:ascii="仿宋_GB2312" w:hAnsi="仿宋_GB2312" w:eastAsia="仿宋_GB2312" w:cs="仿宋_GB2312"/>
          <w:sz w:val="32"/>
          <w:szCs w:val="32"/>
        </w:rPr>
        <w:t xml:space="preserve"> </w:t>
      </w:r>
    </w:p>
    <w:p w14:paraId="337DA6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467A47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、年末结转和结余：指单位按有关规定结转到下年或以后年度继续使用的资金。</w:t>
      </w:r>
    </w:p>
    <w:p w14:paraId="766B9B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9.一般公共服务商业服务业（类）商业流通事务（款）行政运行（项）：指</w:t>
      </w:r>
      <w:r>
        <w:rPr>
          <w:rFonts w:ascii="仿宋_GB2312" w:hAnsi="仿宋_GB2312" w:eastAsia="仿宋_GB2312" w:cs="仿宋_GB2312"/>
          <w:sz w:val="32"/>
          <w:szCs w:val="32"/>
        </w:rPr>
        <w:t>用于保障机构正常运行、开展日常工作</w:t>
      </w:r>
      <w:r>
        <w:rPr>
          <w:rFonts w:hint="eastAsia" w:ascii="仿宋_GB2312" w:hAnsi="仿宋_GB2312" w:eastAsia="仿宋_GB2312" w:cs="仿宋_GB2312"/>
          <w:sz w:val="32"/>
          <w:szCs w:val="32"/>
        </w:rPr>
        <w:t>的基本支出。</w:t>
      </w:r>
    </w:p>
    <w:p w14:paraId="6E222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10.一般公共服务商业服务业（类）商业流通事务（款）其他商业流通事务（项）：指其他用于商业流通事务方面的支出。</w:t>
      </w:r>
    </w:p>
    <w:p w14:paraId="7EF6E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11.一般公共服务商业服务业（类）商业流通事务（款）民贸民品贷款贴息（项）：指对从事民贸民品生产销售企业贷款贴息。</w:t>
      </w:r>
    </w:p>
    <w:p w14:paraId="1258B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12.社会保障和就业（类）行政事业单位离退休（款）机关事业单位基本养老保险缴费（项）：指部门实施养老保险制度由单位缴纳的养老保险费的支出。 </w:t>
      </w:r>
    </w:p>
    <w:p w14:paraId="629F80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13.社会保障和就业（类）行政事业单位离退休（款）机关事业单位职业年金缴费（项）：指部门实施养老保险制度由单位缴纳的职业年金的支出。 </w:t>
      </w:r>
    </w:p>
    <w:p w14:paraId="4D5B1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14.医疗卫生与计划生育（类）行政事业单位医疗（款）行政单位医疗（项）：指厅机关及参公管理事业单位用于缴纳单位基本医疗保险支出。 </w:t>
      </w:r>
    </w:p>
    <w:p w14:paraId="45A004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15.住房保障支出（类）住房公积金（款）住房公积金（项）：指行政事业单位按规定为职工缴纳的住房公积金。</w:t>
      </w:r>
    </w:p>
    <w:p w14:paraId="076EFB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16.住房保障支出（类）住房改革支出（款）住房公积金住房改革支出（款）购房补贴（项）：指行政事业单位按规定为职工支付的购房补贴。</w:t>
      </w:r>
    </w:p>
    <w:p w14:paraId="6EEF4F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17.农林水支出（类）农业（款）农业生产支持补贴（项）：指反映对种粮农民直接补贴，对农业生产资料补贴、技术物化补贴，推广先进适用农机农艺技术等方面支出。</w:t>
      </w:r>
    </w:p>
    <w:p w14:paraId="050FA4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18.农林水支出（类）农业（款）其他农业支出（项）：指反映其他用于农业方面的支出。</w:t>
      </w:r>
    </w:p>
    <w:p w14:paraId="1899CB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14:paraId="0F5EC4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14:paraId="5DC57C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F57E0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5F1F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000000"/>
          <w:sz w:val="44"/>
          <w:szCs w:val="44"/>
        </w:rPr>
      </w:pPr>
      <w:r>
        <w:rPr>
          <w:rFonts w:hint="eastAsia" w:ascii="仿宋_GB2312" w:hAnsi="仿宋_GB2312" w:eastAsia="仿宋_GB2312" w:cs="仿宋_GB2312"/>
          <w:sz w:val="32"/>
          <w:szCs w:val="32"/>
        </w:rPr>
        <w:t>23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1" w:name="_Toc15396614"/>
      <w:bookmarkStart w:id="102" w:name="_Toc79163880"/>
      <w:bookmarkStart w:id="103" w:name="_Toc79163630"/>
      <w:bookmarkStart w:id="104" w:name="_Toc15377226"/>
    </w:p>
    <w:p w14:paraId="02D6C057">
      <w:pPr>
        <w:spacing w:line="576" w:lineRule="exact"/>
        <w:rPr>
          <w:rFonts w:ascii="黑体" w:hAnsi="黑体" w:eastAsia="黑体"/>
          <w:color w:val="000000"/>
          <w:sz w:val="44"/>
          <w:szCs w:val="44"/>
        </w:rPr>
      </w:pPr>
    </w:p>
    <w:p w14:paraId="2B10B206">
      <w:pPr>
        <w:pStyle w:val="20"/>
        <w:rPr>
          <w:rFonts w:ascii="黑体" w:hAnsi="黑体" w:eastAsia="黑体"/>
          <w:color w:val="000000"/>
          <w:sz w:val="44"/>
          <w:szCs w:val="44"/>
        </w:rPr>
      </w:pPr>
    </w:p>
    <w:p w14:paraId="48E20311">
      <w:pPr>
        <w:rPr>
          <w:rFonts w:ascii="黑体" w:hAnsi="黑体" w:eastAsia="黑体"/>
          <w:color w:val="000000"/>
          <w:sz w:val="44"/>
          <w:szCs w:val="44"/>
        </w:rPr>
      </w:pPr>
    </w:p>
    <w:p w14:paraId="4E9C97AB">
      <w:pPr>
        <w:pStyle w:val="20"/>
        <w:rPr>
          <w:rFonts w:ascii="黑体" w:hAnsi="黑体" w:eastAsia="黑体"/>
          <w:color w:val="000000"/>
          <w:sz w:val="44"/>
          <w:szCs w:val="44"/>
        </w:rPr>
      </w:pPr>
    </w:p>
    <w:p w14:paraId="166CD3F7">
      <w:pPr>
        <w:pStyle w:val="20"/>
        <w:ind w:left="0" w:leftChars="0" w:firstLine="0" w:firstLineChars="0"/>
        <w:rPr>
          <w:rFonts w:ascii="黑体" w:hAnsi="黑体" w:eastAsia="黑体"/>
          <w:color w:val="000000"/>
          <w:sz w:val="44"/>
          <w:szCs w:val="44"/>
        </w:rPr>
      </w:pPr>
    </w:p>
    <w:p w14:paraId="12702BB7"/>
    <w:p w14:paraId="1411D075">
      <w:pPr>
        <w:spacing w:line="600" w:lineRule="exact"/>
        <w:jc w:val="center"/>
        <w:outlineLvl w:val="0"/>
        <w:rPr>
          <w:rStyle w:val="30"/>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30"/>
          <w:rFonts w:hint="eastAsia" w:ascii="方正小标宋简体" w:hAnsi="方正小标宋简体" w:eastAsia="方正小标宋简体" w:cs="方正小标宋简体"/>
          <w:b w:val="0"/>
        </w:rPr>
        <w:t>四部分 附件</w:t>
      </w:r>
      <w:bookmarkEnd w:id="101"/>
      <w:bookmarkEnd w:id="102"/>
      <w:bookmarkEnd w:id="103"/>
    </w:p>
    <w:p w14:paraId="2D66784B">
      <w:pPr>
        <w:spacing w:line="600" w:lineRule="exact"/>
        <w:jc w:val="left"/>
        <w:outlineLvl w:val="0"/>
        <w:rPr>
          <w:rFonts w:hint="eastAsia" w:ascii="黑体" w:hAnsi="黑体" w:eastAsia="黑体" w:cs="黑体"/>
          <w:color w:val="000000"/>
          <w:sz w:val="32"/>
          <w:szCs w:val="32"/>
        </w:rPr>
      </w:pPr>
      <w:bookmarkStart w:id="105" w:name="_Toc79163885"/>
      <w:bookmarkStart w:id="106" w:name="_Toc79163635"/>
      <w:bookmarkStart w:id="107" w:name="_Toc15396618"/>
      <w:r>
        <w:rPr>
          <w:rFonts w:hint="eastAsia" w:ascii="黑体" w:hAnsi="黑体" w:eastAsia="黑体" w:cs="黑体"/>
          <w:color w:val="000000"/>
          <w:sz w:val="32"/>
          <w:szCs w:val="32"/>
        </w:rPr>
        <w:t>附件1</w:t>
      </w:r>
    </w:p>
    <w:tbl>
      <w:tblPr>
        <w:tblStyle w:val="24"/>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23"/>
        <w:gridCol w:w="724"/>
        <w:gridCol w:w="724"/>
        <w:gridCol w:w="717"/>
        <w:gridCol w:w="721"/>
        <w:gridCol w:w="718"/>
        <w:gridCol w:w="846"/>
        <w:gridCol w:w="722"/>
        <w:gridCol w:w="722"/>
        <w:gridCol w:w="941"/>
      </w:tblGrid>
      <w:tr w14:paraId="1072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84382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CF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CB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5626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51322325T000012289598-驻村人员临岗补贴和乡镇补贴</w:t>
            </w:r>
          </w:p>
        </w:tc>
      </w:tr>
      <w:tr w14:paraId="29DC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F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BD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781" w:type="dxa"/>
            <w:tcBorders>
              <w:top w:val="nil"/>
              <w:left w:val="nil"/>
              <w:bottom w:val="nil"/>
              <w:right w:val="nil"/>
            </w:tcBorders>
            <w:shd w:val="clear" w:color="auto" w:fill="auto"/>
            <w:vAlign w:val="center"/>
          </w:tcPr>
          <w:p w14:paraId="7973F60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14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36CE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6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F5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3E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F64A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5F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0FE3">
            <w:pPr>
              <w:rPr>
                <w:rFonts w:hint="eastAsia" w:ascii="宋体" w:hAnsi="宋体" w:eastAsia="宋体" w:cs="宋体"/>
                <w:i w:val="0"/>
                <w:iCs w:val="0"/>
                <w:color w:val="000000"/>
                <w:sz w:val="18"/>
                <w:szCs w:val="18"/>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A775">
            <w:pPr>
              <w:rPr>
                <w:rFonts w:hint="eastAsia" w:ascii="宋体" w:hAnsi="宋体" w:eastAsia="宋体" w:cs="宋体"/>
                <w:i w:val="0"/>
                <w:iCs w:val="0"/>
                <w:color w:val="000000"/>
                <w:sz w:val="18"/>
                <w:szCs w:val="18"/>
                <w:u w:val="none"/>
              </w:rPr>
            </w:pPr>
          </w:p>
        </w:tc>
        <w:tc>
          <w:tcPr>
            <w:tcW w:w="3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C4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按照省委组织部关于《关于印发&lt;四川省驻村第一书记和工作队管理办法&gt;的通知》（川组通（2021）75号）文件要求保障驻村工作队员乡镇补贴和临岗补贴</w:t>
            </w:r>
          </w:p>
        </w:tc>
        <w:tc>
          <w:tcPr>
            <w:tcW w:w="3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5E9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保障了驻村工作队员乡镇补贴和临岗补贴</w:t>
            </w:r>
          </w:p>
        </w:tc>
      </w:tr>
      <w:tr w14:paraId="4C0D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5760">
            <w:pP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9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6B8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驻村工作队员乡镇补贴300元，临岗补贴400月，完成驻村时间5个月，发放乡镇补贴及临岗补贴共计3500元</w:t>
            </w:r>
          </w:p>
        </w:tc>
      </w:tr>
      <w:tr w14:paraId="557B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9A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B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9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E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CF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9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F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1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E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2F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98D2">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9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E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FD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D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0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776F9">
            <w:pPr>
              <w:rPr>
                <w:rFonts w:hint="eastAsia" w:ascii="黑体" w:hAnsi="黑体" w:eastAsia="黑体" w:cs="黑体"/>
                <w:i/>
                <w:iCs/>
                <w:color w:val="000000"/>
                <w:sz w:val="18"/>
                <w:szCs w:val="18"/>
                <w:u w:val="none"/>
              </w:rPr>
            </w:pPr>
          </w:p>
        </w:tc>
      </w:tr>
      <w:tr w14:paraId="0D45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B4368">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6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6C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C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F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03BD">
            <w:pPr>
              <w:rPr>
                <w:rFonts w:hint="eastAsia" w:ascii="黑体" w:hAnsi="黑体" w:eastAsia="黑体" w:cs="黑体"/>
                <w:i/>
                <w:iCs/>
                <w:color w:val="000000"/>
                <w:sz w:val="18"/>
                <w:szCs w:val="18"/>
                <w:u w:val="none"/>
              </w:rPr>
            </w:pPr>
          </w:p>
        </w:tc>
      </w:tr>
      <w:tr w14:paraId="5661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78D1">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8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5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10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E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0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E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2A5E">
            <w:pPr>
              <w:rPr>
                <w:rFonts w:hint="eastAsia" w:ascii="黑体" w:hAnsi="黑体" w:eastAsia="黑体" w:cs="黑体"/>
                <w:i/>
                <w:iCs/>
                <w:color w:val="000000"/>
                <w:sz w:val="18"/>
                <w:szCs w:val="18"/>
                <w:u w:val="none"/>
              </w:rPr>
            </w:pPr>
          </w:p>
        </w:tc>
      </w:tr>
      <w:tr w14:paraId="7CED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71F4">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6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C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0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C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3320">
            <w:pPr>
              <w:rPr>
                <w:rFonts w:hint="eastAsia" w:ascii="黑体" w:hAnsi="黑体" w:eastAsia="黑体" w:cs="黑体"/>
                <w:i/>
                <w:iCs/>
                <w:color w:val="000000"/>
                <w:sz w:val="18"/>
                <w:szCs w:val="18"/>
                <w:u w:val="none"/>
              </w:rPr>
            </w:pPr>
          </w:p>
        </w:tc>
      </w:tr>
      <w:tr w14:paraId="5986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AD6B">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E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102">
            <w:pPr>
              <w:jc w:val="center"/>
              <w:rPr>
                <w:rFonts w:hint="eastAsia" w:ascii="微软雅黑" w:hAnsi="微软雅黑" w:eastAsia="微软雅黑" w:cs="微软雅黑"/>
                <w:i/>
                <w:iCs/>
                <w:color w:val="000000"/>
                <w:sz w:val="16"/>
                <w:szCs w:val="16"/>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AC8">
            <w:pPr>
              <w:jc w:val="center"/>
              <w:rPr>
                <w:rFonts w:hint="eastAsia" w:ascii="微软雅黑" w:hAnsi="微软雅黑" w:eastAsia="微软雅黑" w:cs="微软雅黑"/>
                <w:i/>
                <w:iCs/>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BDA4C">
            <w:pPr>
              <w:jc w:val="center"/>
              <w:rPr>
                <w:rFonts w:hint="eastAsia" w:ascii="微软雅黑" w:hAnsi="微软雅黑" w:eastAsia="微软雅黑" w:cs="微软雅黑"/>
                <w:i/>
                <w:iCs/>
                <w:color w:val="000000"/>
                <w:sz w:val="16"/>
                <w:szCs w:val="16"/>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1328">
            <w:pPr>
              <w:jc w:val="center"/>
              <w:rPr>
                <w:rFonts w:hint="eastAsia" w:ascii="微软雅黑" w:hAnsi="微软雅黑" w:eastAsia="微软雅黑" w:cs="微软雅黑"/>
                <w:i/>
                <w:iCs/>
                <w:color w:val="000000"/>
                <w:sz w:val="16"/>
                <w:szCs w:val="16"/>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1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A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CB9F">
            <w:pPr>
              <w:rPr>
                <w:rFonts w:hint="eastAsia" w:ascii="黑体" w:hAnsi="黑体" w:eastAsia="黑体" w:cs="黑体"/>
                <w:i/>
                <w:iCs/>
                <w:color w:val="000000"/>
                <w:sz w:val="18"/>
                <w:szCs w:val="18"/>
                <w:u w:val="none"/>
              </w:rPr>
            </w:pPr>
          </w:p>
        </w:tc>
      </w:tr>
      <w:tr w14:paraId="248F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3B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A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C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C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C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A1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5D56">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2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驻村时间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1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B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FE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D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7FC6">
            <w:pPr>
              <w:jc w:val="center"/>
              <w:rPr>
                <w:rFonts w:hint="eastAsia" w:ascii="微软雅黑" w:hAnsi="微软雅黑" w:eastAsia="微软雅黑" w:cs="微软雅黑"/>
                <w:i/>
                <w:iCs/>
                <w:color w:val="000000"/>
                <w:sz w:val="16"/>
                <w:szCs w:val="16"/>
                <w:u w:val="none"/>
              </w:rPr>
            </w:pPr>
          </w:p>
        </w:tc>
      </w:tr>
      <w:tr w14:paraId="7A22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224A">
            <w:pPr>
              <w:jc w:val="center"/>
              <w:rPr>
                <w:rFonts w:hint="eastAsia" w:ascii="宋体" w:hAnsi="宋体" w:eastAsia="宋体" w:cs="宋体"/>
                <w:i w:val="0"/>
                <w:iCs w:val="0"/>
                <w:color w:val="000000"/>
                <w:sz w:val="18"/>
                <w:szCs w:val="18"/>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6A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A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C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临岗补贴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5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2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9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990">
            <w:pPr>
              <w:jc w:val="center"/>
              <w:rPr>
                <w:rFonts w:hint="eastAsia" w:ascii="微软雅黑" w:hAnsi="微软雅黑" w:eastAsia="微软雅黑" w:cs="微软雅黑"/>
                <w:i/>
                <w:iCs/>
                <w:color w:val="000000"/>
                <w:sz w:val="16"/>
                <w:szCs w:val="16"/>
                <w:u w:val="none"/>
              </w:rPr>
            </w:pPr>
          </w:p>
        </w:tc>
      </w:tr>
      <w:tr w14:paraId="5F2D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726E">
            <w:pPr>
              <w:jc w:val="center"/>
              <w:rPr>
                <w:rFonts w:hint="eastAsia" w:ascii="宋体" w:hAnsi="宋体" w:eastAsia="宋体" w:cs="宋体"/>
                <w:i w:val="0"/>
                <w:iCs w:val="0"/>
                <w:color w:val="000000"/>
                <w:sz w:val="18"/>
                <w:szCs w:val="18"/>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99F1">
            <w:pPr>
              <w:jc w:val="center"/>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AAEC">
            <w:pPr>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乡镇补贴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4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8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D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A6D">
            <w:pPr>
              <w:jc w:val="center"/>
              <w:rPr>
                <w:rFonts w:hint="eastAsia" w:ascii="微软雅黑" w:hAnsi="微软雅黑" w:eastAsia="微软雅黑" w:cs="微软雅黑"/>
                <w:i/>
                <w:iCs/>
                <w:color w:val="000000"/>
                <w:sz w:val="16"/>
                <w:szCs w:val="16"/>
                <w:u w:val="none"/>
              </w:rPr>
            </w:pPr>
          </w:p>
        </w:tc>
      </w:tr>
      <w:tr w14:paraId="339B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AFC2">
            <w:pPr>
              <w:jc w:val="center"/>
              <w:rPr>
                <w:rFonts w:hint="eastAsia" w:ascii="宋体" w:hAnsi="宋体" w:eastAsia="宋体" w:cs="宋体"/>
                <w:i w:val="0"/>
                <w:iCs w:val="0"/>
                <w:color w:val="000000"/>
                <w:sz w:val="18"/>
                <w:szCs w:val="18"/>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6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E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帮扶对象对驻村工作队员满意度</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6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1C6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A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0AB9">
            <w:pPr>
              <w:jc w:val="center"/>
              <w:rPr>
                <w:rFonts w:hint="eastAsia" w:ascii="微软雅黑" w:hAnsi="微软雅黑" w:eastAsia="微软雅黑" w:cs="微软雅黑"/>
                <w:i/>
                <w:iCs/>
                <w:color w:val="000000"/>
                <w:sz w:val="16"/>
                <w:szCs w:val="16"/>
                <w:u w:val="none"/>
              </w:rPr>
            </w:pPr>
          </w:p>
        </w:tc>
      </w:tr>
      <w:tr w14:paraId="7E3D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8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4A0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F3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0854">
            <w:pPr>
              <w:rPr>
                <w:rFonts w:hint="eastAsia" w:ascii="宋体" w:hAnsi="宋体" w:eastAsia="宋体" w:cs="宋体"/>
                <w:i w:val="0"/>
                <w:iCs w:val="0"/>
                <w:color w:val="000000"/>
                <w:sz w:val="18"/>
                <w:szCs w:val="18"/>
                <w:u w:val="none"/>
              </w:rPr>
            </w:pPr>
          </w:p>
        </w:tc>
      </w:tr>
      <w:tr w14:paraId="5006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1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600F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保障了驻村工作队员乡镇补贴和临岗补贴</w:t>
            </w:r>
          </w:p>
        </w:tc>
      </w:tr>
      <w:tr w14:paraId="1783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0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CF2F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77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0EED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43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92D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项目负责人：杨雪剑</w:t>
            </w:r>
          </w:p>
        </w:tc>
        <w:tc>
          <w:tcPr>
            <w:tcW w:w="4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918B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79FA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7" w:type="dxa"/>
            <w:tcBorders>
              <w:top w:val="nil"/>
              <w:left w:val="nil"/>
              <w:bottom w:val="nil"/>
              <w:right w:val="nil"/>
            </w:tcBorders>
            <w:shd w:val="clear" w:color="auto" w:fill="auto"/>
            <w:vAlign w:val="center"/>
          </w:tcPr>
          <w:p w14:paraId="047DD973">
            <w:pPr>
              <w:rPr>
                <w:rFonts w:hint="eastAsia" w:ascii="宋体" w:hAnsi="宋体" w:eastAsia="宋体" w:cs="宋体"/>
                <w:i w:val="0"/>
                <w:iCs w:val="0"/>
                <w:color w:val="000000"/>
                <w:sz w:val="18"/>
                <w:szCs w:val="18"/>
                <w:u w:val="none"/>
              </w:rPr>
            </w:pPr>
          </w:p>
        </w:tc>
        <w:tc>
          <w:tcPr>
            <w:tcW w:w="727" w:type="dxa"/>
            <w:tcBorders>
              <w:top w:val="nil"/>
              <w:left w:val="nil"/>
              <w:bottom w:val="nil"/>
              <w:right w:val="nil"/>
            </w:tcBorders>
            <w:shd w:val="clear" w:color="auto" w:fill="auto"/>
            <w:vAlign w:val="center"/>
          </w:tcPr>
          <w:p w14:paraId="5F4CD979">
            <w:pPr>
              <w:rPr>
                <w:rFonts w:hint="eastAsia" w:ascii="宋体" w:hAnsi="宋体" w:eastAsia="宋体" w:cs="宋体"/>
                <w:i w:val="0"/>
                <w:iCs w:val="0"/>
                <w:color w:val="000000"/>
                <w:sz w:val="18"/>
                <w:szCs w:val="18"/>
                <w:u w:val="none"/>
              </w:rPr>
            </w:pPr>
          </w:p>
        </w:tc>
        <w:tc>
          <w:tcPr>
            <w:tcW w:w="728" w:type="dxa"/>
            <w:tcBorders>
              <w:top w:val="nil"/>
              <w:left w:val="nil"/>
              <w:bottom w:val="nil"/>
              <w:right w:val="nil"/>
            </w:tcBorders>
            <w:shd w:val="clear" w:color="auto" w:fill="auto"/>
            <w:vAlign w:val="center"/>
          </w:tcPr>
          <w:p w14:paraId="78A90F4F">
            <w:pPr>
              <w:rPr>
                <w:rFonts w:hint="eastAsia" w:ascii="宋体" w:hAnsi="宋体" w:eastAsia="宋体" w:cs="宋体"/>
                <w:i w:val="0"/>
                <w:iCs w:val="0"/>
                <w:color w:val="000000"/>
                <w:sz w:val="18"/>
                <w:szCs w:val="18"/>
                <w:u w:val="none"/>
              </w:rPr>
            </w:pPr>
          </w:p>
        </w:tc>
        <w:tc>
          <w:tcPr>
            <w:tcW w:w="728" w:type="dxa"/>
            <w:tcBorders>
              <w:top w:val="nil"/>
              <w:left w:val="nil"/>
              <w:bottom w:val="nil"/>
              <w:right w:val="nil"/>
            </w:tcBorders>
            <w:shd w:val="clear" w:color="auto" w:fill="auto"/>
            <w:vAlign w:val="center"/>
          </w:tcPr>
          <w:p w14:paraId="64054923">
            <w:pPr>
              <w:rPr>
                <w:rFonts w:hint="eastAsia" w:ascii="宋体" w:hAnsi="宋体" w:eastAsia="宋体" w:cs="宋体"/>
                <w:i w:val="0"/>
                <w:iCs w:val="0"/>
                <w:color w:val="000000"/>
                <w:sz w:val="18"/>
                <w:szCs w:val="18"/>
                <w:u w:val="none"/>
              </w:rPr>
            </w:pPr>
          </w:p>
        </w:tc>
        <w:tc>
          <w:tcPr>
            <w:tcW w:w="725" w:type="dxa"/>
            <w:tcBorders>
              <w:top w:val="nil"/>
              <w:left w:val="nil"/>
              <w:bottom w:val="nil"/>
              <w:right w:val="nil"/>
            </w:tcBorders>
            <w:shd w:val="clear" w:color="auto" w:fill="auto"/>
            <w:vAlign w:val="center"/>
          </w:tcPr>
          <w:p w14:paraId="6B1644FD">
            <w:pPr>
              <w:rPr>
                <w:rFonts w:hint="eastAsia" w:ascii="宋体" w:hAnsi="宋体" w:eastAsia="宋体" w:cs="宋体"/>
                <w:i w:val="0"/>
                <w:iCs w:val="0"/>
                <w:color w:val="000000"/>
                <w:sz w:val="18"/>
                <w:szCs w:val="18"/>
                <w:u w:val="none"/>
              </w:rPr>
            </w:pPr>
          </w:p>
        </w:tc>
        <w:tc>
          <w:tcPr>
            <w:tcW w:w="727" w:type="dxa"/>
            <w:tcBorders>
              <w:top w:val="nil"/>
              <w:left w:val="nil"/>
              <w:bottom w:val="nil"/>
              <w:right w:val="nil"/>
            </w:tcBorders>
            <w:shd w:val="clear" w:color="auto" w:fill="auto"/>
            <w:vAlign w:val="center"/>
          </w:tcPr>
          <w:p w14:paraId="51D1DA1C">
            <w:pPr>
              <w:rPr>
                <w:rFonts w:hint="eastAsia" w:ascii="宋体" w:hAnsi="宋体" w:eastAsia="宋体" w:cs="宋体"/>
                <w:i w:val="0"/>
                <w:iCs w:val="0"/>
                <w:color w:val="000000"/>
                <w:sz w:val="18"/>
                <w:szCs w:val="18"/>
                <w:u w:val="none"/>
              </w:rPr>
            </w:pPr>
          </w:p>
        </w:tc>
        <w:tc>
          <w:tcPr>
            <w:tcW w:w="726" w:type="dxa"/>
            <w:tcBorders>
              <w:top w:val="nil"/>
              <w:left w:val="nil"/>
              <w:bottom w:val="nil"/>
              <w:right w:val="nil"/>
            </w:tcBorders>
            <w:shd w:val="clear" w:color="auto" w:fill="auto"/>
            <w:vAlign w:val="center"/>
          </w:tcPr>
          <w:p w14:paraId="729DF884">
            <w:pPr>
              <w:rPr>
                <w:rFonts w:hint="eastAsia" w:ascii="宋体" w:hAnsi="宋体" w:eastAsia="宋体" w:cs="宋体"/>
                <w:i w:val="0"/>
                <w:iCs w:val="0"/>
                <w:color w:val="000000"/>
                <w:sz w:val="18"/>
                <w:szCs w:val="18"/>
                <w:u w:val="none"/>
              </w:rPr>
            </w:pPr>
          </w:p>
        </w:tc>
        <w:tc>
          <w:tcPr>
            <w:tcW w:w="781" w:type="dxa"/>
            <w:tcBorders>
              <w:top w:val="nil"/>
              <w:left w:val="nil"/>
              <w:bottom w:val="nil"/>
              <w:right w:val="nil"/>
            </w:tcBorders>
            <w:shd w:val="clear" w:color="auto" w:fill="auto"/>
            <w:vAlign w:val="center"/>
          </w:tcPr>
          <w:p w14:paraId="1EA39932">
            <w:pPr>
              <w:rPr>
                <w:rFonts w:hint="eastAsia" w:ascii="宋体" w:hAnsi="宋体" w:eastAsia="宋体" w:cs="宋体"/>
                <w:i w:val="0"/>
                <w:iCs w:val="0"/>
                <w:color w:val="000000"/>
                <w:sz w:val="18"/>
                <w:szCs w:val="18"/>
                <w:u w:val="none"/>
              </w:rPr>
            </w:pPr>
          </w:p>
        </w:tc>
        <w:tc>
          <w:tcPr>
            <w:tcW w:w="728" w:type="dxa"/>
            <w:tcBorders>
              <w:top w:val="nil"/>
              <w:left w:val="nil"/>
              <w:bottom w:val="nil"/>
              <w:right w:val="nil"/>
            </w:tcBorders>
            <w:shd w:val="clear" w:color="auto" w:fill="auto"/>
            <w:vAlign w:val="center"/>
          </w:tcPr>
          <w:p w14:paraId="2142BC66">
            <w:pPr>
              <w:rPr>
                <w:rFonts w:hint="eastAsia" w:ascii="宋体" w:hAnsi="宋体" w:eastAsia="宋体" w:cs="宋体"/>
                <w:i w:val="0"/>
                <w:iCs w:val="0"/>
                <w:color w:val="000000"/>
                <w:sz w:val="18"/>
                <w:szCs w:val="18"/>
                <w:u w:val="none"/>
              </w:rPr>
            </w:pPr>
          </w:p>
        </w:tc>
        <w:tc>
          <w:tcPr>
            <w:tcW w:w="728" w:type="dxa"/>
            <w:tcBorders>
              <w:top w:val="nil"/>
              <w:left w:val="nil"/>
              <w:bottom w:val="nil"/>
              <w:right w:val="nil"/>
            </w:tcBorders>
            <w:shd w:val="clear" w:color="auto" w:fill="auto"/>
            <w:vAlign w:val="center"/>
          </w:tcPr>
          <w:p w14:paraId="1FC60F25">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2F5C9A5C">
            <w:pPr>
              <w:rPr>
                <w:rFonts w:hint="eastAsia" w:ascii="宋体" w:hAnsi="宋体" w:eastAsia="宋体" w:cs="宋体"/>
                <w:i w:val="0"/>
                <w:iCs w:val="0"/>
                <w:color w:val="000000"/>
                <w:sz w:val="18"/>
                <w:szCs w:val="18"/>
                <w:u w:val="none"/>
              </w:rPr>
            </w:pPr>
          </w:p>
        </w:tc>
      </w:tr>
    </w:tbl>
    <w:p w14:paraId="2BA2D9FE">
      <w:r>
        <w:rPr>
          <w:rFonts w:ascii="Times New Roman" w:hAnsi="Times New Roman" w:eastAsia="黑体" w:cs="Times New Roman"/>
          <w:sz w:val="24"/>
        </w:rPr>
        <w:br w:type="page"/>
      </w:r>
      <w:r>
        <w:rPr>
          <w:rFonts w:hint="eastAsia" w:ascii="黑体" w:hAnsi="黑体" w:eastAsia="黑体" w:cs="黑体"/>
          <w:color w:val="000000"/>
          <w:sz w:val="32"/>
          <w:szCs w:val="32"/>
          <w:lang w:val="en-US" w:eastAsia="zh-CN"/>
        </w:rPr>
        <w:t>附件2</w:t>
      </w:r>
    </w:p>
    <w:p w14:paraId="6703E8E9">
      <w:pPr>
        <w:pStyle w:val="18"/>
        <w:spacing w:after="0" w:line="20" w:lineRule="exact"/>
        <w:ind w:leftChars="0" w:firstLine="480"/>
        <w:rPr>
          <w:rFonts w:ascii="Times New Roman" w:eastAsia="黑体"/>
          <w:sz w:val="24"/>
        </w:rPr>
      </w:pPr>
    </w:p>
    <w:p w14:paraId="0A1C167D">
      <w:pPr>
        <w:pStyle w:val="20"/>
      </w:pPr>
    </w:p>
    <w:tbl>
      <w:tblPr>
        <w:tblStyle w:val="24"/>
        <w:tblW w:w="8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00"/>
        <w:gridCol w:w="970"/>
        <w:gridCol w:w="1332"/>
        <w:gridCol w:w="396"/>
        <w:gridCol w:w="551"/>
        <w:gridCol w:w="396"/>
        <w:gridCol w:w="846"/>
        <w:gridCol w:w="486"/>
        <w:gridCol w:w="396"/>
        <w:gridCol w:w="1371"/>
      </w:tblGrid>
      <w:tr w14:paraId="2C00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4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576B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00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836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7737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51322324T000011259767-供销为农服务综合平台试点县建设</w:t>
            </w:r>
          </w:p>
        </w:tc>
      </w:tr>
      <w:tr w14:paraId="2955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43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0E5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738" w:type="dxa"/>
            <w:tcBorders>
              <w:top w:val="nil"/>
              <w:left w:val="nil"/>
              <w:bottom w:val="nil"/>
              <w:right w:val="nil"/>
            </w:tcBorders>
            <w:shd w:val="clear" w:color="auto" w:fill="auto"/>
            <w:vAlign w:val="center"/>
          </w:tcPr>
          <w:p w14:paraId="762A5DD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E2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561C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9B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5C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AB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14A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01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E224">
            <w:pP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4DBC">
            <w:pPr>
              <w:rPr>
                <w:rFonts w:hint="eastAsia" w:ascii="宋体" w:hAnsi="宋体" w:eastAsia="宋体" w:cs="宋体"/>
                <w:i w:val="0"/>
                <w:iCs w:val="0"/>
                <w:color w:val="000000"/>
                <w:sz w:val="18"/>
                <w:szCs w:val="18"/>
                <w:u w:val="none"/>
              </w:rPr>
            </w:pP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12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通过改造提升为农服务中心和城市社区及镇村服务网点，提升为农服务能力。</w:t>
            </w:r>
          </w:p>
        </w:tc>
        <w:tc>
          <w:tcPr>
            <w:tcW w:w="3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3EF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项目已进行到收尾阶段，即将进行验收</w:t>
            </w:r>
          </w:p>
        </w:tc>
      </w:tr>
      <w:tr w14:paraId="709E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C4D8">
            <w:pP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4E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BA9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主要围绕新建、改造茂县城市社区经营服务网点，改造提升区域为农服务中心，改造提升冻库，改造提升县域供销农产品仓储加工中心四方面规划建设。由茂县凤仪镇供销合作社、四川茂供友农优品商贸有限公司和茂县供销合作社联合社农业生产资料公司三个企业具体实施。</w:t>
            </w:r>
          </w:p>
        </w:tc>
      </w:tr>
      <w:tr w14:paraId="5C10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40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6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83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B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7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9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5E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1891">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6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6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3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283.00</w:t>
            </w:r>
          </w:p>
        </w:tc>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5D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E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9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A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6795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039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D91B">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C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283.00</w:t>
            </w:r>
          </w:p>
        </w:tc>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43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0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1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5DE0">
            <w:pPr>
              <w:rPr>
                <w:rFonts w:hint="eastAsia" w:ascii="黑体" w:hAnsi="黑体" w:eastAsia="黑体" w:cs="黑体"/>
                <w:i/>
                <w:iCs/>
                <w:color w:val="000000"/>
                <w:sz w:val="18"/>
                <w:szCs w:val="18"/>
                <w:u w:val="none"/>
              </w:rPr>
            </w:pPr>
          </w:p>
        </w:tc>
      </w:tr>
      <w:tr w14:paraId="35FB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A662">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9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E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5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3D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B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1BC9">
            <w:pPr>
              <w:rPr>
                <w:rFonts w:hint="eastAsia" w:ascii="黑体" w:hAnsi="黑体" w:eastAsia="黑体" w:cs="黑体"/>
                <w:i/>
                <w:iCs/>
                <w:color w:val="000000"/>
                <w:sz w:val="18"/>
                <w:szCs w:val="18"/>
                <w:u w:val="none"/>
              </w:rPr>
            </w:pPr>
          </w:p>
        </w:tc>
      </w:tr>
      <w:tr w14:paraId="4FBD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48DC">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D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9F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A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E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E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7AC5">
            <w:pPr>
              <w:rPr>
                <w:rFonts w:hint="eastAsia" w:ascii="黑体" w:hAnsi="黑体" w:eastAsia="黑体" w:cs="黑体"/>
                <w:i/>
                <w:iCs/>
                <w:color w:val="000000"/>
                <w:sz w:val="18"/>
                <w:szCs w:val="18"/>
                <w:u w:val="none"/>
              </w:rPr>
            </w:pPr>
          </w:p>
        </w:tc>
      </w:tr>
      <w:tr w14:paraId="10A8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1611">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C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A0A5">
            <w:pPr>
              <w:jc w:val="center"/>
              <w:rPr>
                <w:rFonts w:hint="eastAsia" w:ascii="微软雅黑" w:hAnsi="微软雅黑" w:eastAsia="微软雅黑" w:cs="微软雅黑"/>
                <w:i/>
                <w:iCs/>
                <w:color w:val="000000"/>
                <w:sz w:val="16"/>
                <w:szCs w:val="16"/>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E2AD">
            <w:pPr>
              <w:jc w:val="center"/>
              <w:rPr>
                <w:rFonts w:hint="eastAsia" w:ascii="微软雅黑" w:hAnsi="微软雅黑" w:eastAsia="微软雅黑" w:cs="微软雅黑"/>
                <w:i/>
                <w:iCs/>
                <w:color w:val="000000"/>
                <w:sz w:val="16"/>
                <w:szCs w:val="16"/>
                <w:u w:val="none"/>
              </w:rPr>
            </w:pPr>
          </w:p>
        </w:tc>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2FEB8">
            <w:pPr>
              <w:jc w:val="center"/>
              <w:rPr>
                <w:rFonts w:hint="eastAsia" w:ascii="微软雅黑" w:hAnsi="微软雅黑" w:eastAsia="微软雅黑" w:cs="微软雅黑"/>
                <w:i/>
                <w:iCs/>
                <w:color w:val="000000"/>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1DD">
            <w:pPr>
              <w:jc w:val="center"/>
              <w:rPr>
                <w:rFonts w:hint="eastAsia" w:ascii="微软雅黑" w:hAnsi="微软雅黑" w:eastAsia="微软雅黑" w:cs="微软雅黑"/>
                <w:i/>
                <w:iCs/>
                <w:color w:val="000000"/>
                <w:sz w:val="16"/>
                <w:szCs w:val="16"/>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1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8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FA3F">
            <w:pPr>
              <w:rPr>
                <w:rFonts w:hint="eastAsia" w:ascii="黑体" w:hAnsi="黑体" w:eastAsia="黑体" w:cs="黑体"/>
                <w:i/>
                <w:iCs/>
                <w:color w:val="000000"/>
                <w:sz w:val="18"/>
                <w:szCs w:val="18"/>
                <w:u w:val="none"/>
              </w:rPr>
            </w:pPr>
          </w:p>
        </w:tc>
      </w:tr>
      <w:tr w14:paraId="0F58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B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5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1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9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3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5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0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0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EA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A9B0">
            <w:pPr>
              <w:jc w:val="center"/>
              <w:rPr>
                <w:rFonts w:hint="eastAsia" w:ascii="宋体" w:hAnsi="宋体" w:eastAsia="宋体" w:cs="宋体"/>
                <w:i w:val="0"/>
                <w:iCs w:val="0"/>
                <w:color w:val="000000"/>
                <w:sz w:val="18"/>
                <w:szCs w:val="18"/>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05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7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E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改造提升城市社区经营服务网点</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D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A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D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E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A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C767">
            <w:pPr>
              <w:jc w:val="center"/>
              <w:rPr>
                <w:rFonts w:hint="eastAsia" w:ascii="微软雅黑" w:hAnsi="微软雅黑" w:eastAsia="微软雅黑" w:cs="微软雅黑"/>
                <w:i/>
                <w:iCs/>
                <w:color w:val="000000"/>
                <w:sz w:val="16"/>
                <w:szCs w:val="16"/>
                <w:u w:val="none"/>
              </w:rPr>
            </w:pPr>
          </w:p>
        </w:tc>
      </w:tr>
      <w:tr w14:paraId="551E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842D8">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7B6D">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9D39">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提升改造区域为农服务中心</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C62">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5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0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C07">
            <w:pPr>
              <w:jc w:val="center"/>
              <w:rPr>
                <w:rFonts w:hint="eastAsia" w:ascii="微软雅黑" w:hAnsi="微软雅黑" w:eastAsia="微软雅黑" w:cs="微软雅黑"/>
                <w:i/>
                <w:iCs/>
                <w:color w:val="000000"/>
                <w:sz w:val="16"/>
                <w:szCs w:val="16"/>
                <w:u w:val="none"/>
              </w:rPr>
            </w:pPr>
          </w:p>
        </w:tc>
      </w:tr>
      <w:tr w14:paraId="17DA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22BB">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4408">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7B7A">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改造提升冻库</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C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4B8">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5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4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297E">
            <w:pPr>
              <w:jc w:val="center"/>
              <w:rPr>
                <w:rFonts w:hint="eastAsia" w:ascii="微软雅黑" w:hAnsi="微软雅黑" w:eastAsia="微软雅黑" w:cs="微软雅黑"/>
                <w:i/>
                <w:iCs/>
                <w:color w:val="000000"/>
                <w:sz w:val="16"/>
                <w:szCs w:val="16"/>
                <w:u w:val="none"/>
              </w:rPr>
            </w:pPr>
          </w:p>
        </w:tc>
      </w:tr>
      <w:tr w14:paraId="1A16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0EBB">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90E0">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F840">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B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改造农产品仓储加工中心</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1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5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5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4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B650">
            <w:pPr>
              <w:jc w:val="center"/>
              <w:rPr>
                <w:rFonts w:hint="eastAsia" w:ascii="微软雅黑" w:hAnsi="微软雅黑" w:eastAsia="微软雅黑" w:cs="微软雅黑"/>
                <w:i/>
                <w:iCs/>
                <w:color w:val="000000"/>
                <w:sz w:val="16"/>
                <w:szCs w:val="16"/>
                <w:u w:val="none"/>
              </w:rPr>
            </w:pPr>
          </w:p>
        </w:tc>
      </w:tr>
      <w:tr w14:paraId="0FD5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9540">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FF1A">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D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县级供销社综合服务功能和为农服务能力</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有较大提升</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488A">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有较大提升</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D9A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项目拟定于2025年4月进行验收，现还未进行投入使用</w:t>
            </w:r>
          </w:p>
        </w:tc>
      </w:tr>
      <w:tr w14:paraId="0B9D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0F5A">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09BE">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0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项目按期完成率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B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C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5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5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48"/>
                <w:lang w:val="en-US" w:eastAsia="zh-CN" w:bidi="ar"/>
              </w:rPr>
              <w:t>≥</w:t>
            </w:r>
            <w:r>
              <w:rPr>
                <w:rStyle w:val="49"/>
                <w:rFonts w:eastAsia="宋体"/>
                <w:lang w:val="en-US" w:eastAsia="zh-CN" w:bidi="ar"/>
              </w:rPr>
              <w:t>90%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4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2445">
            <w:pPr>
              <w:jc w:val="center"/>
              <w:rPr>
                <w:rFonts w:hint="eastAsia" w:ascii="微软雅黑" w:hAnsi="微软雅黑" w:eastAsia="微软雅黑" w:cs="微软雅黑"/>
                <w:i/>
                <w:iCs/>
                <w:color w:val="000000"/>
                <w:sz w:val="16"/>
                <w:szCs w:val="16"/>
                <w:u w:val="none"/>
              </w:rPr>
            </w:pPr>
          </w:p>
        </w:tc>
      </w:tr>
      <w:tr w14:paraId="7A8B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E00B">
            <w:pPr>
              <w:jc w:val="center"/>
              <w:rPr>
                <w:rFonts w:hint="eastAsia" w:ascii="宋体" w:hAnsi="宋体" w:eastAsia="宋体" w:cs="宋体"/>
                <w:i w:val="0"/>
                <w:iCs w:val="0"/>
                <w:color w:val="000000"/>
                <w:sz w:val="18"/>
                <w:szCs w:val="18"/>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0A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49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48"/>
                <w:lang w:val="en-US" w:eastAsia="zh-CN" w:bidi="ar"/>
              </w:rPr>
              <w:t>销售总额同比增长率（</w:t>
            </w:r>
            <w:r>
              <w:rPr>
                <w:rStyle w:val="50"/>
                <w:rFonts w:eastAsia="宋体"/>
                <w:lang w:val="en-US" w:eastAsia="zh-CN" w:bidi="ar"/>
              </w:rPr>
              <w:t>%</w:t>
            </w:r>
            <w:r>
              <w:rPr>
                <w:rStyle w:val="51"/>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E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1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C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48"/>
                <w:lang w:val="en-US" w:eastAsia="zh-CN" w:bidi="ar"/>
              </w:rPr>
              <w:t>≥</w:t>
            </w:r>
            <w:r>
              <w:rPr>
                <w:rStyle w:val="49"/>
                <w:rFonts w:eastAsia="宋体"/>
                <w:lang w:val="en-US" w:eastAsia="zh-CN" w:bidi="ar"/>
              </w:rPr>
              <w:t>15%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AF76">
            <w:pPr>
              <w:jc w:val="center"/>
              <w:rPr>
                <w:rFonts w:hint="eastAsia" w:ascii="微软雅黑" w:hAnsi="微软雅黑" w:eastAsia="微软雅黑" w:cs="微软雅黑"/>
                <w:i/>
                <w:iCs/>
                <w:color w:val="000000"/>
                <w:sz w:val="16"/>
                <w:szCs w:val="16"/>
                <w:u w:val="none"/>
              </w:rPr>
            </w:pPr>
          </w:p>
        </w:tc>
      </w:tr>
      <w:tr w14:paraId="6FFE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4D63">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16E2">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A7E3">
            <w:pPr>
              <w:jc w:val="center"/>
              <w:rPr>
                <w:rFonts w:hint="eastAsia" w:ascii="宋体" w:hAnsi="宋体" w:eastAsia="宋体" w:cs="宋体"/>
                <w:i w:val="0"/>
                <w:iCs w:val="0"/>
                <w:color w:val="000000"/>
                <w:sz w:val="18"/>
                <w:szCs w:val="18"/>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48"/>
                <w:lang w:val="en-US" w:eastAsia="zh-CN" w:bidi="ar"/>
              </w:rPr>
              <w:t>带动当地就业情况</w:t>
            </w:r>
            <w:r>
              <w:rPr>
                <w:rStyle w:val="49"/>
                <w:rFonts w:eastAsia="宋体"/>
                <w:lang w:val="en-US" w:eastAsia="zh-CN" w:bidi="ar"/>
              </w:rPr>
              <w:t>(</w:t>
            </w:r>
            <w:r>
              <w:rPr>
                <w:rStyle w:val="52"/>
                <w:lang w:val="en-US" w:eastAsia="zh-CN" w:bidi="ar"/>
              </w:rPr>
              <w:t>人数</w:t>
            </w:r>
            <w:r>
              <w:rPr>
                <w:rStyle w:val="49"/>
                <w:rFonts w:eastAsia="宋体"/>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B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8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48"/>
                <w:lang w:val="en-US" w:eastAsia="zh-CN" w:bidi="ar"/>
              </w:rPr>
              <w:t>≥</w:t>
            </w:r>
            <w:r>
              <w:rPr>
                <w:rStyle w:val="49"/>
                <w:rFonts w:eastAsia="宋体"/>
                <w:lang w:val="en-US" w:eastAsia="zh-CN" w:bidi="ar"/>
              </w:rPr>
              <w:t>30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8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81C">
            <w:pPr>
              <w:jc w:val="center"/>
              <w:rPr>
                <w:rFonts w:hint="eastAsia" w:ascii="微软雅黑" w:hAnsi="微软雅黑" w:eastAsia="微软雅黑" w:cs="微软雅黑"/>
                <w:i/>
                <w:iCs/>
                <w:color w:val="000000"/>
                <w:sz w:val="16"/>
                <w:szCs w:val="16"/>
                <w:u w:val="none"/>
              </w:rPr>
            </w:pPr>
          </w:p>
        </w:tc>
      </w:tr>
      <w:tr w14:paraId="1A35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CD5D">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D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5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22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满意度测评情况</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8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48"/>
                <w:lang w:val="en-US" w:eastAsia="zh-CN" w:bidi="ar"/>
              </w:rPr>
              <w:t>≥</w:t>
            </w:r>
            <w:r>
              <w:rPr>
                <w:rStyle w:val="49"/>
                <w:rFonts w:eastAsia="宋体"/>
                <w:lang w:val="en-US" w:eastAsia="zh-CN" w:bidi="ar"/>
              </w:rPr>
              <w:t>90%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1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3FB">
            <w:pPr>
              <w:jc w:val="center"/>
              <w:rPr>
                <w:rFonts w:hint="eastAsia" w:ascii="微软雅黑" w:hAnsi="微软雅黑" w:eastAsia="微软雅黑" w:cs="微软雅黑"/>
                <w:i/>
                <w:iCs/>
                <w:color w:val="000000"/>
                <w:sz w:val="16"/>
                <w:szCs w:val="16"/>
                <w:u w:val="none"/>
              </w:rPr>
            </w:pPr>
          </w:p>
        </w:tc>
      </w:tr>
      <w:tr w14:paraId="415C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E27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4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E8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8697">
            <w:pPr>
              <w:rPr>
                <w:rFonts w:hint="eastAsia" w:ascii="宋体" w:hAnsi="宋体" w:eastAsia="宋体" w:cs="宋体"/>
                <w:i w:val="0"/>
                <w:iCs w:val="0"/>
                <w:color w:val="000000"/>
                <w:sz w:val="18"/>
                <w:szCs w:val="18"/>
                <w:u w:val="none"/>
              </w:rPr>
            </w:pPr>
          </w:p>
        </w:tc>
      </w:tr>
      <w:tr w14:paraId="1E8A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6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F09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茂县供销为农服务综合平台试点县建设项目资金投向与规划一致，完成目标任务，完成绩效目标，资金使用合规。项目完成了投资任务、建设内容，自评小组自评综合得分85分。</w:t>
            </w:r>
          </w:p>
        </w:tc>
      </w:tr>
      <w:tr w14:paraId="5035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D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BFE5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一是由于春节假期及冬季天气变冷（连续五天持续零度以下）不符合施工条件，依据我县停工令要求，项目根据实际情况进行延期竣工。</w:t>
            </w:r>
          </w:p>
        </w:tc>
      </w:tr>
      <w:tr w14:paraId="0387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BC55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为加快项目建设进度，责令施工单位根据建设内容并结合气候条件及停工令等实际状况，科学倒排工期，确保项目建设进度。</w:t>
            </w:r>
          </w:p>
        </w:tc>
      </w:tr>
      <w:tr w14:paraId="209D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655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项目负责人：杨雪剑</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513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177E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3" w:type="dxa"/>
            <w:tcBorders>
              <w:top w:val="nil"/>
              <w:left w:val="nil"/>
              <w:bottom w:val="nil"/>
              <w:right w:val="nil"/>
            </w:tcBorders>
            <w:shd w:val="clear" w:color="auto" w:fill="auto"/>
            <w:vAlign w:val="center"/>
          </w:tcPr>
          <w:p w14:paraId="5356ADCF">
            <w:pPr>
              <w:rPr>
                <w:rFonts w:hint="eastAsia" w:ascii="宋体" w:hAnsi="宋体" w:eastAsia="宋体" w:cs="宋体"/>
                <w:i w:val="0"/>
                <w:iCs w:val="0"/>
                <w:color w:val="000000"/>
                <w:sz w:val="18"/>
                <w:szCs w:val="18"/>
                <w:u w:val="none"/>
              </w:rPr>
            </w:pPr>
          </w:p>
        </w:tc>
        <w:tc>
          <w:tcPr>
            <w:tcW w:w="1188" w:type="dxa"/>
            <w:tcBorders>
              <w:top w:val="nil"/>
              <w:left w:val="nil"/>
              <w:bottom w:val="nil"/>
              <w:right w:val="nil"/>
            </w:tcBorders>
            <w:shd w:val="clear" w:color="auto" w:fill="auto"/>
            <w:vAlign w:val="center"/>
          </w:tcPr>
          <w:p w14:paraId="6EDD3194">
            <w:pPr>
              <w:rPr>
                <w:rFonts w:hint="eastAsia" w:ascii="宋体" w:hAnsi="宋体" w:eastAsia="宋体" w:cs="宋体"/>
                <w:i w:val="0"/>
                <w:iCs w:val="0"/>
                <w:color w:val="000000"/>
                <w:sz w:val="18"/>
                <w:szCs w:val="18"/>
                <w:u w:val="none"/>
              </w:rPr>
            </w:pPr>
          </w:p>
        </w:tc>
        <w:tc>
          <w:tcPr>
            <w:tcW w:w="1036" w:type="dxa"/>
            <w:tcBorders>
              <w:top w:val="nil"/>
              <w:left w:val="nil"/>
              <w:bottom w:val="nil"/>
              <w:right w:val="nil"/>
            </w:tcBorders>
            <w:shd w:val="clear" w:color="auto" w:fill="auto"/>
            <w:vAlign w:val="center"/>
          </w:tcPr>
          <w:p w14:paraId="50E0DF5E">
            <w:pPr>
              <w:rPr>
                <w:rFonts w:hint="eastAsia" w:ascii="宋体" w:hAnsi="宋体" w:eastAsia="宋体" w:cs="宋体"/>
                <w:i w:val="0"/>
                <w:iCs w:val="0"/>
                <w:color w:val="000000"/>
                <w:sz w:val="18"/>
                <w:szCs w:val="18"/>
                <w:u w:val="none"/>
              </w:rPr>
            </w:pPr>
          </w:p>
        </w:tc>
        <w:tc>
          <w:tcPr>
            <w:tcW w:w="1415" w:type="dxa"/>
            <w:tcBorders>
              <w:top w:val="nil"/>
              <w:left w:val="nil"/>
              <w:bottom w:val="nil"/>
              <w:right w:val="nil"/>
            </w:tcBorders>
            <w:shd w:val="clear" w:color="auto" w:fill="auto"/>
            <w:vAlign w:val="center"/>
          </w:tcPr>
          <w:p w14:paraId="30D98D11">
            <w:pPr>
              <w:rPr>
                <w:rFonts w:hint="eastAsia" w:ascii="宋体" w:hAnsi="宋体" w:eastAsia="宋体" w:cs="宋体"/>
                <w:i w:val="0"/>
                <w:iCs w:val="0"/>
                <w:color w:val="000000"/>
                <w:sz w:val="18"/>
                <w:szCs w:val="18"/>
                <w:u w:val="none"/>
              </w:rPr>
            </w:pPr>
          </w:p>
        </w:tc>
        <w:tc>
          <w:tcPr>
            <w:tcW w:w="345" w:type="dxa"/>
            <w:tcBorders>
              <w:top w:val="nil"/>
              <w:left w:val="nil"/>
              <w:bottom w:val="nil"/>
              <w:right w:val="nil"/>
            </w:tcBorders>
            <w:shd w:val="clear" w:color="auto" w:fill="auto"/>
            <w:vAlign w:val="center"/>
          </w:tcPr>
          <w:p w14:paraId="7B4658CC">
            <w:pPr>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shd w:val="clear" w:color="auto" w:fill="auto"/>
            <w:vAlign w:val="center"/>
          </w:tcPr>
          <w:p w14:paraId="1F1B5084">
            <w:pPr>
              <w:rPr>
                <w:rFonts w:hint="eastAsia" w:ascii="宋体" w:hAnsi="宋体" w:eastAsia="宋体" w:cs="宋体"/>
                <w:i w:val="0"/>
                <w:iCs w:val="0"/>
                <w:color w:val="000000"/>
                <w:sz w:val="18"/>
                <w:szCs w:val="18"/>
                <w:u w:val="none"/>
              </w:rPr>
            </w:pPr>
          </w:p>
        </w:tc>
        <w:tc>
          <w:tcPr>
            <w:tcW w:w="348" w:type="dxa"/>
            <w:tcBorders>
              <w:top w:val="nil"/>
              <w:left w:val="nil"/>
              <w:bottom w:val="nil"/>
              <w:right w:val="nil"/>
            </w:tcBorders>
            <w:shd w:val="clear" w:color="auto" w:fill="auto"/>
            <w:vAlign w:val="center"/>
          </w:tcPr>
          <w:p w14:paraId="5AE6918D">
            <w:pPr>
              <w:rPr>
                <w:rFonts w:hint="eastAsia" w:ascii="宋体" w:hAnsi="宋体" w:eastAsia="宋体" w:cs="宋体"/>
                <w:i w:val="0"/>
                <w:iCs w:val="0"/>
                <w:color w:val="000000"/>
                <w:sz w:val="18"/>
                <w:szCs w:val="18"/>
                <w:u w:val="none"/>
              </w:rPr>
            </w:pPr>
          </w:p>
        </w:tc>
        <w:tc>
          <w:tcPr>
            <w:tcW w:w="738" w:type="dxa"/>
            <w:tcBorders>
              <w:top w:val="nil"/>
              <w:left w:val="nil"/>
              <w:bottom w:val="nil"/>
              <w:right w:val="nil"/>
            </w:tcBorders>
            <w:shd w:val="clear" w:color="auto" w:fill="auto"/>
            <w:vAlign w:val="center"/>
          </w:tcPr>
          <w:p w14:paraId="781E81C2">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color="auto" w:fill="auto"/>
            <w:vAlign w:val="center"/>
          </w:tcPr>
          <w:p w14:paraId="6C862FDF">
            <w:pPr>
              <w:rPr>
                <w:rFonts w:hint="eastAsia" w:ascii="宋体" w:hAnsi="宋体" w:eastAsia="宋体" w:cs="宋体"/>
                <w:i w:val="0"/>
                <w:iCs w:val="0"/>
                <w:color w:val="000000"/>
                <w:sz w:val="18"/>
                <w:szCs w:val="18"/>
                <w:u w:val="none"/>
              </w:rPr>
            </w:pPr>
          </w:p>
        </w:tc>
        <w:tc>
          <w:tcPr>
            <w:tcW w:w="345" w:type="dxa"/>
            <w:tcBorders>
              <w:top w:val="nil"/>
              <w:left w:val="nil"/>
              <w:bottom w:val="nil"/>
              <w:right w:val="nil"/>
            </w:tcBorders>
            <w:shd w:val="clear" w:color="auto" w:fill="auto"/>
            <w:vAlign w:val="center"/>
          </w:tcPr>
          <w:p w14:paraId="4B470999">
            <w:pPr>
              <w:rPr>
                <w:rFonts w:hint="eastAsia" w:ascii="宋体" w:hAnsi="宋体" w:eastAsia="宋体" w:cs="宋体"/>
                <w:i w:val="0"/>
                <w:iCs w:val="0"/>
                <w:color w:val="000000"/>
                <w:sz w:val="18"/>
                <w:szCs w:val="18"/>
                <w:u w:val="none"/>
              </w:rPr>
            </w:pPr>
          </w:p>
        </w:tc>
        <w:tc>
          <w:tcPr>
            <w:tcW w:w="1501" w:type="dxa"/>
            <w:tcBorders>
              <w:top w:val="nil"/>
              <w:left w:val="nil"/>
              <w:bottom w:val="nil"/>
              <w:right w:val="nil"/>
            </w:tcBorders>
            <w:shd w:val="clear" w:color="auto" w:fill="auto"/>
            <w:vAlign w:val="center"/>
          </w:tcPr>
          <w:p w14:paraId="12F3C748">
            <w:pPr>
              <w:rPr>
                <w:rFonts w:hint="eastAsia" w:ascii="宋体" w:hAnsi="宋体" w:eastAsia="宋体" w:cs="宋体"/>
                <w:i w:val="0"/>
                <w:iCs w:val="0"/>
                <w:color w:val="000000"/>
                <w:sz w:val="18"/>
                <w:szCs w:val="18"/>
                <w:u w:val="none"/>
              </w:rPr>
            </w:pPr>
          </w:p>
        </w:tc>
      </w:tr>
    </w:tbl>
    <w:p w14:paraId="4A8610AA"/>
    <w:p w14:paraId="54097A9D">
      <w:pPr>
        <w:pStyle w:val="20"/>
      </w:pPr>
    </w:p>
    <w:p w14:paraId="7E390ACB"/>
    <w:p w14:paraId="07CC61D0">
      <w:pPr>
        <w:pStyle w:val="20"/>
      </w:pPr>
    </w:p>
    <w:p w14:paraId="33536288"/>
    <w:p w14:paraId="4E870C31">
      <w:pPr>
        <w:pStyle w:val="20"/>
      </w:pPr>
    </w:p>
    <w:p w14:paraId="01D6D1B6"/>
    <w:p w14:paraId="70827407">
      <w:pPr>
        <w:pStyle w:val="20"/>
      </w:pPr>
    </w:p>
    <w:p w14:paraId="3B28B3E0"/>
    <w:p w14:paraId="335C9DAF">
      <w:pPr>
        <w:pStyle w:val="20"/>
      </w:pPr>
    </w:p>
    <w:p w14:paraId="74854331"/>
    <w:p w14:paraId="49518E93">
      <w:pPr>
        <w:pStyle w:val="20"/>
        <w:ind w:left="0" w:leftChars="0" w:firstLine="0" w:firstLineChars="0"/>
      </w:pPr>
    </w:p>
    <w:p w14:paraId="2D47DCB2"/>
    <w:p w14:paraId="726F025A">
      <w:pPr>
        <w:pStyle w:val="2"/>
      </w:pPr>
    </w:p>
    <w:p w14:paraId="222D634B">
      <w:pPr>
        <w:spacing w:line="600" w:lineRule="exact"/>
        <w:jc w:val="left"/>
        <w:outlineLvl w:val="0"/>
        <w:rPr>
          <w:rFonts w:hint="eastAsia" w:ascii="方正小标宋简体" w:hAnsi="方正小标宋简体" w:eastAsia="方正小标宋简体" w:cs="方正小标宋简体"/>
          <w:kern w:val="2"/>
          <w:sz w:val="44"/>
          <w:szCs w:val="44"/>
          <w:lang w:val="en-US" w:eastAsia="zh-CN"/>
        </w:rPr>
      </w:pPr>
      <w:r>
        <w:rPr>
          <w:rFonts w:hint="eastAsia" w:ascii="黑体" w:hAnsi="黑体" w:eastAsia="黑体" w:cs="黑体"/>
          <w:color w:val="000000"/>
          <w:sz w:val="32"/>
          <w:szCs w:val="32"/>
          <w:lang w:val="en-US" w:eastAsia="zh-CN"/>
        </w:rPr>
        <w:t>附件3</w:t>
      </w:r>
    </w:p>
    <w:tbl>
      <w:tblPr>
        <w:tblStyle w:val="24"/>
        <w:tblW w:w="8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16"/>
        <w:gridCol w:w="856"/>
        <w:gridCol w:w="1155"/>
        <w:gridCol w:w="396"/>
        <w:gridCol w:w="503"/>
        <w:gridCol w:w="396"/>
        <w:gridCol w:w="846"/>
        <w:gridCol w:w="486"/>
        <w:gridCol w:w="486"/>
        <w:gridCol w:w="1204"/>
      </w:tblGrid>
      <w:tr w14:paraId="2A13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1CE37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11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08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4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C1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51322325T000013108455-2024年度“发展数智茂农，共创云链供销”交融交往资金项目</w:t>
            </w:r>
          </w:p>
        </w:tc>
      </w:tr>
      <w:tr w14:paraId="7AC4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C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C50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812" w:type="dxa"/>
            <w:tcBorders>
              <w:top w:val="nil"/>
              <w:left w:val="nil"/>
              <w:bottom w:val="nil"/>
              <w:right w:val="nil"/>
            </w:tcBorders>
            <w:shd w:val="clear" w:color="auto" w:fill="auto"/>
            <w:vAlign w:val="center"/>
          </w:tcPr>
          <w:p w14:paraId="36C751C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08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5E15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75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53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8D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C30A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77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8"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8915">
            <w:pP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AA71">
            <w:pPr>
              <w:rPr>
                <w:rFonts w:hint="eastAsia" w:ascii="宋体" w:hAnsi="宋体" w:eastAsia="宋体" w:cs="宋体"/>
                <w:i w:val="0"/>
                <w:iCs w:val="0"/>
                <w:color w:val="000000"/>
                <w:sz w:val="18"/>
                <w:szCs w:val="18"/>
                <w:u w:val="none"/>
              </w:rPr>
            </w:pPr>
          </w:p>
        </w:tc>
        <w:tc>
          <w:tcPr>
            <w:tcW w:w="3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C5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1.已参加“2024平湖西瓜灯节”向平湖市群众展示展销茂县农特产品。2.已赴杭州、嘉兴进行培训学习交流。</w:t>
            </w:r>
          </w:p>
        </w:tc>
        <w:tc>
          <w:tcPr>
            <w:tcW w:w="3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6FB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茂县供销社社有企业赴浙江省平湖市参加“2024平湖西瓜灯节”。2.就农特产品精深加工、再生资源回收利用和产学研两地互动等到嘉兴科研院所和相关企业进行考察交流，就茂县农特产品销售推广与浙江企业进行对接，就平湖新仓经验茂县实践进行深入合作。</w:t>
            </w:r>
          </w:p>
        </w:tc>
      </w:tr>
      <w:tr w14:paraId="6114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52D2">
            <w:pP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7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4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DA8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经费预算12万元，预计12人，分两个子项目实施</w:t>
            </w:r>
          </w:p>
        </w:tc>
      </w:tr>
      <w:tr w14:paraId="39B0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39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1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9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04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B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8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2E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B2BF">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C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A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0F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6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4C5D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B65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9F47">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6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2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5D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3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54A9">
            <w:pPr>
              <w:rPr>
                <w:rFonts w:hint="eastAsia" w:ascii="黑体" w:hAnsi="黑体" w:eastAsia="黑体" w:cs="黑体"/>
                <w:i/>
                <w:iCs/>
                <w:color w:val="000000"/>
                <w:sz w:val="18"/>
                <w:szCs w:val="18"/>
                <w:u w:val="none"/>
              </w:rPr>
            </w:pPr>
          </w:p>
        </w:tc>
      </w:tr>
      <w:tr w14:paraId="0C6A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42DF">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2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B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12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E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E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4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FFC1">
            <w:pPr>
              <w:rPr>
                <w:rFonts w:hint="eastAsia" w:ascii="黑体" w:hAnsi="黑体" w:eastAsia="黑体" w:cs="黑体"/>
                <w:i/>
                <w:iCs/>
                <w:color w:val="000000"/>
                <w:sz w:val="18"/>
                <w:szCs w:val="18"/>
                <w:u w:val="none"/>
              </w:rPr>
            </w:pPr>
          </w:p>
        </w:tc>
      </w:tr>
      <w:tr w14:paraId="5433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0B01">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A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64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A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6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26B0">
            <w:pPr>
              <w:rPr>
                <w:rFonts w:hint="eastAsia" w:ascii="黑体" w:hAnsi="黑体" w:eastAsia="黑体" w:cs="黑体"/>
                <w:i/>
                <w:iCs/>
                <w:color w:val="000000"/>
                <w:sz w:val="18"/>
                <w:szCs w:val="18"/>
                <w:u w:val="none"/>
              </w:rPr>
            </w:pPr>
          </w:p>
        </w:tc>
      </w:tr>
      <w:tr w14:paraId="71F4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8"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DEE8">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8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D68D">
            <w:pPr>
              <w:jc w:val="center"/>
              <w:rPr>
                <w:rFonts w:hint="eastAsia" w:ascii="微软雅黑" w:hAnsi="微软雅黑" w:eastAsia="微软雅黑" w:cs="微软雅黑"/>
                <w:i/>
                <w:iCs/>
                <w:color w:val="000000"/>
                <w:sz w:val="16"/>
                <w:szCs w:val="16"/>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AD5F">
            <w:pPr>
              <w:jc w:val="center"/>
              <w:rPr>
                <w:rFonts w:hint="eastAsia" w:ascii="微软雅黑" w:hAnsi="微软雅黑" w:eastAsia="微软雅黑" w:cs="微软雅黑"/>
                <w:i/>
                <w:iCs/>
                <w:color w:val="000000"/>
                <w:sz w:val="16"/>
                <w:szCs w:val="16"/>
                <w:u w:val="none"/>
              </w:rPr>
            </w:pP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71ED5">
            <w:pPr>
              <w:jc w:val="center"/>
              <w:rPr>
                <w:rFonts w:hint="eastAsia" w:ascii="微软雅黑" w:hAnsi="微软雅黑" w:eastAsia="微软雅黑" w:cs="微软雅黑"/>
                <w:i/>
                <w:iCs/>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AA9F">
            <w:pPr>
              <w:jc w:val="center"/>
              <w:rPr>
                <w:rFonts w:hint="eastAsia" w:ascii="微软雅黑" w:hAnsi="微软雅黑" w:eastAsia="微软雅黑" w:cs="微软雅黑"/>
                <w:i/>
                <w:iCs/>
                <w:color w:val="000000"/>
                <w:sz w:val="16"/>
                <w:szCs w:val="16"/>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D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5618">
            <w:pPr>
              <w:rPr>
                <w:rFonts w:hint="eastAsia" w:ascii="黑体" w:hAnsi="黑体" w:eastAsia="黑体" w:cs="黑体"/>
                <w:i/>
                <w:iCs/>
                <w:color w:val="000000"/>
                <w:sz w:val="18"/>
                <w:szCs w:val="18"/>
                <w:u w:val="none"/>
              </w:rPr>
            </w:pPr>
          </w:p>
        </w:tc>
      </w:tr>
      <w:tr w14:paraId="348F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95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0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4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E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F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BA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1F6B">
            <w:pPr>
              <w:jc w:val="center"/>
              <w:rPr>
                <w:rFonts w:hint="eastAsia" w:ascii="宋体" w:hAnsi="宋体" w:eastAsia="宋体" w:cs="宋体"/>
                <w:i w:val="0"/>
                <w:iCs w:val="0"/>
                <w:color w:val="000000"/>
                <w:sz w:val="18"/>
                <w:szCs w:val="18"/>
                <w:u w:val="none"/>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1D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C9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参加“2024平湖西瓜灯节”</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75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1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8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92A">
            <w:pPr>
              <w:jc w:val="center"/>
              <w:rPr>
                <w:rFonts w:hint="eastAsia" w:ascii="宋体" w:hAnsi="宋体" w:eastAsia="宋体" w:cs="宋体"/>
                <w:i w:val="0"/>
                <w:iCs w:val="0"/>
                <w:color w:val="000000"/>
                <w:sz w:val="18"/>
                <w:szCs w:val="18"/>
                <w:u w:val="none"/>
              </w:rPr>
            </w:pPr>
          </w:p>
        </w:tc>
      </w:tr>
      <w:tr w14:paraId="5B1C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442B">
            <w:pPr>
              <w:jc w:val="cente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1868">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978C">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6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赴杭州、嘉兴进行培训学习交流</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4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F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1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9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9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E1F2">
            <w:pPr>
              <w:jc w:val="center"/>
              <w:rPr>
                <w:rFonts w:hint="eastAsia" w:ascii="宋体" w:hAnsi="宋体" w:eastAsia="宋体" w:cs="宋体"/>
                <w:i w:val="0"/>
                <w:iCs w:val="0"/>
                <w:color w:val="000000"/>
                <w:sz w:val="18"/>
                <w:szCs w:val="18"/>
                <w:u w:val="none"/>
              </w:rPr>
            </w:pPr>
          </w:p>
        </w:tc>
      </w:tr>
      <w:tr w14:paraId="6CF4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DE62">
            <w:pPr>
              <w:jc w:val="cente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4FC8">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BF5C6">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1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赴浙江人数</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99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F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0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6802">
            <w:pPr>
              <w:jc w:val="center"/>
              <w:rPr>
                <w:rFonts w:hint="eastAsia" w:ascii="宋体" w:hAnsi="宋体" w:eastAsia="宋体" w:cs="宋体"/>
                <w:i w:val="0"/>
                <w:iCs w:val="0"/>
                <w:color w:val="000000"/>
                <w:sz w:val="18"/>
                <w:szCs w:val="18"/>
                <w:u w:val="none"/>
              </w:rPr>
            </w:pPr>
          </w:p>
        </w:tc>
      </w:tr>
      <w:tr w14:paraId="551B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DD1D">
            <w:pPr>
              <w:jc w:val="cente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07BF">
            <w:pPr>
              <w:jc w:val="center"/>
              <w:rPr>
                <w:rFonts w:hint="eastAsia" w:ascii="宋体" w:hAnsi="宋体" w:eastAsia="宋体" w:cs="宋体"/>
                <w:i w:val="0"/>
                <w:iCs w:val="0"/>
                <w:color w:val="000000"/>
                <w:sz w:val="18"/>
                <w:szCs w:val="18"/>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E8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8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培训学习交流时间</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6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A9AB">
            <w:pPr>
              <w:jc w:val="center"/>
              <w:rPr>
                <w:rFonts w:hint="eastAsia" w:ascii="宋体" w:hAnsi="宋体" w:eastAsia="宋体" w:cs="宋体"/>
                <w:i w:val="0"/>
                <w:iCs w:val="0"/>
                <w:color w:val="000000"/>
                <w:sz w:val="18"/>
                <w:szCs w:val="18"/>
                <w:u w:val="none"/>
              </w:rPr>
            </w:pPr>
          </w:p>
        </w:tc>
      </w:tr>
      <w:tr w14:paraId="0CE3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CADB">
            <w:pPr>
              <w:jc w:val="cente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D9B2">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E5A6">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F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按时完成交流交往项目</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D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8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E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D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D09F">
            <w:pPr>
              <w:jc w:val="center"/>
              <w:rPr>
                <w:rFonts w:hint="eastAsia" w:ascii="宋体" w:hAnsi="宋体" w:eastAsia="宋体" w:cs="宋体"/>
                <w:i w:val="0"/>
                <w:iCs w:val="0"/>
                <w:color w:val="000000"/>
                <w:sz w:val="18"/>
                <w:szCs w:val="18"/>
                <w:u w:val="none"/>
              </w:rPr>
            </w:pPr>
          </w:p>
        </w:tc>
      </w:tr>
      <w:tr w14:paraId="1886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81E6">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0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展示展销茂县农特产品</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C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3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4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8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≥3种</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6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90C8">
            <w:pPr>
              <w:jc w:val="center"/>
              <w:rPr>
                <w:rFonts w:hint="eastAsia" w:ascii="宋体" w:hAnsi="宋体" w:eastAsia="宋体" w:cs="宋体"/>
                <w:i w:val="0"/>
                <w:iCs w:val="0"/>
                <w:color w:val="000000"/>
                <w:sz w:val="18"/>
                <w:szCs w:val="18"/>
                <w:u w:val="none"/>
              </w:rPr>
            </w:pPr>
          </w:p>
        </w:tc>
      </w:tr>
      <w:tr w14:paraId="7F11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0BF6">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63E8F32">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象满意度指标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4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农户、受益群众的满意度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3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7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1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EAE2">
            <w:pPr>
              <w:jc w:val="center"/>
              <w:rPr>
                <w:rFonts w:hint="eastAsia" w:ascii="微软雅黑" w:hAnsi="微软雅黑" w:eastAsia="微软雅黑" w:cs="微软雅黑"/>
                <w:i/>
                <w:iCs/>
                <w:color w:val="000000"/>
                <w:sz w:val="16"/>
                <w:szCs w:val="16"/>
                <w:u w:val="none"/>
              </w:rPr>
            </w:pPr>
          </w:p>
        </w:tc>
      </w:tr>
      <w:tr w14:paraId="7DB5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0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C6D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E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750">
            <w:pPr>
              <w:rPr>
                <w:rFonts w:hint="eastAsia" w:ascii="宋体" w:hAnsi="宋体" w:eastAsia="宋体" w:cs="宋体"/>
                <w:i w:val="0"/>
                <w:iCs w:val="0"/>
                <w:color w:val="000000"/>
                <w:sz w:val="18"/>
                <w:szCs w:val="18"/>
                <w:u w:val="none"/>
              </w:rPr>
            </w:pPr>
          </w:p>
        </w:tc>
      </w:tr>
      <w:tr w14:paraId="0862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1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1842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该项目依据充分，绩效目标明确，具备实施条件，具有公共性，符合对口援建资金支持方向。</w:t>
            </w:r>
          </w:p>
        </w:tc>
      </w:tr>
      <w:tr w14:paraId="59AB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107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024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1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8EC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11B2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3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842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项目负责人：杨雪剑</w:t>
            </w:r>
          </w:p>
        </w:tc>
        <w:tc>
          <w:tcPr>
            <w:tcW w:w="39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BF0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1DEB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53" w:type="dxa"/>
            <w:tcBorders>
              <w:top w:val="nil"/>
              <w:left w:val="nil"/>
              <w:bottom w:val="nil"/>
              <w:right w:val="nil"/>
            </w:tcBorders>
            <w:shd w:val="clear" w:color="auto" w:fill="auto"/>
            <w:vAlign w:val="center"/>
          </w:tcPr>
          <w:p w14:paraId="78AA6128">
            <w:pPr>
              <w:rPr>
                <w:rFonts w:hint="eastAsia" w:ascii="宋体" w:hAnsi="宋体" w:eastAsia="宋体" w:cs="宋体"/>
                <w:i w:val="0"/>
                <w:iCs w:val="0"/>
                <w:color w:val="000000"/>
                <w:sz w:val="18"/>
                <w:szCs w:val="18"/>
                <w:u w:val="none"/>
              </w:rPr>
            </w:pPr>
          </w:p>
        </w:tc>
        <w:tc>
          <w:tcPr>
            <w:tcW w:w="1360" w:type="dxa"/>
            <w:tcBorders>
              <w:top w:val="nil"/>
              <w:left w:val="nil"/>
              <w:bottom w:val="nil"/>
              <w:right w:val="nil"/>
            </w:tcBorders>
            <w:shd w:val="clear" w:color="auto" w:fill="auto"/>
            <w:vAlign w:val="center"/>
          </w:tcPr>
          <w:p w14:paraId="4A5382A3">
            <w:pPr>
              <w:rPr>
                <w:rFonts w:hint="eastAsia" w:ascii="宋体" w:hAnsi="宋体" w:eastAsia="宋体" w:cs="宋体"/>
                <w:i w:val="0"/>
                <w:iCs w:val="0"/>
                <w:color w:val="000000"/>
                <w:sz w:val="18"/>
                <w:szCs w:val="18"/>
                <w:u w:val="none"/>
              </w:rPr>
            </w:pPr>
          </w:p>
        </w:tc>
        <w:tc>
          <w:tcPr>
            <w:tcW w:w="888" w:type="dxa"/>
            <w:tcBorders>
              <w:top w:val="nil"/>
              <w:left w:val="nil"/>
              <w:bottom w:val="nil"/>
              <w:right w:val="nil"/>
            </w:tcBorders>
            <w:shd w:val="clear" w:color="auto" w:fill="auto"/>
            <w:vAlign w:val="center"/>
          </w:tcPr>
          <w:p w14:paraId="670329C3">
            <w:pPr>
              <w:rPr>
                <w:rFonts w:hint="eastAsia" w:ascii="宋体" w:hAnsi="宋体" w:eastAsia="宋体" w:cs="宋体"/>
                <w:i w:val="0"/>
                <w:iCs w:val="0"/>
                <w:color w:val="000000"/>
                <w:sz w:val="18"/>
                <w:szCs w:val="18"/>
                <w:u w:val="none"/>
              </w:rPr>
            </w:pPr>
          </w:p>
        </w:tc>
        <w:tc>
          <w:tcPr>
            <w:tcW w:w="1201" w:type="dxa"/>
            <w:tcBorders>
              <w:top w:val="nil"/>
              <w:left w:val="nil"/>
              <w:bottom w:val="nil"/>
              <w:right w:val="nil"/>
            </w:tcBorders>
            <w:shd w:val="clear" w:color="auto" w:fill="auto"/>
            <w:vAlign w:val="center"/>
          </w:tcPr>
          <w:p w14:paraId="40BB614B">
            <w:pPr>
              <w:rPr>
                <w:rFonts w:hint="eastAsia" w:ascii="宋体" w:hAnsi="宋体" w:eastAsia="宋体" w:cs="宋体"/>
                <w:i w:val="0"/>
                <w:iCs w:val="0"/>
                <w:color w:val="000000"/>
                <w:sz w:val="18"/>
                <w:szCs w:val="18"/>
                <w:u w:val="none"/>
              </w:rPr>
            </w:pPr>
          </w:p>
        </w:tc>
        <w:tc>
          <w:tcPr>
            <w:tcW w:w="380" w:type="dxa"/>
            <w:tcBorders>
              <w:top w:val="nil"/>
              <w:left w:val="nil"/>
              <w:bottom w:val="nil"/>
              <w:right w:val="nil"/>
            </w:tcBorders>
            <w:shd w:val="clear" w:color="auto" w:fill="auto"/>
            <w:vAlign w:val="center"/>
          </w:tcPr>
          <w:p w14:paraId="25C25028">
            <w:pPr>
              <w:rPr>
                <w:rFonts w:hint="eastAsia" w:ascii="宋体" w:hAnsi="宋体" w:eastAsia="宋体" w:cs="宋体"/>
                <w:i w:val="0"/>
                <w:iCs w:val="0"/>
                <w:color w:val="000000"/>
                <w:sz w:val="18"/>
                <w:szCs w:val="18"/>
                <w:u w:val="none"/>
              </w:rPr>
            </w:pPr>
          </w:p>
        </w:tc>
        <w:tc>
          <w:tcPr>
            <w:tcW w:w="515" w:type="dxa"/>
            <w:tcBorders>
              <w:top w:val="nil"/>
              <w:left w:val="nil"/>
              <w:bottom w:val="nil"/>
              <w:right w:val="nil"/>
            </w:tcBorders>
            <w:shd w:val="clear" w:color="auto" w:fill="auto"/>
            <w:vAlign w:val="center"/>
          </w:tcPr>
          <w:p w14:paraId="2A40B741">
            <w:pPr>
              <w:rPr>
                <w:rFonts w:hint="eastAsia" w:ascii="宋体" w:hAnsi="宋体" w:eastAsia="宋体" w:cs="宋体"/>
                <w:i w:val="0"/>
                <w:iCs w:val="0"/>
                <w:color w:val="000000"/>
                <w:sz w:val="18"/>
                <w:szCs w:val="18"/>
                <w:u w:val="none"/>
              </w:rPr>
            </w:pPr>
          </w:p>
        </w:tc>
        <w:tc>
          <w:tcPr>
            <w:tcW w:w="383" w:type="dxa"/>
            <w:tcBorders>
              <w:top w:val="nil"/>
              <w:left w:val="nil"/>
              <w:bottom w:val="nil"/>
              <w:right w:val="nil"/>
            </w:tcBorders>
            <w:shd w:val="clear" w:color="auto" w:fill="auto"/>
            <w:vAlign w:val="center"/>
          </w:tcPr>
          <w:p w14:paraId="2062A3F9">
            <w:pPr>
              <w:rPr>
                <w:rFonts w:hint="eastAsia" w:ascii="宋体" w:hAnsi="宋体" w:eastAsia="宋体" w:cs="宋体"/>
                <w:i w:val="0"/>
                <w:iCs w:val="0"/>
                <w:color w:val="000000"/>
                <w:sz w:val="18"/>
                <w:szCs w:val="18"/>
                <w:u w:val="none"/>
              </w:rPr>
            </w:pPr>
          </w:p>
        </w:tc>
        <w:tc>
          <w:tcPr>
            <w:tcW w:w="812" w:type="dxa"/>
            <w:tcBorders>
              <w:top w:val="nil"/>
              <w:left w:val="nil"/>
              <w:bottom w:val="nil"/>
              <w:right w:val="nil"/>
            </w:tcBorders>
            <w:shd w:val="clear" w:color="auto" w:fill="auto"/>
            <w:vAlign w:val="center"/>
          </w:tcPr>
          <w:p w14:paraId="5B615A08">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14:paraId="634ECA5E">
            <w:pPr>
              <w:rPr>
                <w:rFonts w:hint="eastAsia" w:ascii="宋体" w:hAnsi="宋体" w:eastAsia="宋体" w:cs="宋体"/>
                <w:i w:val="0"/>
                <w:iCs w:val="0"/>
                <w:color w:val="000000"/>
                <w:sz w:val="18"/>
                <w:szCs w:val="18"/>
                <w:u w:val="none"/>
              </w:rPr>
            </w:pPr>
          </w:p>
        </w:tc>
        <w:tc>
          <w:tcPr>
            <w:tcW w:w="466" w:type="dxa"/>
            <w:tcBorders>
              <w:top w:val="nil"/>
              <w:left w:val="nil"/>
              <w:bottom w:val="nil"/>
              <w:right w:val="nil"/>
            </w:tcBorders>
            <w:shd w:val="clear" w:color="auto" w:fill="auto"/>
            <w:vAlign w:val="center"/>
          </w:tcPr>
          <w:p w14:paraId="04B637C2">
            <w:pPr>
              <w:rPr>
                <w:rFonts w:hint="eastAsia" w:ascii="宋体" w:hAnsi="宋体" w:eastAsia="宋体" w:cs="宋体"/>
                <w:i w:val="0"/>
                <w:iCs w:val="0"/>
                <w:color w:val="000000"/>
                <w:sz w:val="18"/>
                <w:szCs w:val="18"/>
                <w:u w:val="none"/>
              </w:rPr>
            </w:pPr>
          </w:p>
        </w:tc>
        <w:tc>
          <w:tcPr>
            <w:tcW w:w="1296" w:type="dxa"/>
            <w:tcBorders>
              <w:top w:val="nil"/>
              <w:left w:val="nil"/>
              <w:bottom w:val="nil"/>
              <w:right w:val="nil"/>
            </w:tcBorders>
            <w:shd w:val="clear" w:color="auto" w:fill="auto"/>
            <w:vAlign w:val="center"/>
          </w:tcPr>
          <w:p w14:paraId="50A7FE60">
            <w:pPr>
              <w:rPr>
                <w:rFonts w:hint="eastAsia" w:ascii="宋体" w:hAnsi="宋体" w:eastAsia="宋体" w:cs="宋体"/>
                <w:i w:val="0"/>
                <w:iCs w:val="0"/>
                <w:color w:val="000000"/>
                <w:sz w:val="18"/>
                <w:szCs w:val="18"/>
                <w:u w:val="none"/>
              </w:rPr>
            </w:pPr>
          </w:p>
        </w:tc>
      </w:tr>
    </w:tbl>
    <w:p w14:paraId="0897E526">
      <w:pPr>
        <w:rPr>
          <w:rFonts w:eastAsia="仿宋_GB2312"/>
          <w:sz w:val="32"/>
          <w:szCs w:val="24"/>
        </w:rPr>
      </w:pPr>
    </w:p>
    <w:p w14:paraId="17BC6CC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0FCBC15">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2837443">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44E6B48">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836383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647E5B75">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3AC1BEA">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19F0F32B">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97D68A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29F0F9D3">
      <w:pPr>
        <w:pStyle w:val="2"/>
        <w:rPr>
          <w:lang w:val="en-US" w:eastAsia="zh-CN"/>
        </w:rPr>
      </w:pPr>
    </w:p>
    <w:p w14:paraId="602BFF00">
      <w:pPr>
        <w:spacing w:line="600" w:lineRule="exact"/>
        <w:jc w:val="left"/>
        <w:outlineLvl w:val="0"/>
        <w:rPr>
          <w:rFonts w:hint="eastAsia" w:ascii="方正小标宋简体" w:hAnsi="方正小标宋简体" w:eastAsia="方正小标宋简体" w:cs="方正小标宋简体"/>
          <w:color w:val="auto"/>
          <w:kern w:val="2"/>
          <w:sz w:val="44"/>
          <w:szCs w:val="44"/>
          <w:lang w:val="en-US" w:eastAsia="zh-CN" w:bidi="ar-SA"/>
        </w:rPr>
      </w:pPr>
      <w:r>
        <w:rPr>
          <w:rFonts w:hint="eastAsia" w:ascii="黑体" w:hAnsi="黑体" w:eastAsia="黑体" w:cs="黑体"/>
          <w:color w:val="000000"/>
          <w:sz w:val="32"/>
          <w:szCs w:val="32"/>
          <w:lang w:val="en-US" w:eastAsia="zh-CN"/>
        </w:rPr>
        <w:t>附件4</w:t>
      </w:r>
    </w:p>
    <w:p w14:paraId="12DFB07E">
      <w:pPr>
        <w:rPr>
          <w:lang w:val="zh-CN"/>
        </w:rPr>
      </w:pPr>
    </w:p>
    <w:tbl>
      <w:tblPr>
        <w:tblStyle w:val="24"/>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1"/>
        <w:gridCol w:w="947"/>
        <w:gridCol w:w="1257"/>
        <w:gridCol w:w="396"/>
        <w:gridCol w:w="566"/>
        <w:gridCol w:w="396"/>
        <w:gridCol w:w="846"/>
        <w:gridCol w:w="486"/>
        <w:gridCol w:w="486"/>
        <w:gridCol w:w="1253"/>
      </w:tblGrid>
      <w:tr w14:paraId="7038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2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E28A5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65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61D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1FF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51322325T000013125263-茂县供销合作社联合社2024年州级农资价格及储备补贴资金</w:t>
            </w:r>
          </w:p>
        </w:tc>
      </w:tr>
      <w:tr w14:paraId="03CD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CF0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E5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668" w:type="dxa"/>
            <w:tcBorders>
              <w:top w:val="nil"/>
              <w:left w:val="nil"/>
              <w:bottom w:val="nil"/>
              <w:right w:val="nil"/>
            </w:tcBorders>
            <w:shd w:val="clear" w:color="auto" w:fill="auto"/>
            <w:vAlign w:val="center"/>
          </w:tcPr>
          <w:p w14:paraId="0E4FCD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F0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1B3B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3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E9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01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755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95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0FC7">
            <w:pP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0F46">
            <w:pPr>
              <w:rPr>
                <w:rFonts w:hint="eastAsia" w:ascii="宋体" w:hAnsi="宋体" w:eastAsia="宋体" w:cs="宋体"/>
                <w:i w:val="0"/>
                <w:iCs w:val="0"/>
                <w:color w:val="000000"/>
                <w:sz w:val="18"/>
                <w:szCs w:val="18"/>
                <w:u w:val="none"/>
              </w:rPr>
            </w:pPr>
          </w:p>
        </w:tc>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E29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价格补贴资金22万，储备补贴资金11万用于资金占用利息</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253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已完成价格补贴资金22万，储备补贴资金11万用于资金占用利息</w:t>
            </w:r>
          </w:p>
        </w:tc>
      </w:tr>
      <w:tr w14:paraId="6FFF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4EBF">
            <w:pP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6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4B75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1.农资价格补贴直接由供销社农资销售门市通过满减的模式现场直接补贴给消费者，同时建立实名制销售及补贴台账；2.农资储备补贴资金直接给农资补贴实施主体用于农资储备贷款资金占用利息。</w:t>
            </w:r>
          </w:p>
        </w:tc>
      </w:tr>
      <w:tr w14:paraId="1966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3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E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E7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9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A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7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5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0B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FE31">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1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B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59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3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E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B723B">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BB8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D6A2">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DB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4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1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6807">
            <w:pPr>
              <w:rPr>
                <w:rFonts w:hint="eastAsia" w:ascii="黑体" w:hAnsi="黑体" w:eastAsia="黑体" w:cs="黑体"/>
                <w:i/>
                <w:iCs/>
                <w:color w:val="000000"/>
                <w:sz w:val="18"/>
                <w:szCs w:val="18"/>
                <w:u w:val="none"/>
              </w:rPr>
            </w:pPr>
          </w:p>
        </w:tc>
      </w:tr>
      <w:tr w14:paraId="3589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A47A">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D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5F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7B06">
            <w:pPr>
              <w:rPr>
                <w:rFonts w:hint="eastAsia" w:ascii="黑体" w:hAnsi="黑体" w:eastAsia="黑体" w:cs="黑体"/>
                <w:i/>
                <w:iCs/>
                <w:color w:val="000000"/>
                <w:sz w:val="18"/>
                <w:szCs w:val="18"/>
                <w:u w:val="none"/>
              </w:rPr>
            </w:pPr>
          </w:p>
        </w:tc>
      </w:tr>
      <w:tr w14:paraId="10F8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2C4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7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4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8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9A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5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9F52">
            <w:pPr>
              <w:rPr>
                <w:rFonts w:hint="eastAsia" w:ascii="黑体" w:hAnsi="黑体" w:eastAsia="黑体" w:cs="黑体"/>
                <w:i/>
                <w:iCs/>
                <w:color w:val="000000"/>
                <w:sz w:val="18"/>
                <w:szCs w:val="18"/>
                <w:u w:val="none"/>
              </w:rPr>
            </w:pPr>
          </w:p>
        </w:tc>
      </w:tr>
      <w:tr w14:paraId="59AF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E69B">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32CC">
            <w:pPr>
              <w:jc w:val="center"/>
              <w:rPr>
                <w:rFonts w:hint="eastAsia" w:ascii="微软雅黑" w:hAnsi="微软雅黑" w:eastAsia="微软雅黑" w:cs="微软雅黑"/>
                <w:i/>
                <w:iCs/>
                <w:color w:val="000000"/>
                <w:sz w:val="16"/>
                <w:szCs w:val="16"/>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AC5B">
            <w:pPr>
              <w:jc w:val="center"/>
              <w:rPr>
                <w:rFonts w:hint="eastAsia" w:ascii="微软雅黑" w:hAnsi="微软雅黑" w:eastAsia="微软雅黑" w:cs="微软雅黑"/>
                <w:i/>
                <w:iCs/>
                <w:color w:val="000000"/>
                <w:sz w:val="16"/>
                <w:szCs w:val="16"/>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CC311">
            <w:pPr>
              <w:jc w:val="center"/>
              <w:rPr>
                <w:rFonts w:hint="eastAsia" w:ascii="微软雅黑" w:hAnsi="微软雅黑" w:eastAsia="微软雅黑" w:cs="微软雅黑"/>
                <w:i/>
                <w:iCs/>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C3B">
            <w:pPr>
              <w:jc w:val="center"/>
              <w:rPr>
                <w:rFonts w:hint="eastAsia" w:ascii="微软雅黑" w:hAnsi="微软雅黑" w:eastAsia="微软雅黑" w:cs="微软雅黑"/>
                <w:i/>
                <w:iCs/>
                <w:color w:val="000000"/>
                <w:sz w:val="16"/>
                <w:szCs w:val="16"/>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2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4C6B">
            <w:pPr>
              <w:rPr>
                <w:rFonts w:hint="eastAsia" w:ascii="黑体" w:hAnsi="黑体" w:eastAsia="黑体" w:cs="黑体"/>
                <w:i/>
                <w:iCs/>
                <w:color w:val="000000"/>
                <w:sz w:val="18"/>
                <w:szCs w:val="18"/>
                <w:u w:val="none"/>
              </w:rPr>
            </w:pPr>
          </w:p>
        </w:tc>
      </w:tr>
      <w:tr w14:paraId="2E7F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F6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3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2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6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A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7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F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C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7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DE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2315F">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C8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31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全年农资销售增长率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4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2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AED">
            <w:pPr>
              <w:jc w:val="center"/>
              <w:rPr>
                <w:rFonts w:hint="eastAsia" w:ascii="宋体" w:hAnsi="宋体" w:eastAsia="宋体" w:cs="宋体"/>
                <w:i w:val="0"/>
                <w:iCs w:val="0"/>
                <w:color w:val="000000"/>
                <w:sz w:val="18"/>
                <w:szCs w:val="18"/>
                <w:u w:val="none"/>
              </w:rPr>
            </w:pPr>
          </w:p>
        </w:tc>
      </w:tr>
      <w:tr w14:paraId="2700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1DD8">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13F6">
            <w:pPr>
              <w:jc w:val="center"/>
              <w:rPr>
                <w:rFonts w:hint="eastAsia" w:ascii="宋体" w:hAnsi="宋体" w:eastAsia="宋体" w:cs="宋体"/>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4530">
            <w:pPr>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7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农资储备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吨</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4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C79">
            <w:pPr>
              <w:jc w:val="center"/>
              <w:rPr>
                <w:rFonts w:hint="eastAsia" w:ascii="宋体" w:hAnsi="宋体" w:eastAsia="宋体" w:cs="宋体"/>
                <w:i w:val="0"/>
                <w:iCs w:val="0"/>
                <w:color w:val="000000"/>
                <w:sz w:val="18"/>
                <w:szCs w:val="18"/>
                <w:u w:val="none"/>
              </w:rPr>
            </w:pPr>
          </w:p>
        </w:tc>
      </w:tr>
      <w:tr w14:paraId="41FA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97D4">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B09C8">
            <w:pPr>
              <w:jc w:val="center"/>
              <w:rPr>
                <w:rFonts w:hint="eastAsia" w:ascii="宋体" w:hAnsi="宋体" w:eastAsia="宋体" w:cs="宋体"/>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A67E">
            <w:pPr>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2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补贴化肥种类</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F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A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E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种</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6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6FEB">
            <w:pPr>
              <w:jc w:val="center"/>
              <w:rPr>
                <w:rFonts w:hint="eastAsia" w:ascii="宋体" w:hAnsi="宋体" w:eastAsia="宋体" w:cs="宋体"/>
                <w:i w:val="0"/>
                <w:iCs w:val="0"/>
                <w:color w:val="000000"/>
                <w:sz w:val="18"/>
                <w:szCs w:val="18"/>
                <w:u w:val="none"/>
              </w:rPr>
            </w:pPr>
          </w:p>
        </w:tc>
      </w:tr>
      <w:tr w14:paraId="063D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7DC7">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D253">
            <w:pPr>
              <w:jc w:val="center"/>
              <w:rPr>
                <w:rFonts w:hint="eastAsia" w:ascii="宋体" w:hAnsi="宋体" w:eastAsia="宋体" w:cs="宋体"/>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AF1B">
            <w:pPr>
              <w:jc w:val="center"/>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有机肥、复合肥销售增长率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D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5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E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8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295F">
            <w:pPr>
              <w:jc w:val="center"/>
              <w:rPr>
                <w:rFonts w:hint="eastAsia" w:ascii="宋体" w:hAnsi="宋体" w:eastAsia="宋体" w:cs="宋体"/>
                <w:i w:val="0"/>
                <w:iCs w:val="0"/>
                <w:color w:val="000000"/>
                <w:sz w:val="18"/>
                <w:szCs w:val="18"/>
                <w:u w:val="none"/>
              </w:rPr>
            </w:pPr>
          </w:p>
        </w:tc>
      </w:tr>
      <w:tr w14:paraId="144A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CB25">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FBFD">
            <w:pPr>
              <w:jc w:val="center"/>
              <w:rPr>
                <w:rFonts w:hint="eastAsia" w:ascii="宋体" w:hAnsi="宋体" w:eastAsia="宋体" w:cs="宋体"/>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1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按时完成项目</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D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A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A8A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8F0">
            <w:pPr>
              <w:jc w:val="center"/>
              <w:rPr>
                <w:rFonts w:hint="eastAsia" w:ascii="宋体" w:hAnsi="宋体" w:eastAsia="宋体" w:cs="宋体"/>
                <w:i w:val="0"/>
                <w:iCs w:val="0"/>
                <w:color w:val="000000"/>
                <w:sz w:val="18"/>
                <w:szCs w:val="18"/>
                <w:u w:val="none"/>
              </w:rPr>
            </w:pPr>
          </w:p>
        </w:tc>
      </w:tr>
      <w:tr w14:paraId="27CC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71E3">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价格补贴直接由供销社农资销售门市通过满减的模式现场直接补贴给消费者</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9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6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F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8E5">
            <w:pPr>
              <w:jc w:val="center"/>
              <w:rPr>
                <w:rFonts w:hint="eastAsia" w:ascii="宋体" w:hAnsi="宋体" w:eastAsia="宋体" w:cs="宋体"/>
                <w:i w:val="0"/>
                <w:iCs w:val="0"/>
                <w:color w:val="000000"/>
                <w:sz w:val="18"/>
                <w:szCs w:val="18"/>
                <w:u w:val="none"/>
              </w:rPr>
            </w:pPr>
          </w:p>
        </w:tc>
      </w:tr>
      <w:tr w14:paraId="7C51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AEFA">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4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D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农户、受益群众对该项目的满意度</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7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7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0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CC8">
            <w:pPr>
              <w:jc w:val="center"/>
              <w:rPr>
                <w:rFonts w:hint="eastAsia" w:ascii="微软雅黑" w:hAnsi="微软雅黑" w:eastAsia="微软雅黑" w:cs="微软雅黑"/>
                <w:i/>
                <w:iCs/>
                <w:color w:val="000000"/>
                <w:sz w:val="16"/>
                <w:szCs w:val="16"/>
                <w:u w:val="none"/>
              </w:rPr>
            </w:pPr>
          </w:p>
        </w:tc>
      </w:tr>
      <w:tr w14:paraId="33E1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920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D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C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24F">
            <w:pPr>
              <w:rPr>
                <w:rFonts w:hint="eastAsia" w:ascii="宋体" w:hAnsi="宋体" w:eastAsia="宋体" w:cs="宋体"/>
                <w:i w:val="0"/>
                <w:iCs w:val="0"/>
                <w:color w:val="000000"/>
                <w:sz w:val="18"/>
                <w:szCs w:val="18"/>
                <w:u w:val="none"/>
              </w:rPr>
            </w:pPr>
          </w:p>
        </w:tc>
      </w:tr>
      <w:tr w14:paraId="0BF4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D47F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预算编制科学、合理，优化财政支出结构，从源头上防控财政资源配置的低效无效，提高财政资源配置效率和财政资金使用效益。</w:t>
            </w:r>
          </w:p>
        </w:tc>
      </w:tr>
      <w:tr w14:paraId="75A7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8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2CFE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1A00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D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3CB5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78EC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A00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项目负责人：杨雪剑</w:t>
            </w: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54DF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bl>
    <w:p w14:paraId="22D3C31E">
      <w:pPr>
        <w:pStyle w:val="20"/>
        <w:rPr>
          <w:lang w:val="zh-CN"/>
        </w:rPr>
      </w:pPr>
    </w:p>
    <w:p w14:paraId="43EBCF55">
      <w:pPr>
        <w:rPr>
          <w:lang w:val="zh-CN"/>
        </w:rPr>
      </w:pPr>
    </w:p>
    <w:p w14:paraId="71961614">
      <w:pPr>
        <w:pStyle w:val="20"/>
        <w:rPr>
          <w:lang w:val="zh-CN"/>
        </w:rPr>
      </w:pPr>
    </w:p>
    <w:p w14:paraId="57DAFB07">
      <w:pPr>
        <w:rPr>
          <w:lang w:val="zh-CN"/>
        </w:rPr>
      </w:pPr>
    </w:p>
    <w:p w14:paraId="037ED6EC">
      <w:pPr>
        <w:pStyle w:val="20"/>
        <w:rPr>
          <w:lang w:val="zh-CN"/>
        </w:rPr>
      </w:pPr>
    </w:p>
    <w:p w14:paraId="65A8077C">
      <w:pPr>
        <w:rPr>
          <w:lang w:val="zh-CN"/>
        </w:rPr>
      </w:pPr>
    </w:p>
    <w:p w14:paraId="0E261F62">
      <w:pPr>
        <w:pStyle w:val="20"/>
        <w:rPr>
          <w:lang w:val="zh-CN"/>
        </w:rPr>
      </w:pPr>
    </w:p>
    <w:p w14:paraId="03CFB5EA">
      <w:pPr>
        <w:rPr>
          <w:lang w:val="zh-CN"/>
        </w:rPr>
      </w:pPr>
    </w:p>
    <w:p w14:paraId="517022C4">
      <w:pPr>
        <w:spacing w:line="600" w:lineRule="exact"/>
        <w:jc w:val="center"/>
        <w:outlineLvl w:val="0"/>
        <w:rPr>
          <w:rFonts w:hint="eastAsia" w:ascii="方正小标宋简体" w:hAnsi="方正小标宋简体" w:eastAsia="方正小标宋简体" w:cs="方正小标宋简体"/>
          <w:color w:val="000000"/>
          <w:sz w:val="44"/>
          <w:szCs w:val="44"/>
        </w:rPr>
      </w:pPr>
    </w:p>
    <w:p w14:paraId="1706A35C">
      <w:pPr>
        <w:spacing w:line="600" w:lineRule="exact"/>
        <w:jc w:val="center"/>
        <w:outlineLvl w:val="0"/>
        <w:rPr>
          <w:rFonts w:hint="eastAsia" w:ascii="方正小标宋简体" w:hAnsi="方正小标宋简体" w:eastAsia="方正小标宋简体" w:cs="方正小标宋简体"/>
          <w:color w:val="000000"/>
          <w:sz w:val="44"/>
          <w:szCs w:val="44"/>
        </w:rPr>
      </w:pPr>
    </w:p>
    <w:p w14:paraId="0716A940">
      <w:pPr>
        <w:spacing w:line="600" w:lineRule="exact"/>
        <w:jc w:val="center"/>
        <w:outlineLvl w:val="0"/>
        <w:rPr>
          <w:rFonts w:hint="eastAsia" w:ascii="方正小标宋简体" w:hAnsi="方正小标宋简体" w:eastAsia="方正小标宋简体" w:cs="方正小标宋简体"/>
          <w:color w:val="000000"/>
          <w:sz w:val="44"/>
          <w:szCs w:val="44"/>
        </w:rPr>
      </w:pPr>
    </w:p>
    <w:p w14:paraId="149F72C6">
      <w:pPr>
        <w:pStyle w:val="2"/>
        <w:rPr>
          <w:rFonts w:hint="eastAsia" w:ascii="方正小标宋简体" w:hAnsi="方正小标宋简体" w:eastAsia="方正小标宋简体" w:cs="方正小标宋简体"/>
          <w:color w:val="000000"/>
          <w:sz w:val="44"/>
          <w:szCs w:val="44"/>
        </w:rPr>
      </w:pPr>
    </w:p>
    <w:p w14:paraId="1C4EE7E5">
      <w:pPr>
        <w:rPr>
          <w:rFonts w:hint="eastAsia"/>
        </w:rPr>
      </w:pPr>
    </w:p>
    <w:p w14:paraId="46BEA3E3">
      <w:pPr>
        <w:keepNext w:val="0"/>
        <w:keepLines w:val="0"/>
        <w:pageBreakBefore w:val="0"/>
        <w:widowControl w:val="0"/>
        <w:kinsoku/>
        <w:wordWrap/>
        <w:overflowPunct/>
        <w:topLinePunct w:val="0"/>
        <w:bidi w:val="0"/>
        <w:snapToGrid/>
        <w:spacing w:line="576" w:lineRule="exact"/>
        <w:jc w:val="both"/>
        <w:textAlignment w:val="auto"/>
        <w:outlineLvl w:val="0"/>
        <w:rPr>
          <w:rFonts w:hint="eastAsia" w:ascii="方正小标宋简体" w:hAnsi="方正小标宋简体" w:eastAsia="方正小标宋简体" w:cs="方正小标宋简体"/>
          <w:color w:val="000000"/>
          <w:sz w:val="44"/>
          <w:szCs w:val="44"/>
        </w:rPr>
      </w:pPr>
    </w:p>
    <w:p w14:paraId="13876406">
      <w:pPr>
        <w:keepNext w:val="0"/>
        <w:keepLines w:val="0"/>
        <w:pageBreakBefore w:val="0"/>
        <w:widowControl w:val="0"/>
        <w:kinsoku/>
        <w:wordWrap/>
        <w:overflowPunct/>
        <w:topLinePunct w:val="0"/>
        <w:bidi w:val="0"/>
        <w:snapToGrid/>
        <w:spacing w:line="576" w:lineRule="exact"/>
        <w:jc w:val="center"/>
        <w:textAlignment w:val="auto"/>
        <w:outlineLvl w:val="0"/>
        <w:rPr>
          <w:rStyle w:val="30"/>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30"/>
          <w:rFonts w:hint="eastAsia" w:ascii="方正小标宋简体" w:hAnsi="方正小标宋简体" w:eastAsia="方正小标宋简体" w:cs="方正小标宋简体"/>
          <w:b w:val="0"/>
        </w:rPr>
        <w:t>五部分 附表</w:t>
      </w:r>
      <w:bookmarkEnd w:id="104"/>
      <w:bookmarkEnd w:id="105"/>
      <w:bookmarkEnd w:id="106"/>
      <w:bookmarkEnd w:id="107"/>
    </w:p>
    <w:p w14:paraId="4DCA4E9B">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zh-CN"/>
        </w:rPr>
      </w:pPr>
      <w:bookmarkStart w:id="108" w:name="_Toc12986"/>
      <w:bookmarkStart w:id="109" w:name="_Toc26370"/>
    </w:p>
    <w:p w14:paraId="37A5DCDC">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r>
        <w:rPr>
          <w:rFonts w:hint="eastAsia" w:ascii="仿宋_GB2312" w:hAnsi="Times New Roman" w:eastAsia="仿宋_GB2312" w:cs="Times New Roman"/>
          <w:color w:val="auto"/>
          <w:kern w:val="2"/>
          <w:sz w:val="32"/>
          <w:szCs w:val="32"/>
          <w:lang w:val="zh-CN"/>
        </w:rPr>
        <w:t>一、收入支出决算总表</w:t>
      </w:r>
      <w:bookmarkEnd w:id="108"/>
      <w:bookmarkEnd w:id="109"/>
    </w:p>
    <w:p w14:paraId="12C15976">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0" w:name="_Toc13062"/>
      <w:bookmarkStart w:id="111" w:name="_Toc13591"/>
      <w:r>
        <w:rPr>
          <w:rFonts w:hint="eastAsia" w:ascii="仿宋_GB2312" w:hAnsi="Times New Roman" w:eastAsia="仿宋_GB2312" w:cs="Times New Roman"/>
          <w:color w:val="auto"/>
          <w:kern w:val="2"/>
          <w:sz w:val="32"/>
          <w:szCs w:val="32"/>
          <w:lang w:val="zh-CN"/>
        </w:rPr>
        <w:t>二、收入决算表</w:t>
      </w:r>
      <w:bookmarkEnd w:id="110"/>
      <w:bookmarkEnd w:id="111"/>
    </w:p>
    <w:p w14:paraId="45E18177">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2" w:name="_Toc16600"/>
      <w:bookmarkStart w:id="113" w:name="_Toc29688"/>
      <w:r>
        <w:rPr>
          <w:rFonts w:hint="eastAsia" w:ascii="仿宋_GB2312" w:hAnsi="Times New Roman" w:eastAsia="仿宋_GB2312" w:cs="Times New Roman"/>
          <w:color w:val="auto"/>
          <w:kern w:val="2"/>
          <w:sz w:val="32"/>
          <w:szCs w:val="32"/>
          <w:lang w:val="zh-CN"/>
        </w:rPr>
        <w:t>三、支出决算表</w:t>
      </w:r>
      <w:bookmarkEnd w:id="112"/>
      <w:bookmarkEnd w:id="113"/>
    </w:p>
    <w:p w14:paraId="63CF442B">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4" w:name="_Toc5964"/>
      <w:bookmarkStart w:id="115" w:name="_Toc26630"/>
      <w:r>
        <w:rPr>
          <w:rFonts w:hint="eastAsia" w:ascii="仿宋_GB2312" w:hAnsi="Times New Roman" w:eastAsia="仿宋_GB2312" w:cs="Times New Roman"/>
          <w:color w:val="auto"/>
          <w:kern w:val="2"/>
          <w:sz w:val="32"/>
          <w:szCs w:val="32"/>
          <w:lang w:val="zh-CN"/>
        </w:rPr>
        <w:t>四、财政拨款收入支出决算总表</w:t>
      </w:r>
      <w:bookmarkEnd w:id="114"/>
      <w:bookmarkEnd w:id="115"/>
    </w:p>
    <w:p w14:paraId="38DABB41">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6" w:name="_Toc19934"/>
      <w:bookmarkStart w:id="117" w:name="_Toc14273"/>
      <w:r>
        <w:rPr>
          <w:rFonts w:hint="eastAsia" w:ascii="仿宋_GB2312" w:hAnsi="Times New Roman" w:eastAsia="仿宋_GB2312" w:cs="Times New Roman"/>
          <w:color w:val="auto"/>
          <w:kern w:val="2"/>
          <w:sz w:val="32"/>
          <w:szCs w:val="32"/>
          <w:lang w:val="zh-CN"/>
        </w:rPr>
        <w:t>五、财政拨款支出决算明细表</w:t>
      </w:r>
      <w:bookmarkEnd w:id="116"/>
      <w:bookmarkEnd w:id="117"/>
    </w:p>
    <w:p w14:paraId="70F3CF49">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8" w:name="_Toc16449"/>
      <w:bookmarkStart w:id="119" w:name="_Toc6686"/>
      <w:r>
        <w:rPr>
          <w:rFonts w:hint="eastAsia" w:ascii="仿宋_GB2312" w:hAnsi="Times New Roman" w:eastAsia="仿宋_GB2312" w:cs="Times New Roman"/>
          <w:color w:val="auto"/>
          <w:kern w:val="2"/>
          <w:sz w:val="32"/>
          <w:szCs w:val="32"/>
          <w:lang w:val="zh-CN"/>
        </w:rPr>
        <w:t>六、一般公共预算财政拨款支出决算表</w:t>
      </w:r>
      <w:bookmarkEnd w:id="118"/>
      <w:bookmarkEnd w:id="119"/>
    </w:p>
    <w:p w14:paraId="06AFD961">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0" w:name="_Toc3478"/>
      <w:bookmarkStart w:id="121" w:name="_Toc19514"/>
      <w:r>
        <w:rPr>
          <w:rFonts w:hint="eastAsia" w:ascii="仿宋_GB2312" w:hAnsi="Times New Roman" w:eastAsia="仿宋_GB2312" w:cs="Times New Roman"/>
          <w:color w:val="auto"/>
          <w:kern w:val="2"/>
          <w:sz w:val="32"/>
          <w:szCs w:val="32"/>
          <w:lang w:val="zh-CN"/>
        </w:rPr>
        <w:t>七、一般公共预算财政拨款支出决算明细表</w:t>
      </w:r>
      <w:bookmarkEnd w:id="120"/>
      <w:bookmarkEnd w:id="121"/>
    </w:p>
    <w:p w14:paraId="2145E2F3">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2" w:name="_Toc17352"/>
      <w:bookmarkStart w:id="123" w:name="_Toc191"/>
      <w:r>
        <w:rPr>
          <w:rFonts w:hint="eastAsia" w:ascii="仿宋_GB2312" w:hAnsi="Times New Roman" w:eastAsia="仿宋_GB2312" w:cs="Times New Roman"/>
          <w:color w:val="auto"/>
          <w:kern w:val="2"/>
          <w:sz w:val="32"/>
          <w:szCs w:val="32"/>
          <w:lang w:val="zh-CN"/>
        </w:rPr>
        <w:t>八、一般公共预算财政拨款基本支出决算表</w:t>
      </w:r>
      <w:bookmarkEnd w:id="122"/>
      <w:bookmarkEnd w:id="123"/>
    </w:p>
    <w:p w14:paraId="519295FD">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4" w:name="_Toc3726"/>
      <w:bookmarkStart w:id="125" w:name="_Toc5204"/>
      <w:r>
        <w:rPr>
          <w:rFonts w:hint="eastAsia" w:ascii="仿宋_GB2312" w:hAnsi="Times New Roman" w:eastAsia="仿宋_GB2312" w:cs="Times New Roman"/>
          <w:color w:val="auto"/>
          <w:kern w:val="2"/>
          <w:sz w:val="32"/>
          <w:szCs w:val="32"/>
          <w:lang w:val="zh-CN"/>
        </w:rPr>
        <w:t>九、一般公共预算财政拨款项目支出决算表</w:t>
      </w:r>
      <w:bookmarkEnd w:id="124"/>
      <w:bookmarkEnd w:id="125"/>
    </w:p>
    <w:p w14:paraId="6C378133">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6" w:name="_Toc20756"/>
      <w:bookmarkStart w:id="127" w:name="_Toc20056"/>
      <w:r>
        <w:rPr>
          <w:rFonts w:hint="eastAsia" w:ascii="仿宋_GB2312" w:hAnsi="Times New Roman" w:eastAsia="仿宋_GB2312" w:cs="Times New Roman"/>
          <w:color w:val="auto"/>
          <w:kern w:val="2"/>
          <w:sz w:val="32"/>
          <w:szCs w:val="32"/>
          <w:lang w:val="zh-CN"/>
        </w:rPr>
        <w:t>十、政府性基金预算财政拨款收入支出决算表</w:t>
      </w:r>
      <w:bookmarkEnd w:id="126"/>
      <w:bookmarkEnd w:id="127"/>
    </w:p>
    <w:p w14:paraId="7F68B0C8">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8" w:name="_Toc13849"/>
      <w:bookmarkStart w:id="129" w:name="_Toc21387"/>
      <w:r>
        <w:rPr>
          <w:rFonts w:hint="eastAsia" w:ascii="仿宋_GB2312" w:hAnsi="Times New Roman" w:eastAsia="仿宋_GB2312" w:cs="Times New Roman"/>
          <w:color w:val="auto"/>
          <w:kern w:val="2"/>
          <w:sz w:val="32"/>
          <w:szCs w:val="32"/>
          <w:lang w:val="zh-CN"/>
        </w:rPr>
        <w:t>十一、国有资本经营预算财政拨款收入支出决算表</w:t>
      </w:r>
      <w:bookmarkEnd w:id="128"/>
      <w:bookmarkEnd w:id="129"/>
    </w:p>
    <w:p w14:paraId="1A78619D">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0" w:name="_Toc1140"/>
      <w:bookmarkStart w:id="131" w:name="_Toc13099"/>
      <w:r>
        <w:rPr>
          <w:rFonts w:hint="eastAsia" w:ascii="仿宋_GB2312" w:hAnsi="Times New Roman" w:eastAsia="仿宋_GB2312" w:cs="Times New Roman"/>
          <w:color w:val="auto"/>
          <w:kern w:val="2"/>
          <w:sz w:val="32"/>
          <w:szCs w:val="32"/>
          <w:lang w:val="zh-CN"/>
        </w:rPr>
        <w:t>十二、国有资本经营预算财政拨款支出决算表</w:t>
      </w:r>
      <w:bookmarkEnd w:id="130"/>
      <w:bookmarkEnd w:id="131"/>
    </w:p>
    <w:p w14:paraId="57555D58">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2" w:name="_Toc24957"/>
      <w:bookmarkStart w:id="133" w:name="_Toc25065"/>
      <w:r>
        <w:rPr>
          <w:rFonts w:hint="eastAsia" w:ascii="仿宋_GB2312" w:hAnsi="Times New Roman" w:eastAsia="仿宋_GB2312" w:cs="Times New Roman"/>
          <w:color w:val="auto"/>
          <w:kern w:val="2"/>
          <w:sz w:val="32"/>
          <w:szCs w:val="32"/>
          <w:lang w:val="zh-CN"/>
        </w:rPr>
        <w:t>十三、财政拨款“三公”经费支出决算表</w:t>
      </w:r>
      <w:bookmarkEnd w:id="132"/>
      <w:bookmarkEnd w:id="133"/>
    </w:p>
    <w:p w14:paraId="33E03117">
      <w:pPr>
        <w:pStyle w:val="40"/>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D74D">
    <w:pPr>
      <w:pStyle w:val="13"/>
      <w:jc w:val="center"/>
    </w:pPr>
    <w:r>
      <w:fldChar w:fldCharType="begin"/>
    </w:r>
    <w:r>
      <w:instrText xml:space="preserve">PAGE   \* MERGEFORMAT</w:instrText>
    </w:r>
    <w:r>
      <w:fldChar w:fldCharType="separate"/>
    </w:r>
    <w:r>
      <w:t>42</w:t>
    </w:r>
    <w:r>
      <w:fldChar w:fldCharType="end"/>
    </w:r>
  </w:p>
  <w:p w14:paraId="509B207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1D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F8851"/>
    <w:multiLevelType w:val="singleLevel"/>
    <w:tmpl w:val="866F8851"/>
    <w:lvl w:ilvl="0" w:tentative="0">
      <w:start w:val="1"/>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VkZDQzMmMwZTY5MDM0NDIxMWYyNDdjYWI4MDEifQ=="/>
  </w:docVars>
  <w:rsids>
    <w:rsidRoot w:val="00F1361C"/>
    <w:rsid w:val="00021DB1"/>
    <w:rsid w:val="000222C6"/>
    <w:rsid w:val="0002549F"/>
    <w:rsid w:val="00027DEB"/>
    <w:rsid w:val="00044C87"/>
    <w:rsid w:val="000468DB"/>
    <w:rsid w:val="00053F64"/>
    <w:rsid w:val="00054949"/>
    <w:rsid w:val="0006487A"/>
    <w:rsid w:val="00065F8F"/>
    <w:rsid w:val="0006617C"/>
    <w:rsid w:val="00070545"/>
    <w:rsid w:val="00070A43"/>
    <w:rsid w:val="000768F2"/>
    <w:rsid w:val="0008563A"/>
    <w:rsid w:val="0009184B"/>
    <w:rsid w:val="00094236"/>
    <w:rsid w:val="0009593C"/>
    <w:rsid w:val="00097322"/>
    <w:rsid w:val="000A6A92"/>
    <w:rsid w:val="000B047F"/>
    <w:rsid w:val="000B5923"/>
    <w:rsid w:val="000B5A48"/>
    <w:rsid w:val="000B6FF3"/>
    <w:rsid w:val="000B7527"/>
    <w:rsid w:val="000C22C0"/>
    <w:rsid w:val="000C3467"/>
    <w:rsid w:val="000C3CA6"/>
    <w:rsid w:val="000D1267"/>
    <w:rsid w:val="000D1D50"/>
    <w:rsid w:val="000D5782"/>
    <w:rsid w:val="000E188B"/>
    <w:rsid w:val="000E6613"/>
    <w:rsid w:val="000E7119"/>
    <w:rsid w:val="000F20FF"/>
    <w:rsid w:val="001006D2"/>
    <w:rsid w:val="00114E9B"/>
    <w:rsid w:val="00115301"/>
    <w:rsid w:val="0012556E"/>
    <w:rsid w:val="0013189E"/>
    <w:rsid w:val="001319E1"/>
    <w:rsid w:val="00142216"/>
    <w:rsid w:val="00143AAE"/>
    <w:rsid w:val="00144D6A"/>
    <w:rsid w:val="0014729F"/>
    <w:rsid w:val="00157BAB"/>
    <w:rsid w:val="001654D1"/>
    <w:rsid w:val="00174518"/>
    <w:rsid w:val="0018106D"/>
    <w:rsid w:val="001877A7"/>
    <w:rsid w:val="00191536"/>
    <w:rsid w:val="001939B7"/>
    <w:rsid w:val="00195548"/>
    <w:rsid w:val="00196687"/>
    <w:rsid w:val="00196750"/>
    <w:rsid w:val="00197E9F"/>
    <w:rsid w:val="001C0962"/>
    <w:rsid w:val="001C2BFE"/>
    <w:rsid w:val="001D7531"/>
    <w:rsid w:val="001E737D"/>
    <w:rsid w:val="001F0592"/>
    <w:rsid w:val="001F7506"/>
    <w:rsid w:val="002006CD"/>
    <w:rsid w:val="00202B36"/>
    <w:rsid w:val="00204B7A"/>
    <w:rsid w:val="00204C46"/>
    <w:rsid w:val="00204CDE"/>
    <w:rsid w:val="0021101A"/>
    <w:rsid w:val="00217AE2"/>
    <w:rsid w:val="00220536"/>
    <w:rsid w:val="00222F69"/>
    <w:rsid w:val="00233F5B"/>
    <w:rsid w:val="00235629"/>
    <w:rsid w:val="00235CF9"/>
    <w:rsid w:val="0024785F"/>
    <w:rsid w:val="00256262"/>
    <w:rsid w:val="00260C38"/>
    <w:rsid w:val="002616C0"/>
    <w:rsid w:val="00265372"/>
    <w:rsid w:val="002662AA"/>
    <w:rsid w:val="0027224D"/>
    <w:rsid w:val="00280496"/>
    <w:rsid w:val="00294DC9"/>
    <w:rsid w:val="00295495"/>
    <w:rsid w:val="002A31DE"/>
    <w:rsid w:val="002B2613"/>
    <w:rsid w:val="002C6857"/>
    <w:rsid w:val="002D6D05"/>
    <w:rsid w:val="002F1818"/>
    <w:rsid w:val="002F567B"/>
    <w:rsid w:val="00306D06"/>
    <w:rsid w:val="00311FB8"/>
    <w:rsid w:val="00321685"/>
    <w:rsid w:val="003216A9"/>
    <w:rsid w:val="00335A74"/>
    <w:rsid w:val="00340765"/>
    <w:rsid w:val="003536E0"/>
    <w:rsid w:val="0036561B"/>
    <w:rsid w:val="0037013F"/>
    <w:rsid w:val="00380C92"/>
    <w:rsid w:val="00391FB4"/>
    <w:rsid w:val="00393C06"/>
    <w:rsid w:val="003A484F"/>
    <w:rsid w:val="003A4883"/>
    <w:rsid w:val="003B0BE0"/>
    <w:rsid w:val="003B0C1B"/>
    <w:rsid w:val="003B482C"/>
    <w:rsid w:val="003B688C"/>
    <w:rsid w:val="003C0291"/>
    <w:rsid w:val="003C39AE"/>
    <w:rsid w:val="003C7B60"/>
    <w:rsid w:val="003D0C0F"/>
    <w:rsid w:val="003D1310"/>
    <w:rsid w:val="003D1FB2"/>
    <w:rsid w:val="003D3783"/>
    <w:rsid w:val="003D66DA"/>
    <w:rsid w:val="003E1310"/>
    <w:rsid w:val="003E6189"/>
    <w:rsid w:val="003E6F55"/>
    <w:rsid w:val="003E6FE4"/>
    <w:rsid w:val="00406254"/>
    <w:rsid w:val="004223DE"/>
    <w:rsid w:val="0042503B"/>
    <w:rsid w:val="00432BDC"/>
    <w:rsid w:val="00434489"/>
    <w:rsid w:val="00437085"/>
    <w:rsid w:val="00443880"/>
    <w:rsid w:val="00445607"/>
    <w:rsid w:val="004464F4"/>
    <w:rsid w:val="0045405F"/>
    <w:rsid w:val="00466E72"/>
    <w:rsid w:val="00471401"/>
    <w:rsid w:val="00473F31"/>
    <w:rsid w:val="0048263A"/>
    <w:rsid w:val="00487E5D"/>
    <w:rsid w:val="00494545"/>
    <w:rsid w:val="0049684D"/>
    <w:rsid w:val="004A711F"/>
    <w:rsid w:val="004B199D"/>
    <w:rsid w:val="004B1A20"/>
    <w:rsid w:val="004B4690"/>
    <w:rsid w:val="004C2E2D"/>
    <w:rsid w:val="004D5479"/>
    <w:rsid w:val="004E0A2D"/>
    <w:rsid w:val="004E206B"/>
    <w:rsid w:val="004E49C5"/>
    <w:rsid w:val="004E6DF7"/>
    <w:rsid w:val="004F0FBD"/>
    <w:rsid w:val="00504E2E"/>
    <w:rsid w:val="00505A47"/>
    <w:rsid w:val="00512FDA"/>
    <w:rsid w:val="0051361B"/>
    <w:rsid w:val="00520DA0"/>
    <w:rsid w:val="005269A7"/>
    <w:rsid w:val="005269D7"/>
    <w:rsid w:val="005508BC"/>
    <w:rsid w:val="005664BB"/>
    <w:rsid w:val="00566FFA"/>
    <w:rsid w:val="0057481D"/>
    <w:rsid w:val="0058486E"/>
    <w:rsid w:val="00585B33"/>
    <w:rsid w:val="00587B68"/>
    <w:rsid w:val="0059014D"/>
    <w:rsid w:val="005A6340"/>
    <w:rsid w:val="005B5C64"/>
    <w:rsid w:val="005C5337"/>
    <w:rsid w:val="005C6BD0"/>
    <w:rsid w:val="005D1C8B"/>
    <w:rsid w:val="005D468D"/>
    <w:rsid w:val="005D5591"/>
    <w:rsid w:val="005D5CED"/>
    <w:rsid w:val="005F1A4C"/>
    <w:rsid w:val="005F34D0"/>
    <w:rsid w:val="006055E2"/>
    <w:rsid w:val="00605688"/>
    <w:rsid w:val="006070AF"/>
    <w:rsid w:val="00607E6C"/>
    <w:rsid w:val="006101B1"/>
    <w:rsid w:val="00614E44"/>
    <w:rsid w:val="006162E5"/>
    <w:rsid w:val="006178BA"/>
    <w:rsid w:val="0062270A"/>
    <w:rsid w:val="00622830"/>
    <w:rsid w:val="00623DA0"/>
    <w:rsid w:val="00627647"/>
    <w:rsid w:val="00627E95"/>
    <w:rsid w:val="006302ED"/>
    <w:rsid w:val="00630AEF"/>
    <w:rsid w:val="006325F8"/>
    <w:rsid w:val="00633463"/>
    <w:rsid w:val="00634C9A"/>
    <w:rsid w:val="00636199"/>
    <w:rsid w:val="006440E4"/>
    <w:rsid w:val="00645F81"/>
    <w:rsid w:val="0064742A"/>
    <w:rsid w:val="0066019E"/>
    <w:rsid w:val="0066343B"/>
    <w:rsid w:val="00664777"/>
    <w:rsid w:val="006748A4"/>
    <w:rsid w:val="00681A31"/>
    <w:rsid w:val="00683E73"/>
    <w:rsid w:val="00691398"/>
    <w:rsid w:val="00696595"/>
    <w:rsid w:val="006A3141"/>
    <w:rsid w:val="006A5E34"/>
    <w:rsid w:val="006B2422"/>
    <w:rsid w:val="006B2B9A"/>
    <w:rsid w:val="006C1937"/>
    <w:rsid w:val="006D157C"/>
    <w:rsid w:val="006E787E"/>
    <w:rsid w:val="006F020C"/>
    <w:rsid w:val="006F2EF2"/>
    <w:rsid w:val="00702B00"/>
    <w:rsid w:val="007127B7"/>
    <w:rsid w:val="0071798E"/>
    <w:rsid w:val="007232C4"/>
    <w:rsid w:val="00734A62"/>
    <w:rsid w:val="0074040A"/>
    <w:rsid w:val="007416B6"/>
    <w:rsid w:val="00746F48"/>
    <w:rsid w:val="0075404D"/>
    <w:rsid w:val="0076182A"/>
    <w:rsid w:val="00767B7E"/>
    <w:rsid w:val="007770C3"/>
    <w:rsid w:val="00784D24"/>
    <w:rsid w:val="00785FBA"/>
    <w:rsid w:val="00786E4A"/>
    <w:rsid w:val="007875EB"/>
    <w:rsid w:val="0079426B"/>
    <w:rsid w:val="007B2D0B"/>
    <w:rsid w:val="007D1682"/>
    <w:rsid w:val="007D312A"/>
    <w:rsid w:val="007D3F19"/>
    <w:rsid w:val="007E23B0"/>
    <w:rsid w:val="007E23E5"/>
    <w:rsid w:val="007F1991"/>
    <w:rsid w:val="007F2C2F"/>
    <w:rsid w:val="007F55FC"/>
    <w:rsid w:val="007F5665"/>
    <w:rsid w:val="00800112"/>
    <w:rsid w:val="00800D80"/>
    <w:rsid w:val="00813348"/>
    <w:rsid w:val="00822762"/>
    <w:rsid w:val="0082285F"/>
    <w:rsid w:val="008253BB"/>
    <w:rsid w:val="00834E0E"/>
    <w:rsid w:val="0083706E"/>
    <w:rsid w:val="008408F6"/>
    <w:rsid w:val="00840C7F"/>
    <w:rsid w:val="008423A5"/>
    <w:rsid w:val="00850625"/>
    <w:rsid w:val="00853718"/>
    <w:rsid w:val="00855221"/>
    <w:rsid w:val="008555D5"/>
    <w:rsid w:val="00860645"/>
    <w:rsid w:val="00860647"/>
    <w:rsid w:val="00871F71"/>
    <w:rsid w:val="00872FD8"/>
    <w:rsid w:val="00885AF4"/>
    <w:rsid w:val="00885CA1"/>
    <w:rsid w:val="00892977"/>
    <w:rsid w:val="008939CD"/>
    <w:rsid w:val="008941F3"/>
    <w:rsid w:val="008A2AE7"/>
    <w:rsid w:val="008B17DE"/>
    <w:rsid w:val="008B768C"/>
    <w:rsid w:val="008C4DB1"/>
    <w:rsid w:val="008C4EAF"/>
    <w:rsid w:val="008C5176"/>
    <w:rsid w:val="008C7FD0"/>
    <w:rsid w:val="008D4D53"/>
    <w:rsid w:val="008E1DE7"/>
    <w:rsid w:val="008E707C"/>
    <w:rsid w:val="008F6523"/>
    <w:rsid w:val="008F6611"/>
    <w:rsid w:val="00900B08"/>
    <w:rsid w:val="00902155"/>
    <w:rsid w:val="00902FA3"/>
    <w:rsid w:val="00923564"/>
    <w:rsid w:val="0092392E"/>
    <w:rsid w:val="00927F58"/>
    <w:rsid w:val="009315F9"/>
    <w:rsid w:val="00933499"/>
    <w:rsid w:val="009334D8"/>
    <w:rsid w:val="00935C98"/>
    <w:rsid w:val="0093635C"/>
    <w:rsid w:val="00946945"/>
    <w:rsid w:val="00951248"/>
    <w:rsid w:val="0095152F"/>
    <w:rsid w:val="00954C49"/>
    <w:rsid w:val="00955E37"/>
    <w:rsid w:val="00960F5B"/>
    <w:rsid w:val="00962656"/>
    <w:rsid w:val="0097099F"/>
    <w:rsid w:val="00971997"/>
    <w:rsid w:val="00971FFC"/>
    <w:rsid w:val="0098607C"/>
    <w:rsid w:val="0098660A"/>
    <w:rsid w:val="00987007"/>
    <w:rsid w:val="009931C3"/>
    <w:rsid w:val="009A4458"/>
    <w:rsid w:val="009B2C43"/>
    <w:rsid w:val="009B4EAE"/>
    <w:rsid w:val="009B7573"/>
    <w:rsid w:val="009C22F4"/>
    <w:rsid w:val="009C2A4B"/>
    <w:rsid w:val="009C2E98"/>
    <w:rsid w:val="009D199C"/>
    <w:rsid w:val="009D3447"/>
    <w:rsid w:val="009D3AF1"/>
    <w:rsid w:val="009D4711"/>
    <w:rsid w:val="009D7E53"/>
    <w:rsid w:val="009F1185"/>
    <w:rsid w:val="009F18CD"/>
    <w:rsid w:val="009F2A13"/>
    <w:rsid w:val="009F7527"/>
    <w:rsid w:val="00A04EB0"/>
    <w:rsid w:val="00A130CC"/>
    <w:rsid w:val="00A13CC1"/>
    <w:rsid w:val="00A16847"/>
    <w:rsid w:val="00A20841"/>
    <w:rsid w:val="00A237D8"/>
    <w:rsid w:val="00A268C4"/>
    <w:rsid w:val="00A307CD"/>
    <w:rsid w:val="00A331C8"/>
    <w:rsid w:val="00A370FD"/>
    <w:rsid w:val="00A40A00"/>
    <w:rsid w:val="00A4142F"/>
    <w:rsid w:val="00A422EB"/>
    <w:rsid w:val="00A45BB7"/>
    <w:rsid w:val="00A56DF2"/>
    <w:rsid w:val="00A56E6E"/>
    <w:rsid w:val="00A6787D"/>
    <w:rsid w:val="00A67AB5"/>
    <w:rsid w:val="00A733B2"/>
    <w:rsid w:val="00A741C2"/>
    <w:rsid w:val="00A77616"/>
    <w:rsid w:val="00A91760"/>
    <w:rsid w:val="00A93B00"/>
    <w:rsid w:val="00A93C21"/>
    <w:rsid w:val="00AB262A"/>
    <w:rsid w:val="00AB3015"/>
    <w:rsid w:val="00AB64C9"/>
    <w:rsid w:val="00AB64F0"/>
    <w:rsid w:val="00AC098F"/>
    <w:rsid w:val="00AC3C6A"/>
    <w:rsid w:val="00AC7E5E"/>
    <w:rsid w:val="00AD5620"/>
    <w:rsid w:val="00AD656B"/>
    <w:rsid w:val="00AD7C1B"/>
    <w:rsid w:val="00AE0065"/>
    <w:rsid w:val="00AE16BA"/>
    <w:rsid w:val="00AE1EBE"/>
    <w:rsid w:val="00AF270C"/>
    <w:rsid w:val="00AF4E63"/>
    <w:rsid w:val="00B011E4"/>
    <w:rsid w:val="00B015C8"/>
    <w:rsid w:val="00B03C9D"/>
    <w:rsid w:val="00B060AE"/>
    <w:rsid w:val="00B07AA4"/>
    <w:rsid w:val="00B10517"/>
    <w:rsid w:val="00B11997"/>
    <w:rsid w:val="00B14E76"/>
    <w:rsid w:val="00B161B8"/>
    <w:rsid w:val="00B2048C"/>
    <w:rsid w:val="00B310B9"/>
    <w:rsid w:val="00B35F3F"/>
    <w:rsid w:val="00B36858"/>
    <w:rsid w:val="00B36CBB"/>
    <w:rsid w:val="00B425E0"/>
    <w:rsid w:val="00B440AA"/>
    <w:rsid w:val="00B44B70"/>
    <w:rsid w:val="00B46A0E"/>
    <w:rsid w:val="00B53C56"/>
    <w:rsid w:val="00B57DAF"/>
    <w:rsid w:val="00B63EA4"/>
    <w:rsid w:val="00B77EA6"/>
    <w:rsid w:val="00B81598"/>
    <w:rsid w:val="00B841F1"/>
    <w:rsid w:val="00B856CE"/>
    <w:rsid w:val="00B90E4E"/>
    <w:rsid w:val="00B93C78"/>
    <w:rsid w:val="00B94118"/>
    <w:rsid w:val="00B944D6"/>
    <w:rsid w:val="00B965DC"/>
    <w:rsid w:val="00BB4DF0"/>
    <w:rsid w:val="00BC1A18"/>
    <w:rsid w:val="00BC289F"/>
    <w:rsid w:val="00BC2D50"/>
    <w:rsid w:val="00BC5361"/>
    <w:rsid w:val="00BC5460"/>
    <w:rsid w:val="00BC6B50"/>
    <w:rsid w:val="00BD0E25"/>
    <w:rsid w:val="00BD3E3E"/>
    <w:rsid w:val="00BD418A"/>
    <w:rsid w:val="00BE7501"/>
    <w:rsid w:val="00BF2D94"/>
    <w:rsid w:val="00BF5BD6"/>
    <w:rsid w:val="00C03E31"/>
    <w:rsid w:val="00C273C1"/>
    <w:rsid w:val="00C27E95"/>
    <w:rsid w:val="00C331DE"/>
    <w:rsid w:val="00C33E72"/>
    <w:rsid w:val="00C354B2"/>
    <w:rsid w:val="00C35554"/>
    <w:rsid w:val="00C42709"/>
    <w:rsid w:val="00C533CC"/>
    <w:rsid w:val="00C5751C"/>
    <w:rsid w:val="00C61BFC"/>
    <w:rsid w:val="00C62B85"/>
    <w:rsid w:val="00C65438"/>
    <w:rsid w:val="00C71B53"/>
    <w:rsid w:val="00C7394F"/>
    <w:rsid w:val="00C87FD8"/>
    <w:rsid w:val="00C91381"/>
    <w:rsid w:val="00C91CBB"/>
    <w:rsid w:val="00CB4E70"/>
    <w:rsid w:val="00CB5399"/>
    <w:rsid w:val="00CC09B6"/>
    <w:rsid w:val="00CC666F"/>
    <w:rsid w:val="00CD1E3F"/>
    <w:rsid w:val="00CD4ED8"/>
    <w:rsid w:val="00CD64B4"/>
    <w:rsid w:val="00CE44F6"/>
    <w:rsid w:val="00CE49DA"/>
    <w:rsid w:val="00CE7B61"/>
    <w:rsid w:val="00D00095"/>
    <w:rsid w:val="00D013C8"/>
    <w:rsid w:val="00D114F0"/>
    <w:rsid w:val="00D20596"/>
    <w:rsid w:val="00D20620"/>
    <w:rsid w:val="00D2395F"/>
    <w:rsid w:val="00D254F7"/>
    <w:rsid w:val="00D26091"/>
    <w:rsid w:val="00D2685C"/>
    <w:rsid w:val="00D34E7C"/>
    <w:rsid w:val="00D35489"/>
    <w:rsid w:val="00D36AFE"/>
    <w:rsid w:val="00D51276"/>
    <w:rsid w:val="00D67A8B"/>
    <w:rsid w:val="00D7035F"/>
    <w:rsid w:val="00D81A47"/>
    <w:rsid w:val="00D84004"/>
    <w:rsid w:val="00D9195A"/>
    <w:rsid w:val="00DA634F"/>
    <w:rsid w:val="00DA65AC"/>
    <w:rsid w:val="00DB1913"/>
    <w:rsid w:val="00DB342F"/>
    <w:rsid w:val="00DC410D"/>
    <w:rsid w:val="00DC5A81"/>
    <w:rsid w:val="00DC68CA"/>
    <w:rsid w:val="00DC74B0"/>
    <w:rsid w:val="00DC7CBA"/>
    <w:rsid w:val="00DD35C5"/>
    <w:rsid w:val="00DD65F7"/>
    <w:rsid w:val="00DD73B7"/>
    <w:rsid w:val="00DE279C"/>
    <w:rsid w:val="00DF02CD"/>
    <w:rsid w:val="00DF28BC"/>
    <w:rsid w:val="00DF34B9"/>
    <w:rsid w:val="00DF750A"/>
    <w:rsid w:val="00E01053"/>
    <w:rsid w:val="00E07ACF"/>
    <w:rsid w:val="00E10730"/>
    <w:rsid w:val="00E31804"/>
    <w:rsid w:val="00E32CAD"/>
    <w:rsid w:val="00E331A1"/>
    <w:rsid w:val="00E33202"/>
    <w:rsid w:val="00E336A9"/>
    <w:rsid w:val="00E472B1"/>
    <w:rsid w:val="00E50624"/>
    <w:rsid w:val="00E568DF"/>
    <w:rsid w:val="00E64269"/>
    <w:rsid w:val="00E70975"/>
    <w:rsid w:val="00E82267"/>
    <w:rsid w:val="00E853CE"/>
    <w:rsid w:val="00E867B6"/>
    <w:rsid w:val="00E9002D"/>
    <w:rsid w:val="00EA010F"/>
    <w:rsid w:val="00EA3086"/>
    <w:rsid w:val="00EB64D9"/>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1480"/>
    <w:rsid w:val="00F36D8F"/>
    <w:rsid w:val="00F417B1"/>
    <w:rsid w:val="00F45853"/>
    <w:rsid w:val="00F514E6"/>
    <w:rsid w:val="00F528F3"/>
    <w:rsid w:val="00F53347"/>
    <w:rsid w:val="00F56B97"/>
    <w:rsid w:val="00F602DF"/>
    <w:rsid w:val="00F754A1"/>
    <w:rsid w:val="00F772E5"/>
    <w:rsid w:val="00F81FD9"/>
    <w:rsid w:val="00F841AA"/>
    <w:rsid w:val="00F84A94"/>
    <w:rsid w:val="00F87E96"/>
    <w:rsid w:val="00FA23E8"/>
    <w:rsid w:val="00FC2607"/>
    <w:rsid w:val="00FC286F"/>
    <w:rsid w:val="00FD3CC1"/>
    <w:rsid w:val="00FE4627"/>
    <w:rsid w:val="00FF0F79"/>
    <w:rsid w:val="00FF1E02"/>
    <w:rsid w:val="00FF30B4"/>
    <w:rsid w:val="01011432"/>
    <w:rsid w:val="01170C55"/>
    <w:rsid w:val="02241FDF"/>
    <w:rsid w:val="03745A68"/>
    <w:rsid w:val="056D353A"/>
    <w:rsid w:val="07C733D5"/>
    <w:rsid w:val="08384ACC"/>
    <w:rsid w:val="088C61A1"/>
    <w:rsid w:val="0A2032A3"/>
    <w:rsid w:val="0B226B74"/>
    <w:rsid w:val="0BA80E28"/>
    <w:rsid w:val="10C055FF"/>
    <w:rsid w:val="1122342A"/>
    <w:rsid w:val="118107EC"/>
    <w:rsid w:val="127D3A51"/>
    <w:rsid w:val="16BB723D"/>
    <w:rsid w:val="178070FD"/>
    <w:rsid w:val="18EA45A0"/>
    <w:rsid w:val="1A4E7CD9"/>
    <w:rsid w:val="1A515655"/>
    <w:rsid w:val="1B355F99"/>
    <w:rsid w:val="1C185B56"/>
    <w:rsid w:val="1D155CEE"/>
    <w:rsid w:val="1D813BCE"/>
    <w:rsid w:val="21F568A6"/>
    <w:rsid w:val="223B434C"/>
    <w:rsid w:val="240371BF"/>
    <w:rsid w:val="24C36CD8"/>
    <w:rsid w:val="24D42622"/>
    <w:rsid w:val="24E11C37"/>
    <w:rsid w:val="28441A80"/>
    <w:rsid w:val="295A3899"/>
    <w:rsid w:val="29FD04D3"/>
    <w:rsid w:val="2A2E29E8"/>
    <w:rsid w:val="2B095BA0"/>
    <w:rsid w:val="2B634FBD"/>
    <w:rsid w:val="2C4604BD"/>
    <w:rsid w:val="2E423D71"/>
    <w:rsid w:val="2F05640D"/>
    <w:rsid w:val="30874C00"/>
    <w:rsid w:val="30890978"/>
    <w:rsid w:val="319F7F4E"/>
    <w:rsid w:val="368D0A96"/>
    <w:rsid w:val="36E25286"/>
    <w:rsid w:val="37060F75"/>
    <w:rsid w:val="39E62997"/>
    <w:rsid w:val="3CCD349B"/>
    <w:rsid w:val="3DC70D32"/>
    <w:rsid w:val="3FAC0712"/>
    <w:rsid w:val="3FE61943"/>
    <w:rsid w:val="41984EBF"/>
    <w:rsid w:val="42366486"/>
    <w:rsid w:val="43734A05"/>
    <w:rsid w:val="473D3E13"/>
    <w:rsid w:val="491A265E"/>
    <w:rsid w:val="4A0A26D2"/>
    <w:rsid w:val="4ACD5375"/>
    <w:rsid w:val="4BD55BDF"/>
    <w:rsid w:val="4E3C6BD2"/>
    <w:rsid w:val="4E8F13F8"/>
    <w:rsid w:val="4ECE2238"/>
    <w:rsid w:val="4FE2511A"/>
    <w:rsid w:val="53D24869"/>
    <w:rsid w:val="56715961"/>
    <w:rsid w:val="5BD14DFE"/>
    <w:rsid w:val="5BD43888"/>
    <w:rsid w:val="5D333022"/>
    <w:rsid w:val="5E7423B8"/>
    <w:rsid w:val="5EC23124"/>
    <w:rsid w:val="5EE05796"/>
    <w:rsid w:val="5F77A4F4"/>
    <w:rsid w:val="5FFC2665"/>
    <w:rsid w:val="60C71747"/>
    <w:rsid w:val="62EE14A0"/>
    <w:rsid w:val="6424383C"/>
    <w:rsid w:val="65087B23"/>
    <w:rsid w:val="67BB5E6B"/>
    <w:rsid w:val="6848469A"/>
    <w:rsid w:val="68AB2E7A"/>
    <w:rsid w:val="6905258B"/>
    <w:rsid w:val="69DF102E"/>
    <w:rsid w:val="69F05F45"/>
    <w:rsid w:val="6B2036AC"/>
    <w:rsid w:val="6C4A05C8"/>
    <w:rsid w:val="6F504A21"/>
    <w:rsid w:val="6FA443D3"/>
    <w:rsid w:val="701A0990"/>
    <w:rsid w:val="70871AD7"/>
    <w:rsid w:val="72001B41"/>
    <w:rsid w:val="72734D90"/>
    <w:rsid w:val="74D477FC"/>
    <w:rsid w:val="75FB71EF"/>
    <w:rsid w:val="792D59FA"/>
    <w:rsid w:val="7D17F982"/>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9"/>
    <w:qFormat/>
    <w:uiPriority w:val="0"/>
    <w:pPr>
      <w:spacing w:beforeLines="30"/>
    </w:pPr>
    <w:rPr>
      <w:rFonts w:ascii="仿宋_GB2312" w:eastAsia="仿宋_GB2312"/>
      <w:kern w:val="0"/>
      <w:sz w:val="24"/>
      <w:szCs w:val="20"/>
      <w:lang w:val="zh-CN"/>
    </w:rPr>
  </w:style>
  <w:style w:type="paragraph" w:styleId="8">
    <w:name w:val="Body Text Indent"/>
    <w:basedOn w:val="1"/>
    <w:qFormat/>
    <w:uiPriority w:val="0"/>
    <w:pPr>
      <w:spacing w:after="120"/>
      <w:ind w:leftChars="200"/>
    </w:pPr>
    <w:rPr>
      <w:rFonts w:ascii="仿宋_GB2312"/>
      <w:szCs w:val="3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4"/>
    <w:semiHidden/>
    <w:unhideWhenUsed/>
    <w:qFormat/>
    <w:uiPriority w:val="99"/>
    <w:rPr>
      <w:sz w:val="18"/>
      <w:szCs w:val="18"/>
    </w:rPr>
  </w:style>
  <w:style w:type="paragraph" w:styleId="13">
    <w:name w:val="footer"/>
    <w:basedOn w:val="1"/>
    <w:link w:val="38"/>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7"/>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footnote text"/>
    <w:basedOn w:val="1"/>
    <w:next w:val="18"/>
    <w:semiHidden/>
    <w:qFormat/>
    <w:uiPriority w:val="0"/>
    <w:pPr>
      <w:snapToGrid w:val="0"/>
      <w:jc w:val="left"/>
    </w:pPr>
    <w:rPr>
      <w:sz w:val="18"/>
      <w:szCs w:val="18"/>
    </w:rPr>
  </w:style>
  <w:style w:type="paragraph" w:styleId="18">
    <w:name w:val="Body Text First Indent 2"/>
    <w:basedOn w:val="8"/>
    <w:unhideWhenUsed/>
    <w:qFormat/>
    <w:uiPriority w:val="99"/>
    <w:pPr>
      <w:ind w:firstLine="420" w:firstLineChars="200"/>
    </w:p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able of figures"/>
    <w:basedOn w:val="1"/>
    <w:next w:val="1"/>
    <w:unhideWhenUsed/>
    <w:qFormat/>
    <w:uiPriority w:val="0"/>
    <w:pPr>
      <w:ind w:left="200" w:leftChars="200" w:hanging="200" w:hangingChars="200"/>
    </w:pPr>
    <w:rPr>
      <w:rFonts w:eastAsia="仿宋_GB2312"/>
      <w:sz w:val="32"/>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basedOn w:val="1"/>
    <w:qFormat/>
    <w:uiPriority w:val="0"/>
    <w:pPr>
      <w:spacing w:before="100" w:beforeAutospacing="1" w:after="100" w:afterAutospacing="1"/>
      <w:jc w:val="left"/>
    </w:pPr>
    <w:rPr>
      <w:rFonts w:ascii="Calibri" w:hAnsi="Calibri"/>
      <w:kern w:val="0"/>
      <w:sz w:val="24"/>
    </w:rPr>
  </w:style>
  <w:style w:type="table" w:styleId="2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cs="Times New Roman"/>
      <w:b/>
    </w:rPr>
  </w:style>
  <w:style w:type="character" w:styleId="28">
    <w:name w:val="Hyperlink"/>
    <w:basedOn w:val="26"/>
    <w:unhideWhenUsed/>
    <w:qFormat/>
    <w:uiPriority w:val="99"/>
    <w:rPr>
      <w:rFonts w:cs="Times New Roman"/>
      <w:color w:val="0000FF"/>
      <w:u w:val="single"/>
    </w:rPr>
  </w:style>
  <w:style w:type="character" w:styleId="29">
    <w:name w:val="annotation reference"/>
    <w:basedOn w:val="26"/>
    <w:qFormat/>
    <w:uiPriority w:val="0"/>
    <w:rPr>
      <w:sz w:val="21"/>
      <w:szCs w:val="21"/>
    </w:rPr>
  </w:style>
  <w:style w:type="character" w:customStyle="1" w:styleId="30">
    <w:name w:val="标题 1 Char"/>
    <w:basedOn w:val="26"/>
    <w:link w:val="3"/>
    <w:qFormat/>
    <w:locked/>
    <w:uiPriority w:val="9"/>
    <w:rPr>
      <w:rFonts w:ascii="Times New Roman" w:hAnsi="Times New Roman" w:cs="Times New Roman"/>
      <w:b/>
      <w:bCs/>
      <w:kern w:val="44"/>
      <w:sz w:val="44"/>
      <w:szCs w:val="44"/>
    </w:rPr>
  </w:style>
  <w:style w:type="character" w:customStyle="1" w:styleId="31">
    <w:name w:val="标题 2 Char"/>
    <w:basedOn w:val="26"/>
    <w:link w:val="4"/>
    <w:qFormat/>
    <w:locked/>
    <w:uiPriority w:val="9"/>
    <w:rPr>
      <w:rFonts w:ascii="Cambria" w:hAnsi="Cambria" w:eastAsia="宋体" w:cs="Times New Roman"/>
      <w:b/>
      <w:bCs/>
      <w:kern w:val="2"/>
      <w:sz w:val="32"/>
      <w:szCs w:val="32"/>
    </w:rPr>
  </w:style>
  <w:style w:type="character" w:customStyle="1" w:styleId="32">
    <w:name w:val="标题 3 Char"/>
    <w:basedOn w:val="26"/>
    <w:link w:val="5"/>
    <w:qFormat/>
    <w:locked/>
    <w:uiPriority w:val="9"/>
    <w:rPr>
      <w:rFonts w:ascii="Times New Roman" w:hAnsi="Times New Roman" w:cs="Times New Roman"/>
      <w:b/>
      <w:bCs/>
      <w:kern w:val="2"/>
      <w:sz w:val="32"/>
      <w:szCs w:val="32"/>
    </w:rPr>
  </w:style>
  <w:style w:type="character" w:customStyle="1" w:styleId="33">
    <w:name w:val="Body Text Char"/>
    <w:basedOn w:val="26"/>
    <w:semiHidden/>
    <w:qFormat/>
    <w:uiPriority w:val="99"/>
    <w:rPr>
      <w:rFonts w:ascii="Times New Roman" w:hAnsi="Times New Roman" w:cs="Times New Roman"/>
      <w:sz w:val="24"/>
      <w:szCs w:val="24"/>
    </w:rPr>
  </w:style>
  <w:style w:type="character" w:customStyle="1" w:styleId="34">
    <w:name w:val="批注框文本 Char"/>
    <w:basedOn w:val="26"/>
    <w:link w:val="12"/>
    <w:semiHidden/>
    <w:qFormat/>
    <w:locked/>
    <w:uiPriority w:val="99"/>
    <w:rPr>
      <w:rFonts w:ascii="Times New Roman" w:hAnsi="Times New Roman" w:cs="Times New Roman"/>
      <w:kern w:val="2"/>
      <w:sz w:val="18"/>
      <w:szCs w:val="18"/>
    </w:rPr>
  </w:style>
  <w:style w:type="character" w:customStyle="1" w:styleId="35">
    <w:name w:val="Footer Char"/>
    <w:basedOn w:val="26"/>
    <w:semiHidden/>
    <w:qFormat/>
    <w:uiPriority w:val="99"/>
    <w:rPr>
      <w:rFonts w:ascii="Times New Roman" w:hAnsi="Times New Roman" w:cs="Times New Roman"/>
      <w:sz w:val="18"/>
      <w:szCs w:val="18"/>
    </w:rPr>
  </w:style>
  <w:style w:type="character" w:customStyle="1" w:styleId="36">
    <w:name w:val="Header Char"/>
    <w:basedOn w:val="26"/>
    <w:semiHidden/>
    <w:qFormat/>
    <w:uiPriority w:val="99"/>
    <w:rPr>
      <w:rFonts w:ascii="Times New Roman" w:hAnsi="Times New Roman" w:cs="Times New Roman"/>
      <w:sz w:val="18"/>
      <w:szCs w:val="18"/>
    </w:rPr>
  </w:style>
  <w:style w:type="character" w:customStyle="1" w:styleId="37">
    <w:name w:val="页眉 Char"/>
    <w:link w:val="14"/>
    <w:semiHidden/>
    <w:qFormat/>
    <w:locked/>
    <w:uiPriority w:val="99"/>
    <w:rPr>
      <w:sz w:val="18"/>
    </w:rPr>
  </w:style>
  <w:style w:type="character" w:customStyle="1" w:styleId="38">
    <w:name w:val="页脚 Char"/>
    <w:link w:val="13"/>
    <w:qFormat/>
    <w:locked/>
    <w:uiPriority w:val="99"/>
    <w:rPr>
      <w:sz w:val="18"/>
    </w:rPr>
  </w:style>
  <w:style w:type="character" w:customStyle="1" w:styleId="39">
    <w:name w:val="正文文本 Char"/>
    <w:link w:val="7"/>
    <w:qFormat/>
    <w:locked/>
    <w:uiPriority w:val="99"/>
    <w:rPr>
      <w:rFonts w:ascii="仿宋_GB2312" w:hAnsi="Times New Roman" w:eastAsia="仿宋_GB2312"/>
      <w:sz w:val="24"/>
    </w:rPr>
  </w:style>
  <w:style w:type="paragraph" w:customStyle="1" w:styleId="4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1">
    <w:name w:val="列表段落1"/>
    <w:basedOn w:val="1"/>
    <w:qFormat/>
    <w:uiPriority w:val="34"/>
    <w:pPr>
      <w:ind w:firstLine="420" w:firstLineChars="200"/>
    </w:pPr>
  </w:style>
  <w:style w:type="paragraph" w:customStyle="1" w:styleId="42">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5">
    <w:name w:val="List Paragraph"/>
    <w:basedOn w:val="1"/>
    <w:qFormat/>
    <w:uiPriority w:val="34"/>
    <w:pPr>
      <w:ind w:firstLine="420" w:firstLineChars="200"/>
    </w:pPr>
  </w:style>
  <w:style w:type="paragraph" w:customStyle="1" w:styleId="46">
    <w:name w:val="四号正文"/>
    <w:qFormat/>
    <w:uiPriority w:val="0"/>
    <w:pPr>
      <w:widowControl w:val="0"/>
      <w:spacing w:line="360" w:lineRule="auto"/>
      <w:jc w:val="both"/>
    </w:pPr>
    <w:rPr>
      <w:rFonts w:ascii="??" w:hAnsi="??" w:eastAsia="宋体" w:cs="Times New Roman"/>
      <w:color w:val="000000"/>
      <w:sz w:val="28"/>
      <w:szCs w:val="21"/>
      <w:lang w:val="zh-CN" w:eastAsia="zh-CN" w:bidi="ar-SA"/>
    </w:rPr>
  </w:style>
  <w:style w:type="paragraph" w:customStyle="1" w:styleId="47">
    <w:name w:val="图表目录1"/>
    <w:basedOn w:val="1"/>
    <w:next w:val="1"/>
    <w:qFormat/>
    <w:uiPriority w:val="0"/>
    <w:pPr>
      <w:ind w:left="400" w:leftChars="200" w:hanging="200" w:hangingChars="200"/>
    </w:pPr>
    <w:rPr>
      <w:rFonts w:eastAsia="仿宋_GB2312"/>
      <w:sz w:val="32"/>
      <w:szCs w:val="32"/>
    </w:rPr>
  </w:style>
  <w:style w:type="character" w:customStyle="1" w:styleId="48">
    <w:name w:val="font21"/>
    <w:basedOn w:val="26"/>
    <w:qFormat/>
    <w:uiPriority w:val="0"/>
    <w:rPr>
      <w:rFonts w:ascii="宋体" w:hAnsi="宋体" w:eastAsia="宋体" w:cs="宋体"/>
      <w:color w:val="000000"/>
      <w:sz w:val="18"/>
      <w:szCs w:val="18"/>
      <w:u w:val="none"/>
    </w:rPr>
  </w:style>
  <w:style w:type="character" w:customStyle="1" w:styleId="49">
    <w:name w:val="font71"/>
    <w:basedOn w:val="26"/>
    <w:qFormat/>
    <w:uiPriority w:val="0"/>
    <w:rPr>
      <w:rFonts w:hint="default" w:ascii="Times New Roman" w:hAnsi="Times New Roman" w:cs="Times New Roman"/>
      <w:color w:val="000000"/>
      <w:sz w:val="24"/>
      <w:szCs w:val="24"/>
      <w:u w:val="none"/>
    </w:rPr>
  </w:style>
  <w:style w:type="character" w:customStyle="1" w:styleId="50">
    <w:name w:val="font81"/>
    <w:basedOn w:val="26"/>
    <w:qFormat/>
    <w:uiPriority w:val="0"/>
    <w:rPr>
      <w:rFonts w:hint="default" w:ascii="Times New Roman" w:hAnsi="Times New Roman" w:cs="Times New Roman"/>
      <w:color w:val="000000"/>
      <w:sz w:val="24"/>
      <w:szCs w:val="24"/>
      <w:u w:val="none"/>
    </w:rPr>
  </w:style>
  <w:style w:type="character" w:customStyle="1" w:styleId="51">
    <w:name w:val="font91"/>
    <w:basedOn w:val="26"/>
    <w:qFormat/>
    <w:uiPriority w:val="0"/>
    <w:rPr>
      <w:rFonts w:hint="eastAsia" w:ascii="宋体" w:hAnsi="宋体" w:eastAsia="宋体" w:cs="宋体"/>
      <w:color w:val="000000"/>
      <w:sz w:val="24"/>
      <w:szCs w:val="24"/>
      <w:u w:val="none"/>
    </w:rPr>
  </w:style>
  <w:style w:type="character" w:customStyle="1" w:styleId="52">
    <w:name w:val="font10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4180;&#36164;&#26009;\&#32852;&#31038;\&#36130;&#25919;\&#36130;&#21153;&#25253;&#21578;\for%20&#26446;&#23159;&#259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for%20&#26446;&#23159;&#2591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for%20&#26446;&#23159;&#2591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for%20&#26446;&#23159;&#2591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for%20&#26446;&#23159;&#259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李婷改.xlsx]Sheet1'!$B$3:$B$4</c:f>
              <c:numCache>
                <c:formatCode>General</c:formatCode>
                <c:ptCount val="2"/>
                <c:pt idx="0">
                  <c:v>403.99</c:v>
                </c:pt>
                <c:pt idx="1">
                  <c:v>536.21</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李婷改.xlsx]Sheet1'!$C$3:$C$4</c:f>
              <c:numCache>
                <c:formatCode>General</c:formatCode>
                <c:ptCount val="2"/>
                <c:pt idx="0">
                  <c:v>403.99</c:v>
                </c:pt>
                <c:pt idx="1">
                  <c:v>536.21</c:v>
                </c:pt>
              </c:numCache>
            </c:numRef>
          </c:val>
        </c:ser>
        <c:dLbls>
          <c:showLegendKey val="0"/>
          <c:showVal val="1"/>
          <c:showCatName val="0"/>
          <c:showSerName val="0"/>
          <c:showPercent val="0"/>
          <c:showBubbleSize val="0"/>
        </c:dLbls>
        <c:gapWidth val="219"/>
        <c:overlap val="-27"/>
        <c:axId val="156594560"/>
        <c:axId val="156596096"/>
      </c:barChart>
      <c:catAx>
        <c:axId val="1565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6096"/>
        <c:crosses val="autoZero"/>
        <c:auto val="1"/>
        <c:lblAlgn val="ctr"/>
        <c:lblOffset val="100"/>
        <c:noMultiLvlLbl val="0"/>
      </c:catAx>
      <c:valAx>
        <c:axId val="15659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4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8ad3ee-0832-4139-b611-bdf9a61b60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年度收入决算结构图</a:t>
            </a:r>
            <a:endParaRPr altLang="en-US"/>
          </a:p>
        </c:rich>
      </c:tx>
      <c:layout/>
      <c:overlay val="0"/>
      <c:spPr>
        <a:noFill/>
        <a:ln>
          <a:noFill/>
        </a:ln>
        <a:effectLst/>
      </c:spPr>
    </c:title>
    <c:autoTitleDeleted val="0"/>
    <c:plotArea>
      <c:layout/>
      <c:pieChart>
        <c:varyColors val="1"/>
        <c:ser>
          <c:idx val="0"/>
          <c:order val="0"/>
          <c:tx>
            <c:strRef>
              <c:f>[工作簿1]Sheet1!$B$10</c:f>
              <c:strCache>
                <c:ptCount val="1"/>
                <c:pt idx="0">
                  <c:v>2019年度收入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500000000003"/>
          <c:y val="0.13483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b7c5ed7-3697-4a99-8ebc-a592ed0c5d7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李婷改.xlsx]Sheet1'!$A$19:$A$20</c:f>
              <c:strCache>
                <c:ptCount val="2"/>
                <c:pt idx="0">
                  <c:v>基本支出</c:v>
                </c:pt>
                <c:pt idx="1">
                  <c:v>项目支出</c:v>
                </c:pt>
              </c:strCache>
            </c:strRef>
          </c:cat>
          <c:val>
            <c:numRef>
              <c:f>'[for 李婷改.xlsx]Sheet1'!$B$19:$B$20</c:f>
              <c:numCache>
                <c:formatCode>0.00%</c:formatCode>
                <c:ptCount val="2"/>
                <c:pt idx="0">
                  <c:v>0.3883</c:v>
                </c:pt>
                <c:pt idx="1">
                  <c:v>0.6117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bced67f-9e8a-49ef-8cad-22db00298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李婷改.xlsx]Sheet1'!$B$3:$B$4</c:f>
              <c:numCache>
                <c:formatCode>General</c:formatCode>
                <c:ptCount val="2"/>
                <c:pt idx="0">
                  <c:v>403.99</c:v>
                </c:pt>
                <c:pt idx="1">
                  <c:v>536.21</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李婷改.xlsx]Sheet1'!$C$3:$C$4</c:f>
              <c:numCache>
                <c:formatCode>General</c:formatCode>
                <c:ptCount val="2"/>
                <c:pt idx="0">
                  <c:v>403.99</c:v>
                </c:pt>
                <c:pt idx="1">
                  <c:v>536.21</c:v>
                </c:pt>
              </c:numCache>
            </c:numRef>
          </c:val>
        </c:ser>
        <c:dLbls>
          <c:showLegendKey val="0"/>
          <c:showVal val="1"/>
          <c:showCatName val="0"/>
          <c:showSerName val="0"/>
          <c:showPercent val="0"/>
          <c:showBubbleSize val="0"/>
        </c:dLbls>
        <c:gapWidth val="219"/>
        <c:overlap val="-27"/>
        <c:axId val="156594560"/>
        <c:axId val="156596096"/>
      </c:barChart>
      <c:catAx>
        <c:axId val="1565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6096"/>
        <c:crosses val="autoZero"/>
        <c:auto val="1"/>
        <c:lblAlgn val="ctr"/>
        <c:lblOffset val="100"/>
        <c:noMultiLvlLbl val="0"/>
      </c:catAx>
      <c:valAx>
        <c:axId val="15659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4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8ad3ee-0832-4139-b611-bdf9a61b60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李婷改.xlsx]Sheet1'!$A$52:$A$53</c:f>
              <c:strCache>
                <c:ptCount val="2"/>
                <c:pt idx="0">
                  <c:v>2023年</c:v>
                </c:pt>
                <c:pt idx="1">
                  <c:v>2024年</c:v>
                </c:pt>
              </c:strCache>
            </c:strRef>
          </c:cat>
          <c:val>
            <c:numRef>
              <c:f>'[for 李婷改.xlsx]Sheet1'!$B$52:$B$53</c:f>
              <c:numCache>
                <c:formatCode>General</c:formatCode>
                <c:ptCount val="2"/>
                <c:pt idx="0">
                  <c:v>403.99</c:v>
                </c:pt>
                <c:pt idx="1">
                  <c:v>536.21</c:v>
                </c:pt>
              </c:numCache>
            </c:numRef>
          </c:val>
        </c:ser>
        <c:dLbls>
          <c:showLegendKey val="0"/>
          <c:showVal val="1"/>
          <c:showCatName val="0"/>
          <c:showSerName val="0"/>
          <c:showPercent val="0"/>
          <c:showBubbleSize val="0"/>
        </c:dLbls>
        <c:gapWidth val="219"/>
        <c:overlap val="-27"/>
        <c:axId val="156799744"/>
        <c:axId val="156801280"/>
      </c:barChart>
      <c:catAx>
        <c:axId val="1567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801280"/>
        <c:crosses val="autoZero"/>
        <c:auto val="1"/>
        <c:lblAlgn val="ctr"/>
        <c:lblOffset val="100"/>
        <c:noMultiLvlLbl val="0"/>
      </c:catAx>
      <c:valAx>
        <c:axId val="1568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799744"/>
        <c:crosses val="autoZero"/>
        <c:crossBetween val="between"/>
      </c:valAx>
      <c:spPr>
        <a:noFill/>
        <a:ln>
          <a:noFill/>
        </a:ln>
        <a:effectLst/>
      </c:spPr>
    </c:plotArea>
    <c:plotVisOnly val="1"/>
    <c:dispBlanksAs val="gap"/>
    <c:showDLblsOverMax val="0"/>
    <c:extLst>
      <c:ext uri="{0b15fc19-7d7d-44ad-8c2d-2c3a37ce22c3}">
        <chartProps xmlns="https://web.wps.cn/et/2018/main" chartId="{8cfbbe1c-d015-4538-b900-436619ddfb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李婷改.xlsx]Sheet1'!$A$69:$A$73</c:f>
              <c:strCache>
                <c:ptCount val="5"/>
                <c:pt idx="0">
                  <c:v>社会保障和就业（类）</c:v>
                </c:pt>
                <c:pt idx="1">
                  <c:v>农林水（类）</c:v>
                </c:pt>
                <c:pt idx="2">
                  <c:v>商业服务业等支出（类）</c:v>
                </c:pt>
                <c:pt idx="3">
                  <c:v>住房保障（类）</c:v>
                </c:pt>
                <c:pt idx="4">
                  <c:v>卫生健康（类）</c:v>
                </c:pt>
              </c:strCache>
            </c:strRef>
          </c:cat>
          <c:val>
            <c:numRef>
              <c:f>'[for 李婷改.xlsx]Sheet1'!$B$69:$B$73</c:f>
              <c:numCache>
                <c:formatCode>0.00%</c:formatCode>
                <c:ptCount val="5"/>
                <c:pt idx="0">
                  <c:v>0.047</c:v>
                </c:pt>
                <c:pt idx="1">
                  <c:v>0.3599</c:v>
                </c:pt>
                <c:pt idx="2">
                  <c:v>0.5361</c:v>
                </c:pt>
                <c:pt idx="3">
                  <c:v>0.0297</c:v>
                </c:pt>
                <c:pt idx="4">
                  <c:v>0.0273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ee8f171-2aa6-4502-b3f0-14d9b97ff5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“三公”经费财政拨款支出结构</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Sheet1!$A$19:$A$21</c:f>
              <c:strCache>
                <c:ptCount val="3"/>
                <c:pt idx="0">
                  <c:v>公务接待费</c:v>
                </c:pt>
                <c:pt idx="1">
                  <c:v>因公出国</c:v>
                </c:pt>
                <c:pt idx="2">
                  <c:v>公务用车购置及运行维护费</c:v>
                </c:pt>
              </c:strCache>
            </c:strRef>
          </c:cat>
          <c:val>
            <c:numRef>
              <c:f>Sheet1!$B$19:$B$21</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1788d19-9988-4ab8-916f-bac59695cb0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3096FD-59EE-4FD7-B65B-B1AAC58601E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5337</Words>
  <Characters>5959</Characters>
  <Lines>136</Lines>
  <Paragraphs>38</Paragraphs>
  <TotalTime>2</TotalTime>
  <ScaleCrop>false</ScaleCrop>
  <LinksUpToDate>false</LinksUpToDate>
  <CharactersWithSpaces>6029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2023-09-07T03:49:00Z</dcterms:created>
  <dc:creator>曹颖</dc:creator>
  <cp:lastModifiedBy>初</cp:lastModifiedBy>
  <cp:lastPrinted>2025-09-18T09:48:00Z</cp:lastPrinted>
  <dcterms:modified xsi:type="dcterms:W3CDTF">2025-09-19T02:01:11Z</dcterms:modified>
  <dc:title>阿坝州部门决算说明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5354C6F2CFD24703AF48462BB3C28FDA_13</vt:lpwstr>
  </property>
  <property fmtid="{D5CDD505-2E9C-101B-9397-08002B2CF9AE}" pid="4" name="KSOTemplateDocerSaveRecord">
    <vt:lpwstr>eyJoZGlkIjoiM2M3ODVkZDQzMmMwZTY5MDM0NDIxMWYyNDdjYWI4MDEiLCJ1c2VySWQiOiI3Nzk4ODAwMzUifQ==</vt:lpwstr>
  </property>
</Properties>
</file>