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hAnsi="宋体" w:eastAsia="方正小标宋简体"/>
          <w:color w:val="000000"/>
          <w:sz w:val="72"/>
          <w:szCs w:val="72"/>
        </w:rPr>
      </w:pPr>
      <w:bookmarkStart w:id="0" w:name="_Toc15306267"/>
    </w:p>
    <w:p>
      <w:pPr>
        <w:jc w:val="center"/>
        <w:rPr>
          <w:rFonts w:ascii="黑体" w:hAnsi="黑体" w:eastAsia="黑体"/>
          <w:sz w:val="72"/>
          <w:szCs w:val="72"/>
        </w:rPr>
      </w:pPr>
      <w:bookmarkStart w:id="1" w:name="_Toc15377425"/>
      <w:bookmarkStart w:id="2" w:name="_Toc15396475"/>
      <w:bookmarkStart w:id="3" w:name="_Toc15377193"/>
      <w:bookmarkStart w:id="4" w:name="_Toc15396597"/>
      <w:bookmarkStart w:id="5" w:name="_Toc15378441"/>
      <w:r>
        <w:rPr>
          <w:rFonts w:hint="eastAsia" w:ascii="方正小标宋简体" w:eastAsia="方正小标宋简体"/>
          <w:sz w:val="72"/>
          <w:szCs w:val="72"/>
        </w:rPr>
        <w:t>202</w:t>
      </w:r>
      <w:r>
        <w:rPr>
          <w:rFonts w:hint="eastAsia" w:ascii="方正小标宋简体" w:eastAsia="方正小标宋简体"/>
          <w:sz w:val="72"/>
          <w:szCs w:val="72"/>
          <w:lang w:val="en-US" w:eastAsia="zh-CN"/>
        </w:rPr>
        <w:t>4</w:t>
      </w:r>
      <w:r>
        <w:rPr>
          <w:rFonts w:hint="eastAsia" w:ascii="方正小标宋简体" w:eastAsia="方正小标宋简体"/>
          <w:sz w:val="72"/>
          <w:szCs w:val="72"/>
        </w:rPr>
        <w:t>年度</w:t>
      </w:r>
      <w:bookmarkEnd w:id="1"/>
      <w:bookmarkEnd w:id="2"/>
      <w:bookmarkEnd w:id="3"/>
      <w:bookmarkEnd w:id="4"/>
      <w:bookmarkEnd w:id="5"/>
      <w:bookmarkStart w:id="6" w:name="_Toc15396598"/>
      <w:bookmarkStart w:id="7" w:name="_Toc15378442"/>
      <w:bookmarkStart w:id="8" w:name="_Toc15377426"/>
      <w:bookmarkStart w:id="9" w:name="_Toc15396476"/>
      <w:bookmarkStart w:id="10" w:name="_Toc15377194"/>
      <w:r>
        <w:rPr>
          <w:rFonts w:hint="eastAsia" w:ascii="方正小标宋简体" w:eastAsia="方正小标宋简体"/>
          <w:sz w:val="72"/>
          <w:szCs w:val="72"/>
          <w:lang w:eastAsia="zh-CN"/>
        </w:rPr>
        <w:t>四川省</w:t>
      </w:r>
      <w:r>
        <w:rPr>
          <w:rFonts w:hint="eastAsia" w:ascii="方正小标宋简体" w:eastAsia="方正小标宋简体"/>
          <w:sz w:val="72"/>
          <w:szCs w:val="72"/>
        </w:rPr>
        <w:t>阿坝州</w:t>
      </w:r>
    </w:p>
    <w:p>
      <w:pPr>
        <w:jc w:val="center"/>
        <w:rPr>
          <w:rFonts w:ascii="方正小标宋简体" w:eastAsia="方正小标宋简体"/>
          <w:sz w:val="72"/>
          <w:szCs w:val="72"/>
        </w:rPr>
      </w:pPr>
      <w:r>
        <w:rPr>
          <w:rFonts w:hint="eastAsia" w:ascii="方正小标宋简体" w:eastAsia="方正小标宋简体"/>
          <w:sz w:val="72"/>
          <w:szCs w:val="72"/>
        </w:rPr>
        <w:t>茂县</w:t>
      </w:r>
      <w:bookmarkEnd w:id="0"/>
      <w:bookmarkStart w:id="11" w:name="_Toc15306268"/>
      <w:r>
        <w:rPr>
          <w:rFonts w:hint="eastAsia" w:ascii="方正小标宋简体" w:eastAsia="方正小标宋简体"/>
          <w:sz w:val="72"/>
          <w:szCs w:val="72"/>
        </w:rPr>
        <w:t>供销合作社联合社</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spacing w:line="576" w:lineRule="exact"/>
        <w:ind w:left="420" w:leftChars="200" w:firstLine="320" w:firstLineChars="100"/>
        <w:jc w:val="left"/>
        <w:rPr>
          <w:rFonts w:ascii="宋体" w:cs="仿宋_GB2312"/>
          <w:sz w:val="32"/>
          <w:szCs w:val="32"/>
        </w:rPr>
      </w:pPr>
      <w:r>
        <w:rPr>
          <w:rFonts w:hint="eastAsia" w:ascii="宋体" w:cs="仿宋_GB2312"/>
          <w:sz w:val="32"/>
          <w:szCs w:val="32"/>
        </w:rPr>
        <w:t>已经保密审查、内容审定，同意对外公开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7"/>
        <w:jc w:val="center"/>
        <w:rPr>
          <w:rFonts w:ascii="仿宋_GB2312" w:eastAsia="仿宋_GB2312" w:hAnsiTheme="minorHAnsi"/>
          <w:b w:val="0"/>
          <w:bCs w:val="0"/>
          <w:sz w:val="24"/>
          <w:szCs w:val="24"/>
        </w:rPr>
      </w:pPr>
      <w:r>
        <w:rPr>
          <w:rFonts w:hint="eastAsia" w:ascii="仿宋_GB2312" w:eastAsia="仿宋_GB2312" w:hAnsiTheme="minorHAnsi"/>
          <w:b w:val="0"/>
          <w:bCs w:val="0"/>
          <w:sz w:val="24"/>
          <w:szCs w:val="24"/>
        </w:rPr>
        <w:t>公开时间：202</w:t>
      </w:r>
      <w:r>
        <w:rPr>
          <w:rFonts w:hint="eastAsia" w:ascii="仿宋_GB2312" w:eastAsia="仿宋_GB2312" w:hAnsiTheme="minorHAnsi"/>
          <w:b w:val="0"/>
          <w:bCs w:val="0"/>
          <w:sz w:val="24"/>
          <w:szCs w:val="24"/>
          <w:lang w:val="en-US" w:eastAsia="zh-CN"/>
        </w:rPr>
        <w:t>5</w:t>
      </w:r>
      <w:r>
        <w:rPr>
          <w:rFonts w:hint="eastAsia" w:ascii="仿宋_GB2312" w:eastAsia="仿宋_GB2312" w:hAnsiTheme="minorHAnsi"/>
          <w:b w:val="0"/>
          <w:bCs w:val="0"/>
          <w:sz w:val="24"/>
          <w:szCs w:val="24"/>
        </w:rPr>
        <w:t>年9 月</w:t>
      </w:r>
      <w:r>
        <w:rPr>
          <w:rFonts w:hint="eastAsia" w:ascii="仿宋_GB2312" w:eastAsia="仿宋_GB2312" w:hAnsiTheme="minorHAnsi"/>
          <w:b w:val="0"/>
          <w:bCs w:val="0"/>
          <w:sz w:val="24"/>
          <w:szCs w:val="24"/>
          <w:lang w:val="en-US" w:eastAsia="zh-CN"/>
        </w:rPr>
        <w:t>25</w:t>
      </w:r>
      <w:r>
        <w:rPr>
          <w:rFonts w:hint="eastAsia" w:ascii="仿宋_GB2312" w:eastAsia="仿宋_GB2312" w:hAnsiTheme="minorHAnsi"/>
          <w:b w:val="0"/>
          <w:bCs w:val="0"/>
          <w:sz w:val="24"/>
          <w:szCs w:val="24"/>
        </w:rPr>
        <w:t xml:space="preserve"> 日</w:t>
      </w:r>
    </w:p>
    <w:p>
      <w:pPr>
        <w:pStyle w:val="17"/>
        <w:tabs>
          <w:tab w:val="right" w:leader="dot" w:pos="8296"/>
        </w:tabs>
        <w:rPr>
          <w:rFonts w:ascii="仿宋_GB2312" w:hAnsi="仿宋" w:eastAsia="仿宋_GB2312"/>
          <w:b w:val="0"/>
          <w:bCs w:val="0"/>
          <w:caps w:val="0"/>
          <w:smallCaps/>
        </w:rPr>
      </w:pP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TOC \o \u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第一部分 部门概况</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fldChar w:fldCharType="begin"/>
      </w:r>
      <w:r>
        <w:rPr>
          <w:rFonts w:hint="eastAsia" w:ascii="仿宋_GB2312" w:hAnsi="仿宋" w:eastAsia="仿宋_GB2312"/>
          <w:b w:val="0"/>
          <w:bCs w:val="0"/>
          <w:caps w:val="0"/>
          <w:smallCaps/>
        </w:rPr>
        <w:instrText xml:space="preserve"> PAGEREF _Toc79163851 \h </w:instrText>
      </w:r>
      <w:r>
        <w:rPr>
          <w:rFonts w:hint="eastAsia" w:ascii="仿宋_GB2312" w:hAnsi="仿宋" w:eastAsia="仿宋_GB2312"/>
          <w:b w:val="0"/>
          <w:bCs w:val="0"/>
          <w:caps w:val="0"/>
          <w:smallCaps/>
        </w:rPr>
        <w:fldChar w:fldCharType="separate"/>
      </w:r>
      <w:r>
        <w:rPr>
          <w:rFonts w:hint="eastAsia" w:ascii="仿宋_GB2312" w:hAnsi="仿宋" w:eastAsia="仿宋_GB2312"/>
          <w:b w:val="0"/>
          <w:bCs w:val="0"/>
          <w:caps w:val="0"/>
          <w:smallCaps/>
        </w:rPr>
        <w:t>4</w:t>
      </w:r>
      <w:r>
        <w:rPr>
          <w:rFonts w:hint="eastAsia" w:ascii="仿宋_GB2312" w:hAnsi="仿宋" w:eastAsia="仿宋_GB2312"/>
          <w:b w:val="0"/>
          <w:bCs w:val="0"/>
          <w:caps w:val="0"/>
          <w:smallCaps/>
        </w:rPr>
        <w:fldChar w:fldCharType="end"/>
      </w:r>
    </w:p>
    <w:p>
      <w:pPr>
        <w:pStyle w:val="22"/>
        <w:tabs>
          <w:tab w:val="right" w:leader="dot" w:pos="8296"/>
        </w:tabs>
        <w:rPr>
          <w:rFonts w:ascii="仿宋_GB2312" w:hAnsi="仿宋" w:eastAsia="仿宋_GB2312"/>
        </w:rPr>
      </w:pPr>
      <w:r>
        <w:rPr>
          <w:rFonts w:hint="eastAsia" w:ascii="仿宋_GB2312" w:hAnsi="仿宋" w:eastAsia="仿宋_GB2312"/>
        </w:rPr>
        <w:t>一、</w:t>
      </w:r>
      <w:r>
        <w:rPr>
          <w:rFonts w:hint="eastAsia" w:ascii="仿宋_GB2312" w:hAnsi="仿宋" w:eastAsia="仿宋_GB2312"/>
          <w:lang w:eastAsia="zh-CN"/>
        </w:rPr>
        <w:t>部门职责</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_Toc79163852 \h </w:instrText>
      </w:r>
      <w:r>
        <w:rPr>
          <w:rFonts w:hint="eastAsia" w:ascii="仿宋_GB2312" w:hAnsi="仿宋" w:eastAsia="仿宋_GB2312"/>
        </w:rPr>
        <w:fldChar w:fldCharType="separate"/>
      </w:r>
      <w:r>
        <w:rPr>
          <w:rFonts w:hint="eastAsia" w:ascii="仿宋_GB2312" w:hAnsi="仿宋" w:eastAsia="仿宋_GB2312"/>
        </w:rPr>
        <w:t>4</w:t>
      </w:r>
      <w:r>
        <w:rPr>
          <w:rFonts w:hint="eastAsia" w:ascii="仿宋_GB2312" w:hAnsi="仿宋" w:eastAsia="仿宋_GB2312"/>
        </w:rPr>
        <w:fldChar w:fldCharType="end"/>
      </w:r>
    </w:p>
    <w:p>
      <w:pPr>
        <w:pStyle w:val="22"/>
        <w:tabs>
          <w:tab w:val="right" w:leader="dot" w:pos="8296"/>
        </w:tabs>
        <w:rPr>
          <w:rFonts w:hint="eastAsia" w:ascii="仿宋_GB2312" w:hAnsi="仿宋" w:eastAsia="仿宋_GB2312"/>
          <w:lang w:val="en-US" w:eastAsia="zh-CN"/>
        </w:rPr>
      </w:pPr>
      <w:r>
        <w:rPr>
          <w:rFonts w:hint="eastAsia" w:ascii="仿宋_GB2312" w:hAnsi="仿宋" w:eastAsia="仿宋_GB2312"/>
        </w:rPr>
        <w:t>二、机构设置</w:t>
      </w:r>
      <w:r>
        <w:rPr>
          <w:rFonts w:hint="eastAsia" w:ascii="仿宋_GB2312" w:hAnsi="仿宋" w:eastAsia="仿宋_GB2312"/>
        </w:rPr>
        <w:tab/>
      </w:r>
      <w:r>
        <w:rPr>
          <w:rFonts w:hint="eastAsia" w:ascii="仿宋_GB2312" w:hAnsi="仿宋" w:eastAsia="仿宋_GB2312"/>
          <w:lang w:val="en-US" w:eastAsia="zh-CN"/>
        </w:rPr>
        <w:t>5</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第二部分 202</w:t>
      </w:r>
      <w:r>
        <w:rPr>
          <w:rFonts w:hint="eastAsia" w:ascii="仿宋_GB2312" w:hAnsi="仿宋" w:eastAsia="仿宋_GB2312"/>
          <w:b w:val="0"/>
          <w:bCs w:val="0"/>
          <w:caps w:val="0"/>
          <w:smallCaps/>
          <w:lang w:val="en-US" w:eastAsia="zh-CN"/>
        </w:rPr>
        <w:t>4</w:t>
      </w:r>
      <w:r>
        <w:rPr>
          <w:rFonts w:hint="eastAsia" w:ascii="仿宋_GB2312" w:hAnsi="仿宋" w:eastAsia="仿宋_GB2312"/>
          <w:b w:val="0"/>
          <w:bCs w:val="0"/>
          <w:caps w:val="0"/>
          <w:smallCaps/>
        </w:rPr>
        <w:t>年度部门决算情况说明</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.6</w:t>
      </w:r>
    </w:p>
    <w:p>
      <w:pPr>
        <w:pStyle w:val="22"/>
        <w:tabs>
          <w:tab w:val="left" w:pos="840"/>
          <w:tab w:val="right" w:leader="dot" w:pos="8296"/>
        </w:tabs>
        <w:rPr>
          <w:rFonts w:hint="eastAsia" w:ascii="仿宋_GB2312" w:hAnsi="仿宋" w:eastAsia="仿宋_GB2312"/>
          <w:lang w:eastAsia="zh-CN"/>
        </w:rPr>
      </w:pPr>
      <w:r>
        <w:rPr>
          <w:rFonts w:hint="eastAsia" w:ascii="仿宋_GB2312" w:hAnsi="仿宋" w:eastAsia="仿宋_GB2312"/>
        </w:rPr>
        <w:t>一、</w:t>
      </w:r>
      <w:r>
        <w:rPr>
          <w:rFonts w:hint="eastAsia" w:ascii="仿宋_GB2312" w:hAnsi="仿宋" w:eastAsia="仿宋_GB2312"/>
        </w:rPr>
        <w:tab/>
      </w:r>
      <w:r>
        <w:rPr>
          <w:rFonts w:hint="eastAsia" w:ascii="仿宋_GB2312" w:hAnsi="仿宋" w:eastAsia="仿宋_GB2312"/>
        </w:rPr>
        <w:t>收入支出决算总体情况说明</w:t>
      </w:r>
      <w:r>
        <w:rPr>
          <w:rFonts w:hint="eastAsia" w:ascii="仿宋_GB2312" w:hAnsi="仿宋" w:eastAsia="仿宋_GB2312"/>
        </w:rPr>
        <w:tab/>
      </w:r>
      <w:r>
        <w:rPr>
          <w:rFonts w:hint="eastAsia" w:ascii="仿宋_GB2312" w:hAnsi="仿宋" w:eastAsia="仿宋_GB2312"/>
          <w:lang w:val="en-US" w:eastAsia="zh-CN"/>
        </w:rPr>
        <w:t>6</w:t>
      </w:r>
    </w:p>
    <w:p>
      <w:pPr>
        <w:pStyle w:val="22"/>
        <w:tabs>
          <w:tab w:val="left" w:pos="840"/>
          <w:tab w:val="right" w:leader="dot" w:pos="8296"/>
        </w:tabs>
        <w:rPr>
          <w:rFonts w:hint="eastAsia" w:ascii="仿宋_GB2312" w:hAnsi="仿宋" w:eastAsia="仿宋_GB2312"/>
          <w:lang w:eastAsia="zh-CN"/>
        </w:rPr>
      </w:pPr>
      <w:r>
        <w:rPr>
          <w:rFonts w:hint="eastAsia" w:ascii="仿宋_GB2312" w:hAnsi="仿宋" w:eastAsia="仿宋_GB2312"/>
        </w:rPr>
        <w:t>二、</w:t>
      </w:r>
      <w:r>
        <w:rPr>
          <w:rFonts w:hint="eastAsia" w:ascii="仿宋_GB2312" w:hAnsi="仿宋" w:eastAsia="仿宋_GB2312"/>
        </w:rPr>
        <w:tab/>
      </w:r>
      <w:r>
        <w:rPr>
          <w:rFonts w:hint="eastAsia" w:ascii="仿宋_GB2312" w:hAnsi="仿宋" w:eastAsia="仿宋_GB2312"/>
        </w:rPr>
        <w:t>收入决算情况说明</w:t>
      </w:r>
      <w:r>
        <w:rPr>
          <w:rFonts w:hint="eastAsia" w:ascii="仿宋_GB2312" w:hAnsi="仿宋" w:eastAsia="仿宋_GB2312"/>
        </w:rPr>
        <w:tab/>
      </w:r>
      <w:r>
        <w:rPr>
          <w:rFonts w:hint="eastAsia" w:ascii="仿宋_GB2312" w:hAnsi="仿宋" w:eastAsia="仿宋_GB2312"/>
          <w:lang w:val="en-US" w:eastAsia="zh-CN"/>
        </w:rPr>
        <w:t>7</w:t>
      </w:r>
    </w:p>
    <w:p>
      <w:pPr>
        <w:pStyle w:val="22"/>
        <w:tabs>
          <w:tab w:val="left" w:pos="840"/>
          <w:tab w:val="right" w:leader="dot" w:pos="8296"/>
        </w:tabs>
        <w:rPr>
          <w:rFonts w:hint="eastAsia" w:ascii="仿宋_GB2312" w:hAnsi="仿宋" w:eastAsia="仿宋_GB2312"/>
          <w:lang w:eastAsia="zh-CN"/>
        </w:rPr>
      </w:pPr>
      <w:r>
        <w:rPr>
          <w:rFonts w:hint="eastAsia" w:ascii="仿宋_GB2312" w:hAnsi="仿宋" w:eastAsia="仿宋_GB2312"/>
        </w:rPr>
        <w:t>三、</w:t>
      </w:r>
      <w:r>
        <w:rPr>
          <w:rFonts w:hint="eastAsia" w:ascii="仿宋_GB2312" w:hAnsi="仿宋" w:eastAsia="仿宋_GB2312"/>
        </w:rPr>
        <w:tab/>
      </w:r>
      <w:r>
        <w:rPr>
          <w:rFonts w:hint="eastAsia" w:ascii="仿宋_GB2312" w:hAnsi="仿宋" w:eastAsia="仿宋_GB2312"/>
        </w:rPr>
        <w:t>支出决算情况说明</w:t>
      </w:r>
      <w:r>
        <w:rPr>
          <w:rFonts w:hint="eastAsia" w:ascii="仿宋_GB2312" w:hAnsi="仿宋" w:eastAsia="仿宋_GB2312"/>
        </w:rPr>
        <w:tab/>
      </w:r>
      <w:r>
        <w:rPr>
          <w:rFonts w:hint="eastAsia" w:ascii="仿宋_GB2312" w:hAnsi="仿宋" w:eastAsia="仿宋_GB2312"/>
          <w:lang w:val="en-US" w:eastAsia="zh-CN"/>
        </w:rPr>
        <w:t>7</w:t>
      </w:r>
    </w:p>
    <w:p>
      <w:pPr>
        <w:pStyle w:val="22"/>
        <w:tabs>
          <w:tab w:val="right" w:leader="dot" w:pos="8296"/>
        </w:tabs>
        <w:rPr>
          <w:rFonts w:hint="eastAsia" w:ascii="仿宋_GB2312" w:hAnsi="仿宋" w:eastAsia="仿宋_GB2312"/>
          <w:lang w:eastAsia="zh-CN"/>
        </w:rPr>
      </w:pPr>
      <w:r>
        <w:rPr>
          <w:rFonts w:hint="eastAsia" w:ascii="仿宋_GB2312" w:hAnsi="仿宋" w:eastAsia="仿宋_GB2312"/>
        </w:rPr>
        <w:t>四、财政拨款收入支出决算总体情况说明</w:t>
      </w:r>
      <w:r>
        <w:rPr>
          <w:rFonts w:hint="eastAsia" w:ascii="仿宋_GB2312" w:hAnsi="仿宋" w:eastAsia="仿宋_GB2312"/>
        </w:rPr>
        <w:tab/>
      </w:r>
      <w:r>
        <w:rPr>
          <w:rFonts w:hint="eastAsia" w:ascii="仿宋_GB2312" w:hAnsi="仿宋" w:eastAsia="仿宋_GB2312"/>
          <w:lang w:val="en-US" w:eastAsia="zh-CN"/>
        </w:rPr>
        <w:t>8</w:t>
      </w:r>
    </w:p>
    <w:p>
      <w:pPr>
        <w:pStyle w:val="22"/>
        <w:tabs>
          <w:tab w:val="right" w:leader="dot" w:pos="8296"/>
        </w:tabs>
        <w:rPr>
          <w:rFonts w:hint="eastAsia" w:ascii="仿宋_GB2312" w:hAnsi="仿宋" w:eastAsia="仿宋_GB2312"/>
          <w:lang w:val="en-US" w:eastAsia="zh-CN"/>
        </w:rPr>
      </w:pPr>
      <w:r>
        <w:rPr>
          <w:rFonts w:hint="eastAsia" w:ascii="仿宋_GB2312" w:hAnsi="仿宋" w:eastAsia="仿宋_GB2312"/>
        </w:rPr>
        <w:t>五、一般公共预算财政拨款支出决算情况说明</w:t>
      </w:r>
      <w:r>
        <w:rPr>
          <w:rFonts w:hint="eastAsia" w:ascii="仿宋_GB2312" w:hAnsi="仿宋" w:eastAsia="仿宋_GB2312"/>
        </w:rPr>
        <w:tab/>
      </w:r>
      <w:r>
        <w:rPr>
          <w:rFonts w:hint="eastAsia" w:ascii="仿宋_GB2312" w:hAnsi="仿宋" w:eastAsia="仿宋_GB2312"/>
          <w:lang w:val="en-US" w:eastAsia="zh-CN"/>
        </w:rPr>
        <w:t>9</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（一）一般公共预算财政拨款支出决算总体情况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9</w:t>
      </w:r>
    </w:p>
    <w:p>
      <w:pPr>
        <w:pStyle w:val="12"/>
        <w:tabs>
          <w:tab w:val="right" w:leader="dot" w:pos="8296"/>
        </w:tabs>
        <w:rPr>
          <w:rFonts w:hint="default" w:ascii="仿宋_GB2312" w:hAnsi="仿宋" w:eastAsia="仿宋_GB2312"/>
          <w:i w:val="0"/>
          <w:iCs w:val="0"/>
          <w:smallCaps/>
          <w:lang w:val="en-US" w:eastAsia="zh-CN"/>
        </w:rPr>
      </w:pPr>
      <w:r>
        <w:rPr>
          <w:rFonts w:hint="eastAsia" w:ascii="仿宋_GB2312" w:hAnsi="仿宋" w:eastAsia="仿宋_GB2312"/>
          <w:i w:val="0"/>
          <w:iCs w:val="0"/>
          <w:smallCaps/>
        </w:rPr>
        <w:t>（二）一般公共预算财政拨款支出决算结构情况</w:t>
      </w:r>
      <w:r>
        <w:rPr>
          <w:rFonts w:hint="eastAsia" w:ascii="仿宋_GB2312" w:hAnsi="仿宋" w:eastAsia="仿宋_GB2312"/>
          <w:i w:val="0"/>
          <w:iCs w:val="0"/>
          <w:smallCaps/>
        </w:rPr>
        <w:tab/>
      </w:r>
      <w:r>
        <w:rPr>
          <w:rFonts w:hint="eastAsia" w:ascii="仿宋_GB2312" w:hAnsi="仿宋" w:eastAsia="仿宋_GB2312"/>
          <w:i w:val="0"/>
          <w:iCs w:val="0"/>
          <w:smallCaps/>
          <w:lang w:val="en-US" w:eastAsia="zh-CN"/>
        </w:rPr>
        <w:t>10</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（三）一般公共预算财政拨款支出决算具体情况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0</w:t>
      </w:r>
    </w:p>
    <w:p>
      <w:pPr>
        <w:pStyle w:val="22"/>
        <w:tabs>
          <w:tab w:val="right" w:leader="dot" w:pos="8296"/>
        </w:tabs>
        <w:rPr>
          <w:rFonts w:hint="eastAsia" w:ascii="仿宋_GB2312" w:hAnsi="仿宋" w:eastAsia="仿宋_GB2312"/>
          <w:lang w:val="en-US" w:eastAsia="zh-CN"/>
        </w:rPr>
      </w:pPr>
      <w:r>
        <w:rPr>
          <w:rFonts w:hint="eastAsia" w:ascii="仿宋_GB2312" w:hAnsi="仿宋" w:eastAsia="仿宋_GB2312"/>
        </w:rPr>
        <w:t>六、一般公共预算财政拨款基本支出决算情况说明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pPr>
        <w:pStyle w:val="22"/>
        <w:tabs>
          <w:tab w:val="right" w:leader="dot" w:pos="8296"/>
        </w:tabs>
        <w:rPr>
          <w:rFonts w:hint="eastAsia" w:ascii="仿宋_GB2312" w:hAnsi="仿宋" w:eastAsia="仿宋_GB2312"/>
          <w:lang w:val="en-US" w:eastAsia="zh-CN"/>
        </w:rPr>
      </w:pPr>
      <w:r>
        <w:rPr>
          <w:rFonts w:hint="eastAsia" w:ascii="仿宋_GB2312" w:hAnsi="仿宋" w:eastAsia="仿宋_GB2312"/>
        </w:rPr>
        <w:t>七、</w:t>
      </w:r>
      <w:r>
        <w:rPr>
          <w:rFonts w:hint="eastAsia" w:ascii="仿宋_GB2312" w:hAnsi="仿宋" w:eastAsia="仿宋_GB2312"/>
          <w:lang w:eastAsia="zh-CN"/>
        </w:rPr>
        <w:t>财政拨款</w:t>
      </w:r>
      <w:r>
        <w:rPr>
          <w:rFonts w:hint="eastAsia" w:ascii="仿宋_GB2312" w:hAnsi="仿宋" w:eastAsia="仿宋_GB2312"/>
        </w:rPr>
        <w:t>“三公”经费支出决算情况说明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2</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（一）“三公”经费财政拨款支出决算总体情况说明</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2</w:t>
      </w:r>
    </w:p>
    <w:p>
      <w:pPr>
        <w:pStyle w:val="12"/>
        <w:tabs>
          <w:tab w:val="right" w:leader="dot" w:pos="8296"/>
        </w:tabs>
        <w:rPr>
          <w:rFonts w:ascii="仿宋_GB2312" w:hAnsi="仿宋" w:eastAsia="仿宋_GB2312"/>
          <w:i w:val="0"/>
          <w:iCs w:val="0"/>
          <w:smallCaps/>
        </w:rPr>
      </w:pPr>
      <w:r>
        <w:rPr>
          <w:rFonts w:hint="eastAsia" w:ascii="仿宋_GB2312" w:hAnsi="仿宋" w:eastAsia="仿宋_GB2312"/>
          <w:i w:val="0"/>
          <w:iCs w:val="0"/>
          <w:smallCaps/>
        </w:rPr>
        <w:t>（二）“三公”经费财政拨款支出决算具体情况说明</w:t>
      </w:r>
      <w:r>
        <w:rPr>
          <w:rFonts w:hint="eastAsia" w:ascii="仿宋_GB2312" w:hAnsi="仿宋" w:eastAsia="仿宋_GB2312"/>
          <w:i w:val="0"/>
          <w:iCs w:val="0"/>
          <w:smallCaps/>
        </w:rPr>
        <w:tab/>
      </w:r>
      <w:r>
        <w:rPr>
          <w:rFonts w:hint="eastAsia" w:ascii="仿宋_GB2312" w:hAnsi="仿宋" w:eastAsia="仿宋_GB2312"/>
          <w:i w:val="0"/>
          <w:iCs w:val="0"/>
          <w:smallCaps/>
        </w:rPr>
        <w:fldChar w:fldCharType="begin"/>
      </w:r>
      <w:r>
        <w:rPr>
          <w:rFonts w:hint="eastAsia" w:ascii="仿宋_GB2312" w:hAnsi="仿宋" w:eastAsia="仿宋_GB2312"/>
          <w:i w:val="0"/>
          <w:iCs w:val="0"/>
          <w:smallCaps/>
        </w:rPr>
        <w:instrText xml:space="preserve"> PAGEREF _Toc79163871 \h </w:instrText>
      </w:r>
      <w:r>
        <w:rPr>
          <w:rFonts w:hint="eastAsia" w:ascii="仿宋_GB2312" w:hAnsi="仿宋" w:eastAsia="仿宋_GB2312"/>
          <w:i w:val="0"/>
          <w:iCs w:val="0"/>
          <w:smallCaps/>
        </w:rPr>
        <w:fldChar w:fldCharType="separate"/>
      </w:r>
      <w:r>
        <w:rPr>
          <w:rFonts w:hint="eastAsia" w:ascii="仿宋_GB2312" w:hAnsi="仿宋" w:eastAsia="仿宋_GB2312"/>
          <w:i w:val="0"/>
          <w:iCs w:val="0"/>
          <w:smallCaps/>
        </w:rPr>
        <w:t>11</w:t>
      </w:r>
      <w:r>
        <w:rPr>
          <w:rFonts w:hint="eastAsia" w:ascii="仿宋_GB2312" w:hAnsi="仿宋" w:eastAsia="仿宋_GB2312"/>
          <w:i w:val="0"/>
          <w:iCs w:val="0"/>
          <w:smallCaps/>
        </w:rPr>
        <w:fldChar w:fldCharType="end"/>
      </w:r>
    </w:p>
    <w:p>
      <w:pPr>
        <w:pStyle w:val="22"/>
        <w:tabs>
          <w:tab w:val="right" w:leader="dot" w:pos="8296"/>
        </w:tabs>
        <w:rPr>
          <w:rFonts w:ascii="仿宋_GB2312" w:hAnsi="仿宋" w:eastAsia="仿宋_GB2312"/>
        </w:rPr>
      </w:pPr>
      <w:r>
        <w:rPr>
          <w:rFonts w:hint="eastAsia" w:ascii="仿宋_GB2312" w:hAnsi="仿宋" w:eastAsia="仿宋_GB2312"/>
        </w:rPr>
        <w:t>八、政府性基金预算支出决算情况说明</w:t>
      </w:r>
      <w:r>
        <w:rPr>
          <w:rFonts w:hint="eastAsia" w:ascii="仿宋_GB2312" w:hAnsi="仿宋" w:eastAsia="仿宋_GB2312"/>
        </w:rPr>
        <w:tab/>
      </w:r>
      <w:r>
        <w:rPr>
          <w:rFonts w:hint="eastAsia" w:ascii="仿宋_GB2312" w:hAnsi="仿宋" w:eastAsia="仿宋_GB2312"/>
        </w:rPr>
        <w:fldChar w:fldCharType="begin"/>
      </w:r>
      <w:r>
        <w:rPr>
          <w:rFonts w:hint="eastAsia" w:ascii="仿宋_GB2312" w:hAnsi="仿宋" w:eastAsia="仿宋_GB2312"/>
        </w:rPr>
        <w:instrText xml:space="preserve"> PAGEREF _Toc79163872 \h </w:instrText>
      </w:r>
      <w:r>
        <w:rPr>
          <w:rFonts w:hint="eastAsia" w:ascii="仿宋_GB2312" w:hAnsi="仿宋" w:eastAsia="仿宋_GB2312"/>
        </w:rPr>
        <w:fldChar w:fldCharType="separate"/>
      </w:r>
      <w:r>
        <w:rPr>
          <w:rFonts w:hint="eastAsia" w:ascii="仿宋_GB2312" w:hAnsi="仿宋" w:eastAsia="仿宋_GB2312"/>
        </w:rPr>
        <w:t>12</w:t>
      </w:r>
      <w:r>
        <w:rPr>
          <w:rFonts w:hint="eastAsia" w:ascii="仿宋_GB2312" w:hAnsi="仿宋" w:eastAsia="仿宋_GB2312"/>
        </w:rPr>
        <w:fldChar w:fldCharType="end"/>
      </w:r>
    </w:p>
    <w:p>
      <w:pPr>
        <w:pStyle w:val="22"/>
        <w:tabs>
          <w:tab w:val="right" w:leader="dot" w:pos="8296"/>
        </w:tabs>
        <w:rPr>
          <w:rFonts w:hint="eastAsia" w:ascii="仿宋_GB2312" w:hAnsi="仿宋" w:eastAsia="仿宋_GB2312"/>
          <w:lang w:val="en-US" w:eastAsia="zh-CN"/>
        </w:rPr>
      </w:pPr>
      <w:r>
        <w:rPr>
          <w:rFonts w:hint="eastAsia" w:ascii="仿宋_GB2312" w:hAnsi="仿宋" w:eastAsia="仿宋_GB2312"/>
        </w:rPr>
        <w:t>九、 国有资本经营预算支出决算情况说明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4</w:t>
      </w:r>
    </w:p>
    <w:p>
      <w:pPr>
        <w:pStyle w:val="22"/>
        <w:tabs>
          <w:tab w:val="right" w:leader="dot" w:pos="8296"/>
        </w:tabs>
        <w:rPr>
          <w:rFonts w:hint="eastAsia" w:ascii="仿宋_GB2312" w:hAnsi="仿宋" w:eastAsia="仿宋_GB2312"/>
          <w:lang w:val="en-US" w:eastAsia="zh-CN"/>
        </w:rPr>
      </w:pPr>
      <w:r>
        <w:rPr>
          <w:rFonts w:hint="eastAsia" w:ascii="仿宋_GB2312" w:hAnsi="仿宋" w:eastAsia="仿宋_GB2312"/>
        </w:rPr>
        <w:t>十、其他重要事项的情况说明</w:t>
      </w:r>
      <w:r>
        <w:rPr>
          <w:rFonts w:hint="eastAsia" w:ascii="仿宋_GB2312" w:hAnsi="仿宋" w:eastAsia="仿宋_GB2312"/>
        </w:rPr>
        <w:tab/>
      </w:r>
      <w:r>
        <w:rPr>
          <w:rFonts w:hint="eastAsia" w:ascii="仿宋_GB2312" w:hAnsi="仿宋" w:eastAsia="仿宋_GB2312"/>
        </w:rPr>
        <w:t>1</w:t>
      </w:r>
      <w:r>
        <w:rPr>
          <w:rFonts w:hint="eastAsia" w:ascii="仿宋_GB2312" w:hAnsi="仿宋" w:eastAsia="仿宋_GB2312"/>
          <w:lang w:val="en-US" w:eastAsia="zh-CN"/>
        </w:rPr>
        <w:t>5</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（一）机关运行经费支出情况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5</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（二）政府采购支出情况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5</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（三）国有资产占有使用情况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5</w:t>
      </w:r>
    </w:p>
    <w:p>
      <w:pPr>
        <w:pStyle w:val="12"/>
        <w:tabs>
          <w:tab w:val="right" w:leader="dot" w:pos="8296"/>
        </w:tabs>
        <w:rPr>
          <w:rFonts w:hint="eastAsia" w:ascii="仿宋_GB2312" w:hAnsi="仿宋" w:eastAsia="仿宋_GB2312"/>
          <w:i w:val="0"/>
          <w:iCs w:val="0"/>
          <w:smallCaps/>
          <w:lang w:val="en-US" w:eastAsia="zh-CN"/>
        </w:rPr>
      </w:pPr>
      <w:r>
        <w:rPr>
          <w:rFonts w:hint="eastAsia" w:ascii="仿宋_GB2312" w:hAnsi="仿宋" w:eastAsia="仿宋_GB2312"/>
          <w:i w:val="0"/>
          <w:iCs w:val="0"/>
          <w:smallCaps/>
        </w:rPr>
        <w:t>（四）预算绩效管理情况</w:t>
      </w:r>
      <w:r>
        <w:rPr>
          <w:rFonts w:hint="eastAsia" w:ascii="仿宋_GB2312" w:hAnsi="仿宋" w:eastAsia="仿宋_GB2312"/>
          <w:i w:val="0"/>
          <w:iCs w:val="0"/>
          <w:smallCaps/>
        </w:rPr>
        <w:tab/>
      </w:r>
      <w:r>
        <w:rPr>
          <w:rFonts w:hint="eastAsia" w:ascii="仿宋_GB2312" w:hAnsi="仿宋" w:eastAsia="仿宋_GB2312"/>
          <w:i w:val="0"/>
          <w:iCs w:val="0"/>
          <w:smallCaps/>
        </w:rPr>
        <w:t>1</w:t>
      </w:r>
      <w:r>
        <w:rPr>
          <w:rFonts w:hint="eastAsia" w:ascii="仿宋_GB2312" w:hAnsi="仿宋" w:eastAsia="仿宋_GB2312"/>
          <w:i w:val="0"/>
          <w:iCs w:val="0"/>
          <w:smallCaps/>
          <w:lang w:val="en-US" w:eastAsia="zh-CN"/>
        </w:rPr>
        <w:t>5</w:t>
      </w:r>
    </w:p>
    <w:p>
      <w:pPr>
        <w:pStyle w:val="17"/>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第三部分 名词解释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1</w:t>
      </w:r>
      <w:r>
        <w:rPr>
          <w:rFonts w:hint="eastAsia" w:ascii="仿宋_GB2312" w:hAnsi="仿宋" w:eastAsia="仿宋_GB2312"/>
          <w:b w:val="0"/>
          <w:bCs w:val="0"/>
          <w:caps w:val="0"/>
          <w:smallCaps/>
          <w:lang w:val="en-US" w:eastAsia="zh-CN"/>
        </w:rPr>
        <w:t>6</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第四部分 附件</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附件1</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茂县供销合作社联合社202</w:t>
      </w:r>
      <w:r>
        <w:rPr>
          <w:rFonts w:hint="eastAsia" w:ascii="仿宋_GB2312" w:hAnsi="仿宋" w:eastAsia="仿宋_GB2312"/>
          <w:b w:val="0"/>
          <w:bCs w:val="0"/>
          <w:caps w:val="0"/>
          <w:smallCaps/>
          <w:lang w:val="en-US" w:eastAsia="zh-CN"/>
        </w:rPr>
        <w:t>4</w:t>
      </w:r>
      <w:r>
        <w:rPr>
          <w:rFonts w:hint="eastAsia" w:ascii="仿宋_GB2312" w:hAnsi="仿宋" w:eastAsia="仿宋_GB2312"/>
          <w:b w:val="0"/>
          <w:bCs w:val="0"/>
          <w:caps w:val="0"/>
          <w:smallCaps/>
        </w:rPr>
        <w:t>年</w:t>
      </w:r>
      <w:r>
        <w:rPr>
          <w:rFonts w:hint="eastAsia" w:ascii="仿宋_GB2312" w:hAnsi="仿宋" w:eastAsia="仿宋_GB2312"/>
          <w:b w:val="0"/>
          <w:bCs w:val="0"/>
          <w:caps w:val="0"/>
          <w:smallCaps/>
          <w:lang w:eastAsia="zh-CN"/>
        </w:rPr>
        <w:t>部门预算</w:t>
      </w:r>
      <w:r>
        <w:rPr>
          <w:rFonts w:hint="eastAsia" w:ascii="仿宋_GB2312" w:hAnsi="仿宋" w:eastAsia="仿宋_GB2312"/>
          <w:b w:val="0"/>
          <w:bCs w:val="0"/>
          <w:caps w:val="0"/>
          <w:smallCaps/>
        </w:rPr>
        <w:t>绩效自评报告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19</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附件2</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29</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w:t>
      </w:r>
      <w:r>
        <w:rPr>
          <w:rFonts w:hint="eastAsia" w:ascii="仿宋_GB2312" w:hAnsi="仿宋" w:eastAsia="仿宋_GB2312"/>
          <w:b w:val="0"/>
          <w:bCs w:val="0"/>
          <w:caps w:val="0"/>
          <w:smallCaps/>
          <w:lang w:eastAsia="zh-CN"/>
        </w:rPr>
        <w:t>驻村人员临岗补贴和乡镇补贴资金项目绩效评价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29</w:t>
      </w:r>
    </w:p>
    <w:p>
      <w:pPr>
        <w:pStyle w:val="17"/>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附件3</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w:t>
      </w:r>
      <w:r>
        <w:rPr>
          <w:rFonts w:hint="eastAsia" w:ascii="仿宋_GB2312" w:hAnsi="仿宋" w:eastAsia="仿宋_GB2312"/>
          <w:b w:val="0"/>
          <w:bCs w:val="0"/>
          <w:caps w:val="0"/>
          <w:smallCaps/>
          <w:lang w:val="en-US" w:eastAsia="zh-CN"/>
        </w:rPr>
        <w:t>5</w:t>
      </w:r>
    </w:p>
    <w:p>
      <w:pPr>
        <w:pStyle w:val="17"/>
        <w:tabs>
          <w:tab w:val="right" w:leader="dot" w:pos="8296"/>
        </w:tabs>
        <w:rPr>
          <w:rFonts w:hint="eastAsia"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w:t>
      </w:r>
      <w:r>
        <w:rPr>
          <w:rFonts w:hint="eastAsia" w:ascii="仿宋_GB2312" w:hAnsi="仿宋" w:eastAsia="仿宋_GB2312" w:cs="Times New Roman"/>
          <w:b w:val="0"/>
          <w:bCs w:val="0"/>
          <w:caps w:val="0"/>
          <w:smallCaps/>
          <w:lang w:val="en-US" w:eastAsia="zh-CN"/>
        </w:rPr>
        <w:t>2024年州级农资价格及储备补贴资金</w:t>
      </w:r>
      <w:r>
        <w:rPr>
          <w:rFonts w:hint="eastAsia" w:ascii="仿宋_GB2312" w:hAnsi="仿宋" w:eastAsia="仿宋_GB2312"/>
          <w:b w:val="0"/>
          <w:bCs w:val="0"/>
          <w:caps w:val="0"/>
          <w:smallCaps/>
          <w:lang w:eastAsia="zh-CN"/>
        </w:rPr>
        <w:t>项目绩效评价</w:t>
      </w:r>
      <w:r>
        <w:rPr>
          <w:rFonts w:hint="eastAsia" w:ascii="仿宋_GB2312" w:hAnsi="仿宋" w:eastAsia="仿宋_GB2312"/>
          <w:b w:val="0"/>
          <w:bCs w:val="0"/>
          <w:caps w:val="0"/>
          <w:smallCaps/>
        </w:rPr>
        <w:t>报告</w:t>
      </w:r>
      <w:r>
        <w:rPr>
          <w:rFonts w:hint="eastAsia" w:ascii="仿宋_GB2312" w:hAnsi="仿宋" w:eastAsia="仿宋_GB2312"/>
          <w:b w:val="0"/>
          <w:bCs w:val="0"/>
          <w:caps w:val="0"/>
          <w:smallCaps/>
        </w:rPr>
        <w:tab/>
      </w:r>
      <w:r>
        <w:rPr>
          <w:rFonts w:hint="eastAsia" w:ascii="仿宋_GB2312" w:hAnsi="仿宋" w:eastAsia="仿宋_GB2312"/>
          <w:b w:val="0"/>
          <w:bCs w:val="0"/>
          <w:caps w:val="0"/>
          <w:smallCaps/>
        </w:rPr>
        <w:t>3</w:t>
      </w:r>
      <w:r>
        <w:rPr>
          <w:rFonts w:hint="eastAsia" w:ascii="仿宋_GB2312" w:hAnsi="仿宋" w:eastAsia="仿宋_GB2312"/>
          <w:b w:val="0"/>
          <w:bCs w:val="0"/>
          <w:caps w:val="0"/>
          <w:smallCaps/>
          <w:lang w:val="en-US" w:eastAsia="zh-CN"/>
        </w:rPr>
        <w:t>5</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附件4</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42</w:t>
      </w:r>
    </w:p>
    <w:p>
      <w:pPr>
        <w:keepNext w:val="0"/>
        <w:keepLines w:val="0"/>
        <w:pageBreakBefore w:val="0"/>
        <w:widowControl w:val="0"/>
        <w:kinsoku/>
        <w:overflowPunct/>
        <w:topLinePunct w:val="0"/>
        <w:autoSpaceDE/>
        <w:autoSpaceDN/>
        <w:bidi w:val="0"/>
        <w:adjustRightInd/>
        <w:snapToGrid/>
        <w:spacing w:line="576" w:lineRule="exact"/>
        <w:jc w:val="left"/>
        <w:textAlignment w:val="auto"/>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茂县供销社合作社联合社</w:t>
      </w:r>
      <w:r>
        <w:rPr>
          <w:rFonts w:hint="eastAsia" w:ascii="仿宋_GB2312" w:hAnsi="仿宋" w:eastAsia="仿宋_GB2312" w:cs="Times New Roman"/>
          <w:b w:val="0"/>
          <w:bCs w:val="0"/>
          <w:caps w:val="0"/>
          <w:smallCaps/>
          <w:lang w:eastAsia="zh-CN"/>
        </w:rPr>
        <w:t>2024年度“发展数智茂农，共创云链供销”交融交往资金项目绩效评价</w:t>
      </w:r>
      <w:r>
        <w:rPr>
          <w:rFonts w:hint="eastAsia" w:ascii="仿宋_GB2312" w:hAnsi="仿宋" w:eastAsia="仿宋_GB2312" w:cs="Times New Roman"/>
          <w:b w:val="0"/>
          <w:bCs w:val="0"/>
          <w:caps w:val="0"/>
          <w:smallCaps/>
        </w:rPr>
        <w:t>报告</w:t>
      </w:r>
      <w:r>
        <w:rPr>
          <w:rFonts w:hint="eastAsia" w:ascii="仿宋_GB2312" w:hAnsi="仿宋" w:eastAsia="仿宋_GB2312" w:cs="Times New Roman"/>
          <w:b w:val="0"/>
          <w:bCs w:val="0"/>
          <w:caps w:val="0"/>
          <w:smallCaps/>
          <w:lang w:val="en-US" w:eastAsia="zh-CN"/>
        </w:rPr>
        <w:t>...................................................................</w:t>
      </w:r>
      <w:r>
        <w:rPr>
          <w:rFonts w:hint="eastAsia" w:ascii="仿宋_GB2312" w:hAnsi="仿宋" w:eastAsia="仿宋_GB2312"/>
          <w:b w:val="0"/>
          <w:bCs w:val="0"/>
          <w:caps w:val="0"/>
          <w:smallCaps/>
          <w:lang w:val="en-US" w:eastAsia="zh-CN"/>
        </w:rPr>
        <w:t>42</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附件5</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49</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茂县供销合作社联合社</w:t>
      </w:r>
      <w:r>
        <w:rPr>
          <w:rFonts w:hint="default" w:ascii="仿宋_GB2312" w:hAnsi="仿宋" w:eastAsia="仿宋_GB2312" w:cs="Times New Roman"/>
          <w:b w:val="0"/>
          <w:bCs w:val="0"/>
          <w:caps w:val="0"/>
          <w:smallCaps/>
          <w:lang w:val="en-US" w:eastAsia="zh-CN"/>
        </w:rPr>
        <w:t>为农服务综合平台试点县建设专项预算绩效自评报告</w:t>
      </w:r>
      <w:r>
        <w:rPr>
          <w:rFonts w:hint="eastAsia" w:ascii="仿宋_GB2312" w:hAnsi="仿宋" w:eastAsia="仿宋_GB2312" w:cs="Times New Roman"/>
          <w:b w:val="0"/>
          <w:bCs w:val="0"/>
          <w:caps w:val="0"/>
          <w:smallCaps/>
        </w:rPr>
        <w:t xml:space="preserve">. </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49</w:t>
      </w:r>
    </w:p>
    <w:p>
      <w:pPr>
        <w:pStyle w:val="17"/>
        <w:tabs>
          <w:tab w:val="right" w:leader="dot" w:pos="8296"/>
        </w:tabs>
        <w:rPr>
          <w:rFonts w:hint="default" w:ascii="仿宋_GB2312" w:hAnsi="仿宋" w:eastAsia="仿宋_GB2312"/>
          <w:b w:val="0"/>
          <w:bCs w:val="0"/>
          <w:caps w:val="0"/>
          <w:smallCaps/>
          <w:lang w:val="en-US" w:eastAsia="zh-CN"/>
        </w:rPr>
      </w:pPr>
      <w:r>
        <w:rPr>
          <w:rFonts w:hint="eastAsia" w:ascii="仿宋_GB2312" w:hAnsi="仿宋" w:eastAsia="仿宋_GB2312"/>
          <w:b w:val="0"/>
          <w:bCs w:val="0"/>
          <w:caps w:val="0"/>
          <w:smallCaps/>
        </w:rPr>
        <w:t>第五部分 附表</w:t>
      </w:r>
      <w:r>
        <w:rPr>
          <w:rFonts w:hint="eastAsia" w:ascii="仿宋_GB2312" w:hAnsi="仿宋" w:eastAsia="仿宋_GB2312"/>
          <w:b w:val="0"/>
          <w:bCs w:val="0"/>
          <w:caps w:val="0"/>
          <w:smallCaps/>
        </w:rPr>
        <w:tab/>
      </w:r>
      <w:r>
        <w:rPr>
          <w:rFonts w:hint="eastAsia" w:ascii="仿宋_GB2312" w:hAnsi="仿宋" w:eastAsia="仿宋_GB2312"/>
          <w:b w:val="0"/>
          <w:bCs w:val="0"/>
          <w:caps w:val="0"/>
          <w:smallCaps/>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一、收入支出决算总表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二、收入决算表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三、支出决算表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四、财政拨款收入支出决算总表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五、财政拨款支出决算明细表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六、一般公共预算财政拨款支出决算表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七、一般公共预算财政拨款支出决算明细表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八、一般公共预算财政拨款基本支出决算表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九、一般公共预算财政拨款项目支出决算表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十、政府性基金预算财政拨款收入支出决算表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lang w:val="en-US" w:eastAsia="zh-CN"/>
        </w:rPr>
      </w:pPr>
      <w:r>
        <w:rPr>
          <w:rFonts w:hint="eastAsia" w:ascii="仿宋_GB2312" w:hAnsi="仿宋" w:eastAsia="仿宋_GB2312"/>
        </w:rPr>
        <w:t>十</w:t>
      </w:r>
      <w:r>
        <w:rPr>
          <w:rFonts w:hint="eastAsia" w:ascii="仿宋_GB2312" w:hAnsi="仿宋" w:eastAsia="仿宋_GB2312"/>
          <w:lang w:eastAsia="zh-CN"/>
        </w:rPr>
        <w:t>一</w:t>
      </w:r>
      <w:r>
        <w:rPr>
          <w:rFonts w:hint="eastAsia" w:ascii="仿宋_GB2312" w:hAnsi="仿宋" w:eastAsia="仿宋_GB2312"/>
        </w:rPr>
        <w:t>、国有资本经营预算财政拨款</w:t>
      </w:r>
      <w:r>
        <w:rPr>
          <w:rFonts w:hint="eastAsia" w:ascii="仿宋_GB2312" w:hAnsi="仿宋" w:eastAsia="仿宋_GB2312"/>
          <w:lang w:eastAsia="zh-CN"/>
        </w:rPr>
        <w:t>收入</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rPr>
        <w:t>十</w:t>
      </w:r>
      <w:r>
        <w:rPr>
          <w:rFonts w:hint="eastAsia" w:ascii="仿宋_GB2312" w:hAnsi="仿宋" w:eastAsia="仿宋_GB2312"/>
          <w:lang w:eastAsia="zh-CN"/>
        </w:rPr>
        <w:t>二</w:t>
      </w:r>
      <w:r>
        <w:rPr>
          <w:rFonts w:hint="eastAsia" w:ascii="仿宋_GB2312" w:hAnsi="仿宋" w:eastAsia="仿宋_GB2312"/>
        </w:rPr>
        <w:t>、国有资本经营预算财政拨款支出决算表</w:t>
      </w:r>
      <w:r>
        <w:rPr>
          <w:rFonts w:hint="eastAsia" w:ascii="仿宋_GB2312" w:hAnsi="仿宋" w:eastAsia="仿宋_GB2312"/>
        </w:rPr>
        <w:tab/>
      </w:r>
      <w:r>
        <w:rPr>
          <w:rFonts w:hint="eastAsia" w:ascii="仿宋_GB2312" w:hAnsi="仿宋" w:eastAsia="仿宋_GB2312"/>
          <w:lang w:val="en-US" w:eastAsia="zh-CN"/>
        </w:rPr>
        <w:t>59</w:t>
      </w:r>
    </w:p>
    <w:p>
      <w:pPr>
        <w:pStyle w:val="22"/>
        <w:tabs>
          <w:tab w:val="right" w:leader="dot" w:pos="8296"/>
        </w:tabs>
        <w:rPr>
          <w:rFonts w:hint="default" w:ascii="仿宋_GB2312" w:hAnsi="仿宋" w:eastAsia="仿宋_GB2312"/>
          <w:sz w:val="32"/>
          <w:szCs w:val="32"/>
          <w:lang w:val="en-US" w:eastAsia="zh-CN"/>
        </w:rPr>
      </w:pPr>
      <w:r>
        <w:rPr>
          <w:rFonts w:hint="eastAsia" w:ascii="仿宋_GB2312" w:hAnsi="仿宋" w:eastAsia="仿宋_GB2312"/>
          <w:smallCaps/>
          <w:sz w:val="20"/>
          <w:szCs w:val="20"/>
        </w:rPr>
        <w:fldChar w:fldCharType="end"/>
      </w:r>
      <w:bookmarkStart w:id="12" w:name="_Toc15377196"/>
      <w:bookmarkStart w:id="13" w:name="_Toc15396599"/>
      <w:r>
        <w:rPr>
          <w:rFonts w:hint="eastAsia" w:ascii="仿宋_GB2312" w:hAnsi="仿宋" w:eastAsia="仿宋_GB2312"/>
        </w:rPr>
        <w:t>十</w:t>
      </w:r>
      <w:r>
        <w:rPr>
          <w:rFonts w:hint="eastAsia" w:ascii="仿宋_GB2312" w:hAnsi="仿宋" w:eastAsia="仿宋_GB2312"/>
          <w:lang w:eastAsia="zh-CN"/>
        </w:rPr>
        <w:t>三</w:t>
      </w:r>
      <w:r>
        <w:rPr>
          <w:rFonts w:hint="eastAsia" w:ascii="仿宋_GB2312" w:hAnsi="仿宋" w:eastAsia="仿宋_GB2312"/>
        </w:rPr>
        <w:t>、</w:t>
      </w:r>
      <w:r>
        <w:rPr>
          <w:rFonts w:hint="eastAsia" w:ascii="仿宋_GB2312" w:hAnsi="仿宋" w:eastAsia="仿宋_GB2312"/>
          <w:lang w:eastAsia="zh-CN"/>
        </w:rPr>
        <w:t>财政拨款“三公”经费</w:t>
      </w:r>
      <w:r>
        <w:rPr>
          <w:rFonts w:hint="eastAsia" w:ascii="仿宋_GB2312" w:hAnsi="仿宋" w:eastAsia="仿宋_GB2312"/>
        </w:rPr>
        <w:t>支出决算表</w:t>
      </w:r>
      <w:r>
        <w:rPr>
          <w:rFonts w:hint="eastAsia" w:ascii="仿宋_GB2312" w:hAnsi="仿宋" w:eastAsia="仿宋_GB2312"/>
        </w:rPr>
        <w:tab/>
      </w:r>
      <w:r>
        <w:rPr>
          <w:rFonts w:hint="eastAsia" w:ascii="仿宋_GB2312" w:hAnsi="仿宋" w:eastAsia="仿宋_GB2312"/>
          <w:lang w:val="en-US" w:eastAsia="zh-CN"/>
        </w:rPr>
        <w:t>59</w:t>
      </w:r>
    </w:p>
    <w:p>
      <w:pPr>
        <w:widowControl/>
        <w:spacing w:line="440" w:lineRule="exact"/>
        <w:jc w:val="left"/>
        <w:rPr>
          <w:rFonts w:ascii="仿宋_GB2312" w:hAnsi="仿宋" w:eastAsia="仿宋_GB2312"/>
          <w:smallCaps/>
          <w:sz w:val="20"/>
          <w:szCs w:val="20"/>
        </w:rPr>
      </w:pPr>
    </w:p>
    <w:p>
      <w:pPr>
        <w:widowControl/>
        <w:spacing w:line="440" w:lineRule="exact"/>
        <w:jc w:val="left"/>
        <w:rPr>
          <w:rFonts w:ascii="仿宋_GB2312" w:hAnsi="仿宋" w:eastAsia="仿宋_GB2312"/>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widowControl/>
        <w:spacing w:line="440" w:lineRule="exact"/>
        <w:jc w:val="left"/>
        <w:rPr>
          <w:rFonts w:ascii="仿宋" w:hAnsi="仿宋" w:eastAsia="仿宋"/>
          <w:smallCaps/>
          <w:sz w:val="20"/>
          <w:szCs w:val="20"/>
        </w:rPr>
      </w:pPr>
    </w:p>
    <w:p>
      <w:pPr>
        <w:pStyle w:val="10"/>
        <w:ind w:left="0" w:leftChars="0" w:firstLine="0" w:firstLineChars="0"/>
      </w:pPr>
      <w:bookmarkStart w:id="14" w:name="_Toc79163851"/>
      <w:bookmarkStart w:id="15" w:name="_Toc79163601"/>
    </w:p>
    <w:p>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第一部分 部门概况</w:t>
      </w:r>
      <w:bookmarkEnd w:id="12"/>
      <w:bookmarkEnd w:id="13"/>
      <w:bookmarkEnd w:id="14"/>
      <w:bookmarkEnd w:id="15"/>
      <w:bookmarkStart w:id="16" w:name="_Toc15377197"/>
      <w:bookmarkStart w:id="17" w:name="_Toc79163852"/>
      <w:bookmarkStart w:id="18" w:name="_Toc79163602"/>
      <w:bookmarkStart w:id="19" w:name="_Toc1539660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p>
    <w:bookmarkEnd w:id="16"/>
    <w:bookmarkEnd w:id="17"/>
    <w:bookmarkEnd w:id="18"/>
    <w:bookmarkEnd w:id="19"/>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部门职责</w:t>
      </w:r>
    </w:p>
    <w:p>
      <w:pPr>
        <w:spacing w:line="576" w:lineRule="exact"/>
        <w:ind w:firstLine="640" w:firstLineChars="200"/>
        <w:rPr>
          <w:rFonts w:ascii="仿宋_GB2312" w:hAnsi="仿宋_GB2312" w:eastAsia="仿宋_GB2312" w:cs="仿宋_GB2312"/>
          <w:sz w:val="32"/>
          <w:szCs w:val="32"/>
        </w:rPr>
      </w:pPr>
      <w:bookmarkStart w:id="20" w:name="_Toc15396601"/>
      <w:bookmarkStart w:id="21" w:name="_Toc79163605"/>
      <w:bookmarkStart w:id="22" w:name="_Toc79163855"/>
      <w:bookmarkStart w:id="23" w:name="_Toc15377200"/>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宣传贯彻中央“三农”工作方针政策和州委、州政府及县委、县政府有关决策部署，指导全县供销合作事业发展。</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负责研究和制定全县供销合作社发展规划并组织实施，指导服务全县供销合作社系统改革发展</w:t>
      </w:r>
      <w:r>
        <w:rPr>
          <w:rFonts w:hint="eastAsia" w:ascii="仿宋_GB2312" w:hAnsi="仿宋_GB2312" w:eastAsia="仿宋_GB2312" w:cs="仿宋_GB2312"/>
          <w:sz w:val="32"/>
          <w:szCs w:val="32"/>
          <w:lang w:eastAsia="zh-CN"/>
        </w:rPr>
        <w:t>。</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履行社有资产运营指导和监督管理职责，发展社有企业，确保社有企业为农服务方向，落实社有资产保值增值和安全责任</w:t>
      </w:r>
      <w:r>
        <w:rPr>
          <w:rFonts w:hint="eastAsia" w:ascii="仿宋_GB2312" w:hAnsi="仿宋_GB2312" w:eastAsia="仿宋_GB2312" w:cs="仿宋_GB2312"/>
          <w:sz w:val="32"/>
          <w:szCs w:val="32"/>
          <w:lang w:eastAsia="zh-CN"/>
        </w:rPr>
        <w:t>。</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根据授权对重要生产生活资料的经营、储备进行组织、协调和管理，指导全县供销合作社承担政府委托的公益性服务和其他任务</w:t>
      </w:r>
      <w:r>
        <w:rPr>
          <w:rFonts w:hint="eastAsia" w:ascii="仿宋_GB2312" w:hAnsi="仿宋_GB2312" w:eastAsia="仿宋_GB2312" w:cs="仿宋_GB2312"/>
          <w:sz w:val="32"/>
          <w:szCs w:val="32"/>
          <w:lang w:eastAsia="zh-CN"/>
        </w:rPr>
        <w:t>。</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指导全县供销合作社开展农业生产经营服务、城乡消费品流通服务、再生资源回收利用服务和生产、供销、信用“三位一体”综合合作等业务活动</w:t>
      </w:r>
      <w:r>
        <w:rPr>
          <w:rFonts w:hint="eastAsia" w:ascii="仿宋_GB2312" w:hAnsi="仿宋_GB2312" w:eastAsia="仿宋_GB2312" w:cs="仿宋_GB2312"/>
          <w:sz w:val="32"/>
          <w:szCs w:val="32"/>
          <w:lang w:eastAsia="zh-CN"/>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参与公益性农产品市场建设，参与国有控股的农产品批发市场的建设、运营和管护。</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领办创办农民专业合作社，发展基层供销合作社，更好履行为农服务职责；推进供销合作社法治建设，研究提出促进农村经济社会和行业发展的政策法规建议，维护全县供销合作社的合法权益。</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指导全县供销合作社开展教育培训工作。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负责职责范围内的安全生产、公共机构节能减排、生态环境保护等工作。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（十）</w:t>
      </w:r>
      <w:r>
        <w:rPr>
          <w:rFonts w:hint="eastAsia" w:ascii="仿宋_GB2312" w:hAnsi="仿宋_GB2312" w:eastAsia="仿宋_GB2312" w:cs="仿宋_GB2312"/>
          <w:sz w:val="32"/>
          <w:szCs w:val="32"/>
        </w:rPr>
        <w:t>完成县委、县政府交办的其他任务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二、机构设置</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bookmarkStart w:id="24" w:name="_Toc79163859"/>
      <w:bookmarkStart w:id="25" w:name="_Toc79163609"/>
      <w:bookmarkStart w:id="26" w:name="_Toc15377204"/>
      <w:bookmarkStart w:id="27" w:name="_Toc15396602"/>
      <w:r>
        <w:rPr>
          <w:rFonts w:hint="eastAsia" w:ascii="仿宋_GB2312" w:hAnsi="仿宋_GB2312" w:eastAsia="仿宋_GB2312" w:cs="仿宋_GB2312"/>
          <w:sz w:val="32"/>
          <w:szCs w:val="32"/>
        </w:rPr>
        <w:t>茂县供销</w:t>
      </w:r>
      <w:r>
        <w:rPr>
          <w:rFonts w:hint="eastAsia" w:ascii="仿宋_GB2312" w:hAnsi="仿宋_GB2312" w:eastAsia="仿宋_GB2312" w:cs="仿宋_GB2312"/>
          <w:sz w:val="32"/>
          <w:szCs w:val="32"/>
          <w:lang w:eastAsia="zh-CN"/>
        </w:rPr>
        <w:t>合作社联合</w:t>
      </w:r>
      <w:r>
        <w:rPr>
          <w:rFonts w:hint="eastAsia" w:ascii="仿宋_GB2312" w:hAnsi="仿宋_GB2312" w:eastAsia="仿宋_GB2312" w:cs="仿宋_GB2312"/>
          <w:sz w:val="32"/>
          <w:szCs w:val="32"/>
        </w:rPr>
        <w:t>社下属二级单位0个，其中行政单位0个，参照公务员法管理的事业单位0个，其他事业单位0个。</w:t>
      </w:r>
    </w:p>
    <w:p>
      <w:pPr>
        <w:jc w:val="both"/>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pStyle w:val="2"/>
        <w:rPr>
          <w:rFonts w:hint="eastAsia"/>
        </w:rPr>
      </w:pPr>
    </w:p>
    <w:p>
      <w:pPr>
        <w:rPr>
          <w:rFonts w:hint="eastAsia"/>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年度部门决算情况说明</w:t>
      </w:r>
      <w:bookmarkEnd w:id="24"/>
      <w:bookmarkEnd w:id="25"/>
      <w:bookmarkEnd w:id="26"/>
      <w:bookmarkEnd w:id="27"/>
    </w:p>
    <w:p>
      <w:pPr>
        <w:jc w:val="center"/>
      </w:pPr>
    </w:p>
    <w:p>
      <w:pPr>
        <w:pStyle w:val="42"/>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2"/>
          <w:rFonts w:ascii="黑体" w:hAnsi="黑体" w:eastAsia="黑体"/>
          <w:b w:val="0"/>
        </w:rPr>
      </w:pPr>
      <w:bookmarkStart w:id="28" w:name="_Toc15396603"/>
      <w:bookmarkStart w:id="29" w:name="_Toc79163860"/>
      <w:bookmarkStart w:id="30" w:name="_Toc79163610"/>
      <w:bookmarkStart w:id="31" w:name="_Toc15377205"/>
      <w:r>
        <w:rPr>
          <w:rFonts w:hint="eastAsia" w:ascii="黑体" w:hAnsi="黑体" w:eastAsia="黑体"/>
          <w:color w:val="000000"/>
          <w:sz w:val="32"/>
          <w:szCs w:val="32"/>
        </w:rPr>
        <w:t>收</w:t>
      </w:r>
      <w:r>
        <w:rPr>
          <w:rStyle w:val="32"/>
          <w:rFonts w:hint="eastAsia" w:ascii="黑体" w:hAnsi="黑体" w:eastAsia="黑体"/>
          <w:b w:val="0"/>
        </w:rPr>
        <w:t>入支出决算总体情况说明</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年度收、支总计</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年相比，收、支总计各</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132.22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32.73</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:2024年</w:t>
      </w:r>
      <w:r>
        <w:rPr>
          <w:rFonts w:hint="eastAsia" w:ascii="仿宋_GB2312" w:eastAsia="仿宋_GB2312" w:cs="仿宋_GB2312"/>
          <w:sz w:val="32"/>
          <w:szCs w:val="32"/>
          <w:lang w:eastAsia="zh-CN"/>
        </w:rPr>
        <w:t>新增</w:t>
      </w:r>
      <w:r>
        <w:rPr>
          <w:rFonts w:hint="eastAsia" w:ascii="仿宋_GB2312" w:eastAsia="仿宋_GB2312" w:cs="仿宋_GB2312"/>
          <w:sz w:val="32"/>
          <w:szCs w:val="32"/>
          <w:lang w:val="en-US" w:eastAsia="zh-CN"/>
        </w:rPr>
        <w:t>供销为农服务综合平台试点县建设项目资金283.00万元</w:t>
      </w:r>
      <w:r>
        <w:rPr>
          <w:rFonts w:hint="eastAsia" w:ascii="仿宋_GB2312" w:eastAsia="仿宋_GB2312" w:cs="仿宋_GB2312"/>
          <w:sz w:val="32"/>
          <w:szCs w:val="32"/>
        </w:rPr>
        <w:t>。</w:t>
      </w:r>
    </w:p>
    <w:p>
      <w:pPr>
        <w:ind w:firstLine="420" w:firstLineChars="200"/>
        <w:rPr>
          <w:rFonts w:ascii="仿宋_GB2312" w:eastAsia="仿宋_GB2312"/>
          <w:color w:val="000000"/>
          <w:sz w:val="32"/>
          <w:szCs w:val="32"/>
        </w:rPr>
      </w:pPr>
      <w:r>
        <w:drawing>
          <wp:inline distT="0" distB="0" distL="114300" distR="114300">
            <wp:extent cx="4091940" cy="2771775"/>
            <wp:effectExtent l="4445" t="5080" r="18415" b="1206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32"/>
          <w:rFonts w:ascii="黑体" w:hAnsi="黑体" w:eastAsia="黑体"/>
          <w:b w:val="0"/>
        </w:rPr>
      </w:pPr>
      <w:bookmarkStart w:id="32" w:name="_Toc79163611"/>
      <w:bookmarkStart w:id="33" w:name="_Toc15377206"/>
      <w:bookmarkStart w:id="34" w:name="_Toc79163861"/>
      <w:bookmarkStart w:id="35"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2"/>
          <w:rFonts w:hint="eastAsia" w:ascii="黑体" w:hAnsi="黑体" w:eastAsia="黑体"/>
          <w:b w:val="0"/>
        </w:rPr>
        <w:t>入决算情况说明</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本年收入合计</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%；政府性基金预算财政拨款收入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olor w:val="FF0000"/>
          <w:sz w:val="32"/>
          <w:szCs w:val="32"/>
        </w:rPr>
      </w:pPr>
      <w:r>
        <w:rPr>
          <w:rFonts w:asci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899795</wp:posOffset>
            </wp:positionV>
            <wp:extent cx="4572000" cy="2743200"/>
            <wp:effectExtent l="4445" t="4445" r="10795" b="10795"/>
            <wp:wrapTopAndBottom/>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rPr>
          <w:rFonts w:ascii="仿宋_GB2312" w:eastAsia="仿宋_GB2312"/>
          <w:color w:val="FF0000"/>
          <w:sz w:val="32"/>
          <w:szCs w:val="32"/>
        </w:rPr>
      </w:pPr>
    </w:p>
    <w:p>
      <w:pPr>
        <w:pStyle w:val="4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outlineLvl w:val="1"/>
        <w:rPr>
          <w:rStyle w:val="32"/>
          <w:rFonts w:ascii="黑体" w:hAnsi="黑体" w:eastAsia="黑体"/>
          <w:b w:val="0"/>
        </w:rPr>
      </w:pPr>
      <w:bookmarkStart w:id="36" w:name="_Toc79163612"/>
      <w:bookmarkStart w:id="37" w:name="_Toc15396605"/>
      <w:bookmarkStart w:id="38" w:name="_Toc15377207"/>
      <w:bookmarkStart w:id="39" w:name="_Toc7916386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2"/>
          <w:rFonts w:hint="eastAsia" w:ascii="黑体" w:hAnsi="黑体" w:eastAsia="黑体"/>
          <w:b w:val="0"/>
        </w:rPr>
        <w:t>出决算情况说明</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color w:val="auto"/>
          <w:sz w:val="32"/>
          <w:szCs w:val="32"/>
          <w:highlight w:val="none"/>
        </w:rPr>
      </w:pPr>
      <w:bookmarkStart w:id="40" w:name="_Toc79163613"/>
      <w:bookmarkStart w:id="41" w:name="_Toc15377208"/>
      <w:bookmarkStart w:id="42" w:name="_Toc79163863"/>
      <w:bookmarkStart w:id="43" w:name="_Toc15396606"/>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本年支出合计</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208.21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38.83</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328.00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61.17</w:t>
      </w:r>
      <w:r>
        <w:rPr>
          <w:rFonts w:hint="eastAsia" w:ascii="仿宋_GB2312" w:eastAsia="仿宋_GB2312" w:cs="仿宋_GB2312"/>
          <w:sz w:val="32"/>
          <w:szCs w:val="32"/>
        </w:rPr>
        <w:t>%；上缴上级支出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%；经营支出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%；对附属单位补助支出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w:t>
      </w:r>
    </w:p>
    <w:p>
      <w:pPr>
        <w:ind w:firstLine="420" w:firstLineChars="200"/>
      </w:pPr>
      <w:r>
        <w:drawing>
          <wp:inline distT="0" distB="0" distL="114300" distR="114300">
            <wp:extent cx="4115435" cy="2838450"/>
            <wp:effectExtent l="4445" t="4445" r="10160" b="698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黑体" w:hAnsi="黑体" w:eastAsia="黑体"/>
          <w:b w:val="0"/>
        </w:rPr>
      </w:pPr>
      <w:r>
        <w:rPr>
          <w:rFonts w:hint="eastAsia" w:ascii="黑体" w:hAnsi="黑体" w:eastAsia="黑体"/>
          <w:color w:val="000000"/>
          <w:sz w:val="32"/>
          <w:szCs w:val="32"/>
        </w:rPr>
        <w:t>四、财</w:t>
      </w:r>
      <w:r>
        <w:rPr>
          <w:rStyle w:val="32"/>
          <w:rFonts w:hint="eastAsia" w:ascii="黑体" w:hAnsi="黑体" w:eastAsia="黑体"/>
          <w:b w:val="0"/>
        </w:rPr>
        <w:t>政拨款收入支出决算总体情况说明</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color w:val="auto"/>
          <w:sz w:val="32"/>
          <w:szCs w:val="32"/>
          <w:highlight w:val="none"/>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财政拨款收、支总计</w:t>
      </w:r>
      <w:r>
        <w:rPr>
          <w:rFonts w:hint="eastAsia" w:ascii="仿宋_GB2312" w:eastAsia="仿宋_GB2312" w:cs="仿宋_GB2312"/>
          <w:sz w:val="32"/>
          <w:szCs w:val="32"/>
          <w:lang w:eastAsia="zh-CN"/>
        </w:rPr>
        <w:t>均为</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万元。与</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相比，财政拨款收、支总计各</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132.22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32.73</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:2024年</w:t>
      </w:r>
      <w:r>
        <w:rPr>
          <w:rFonts w:hint="eastAsia" w:ascii="仿宋_GB2312" w:eastAsia="仿宋_GB2312" w:cs="仿宋_GB2312"/>
          <w:sz w:val="32"/>
          <w:szCs w:val="32"/>
          <w:lang w:eastAsia="zh-CN"/>
        </w:rPr>
        <w:t>新增</w:t>
      </w:r>
      <w:r>
        <w:rPr>
          <w:rFonts w:hint="eastAsia" w:ascii="仿宋_GB2312" w:eastAsia="仿宋_GB2312" w:cs="仿宋_GB2312"/>
          <w:sz w:val="32"/>
          <w:szCs w:val="32"/>
          <w:lang w:val="en-US" w:eastAsia="zh-CN"/>
        </w:rPr>
        <w:t>供销为农服务综合平台试点县建设项目资金283.00万元</w:t>
      </w:r>
      <w:r>
        <w:rPr>
          <w:rFonts w:hint="eastAsia" w:ascii="仿宋_GB2312" w:eastAsia="仿宋_GB2312" w:cs="仿宋_GB2312"/>
          <w:sz w:val="32"/>
          <w:szCs w:val="32"/>
        </w:rPr>
        <w:t>。</w:t>
      </w:r>
    </w:p>
    <w:p>
      <w:pPr>
        <w:ind w:firstLine="420" w:firstLineChars="200"/>
        <w:rPr>
          <w:rFonts w:ascii="仿宋" w:hAnsi="仿宋" w:eastAsia="仿宋"/>
          <w:b/>
          <w:color w:val="00B050"/>
          <w:sz w:val="32"/>
          <w:szCs w:val="32"/>
        </w:rPr>
      </w:pPr>
      <w:r>
        <w:drawing>
          <wp:inline distT="0" distB="0" distL="114300" distR="114300">
            <wp:extent cx="4091940" cy="2771775"/>
            <wp:effectExtent l="4445" t="5080" r="18415" b="1206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2" w:firstLineChars="200"/>
        <w:rPr>
          <w:rFonts w:ascii="仿宋" w:hAnsi="仿宋" w:eastAsia="仿宋"/>
          <w:b/>
          <w:color w:val="00B05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黑体" w:hAnsi="黑体" w:eastAsia="黑体"/>
          <w:b w:val="0"/>
        </w:rPr>
      </w:pPr>
      <w:bookmarkStart w:id="44" w:name="_Toc79163864"/>
      <w:bookmarkStart w:id="45" w:name="_Toc15377209"/>
      <w:bookmarkStart w:id="46" w:name="_Toc79163614"/>
      <w:bookmarkStart w:id="4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2"/>
          <w:rFonts w:hint="eastAsia" w:ascii="黑体" w:hAnsi="黑体" w:eastAsia="黑体"/>
          <w:b w:val="0"/>
        </w:rPr>
        <w:t>般公共预算财政拨款支出决算情况说明</w:t>
      </w:r>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bookmarkStart w:id="48" w:name="_Toc79163615"/>
      <w:bookmarkStart w:id="49" w:name="_Toc15377210"/>
      <w:bookmarkStart w:id="50" w:name="_Toc79163865"/>
      <w:r>
        <w:rPr>
          <w:rFonts w:hint="eastAsia" w:ascii="楷体_GB2312" w:hAnsi="楷体_GB2312" w:eastAsia="楷体_GB2312" w:cs="楷体_GB2312"/>
          <w:b/>
          <w:bCs/>
          <w:sz w:val="32"/>
          <w:szCs w:val="32"/>
        </w:rPr>
        <w:t>（一）一般公共预算财政拨款支出决算总体情况</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年一般公共预算财政拨款支出</w:t>
      </w:r>
      <w:r>
        <w:rPr>
          <w:rFonts w:hint="eastAsia" w:ascii="仿宋_GB2312" w:eastAsia="仿宋_GB2312" w:cs="仿宋_GB2312"/>
          <w:sz w:val="32"/>
          <w:szCs w:val="32"/>
          <w:lang w:val="en-US" w:eastAsia="zh-CN"/>
        </w:rPr>
        <w:t>536.21</w:t>
      </w:r>
      <w:r>
        <w:rPr>
          <w:rFonts w:hint="eastAsia" w:ascii="仿宋_GB2312" w:eastAsia="仿宋_GB2312" w:cs="仿宋_GB2312"/>
          <w:sz w:val="32"/>
          <w:szCs w:val="32"/>
        </w:rPr>
        <w:t>万元，占本年支出合计的100%。与202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132.22</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32.73</w:t>
      </w:r>
      <w:r>
        <w:rPr>
          <w:rFonts w:hint="eastAsia" w:ascii="仿宋_GB2312" w:eastAsia="仿宋_GB2312" w:cs="仿宋_GB2312"/>
          <w:sz w:val="32"/>
          <w:szCs w:val="32"/>
        </w:rPr>
        <w:t>%。主要变动原因是</w:t>
      </w:r>
      <w:r>
        <w:rPr>
          <w:rFonts w:hint="eastAsia" w:ascii="仿宋_GB2312" w:eastAsia="仿宋_GB2312" w:cs="仿宋_GB2312"/>
          <w:sz w:val="32"/>
          <w:szCs w:val="32"/>
          <w:lang w:val="en-US" w:eastAsia="zh-CN"/>
        </w:rPr>
        <w:t>:2024年</w:t>
      </w:r>
      <w:r>
        <w:rPr>
          <w:rFonts w:hint="eastAsia" w:ascii="仿宋_GB2312" w:eastAsia="仿宋_GB2312" w:cs="仿宋_GB2312"/>
          <w:sz w:val="32"/>
          <w:szCs w:val="32"/>
          <w:lang w:eastAsia="zh-CN"/>
        </w:rPr>
        <w:t>新增</w:t>
      </w:r>
      <w:r>
        <w:rPr>
          <w:rFonts w:hint="eastAsia" w:ascii="仿宋_GB2312" w:eastAsia="仿宋_GB2312" w:cs="仿宋_GB2312"/>
          <w:sz w:val="32"/>
          <w:szCs w:val="32"/>
          <w:lang w:val="en-US" w:eastAsia="zh-CN"/>
        </w:rPr>
        <w:t>供销为农服务综合平台试点县建设项目资金283.00万元</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sz w:val="32"/>
          <w:szCs w:val="32"/>
        </w:rPr>
      </w:pPr>
    </w:p>
    <w:p>
      <w:pPr>
        <w:ind w:firstLine="420" w:firstLineChars="200"/>
        <w:rPr>
          <w:rFonts w:ascii="仿宋" w:hAnsi="仿宋" w:eastAsia="仿宋"/>
          <w:color w:val="000000"/>
          <w:sz w:val="32"/>
          <w:szCs w:val="32"/>
        </w:rPr>
      </w:pPr>
      <w:r>
        <w:drawing>
          <wp:inline distT="0" distB="0" distL="114300" distR="114300">
            <wp:extent cx="4091940" cy="2771775"/>
            <wp:effectExtent l="4445" t="5080" r="18415"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bookmarkStart w:id="51" w:name="_Toc15377211"/>
      <w:bookmarkStart w:id="52" w:name="_Toc79163616"/>
      <w:bookmarkStart w:id="53" w:name="_Toc79163866"/>
      <w:r>
        <w:rPr>
          <w:rFonts w:hint="eastAsia" w:ascii="楷体_GB2312" w:hAnsi="楷体_GB2312" w:eastAsia="楷体_GB2312" w:cs="楷体_GB2312"/>
          <w:b/>
          <w:bCs/>
          <w:sz w:val="32"/>
          <w:szCs w:val="32"/>
        </w:rPr>
        <w:t>（二）一般公共预算财政拨款支出决算结构情况</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536.21</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sz w:val="32"/>
          <w:szCs w:val="32"/>
          <w:lang w:val="en-US" w:eastAsia="zh-CN"/>
        </w:rPr>
        <w:t>25.21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14.63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农林水</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sz w:val="32"/>
          <w:szCs w:val="32"/>
          <w:lang w:val="en-US" w:eastAsia="zh-CN"/>
        </w:rPr>
        <w:t>193.00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35.99</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商业服务业等支出</w:t>
      </w:r>
      <w:r>
        <w:rPr>
          <w:rFonts w:hint="eastAsia" w:ascii="仿宋_GB2312" w:hAnsi="仿宋_GB2312" w:eastAsia="仿宋_GB2312" w:cs="仿宋_GB2312"/>
          <w:sz w:val="32"/>
          <w:szCs w:val="32"/>
          <w:lang w:val="en-US" w:eastAsia="zh-CN"/>
        </w:rPr>
        <w:t>287.46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53.61</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15.91</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2.97</w:t>
      </w:r>
      <w:r>
        <w:rPr>
          <w:rFonts w:hint="eastAsia" w:ascii="仿宋_GB2312" w:eastAsia="仿宋_GB2312" w:cs="仿宋_GB2312"/>
          <w:sz w:val="32"/>
          <w:szCs w:val="32"/>
        </w:rPr>
        <w:t>%。</w:t>
      </w:r>
    </w:p>
    <w:p>
      <w:pPr>
        <w:ind w:firstLine="420" w:firstLineChars="200"/>
        <w:rPr>
          <w:rFonts w:ascii="仿宋" w:hAnsi="仿宋" w:eastAsia="仿宋"/>
          <w:color w:val="000000"/>
          <w:sz w:val="32"/>
          <w:szCs w:val="32"/>
        </w:rPr>
      </w:pPr>
      <w:r>
        <w:drawing>
          <wp:inline distT="0" distB="0" distL="114300" distR="114300">
            <wp:extent cx="4198620" cy="2828925"/>
            <wp:effectExtent l="4445" t="4445" r="18415" b="1651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bookmarkStart w:id="54" w:name="_Toc15377212"/>
      <w:bookmarkStart w:id="55" w:name="_Toc79163617"/>
      <w:bookmarkStart w:id="56" w:name="_Toc79163867"/>
      <w:r>
        <w:rPr>
          <w:rFonts w:hint="eastAsia" w:ascii="楷体_GB2312" w:hAnsi="楷体_GB2312" w:eastAsia="楷体_GB2312" w:cs="楷体_GB2312"/>
          <w:b/>
          <w:bCs/>
          <w:sz w:val="32"/>
          <w:szCs w:val="32"/>
        </w:rPr>
        <w:t>（三）一般公共预算财政拨款支出决算具体情况</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val="0"/>
          <w:bCs w:val="0"/>
          <w:sz w:val="32"/>
          <w:szCs w:val="32"/>
        </w:rPr>
      </w:pPr>
      <w:bookmarkStart w:id="57" w:name="_Toc15377213"/>
      <w:bookmarkStart w:id="58" w:name="_Toc15377444"/>
      <w:bookmarkStart w:id="59" w:name="_Toc15378460"/>
      <w:bookmarkStart w:id="60" w:name="_Toc15396608"/>
      <w:bookmarkStart w:id="61" w:name="_Toc79163868"/>
      <w:bookmarkStart w:id="62" w:name="_Toc79163618"/>
      <w:bookmarkStart w:id="63" w:name="_Toc15377214"/>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年一般公共预算支出决算数</w:t>
      </w:r>
      <w:r>
        <w:rPr>
          <w:rFonts w:hint="eastAsia" w:ascii="仿宋_GB2312" w:hAnsi="仿宋_GB2312" w:eastAsia="仿宋_GB2312" w:cs="仿宋_GB2312"/>
          <w:b w:val="0"/>
          <w:bCs w:val="0"/>
          <w:sz w:val="32"/>
          <w:szCs w:val="32"/>
          <w:lang w:val="en-US" w:eastAsia="zh-CN"/>
        </w:rPr>
        <w:t>536.21</w:t>
      </w:r>
      <w:r>
        <w:rPr>
          <w:rFonts w:hint="eastAsia" w:ascii="仿宋_GB2312" w:hAnsi="仿宋_GB2312" w:eastAsia="仿宋_GB2312" w:cs="仿宋_GB2312"/>
          <w:b w:val="0"/>
          <w:bCs w:val="0"/>
          <w:sz w:val="32"/>
          <w:szCs w:val="32"/>
        </w:rPr>
        <w:t>万元，完成预算100%。其中：</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9"/>
          <w:rFonts w:ascii="仿宋_GB2312" w:hAnsi="仿宋_GB2312" w:eastAsia="仿宋_GB2312" w:cs="仿宋_GB2312"/>
          <w:b w:val="0"/>
          <w:bCs/>
          <w:color w:val="000000"/>
          <w:sz w:val="32"/>
          <w:szCs w:val="32"/>
        </w:rPr>
      </w:pPr>
      <w:r>
        <w:rPr>
          <w:rStyle w:val="29"/>
          <w:rFonts w:hint="eastAsia" w:ascii="仿宋_GB2312" w:hAnsi="仿宋_GB2312" w:eastAsia="仿宋_GB2312" w:cs="仿宋_GB2312"/>
          <w:bCs/>
          <w:color w:val="000000"/>
          <w:sz w:val="32"/>
          <w:szCs w:val="32"/>
        </w:rPr>
        <w:t>1.社会保障和就业支出（208）行政事业单位养老支出（05）机关事业单位基本养老保险支出（05）</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16.81</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9"/>
          <w:rFonts w:ascii="仿宋_GB2312" w:hAnsi="仿宋_GB2312" w:eastAsia="仿宋_GB2312" w:cs="仿宋_GB2312"/>
          <w:b w:val="0"/>
          <w:bCs/>
          <w:color w:val="000000"/>
          <w:sz w:val="32"/>
          <w:szCs w:val="32"/>
        </w:rPr>
      </w:pPr>
      <w:r>
        <w:rPr>
          <w:rStyle w:val="29"/>
          <w:rFonts w:hint="eastAsia" w:ascii="仿宋_GB2312" w:hAnsi="仿宋_GB2312" w:eastAsia="仿宋_GB2312" w:cs="仿宋_GB2312"/>
          <w:bCs/>
          <w:color w:val="000000"/>
          <w:sz w:val="32"/>
          <w:szCs w:val="32"/>
        </w:rPr>
        <w:t>2.社会保障和就业支出（208）行政事业单位养老支出（05）机关事业单位职业年金缴费支出（06）</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8.40</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
          <w:color w:val="000000"/>
          <w:sz w:val="32"/>
          <w:szCs w:val="32"/>
        </w:rPr>
      </w:pPr>
      <w:r>
        <w:rPr>
          <w:rStyle w:val="29"/>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color w:val="000000"/>
          <w:sz w:val="32"/>
          <w:szCs w:val="32"/>
        </w:rPr>
        <w:t>卫生健康支出</w:t>
      </w:r>
      <w:r>
        <w:rPr>
          <w:rStyle w:val="29"/>
          <w:rFonts w:hint="eastAsia" w:ascii="仿宋_GB2312" w:hAnsi="仿宋_GB2312" w:eastAsia="仿宋_GB2312" w:cs="仿宋_GB2312"/>
          <w:bCs/>
          <w:color w:val="000000"/>
          <w:sz w:val="32"/>
          <w:szCs w:val="32"/>
        </w:rPr>
        <w:t>（210）行政事业单位医疗（11）行政单位医疗01）</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14.63</w:t>
      </w:r>
      <w:r>
        <w:rPr>
          <w:rStyle w:val="29"/>
          <w:rFonts w:hint="eastAsia" w:ascii="仿宋_GB2312" w:hAnsi="仿宋_GB2312" w:eastAsia="仿宋_GB2312" w:cs="仿宋_GB2312"/>
          <w:b w:val="0"/>
          <w:bCs/>
          <w:color w:val="000000"/>
          <w:sz w:val="32"/>
          <w:szCs w:val="32"/>
        </w:rPr>
        <w:t>万元，完成预算100%</w:t>
      </w:r>
      <w:r>
        <w:rPr>
          <w:rStyle w:val="29"/>
          <w:rFonts w:hint="default" w:ascii="仿宋_GB2312" w:hAnsi="仿宋_GB2312" w:eastAsia="仿宋_GB2312" w:cs="仿宋_GB2312"/>
          <w:b w:val="0"/>
          <w:bCs/>
          <w:color w:val="000000"/>
          <w:sz w:val="32"/>
          <w:szCs w:val="32"/>
        </w:rPr>
        <w:t>，</w:t>
      </w:r>
      <w:r>
        <w:rPr>
          <w:rStyle w:val="29"/>
          <w:rFonts w:hint="eastAsia" w:ascii="仿宋_GB2312" w:hAnsi="仿宋_GB2312" w:eastAsia="仿宋_GB2312" w:cs="仿宋_GB2312"/>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9"/>
          <w:rFonts w:ascii="仿宋_GB2312" w:hAnsi="仿宋_GB2312" w:eastAsia="仿宋_GB2312" w:cs="仿宋_GB2312"/>
          <w:b w:val="0"/>
          <w:bCs/>
          <w:color w:val="000000"/>
          <w:sz w:val="32"/>
          <w:szCs w:val="32"/>
        </w:rPr>
      </w:pPr>
      <w:r>
        <w:rPr>
          <w:rStyle w:val="29"/>
          <w:rFonts w:hint="eastAsia" w:ascii="仿宋_GB2312" w:hAnsi="仿宋_GB2312" w:eastAsia="仿宋_GB2312" w:cs="仿宋_GB2312"/>
          <w:bCs/>
          <w:color w:val="000000"/>
          <w:sz w:val="32"/>
          <w:szCs w:val="32"/>
          <w:lang w:val="en-US" w:eastAsia="zh-CN"/>
        </w:rPr>
        <w:t>4</w:t>
      </w:r>
      <w:r>
        <w:rPr>
          <w:rStyle w:val="29"/>
          <w:rFonts w:hint="eastAsia" w:ascii="仿宋_GB2312" w:hAnsi="仿宋_GB2312" w:eastAsia="仿宋_GB2312" w:cs="仿宋_GB2312"/>
          <w:bCs/>
          <w:color w:val="000000"/>
          <w:sz w:val="32"/>
          <w:szCs w:val="32"/>
        </w:rPr>
        <w:t>.农林水支出（213）</w:t>
      </w:r>
      <w:r>
        <w:rPr>
          <w:rStyle w:val="29"/>
          <w:rFonts w:hint="eastAsia" w:ascii="仿宋_GB2312" w:hAnsi="仿宋_GB2312" w:eastAsia="仿宋_GB2312" w:cs="仿宋_GB2312"/>
          <w:bCs/>
          <w:color w:val="000000"/>
          <w:sz w:val="32"/>
          <w:szCs w:val="32"/>
          <w:lang w:eastAsia="zh-CN"/>
        </w:rPr>
        <w:t>巩固脱贫攻坚成果衔接乡村振兴</w:t>
      </w:r>
      <w:r>
        <w:rPr>
          <w:rStyle w:val="29"/>
          <w:rFonts w:hint="eastAsia" w:ascii="仿宋_GB2312" w:hAnsi="仿宋_GB2312" w:eastAsia="仿宋_GB2312" w:cs="仿宋_GB2312"/>
          <w:bCs/>
          <w:color w:val="000000"/>
          <w:sz w:val="32"/>
          <w:szCs w:val="32"/>
        </w:rPr>
        <w:t>（0</w:t>
      </w:r>
      <w:r>
        <w:rPr>
          <w:rStyle w:val="29"/>
          <w:rFonts w:hint="eastAsia" w:ascii="仿宋_GB2312" w:hAnsi="仿宋_GB2312" w:eastAsia="仿宋_GB2312" w:cs="仿宋_GB2312"/>
          <w:bCs/>
          <w:color w:val="000000"/>
          <w:sz w:val="32"/>
          <w:szCs w:val="32"/>
          <w:lang w:val="en-US" w:eastAsia="zh-CN"/>
        </w:rPr>
        <w:t>5</w:t>
      </w:r>
      <w:r>
        <w:rPr>
          <w:rStyle w:val="29"/>
          <w:rFonts w:hint="eastAsia" w:ascii="仿宋_GB2312" w:hAnsi="仿宋_GB2312" w:eastAsia="仿宋_GB2312" w:cs="仿宋_GB2312"/>
          <w:bCs/>
          <w:color w:val="000000"/>
          <w:sz w:val="32"/>
          <w:szCs w:val="32"/>
        </w:rPr>
        <w:t>）</w:t>
      </w:r>
      <w:r>
        <w:rPr>
          <w:rStyle w:val="29"/>
          <w:rFonts w:hint="eastAsia" w:ascii="仿宋_GB2312" w:hAnsi="仿宋_GB2312" w:eastAsia="仿宋_GB2312" w:cs="仿宋_GB2312"/>
          <w:bCs/>
          <w:color w:val="000000"/>
          <w:sz w:val="32"/>
          <w:szCs w:val="32"/>
          <w:lang w:eastAsia="zh-CN"/>
        </w:rPr>
        <w:t>生产发展</w:t>
      </w:r>
      <w:r>
        <w:rPr>
          <w:rStyle w:val="29"/>
          <w:rFonts w:hint="eastAsia" w:ascii="仿宋_GB2312" w:hAnsi="仿宋_GB2312" w:eastAsia="仿宋_GB2312" w:cs="仿宋_GB2312"/>
          <w:bCs/>
          <w:color w:val="000000"/>
          <w:sz w:val="32"/>
          <w:szCs w:val="32"/>
        </w:rPr>
        <w:t>（</w:t>
      </w:r>
      <w:r>
        <w:rPr>
          <w:rStyle w:val="29"/>
          <w:rFonts w:hint="eastAsia" w:ascii="仿宋_GB2312" w:hAnsi="仿宋_GB2312" w:eastAsia="仿宋_GB2312" w:cs="仿宋_GB2312"/>
          <w:bCs/>
          <w:color w:val="000000"/>
          <w:sz w:val="32"/>
          <w:szCs w:val="32"/>
          <w:lang w:val="en-US" w:eastAsia="zh-CN"/>
        </w:rPr>
        <w:t>05</w:t>
      </w:r>
      <w:r>
        <w:rPr>
          <w:rStyle w:val="29"/>
          <w:rFonts w:ascii="仿宋_GB2312" w:hAnsi="仿宋_GB2312" w:eastAsia="仿宋_GB2312" w:cs="仿宋_GB2312"/>
          <w:bCs/>
          <w:color w:val="000000"/>
          <w:sz w:val="32"/>
          <w:szCs w:val="32"/>
        </w:rPr>
        <w:t>）</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181.00</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
          <w:color w:val="000000"/>
          <w:sz w:val="32"/>
          <w:szCs w:val="32"/>
        </w:rPr>
      </w:pPr>
      <w:r>
        <w:rPr>
          <w:rStyle w:val="29"/>
          <w:rFonts w:hint="eastAsia" w:ascii="仿宋_GB2312" w:hAnsi="仿宋_GB2312" w:eastAsia="仿宋_GB2312" w:cs="仿宋_GB2312"/>
          <w:bCs/>
          <w:color w:val="000000"/>
          <w:sz w:val="32"/>
          <w:szCs w:val="32"/>
          <w:lang w:val="en-US" w:eastAsia="zh-CN"/>
        </w:rPr>
        <w:t>5</w:t>
      </w:r>
      <w:r>
        <w:rPr>
          <w:rStyle w:val="29"/>
          <w:rFonts w:hint="eastAsia" w:ascii="仿宋_GB2312" w:hAnsi="仿宋_GB2312" w:eastAsia="仿宋_GB2312" w:cs="仿宋_GB2312"/>
          <w:bCs/>
          <w:color w:val="000000"/>
          <w:sz w:val="32"/>
          <w:szCs w:val="32"/>
        </w:rPr>
        <w:t>.农林水支出（213）巩固脱贫衔接乡村振兴（05）其他巩固脱贫攻坚衔接乡村振兴支出（99）:</w:t>
      </w:r>
      <w:r>
        <w:rPr>
          <w:rStyle w:val="29"/>
          <w:rFonts w:hint="eastAsia" w:ascii="仿宋_GB2312" w:hAnsi="仿宋_GB2312" w:eastAsia="仿宋_GB2312" w:cs="仿宋_GB2312"/>
          <w:b w:val="0"/>
          <w:bCs/>
          <w:color w:val="000000"/>
          <w:sz w:val="32"/>
          <w:szCs w:val="32"/>
        </w:rPr>
        <w:t xml:space="preserve"> 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12.00</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29"/>
          <w:rFonts w:hint="eastAsia" w:ascii="仿宋_GB2312" w:hAnsi="仿宋_GB2312" w:eastAsia="仿宋_GB2312" w:cs="仿宋_GB2312"/>
          <w:b w:val="0"/>
          <w:bCs/>
          <w:color w:val="000000"/>
          <w:sz w:val="32"/>
          <w:szCs w:val="32"/>
        </w:rPr>
      </w:pPr>
      <w:r>
        <w:rPr>
          <w:rStyle w:val="29"/>
          <w:rFonts w:hint="eastAsia" w:ascii="仿宋_GB2312" w:hAnsi="仿宋_GB2312" w:eastAsia="仿宋_GB2312" w:cs="仿宋_GB2312"/>
          <w:bCs/>
          <w:color w:val="000000"/>
          <w:sz w:val="32"/>
          <w:szCs w:val="32"/>
          <w:lang w:val="en-US" w:eastAsia="zh-CN"/>
        </w:rPr>
        <w:t>6</w:t>
      </w:r>
      <w:r>
        <w:rPr>
          <w:rStyle w:val="29"/>
          <w:rFonts w:hint="eastAsia" w:ascii="仿宋_GB2312" w:hAnsi="仿宋_GB2312" w:eastAsia="仿宋_GB2312" w:cs="仿宋_GB2312"/>
          <w:bCs/>
          <w:color w:val="000000"/>
          <w:sz w:val="32"/>
          <w:szCs w:val="32"/>
        </w:rPr>
        <w:t>.商业服务业等支出（216）商业流通事务（02）行政运行（01）</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152.46</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eastAsia="仿宋_GB2312"/>
          <w:lang w:val="en-US" w:eastAsia="zh-CN"/>
        </w:rPr>
      </w:pPr>
      <w:r>
        <w:rPr>
          <w:rStyle w:val="29"/>
          <w:rFonts w:hint="eastAsia" w:ascii="仿宋_GB2312" w:hAnsi="仿宋_GB2312" w:eastAsia="仿宋_GB2312" w:cs="仿宋_GB2312"/>
          <w:bCs/>
          <w:color w:val="000000"/>
          <w:sz w:val="32"/>
          <w:szCs w:val="32"/>
          <w:lang w:val="en-US" w:eastAsia="zh-CN"/>
        </w:rPr>
        <w:t>7</w:t>
      </w:r>
      <w:r>
        <w:rPr>
          <w:rStyle w:val="29"/>
          <w:rFonts w:hint="eastAsia" w:ascii="仿宋_GB2312" w:hAnsi="仿宋_GB2312" w:eastAsia="仿宋_GB2312" w:cs="仿宋_GB2312"/>
          <w:bCs/>
          <w:color w:val="000000"/>
          <w:sz w:val="32"/>
          <w:szCs w:val="32"/>
        </w:rPr>
        <w:t>.商业服务业等支出（216）商业流通事务（02）</w:t>
      </w:r>
      <w:r>
        <w:rPr>
          <w:rStyle w:val="29"/>
          <w:rFonts w:hint="eastAsia" w:ascii="仿宋_GB2312" w:hAnsi="仿宋_GB2312" w:eastAsia="仿宋_GB2312" w:cs="仿宋_GB2312"/>
          <w:bCs/>
          <w:color w:val="000000"/>
          <w:sz w:val="32"/>
          <w:szCs w:val="32"/>
          <w:lang w:eastAsia="zh-CN"/>
        </w:rPr>
        <w:t>其他商业流通事务支出</w:t>
      </w:r>
      <w:r>
        <w:rPr>
          <w:rStyle w:val="29"/>
          <w:rFonts w:hint="eastAsia" w:ascii="仿宋_GB2312" w:hAnsi="仿宋_GB2312" w:eastAsia="仿宋_GB2312" w:cs="仿宋_GB2312"/>
          <w:bCs/>
          <w:color w:val="000000"/>
          <w:sz w:val="32"/>
          <w:szCs w:val="32"/>
        </w:rPr>
        <w:t>（</w:t>
      </w:r>
      <w:r>
        <w:rPr>
          <w:rStyle w:val="29"/>
          <w:rFonts w:hint="eastAsia" w:ascii="仿宋_GB2312" w:hAnsi="仿宋_GB2312" w:eastAsia="仿宋_GB2312" w:cs="仿宋_GB2312"/>
          <w:bCs/>
          <w:color w:val="000000"/>
          <w:sz w:val="32"/>
          <w:szCs w:val="32"/>
          <w:lang w:val="en-US" w:eastAsia="zh-CN"/>
        </w:rPr>
        <w:t>99</w:t>
      </w:r>
      <w:r>
        <w:rPr>
          <w:rStyle w:val="29"/>
          <w:rFonts w:hint="eastAsia" w:ascii="仿宋_GB2312" w:hAnsi="仿宋_GB2312" w:eastAsia="仿宋_GB2312" w:cs="仿宋_GB2312"/>
          <w:bCs/>
          <w:color w:val="000000"/>
          <w:sz w:val="32"/>
          <w:szCs w:val="32"/>
        </w:rPr>
        <w:t>）</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135.00</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
          <w:color w:val="000000"/>
          <w:sz w:val="32"/>
          <w:szCs w:val="32"/>
        </w:rPr>
      </w:pPr>
      <w:r>
        <w:rPr>
          <w:rStyle w:val="29"/>
          <w:rFonts w:hint="eastAsia" w:ascii="仿宋_GB2312" w:hAnsi="仿宋_GB2312" w:eastAsia="仿宋_GB2312" w:cs="仿宋_GB2312"/>
          <w:bCs/>
          <w:color w:val="000000"/>
          <w:sz w:val="32"/>
          <w:szCs w:val="32"/>
          <w:lang w:val="en-US" w:eastAsia="zh-CN"/>
        </w:rPr>
        <w:t>8</w:t>
      </w:r>
      <w:r>
        <w:rPr>
          <w:rStyle w:val="29"/>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9"/>
          <w:rFonts w:hint="eastAsia" w:ascii="仿宋_GB2312" w:hAnsi="仿宋_GB2312" w:eastAsia="仿宋_GB2312" w:cs="仿宋_GB2312"/>
          <w:bCs/>
          <w:color w:val="000000"/>
          <w:sz w:val="32"/>
          <w:szCs w:val="32"/>
        </w:rPr>
        <w:t>（221）住房改革支出（02）住房公积金（01）</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13.89</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
          <w:color w:val="000000"/>
          <w:sz w:val="32"/>
          <w:szCs w:val="32"/>
        </w:rPr>
      </w:pPr>
      <w:r>
        <w:rPr>
          <w:rStyle w:val="29"/>
          <w:rFonts w:hint="eastAsia" w:ascii="仿宋_GB2312" w:hAnsi="仿宋_GB2312" w:eastAsia="仿宋_GB2312" w:cs="仿宋_GB2312"/>
          <w:bCs/>
          <w:color w:val="000000"/>
          <w:sz w:val="32"/>
          <w:szCs w:val="32"/>
          <w:lang w:val="en-US" w:eastAsia="zh-CN"/>
        </w:rPr>
        <w:t>9</w:t>
      </w:r>
      <w:r>
        <w:rPr>
          <w:rStyle w:val="29"/>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color w:val="000000"/>
          <w:sz w:val="32"/>
          <w:szCs w:val="32"/>
        </w:rPr>
        <w:t>住房保障支出</w:t>
      </w:r>
      <w:r>
        <w:rPr>
          <w:rStyle w:val="29"/>
          <w:rFonts w:hint="eastAsia" w:ascii="仿宋_GB2312" w:hAnsi="仿宋_GB2312" w:eastAsia="仿宋_GB2312" w:cs="仿宋_GB2312"/>
          <w:bCs/>
          <w:color w:val="000000"/>
          <w:sz w:val="32"/>
          <w:szCs w:val="32"/>
        </w:rPr>
        <w:t>（221）住房改革支出（02）购房补贴（03）</w:t>
      </w:r>
      <w:r>
        <w:rPr>
          <w:rStyle w:val="29"/>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b w:val="0"/>
          <w:bCs w:val="0"/>
          <w:sz w:val="32"/>
          <w:szCs w:val="32"/>
        </w:rPr>
        <w:t>决算数</w:t>
      </w:r>
      <w:r>
        <w:rPr>
          <w:rStyle w:val="29"/>
          <w:rFonts w:hint="eastAsia" w:ascii="仿宋_GB2312" w:hAnsi="仿宋_GB2312" w:eastAsia="仿宋_GB2312" w:cs="仿宋_GB2312"/>
          <w:b w:val="0"/>
          <w:bCs/>
          <w:color w:val="000000"/>
          <w:sz w:val="32"/>
          <w:szCs w:val="32"/>
          <w:lang w:val="en-US" w:eastAsia="zh-CN"/>
        </w:rPr>
        <w:t>2.02</w:t>
      </w:r>
      <w:r>
        <w:rPr>
          <w:rStyle w:val="29"/>
          <w:rFonts w:hint="eastAsia" w:ascii="仿宋_GB2312" w:hAnsi="仿宋_GB2312" w:eastAsia="仿宋_GB2312" w:cs="仿宋_GB2312"/>
          <w:b w:val="0"/>
          <w:bCs/>
          <w:color w:val="000000"/>
          <w:sz w:val="32"/>
          <w:szCs w:val="32"/>
        </w:rPr>
        <w:t>万元，完成预算100%，决算数与预算数持平。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32"/>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2"/>
          <w:rFonts w:hint="eastAsia" w:ascii="黑体" w:hAnsi="黑体" w:eastAsia="黑体"/>
          <w:b w:val="0"/>
        </w:rPr>
        <w:t>般公共预算财政拨款基本支出决算情况说明</w:t>
      </w:r>
      <w:bookmarkEnd w:id="60"/>
      <w:bookmarkEnd w:id="61"/>
      <w:bookmarkEnd w:id="62"/>
      <w:bookmarkEnd w:id="63"/>
      <w:r>
        <w:rPr>
          <w:rStyle w:val="32"/>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208.21</w:t>
      </w:r>
      <w:r>
        <w:rPr>
          <w:rFonts w:hint="eastAsia" w:ascii="仿宋_GB2312" w:hAnsi="仿宋_GB2312" w:eastAsia="仿宋_GB2312" w:cs="仿宋_GB2312"/>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202.61</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40.55</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37.62</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46.21</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16.81</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8.40</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11.35</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13.89</w:t>
      </w:r>
      <w:r>
        <w:rPr>
          <w:rFonts w:hint="eastAsia" w:ascii="仿宋_GB2312" w:hAnsi="仿宋_GB2312" w:eastAsia="仿宋_GB2312" w:cs="仿宋_GB2312"/>
          <w:sz w:val="32"/>
          <w:szCs w:val="32"/>
        </w:rPr>
        <w:t>万元、医疗费</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万元、生活补助</w:t>
      </w:r>
      <w:r>
        <w:rPr>
          <w:rFonts w:hint="eastAsia" w:ascii="仿宋_GB2312" w:hAnsi="仿宋_GB2312" w:eastAsia="仿宋_GB2312" w:cs="仿宋_GB2312"/>
          <w:sz w:val="32"/>
          <w:szCs w:val="32"/>
          <w:lang w:val="en-US" w:eastAsia="zh-CN"/>
        </w:rPr>
        <w:t>19.61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公务员医疗补助缴费</w:t>
      </w:r>
      <w:r>
        <w:rPr>
          <w:rFonts w:hint="eastAsia" w:ascii="仿宋_GB2312" w:hAnsi="仿宋_GB2312" w:eastAsia="仿宋_GB2312" w:cs="仿宋_GB2312"/>
          <w:sz w:val="32"/>
          <w:szCs w:val="32"/>
          <w:lang w:val="en-US" w:eastAsia="zh-CN"/>
        </w:rPr>
        <w:t>3.27</w:t>
      </w:r>
      <w:r>
        <w:rPr>
          <w:rFonts w:hint="eastAsia" w:ascii="仿宋_GB2312" w:hAnsi="仿宋_GB2312" w:eastAsia="仿宋_GB2312" w:cs="仿宋_GB2312"/>
          <w:sz w:val="32"/>
          <w:szCs w:val="32"/>
        </w:rPr>
        <w:t>万元、奖励金0.01万元。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2.69万元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万元、公务接待费0.1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0.60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2"/>
          <w:rFonts w:ascii="黑体" w:hAnsi="黑体" w:eastAsia="黑体"/>
          <w:b w:val="0"/>
        </w:rPr>
      </w:pPr>
      <w:bookmarkStart w:id="64" w:name="_Toc79163869"/>
      <w:bookmarkStart w:id="65" w:name="_Toc15377215"/>
      <w:bookmarkStart w:id="66" w:name="_Toc15396609"/>
      <w:bookmarkStart w:id="67" w:name="_Toc79163619"/>
      <w:r>
        <w:rPr>
          <w:rStyle w:val="32"/>
          <w:rFonts w:hint="eastAsia" w:ascii="黑体" w:hAnsi="黑体" w:eastAsia="黑体"/>
          <w:b w:val="0"/>
          <w:bCs w:val="0"/>
          <w:lang w:eastAsia="zh-CN"/>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bookmarkStart w:id="68" w:name="_Toc79163870"/>
      <w:bookmarkStart w:id="69" w:name="_Toc15377216"/>
      <w:bookmarkStart w:id="70" w:name="_Toc79163620"/>
      <w:r>
        <w:rPr>
          <w:rFonts w:hint="eastAsia" w:ascii="楷体_GB2312" w:hAnsi="楷体_GB2312" w:eastAsia="楷体_GB2312" w:cs="楷体_GB2312"/>
          <w:b/>
          <w:bCs/>
          <w:sz w:val="32"/>
          <w:szCs w:val="32"/>
        </w:rPr>
        <w:t>（一）“三公”经费财政拨款支出决算总体情况说明</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“三公”经费财政拨款支出决算为</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减少0.02万元，下降15.38%，主要原因是:接待费减少，</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bookmarkStart w:id="71" w:name="_Toc79163621"/>
      <w:bookmarkStart w:id="72" w:name="_Toc15377217"/>
      <w:bookmarkStart w:id="73" w:name="_Toc79163871"/>
      <w:r>
        <w:rPr>
          <w:rFonts w:hint="eastAsia" w:ascii="楷体_GB2312" w:hAnsi="楷体_GB2312" w:eastAsia="楷体_GB2312" w:cs="楷体_GB2312"/>
          <w:b/>
          <w:bCs/>
          <w:sz w:val="32"/>
          <w:szCs w:val="32"/>
        </w:rPr>
        <w:t>（二）“三公”经费财政拨款支出决算具体情况说明</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74" w:name="_Toc79163622"/>
      <w:bookmarkStart w:id="75" w:name="_Toc15377218"/>
      <w:bookmarkStart w:id="76" w:name="_Toc79163872"/>
      <w:bookmarkStart w:id="77" w:name="_Toc15396610"/>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95495" cy="2838450"/>
            <wp:effectExtent l="4445" t="4445" r="17780" b="6985"/>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1.因公出国（境）经费支出</w:t>
      </w:r>
      <w:r>
        <w:rPr>
          <w:rFonts w:hint="eastAsia" w:ascii="仿宋_GB2312" w:hAnsi="仿宋_GB2312" w:eastAsia="仿宋_GB2312" w:cs="仿宋_GB2312"/>
          <w:color w:val="000000"/>
          <w:sz w:val="32"/>
          <w:szCs w:val="32"/>
          <w:highlight w:val="none"/>
        </w:rPr>
        <w:t>0万元，全年安排因公出国（境）团组0次，出国（境）0人</w:t>
      </w:r>
      <w:r>
        <w:rPr>
          <w:rFonts w:hint="eastAsia" w:ascii="仿宋_GB2312" w:hAnsi="仿宋_GB2312" w:eastAsia="仿宋_GB2312" w:cs="仿宋_GB2312"/>
          <w:color w:val="000000"/>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因公出国（境）支出决算与2023年持平</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000000"/>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公务用车购置及运行维护费支出决算与2023年度持平</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万元，完成预算100%。公务接待费支出决算比202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减少</w:t>
      </w:r>
      <w:r>
        <w:rPr>
          <w:rFonts w:hint="eastAsia" w:ascii="仿宋_GB2312" w:hAnsi="仿宋_GB2312" w:eastAsia="仿宋_GB2312" w:cs="仿宋_GB2312"/>
          <w:color w:val="000000"/>
          <w:sz w:val="32"/>
          <w:szCs w:val="32"/>
          <w:highlight w:val="none"/>
        </w:rPr>
        <w:t>0.</w:t>
      </w:r>
      <w:r>
        <w:rPr>
          <w:rFonts w:hint="eastAsia" w:ascii="仿宋_GB2312" w:hAnsi="仿宋_GB2312" w:eastAsia="仿宋_GB2312" w:cs="仿宋_GB2312"/>
          <w:color w:val="000000"/>
          <w:sz w:val="32"/>
          <w:szCs w:val="32"/>
          <w:highlight w:val="none"/>
          <w:lang w:val="en-US" w:eastAsia="zh-CN"/>
        </w:rPr>
        <w:t>02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下降</w:t>
      </w:r>
      <w:r>
        <w:rPr>
          <w:rFonts w:hint="eastAsia" w:ascii="仿宋_GB2312" w:hAnsi="仿宋_GB2312" w:eastAsia="仿宋_GB2312" w:cs="仿宋_GB2312"/>
          <w:color w:val="000000"/>
          <w:sz w:val="32"/>
          <w:szCs w:val="32"/>
          <w:highlight w:val="none"/>
          <w:lang w:val="en-US" w:eastAsia="zh-CN"/>
        </w:rPr>
        <w:t>15.38</w:t>
      </w:r>
      <w:r>
        <w:rPr>
          <w:rFonts w:hint="eastAsia" w:ascii="仿宋_GB2312" w:hAnsi="仿宋_GB2312" w:eastAsia="仿宋_GB2312" w:cs="仿宋_GB2312"/>
          <w:color w:val="000000"/>
          <w:sz w:val="32"/>
          <w:szCs w:val="32"/>
          <w:highlight w:val="none"/>
        </w:rPr>
        <w:t>%，主要原因</w:t>
      </w:r>
      <w:r>
        <w:rPr>
          <w:rFonts w:hint="eastAsia" w:ascii="仿宋_GB2312" w:hAnsi="仿宋_GB2312" w:eastAsia="仿宋_GB2312" w:cs="仿宋_GB2312"/>
          <w:color w:val="000000"/>
          <w:sz w:val="32"/>
          <w:szCs w:val="32"/>
          <w:highlight w:val="none"/>
          <w:lang w:eastAsia="zh-CN"/>
        </w:rPr>
        <w:t>是</w:t>
      </w:r>
      <w:r>
        <w:rPr>
          <w:rFonts w:hint="eastAsia" w:ascii="仿宋_GB2312" w:hAnsi="仿宋_GB2312" w:eastAsia="仿宋_GB2312" w:cs="仿宋_GB2312"/>
          <w:color w:val="000000"/>
          <w:sz w:val="32"/>
          <w:szCs w:val="32"/>
          <w:highlight w:val="none"/>
          <w:lang w:val="en-US" w:eastAsia="zh-CN"/>
        </w:rPr>
        <w:t>:2024年与2023年相比接待人数未变，接待标准减少，接待费用支出减少。</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color w:val="000000"/>
          <w:sz w:val="32"/>
          <w:szCs w:val="32"/>
          <w:highlight w:val="none"/>
        </w:rPr>
        <w:t>0.1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万元，主要用于业务接待的用餐费。国内公务接待</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批次，</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人次（不包括陪同人员），共计支出0.1</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具体内容包括：</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接待202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省供销社来我县沟口镇供销社开展“走下去”调研工作，接待金额</w:t>
      </w:r>
      <w:r>
        <w:rPr>
          <w:rFonts w:hint="eastAsia" w:ascii="仿宋_GB2312" w:hAnsi="仿宋_GB2312" w:eastAsia="仿宋_GB2312" w:cs="仿宋_GB2312"/>
          <w:sz w:val="32"/>
          <w:szCs w:val="32"/>
          <w:highlight w:val="none"/>
          <w:lang w:val="en-US" w:eastAsia="zh-CN"/>
        </w:rPr>
        <w:t>0.10万元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2、接待州供销社4月16日来我县调研为农服务综合平台试点县建设工作，接待金额0.01万元。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FF0000"/>
          <w:sz w:val="32"/>
          <w:szCs w:val="32"/>
          <w:highlight w:val="none"/>
        </w:rPr>
      </w:pPr>
      <w:r>
        <w:rPr>
          <w:rFonts w:hint="eastAsia" w:ascii="仿宋" w:hAnsi="仿宋" w:eastAsia="仿宋"/>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外事接待</w:t>
      </w:r>
      <w:r>
        <w:rPr>
          <w:rFonts w:hint="eastAsia" w:ascii="仿宋_GB2312" w:hAnsi="仿宋_GB2312" w:eastAsia="仿宋_GB2312" w:cs="仿宋_GB2312"/>
          <w:color w:val="auto"/>
          <w:kern w:val="2"/>
          <w:sz w:val="32"/>
          <w:szCs w:val="32"/>
          <w:highlight w:val="none"/>
          <w:lang w:val="en-US" w:eastAsia="zh-CN" w:bidi="ar-SA"/>
        </w:rPr>
        <w:t>支出决算与2023年度持平</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2"/>
          <w:rFonts w:ascii="黑体" w:hAnsi="黑体" w:eastAsia="黑体"/>
          <w:highlight w:val="none"/>
        </w:rPr>
      </w:pPr>
      <w:r>
        <w:rPr>
          <w:rFonts w:hint="eastAsia" w:ascii="黑体" w:eastAsia="黑体"/>
          <w:color w:val="000000"/>
          <w:sz w:val="32"/>
          <w:szCs w:val="32"/>
          <w:highlight w:val="none"/>
        </w:rPr>
        <w:t>八、</w:t>
      </w:r>
      <w:r>
        <w:rPr>
          <w:rStyle w:val="32"/>
          <w:rFonts w:hint="eastAsia" w:ascii="黑体" w:hAnsi="黑体" w:eastAsia="黑体"/>
          <w:b w:val="0"/>
          <w:highlight w:val="none"/>
        </w:rPr>
        <w:t>政府性基金预算支出决算情况说明</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bookmarkStart w:id="78" w:name="_Toc79163873"/>
      <w:bookmarkStart w:id="79" w:name="_Toc15377219"/>
      <w:bookmarkStart w:id="80" w:name="_Toc79163623"/>
      <w:bookmarkStart w:id="81" w:name="_Toc15396611"/>
      <w:r>
        <w:rPr>
          <w:rFonts w:hint="eastAsia" w:ascii="仿宋_GB2312" w:hAnsi="仿宋_GB2312" w:eastAsia="仿宋_GB2312" w:cs="仿宋_GB2312"/>
          <w:sz w:val="32"/>
          <w:szCs w:val="32"/>
          <w:highlight w:val="none"/>
          <w:lang w:eastAsia="zh-CN"/>
        </w:rPr>
        <w:t>因我社不涉及</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eastAsia="zh-CN"/>
        </w:rPr>
        <w:t>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年政府性基金预算拨款支出0万元。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ascii="黑体" w:hAnsi="黑体" w:eastAsia="黑体"/>
          <w:b w:val="0"/>
          <w:highlight w:val="none"/>
        </w:rPr>
      </w:pPr>
      <w:r>
        <w:rPr>
          <w:rStyle w:val="32"/>
          <w:rFonts w:hint="eastAsia" w:ascii="黑体" w:hAnsi="黑体" w:eastAsia="黑体"/>
          <w:b w:val="0"/>
          <w:highlight w:val="none"/>
          <w:lang w:eastAsia="zh-CN"/>
        </w:rPr>
        <w:t>九、</w:t>
      </w:r>
      <w:r>
        <w:rPr>
          <w:rStyle w:val="32"/>
          <w:rFonts w:hint="eastAsia" w:ascii="黑体" w:hAnsi="黑体" w:eastAsia="黑体"/>
          <w:b w:val="0"/>
          <w:highlight w:val="none"/>
        </w:rPr>
        <w:t>国有资本经营预算支出决算情况说明</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因我社不涉</w:t>
      </w:r>
      <w:bookmarkStart w:id="135" w:name="_GoBack"/>
      <w:r>
        <w:rPr>
          <w:rFonts w:hint="eastAsia" w:ascii="仿宋_GB2312" w:hAnsi="仿宋_GB2312" w:eastAsia="仿宋_GB2312" w:cs="仿宋_GB2312"/>
          <w:sz w:val="32"/>
          <w:szCs w:val="32"/>
          <w:highlight w:val="none"/>
          <w:lang w:eastAsia="zh-CN"/>
        </w:rPr>
        <w:t>及国有</w:t>
      </w:r>
      <w:bookmarkEnd w:id="135"/>
      <w:r>
        <w:rPr>
          <w:rFonts w:hint="eastAsia" w:ascii="仿宋_GB2312" w:hAnsi="仿宋_GB2312" w:eastAsia="仿宋_GB2312" w:cs="仿宋_GB2312"/>
          <w:sz w:val="32"/>
          <w:szCs w:val="32"/>
          <w:highlight w:val="none"/>
          <w:lang w:eastAsia="zh-CN"/>
        </w:rPr>
        <w:t>资本经营预算支出，所以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年国有资本经营预算拨款支出0万元。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黑体" w:hAnsi="黑体" w:eastAsia="黑体"/>
        </w:rPr>
      </w:pPr>
      <w:bookmarkStart w:id="82" w:name="_Toc79163624"/>
      <w:bookmarkStart w:id="83" w:name="_Toc79163874"/>
      <w:bookmarkStart w:id="84" w:name="_Toc15377221"/>
      <w:bookmarkStart w:id="85" w:name="_Toc15396612"/>
      <w:r>
        <w:rPr>
          <w:rFonts w:hint="eastAsia" w:ascii="黑体" w:hAnsi="黑体" w:eastAsia="黑体"/>
          <w:color w:val="000000"/>
          <w:sz w:val="32"/>
          <w:szCs w:val="32"/>
        </w:rPr>
        <w:t>十</w:t>
      </w:r>
      <w:r>
        <w:rPr>
          <w:rStyle w:val="32"/>
          <w:rFonts w:hint="eastAsia" w:ascii="黑体" w:hAnsi="黑体" w:eastAsia="黑体"/>
        </w:rPr>
        <w:t>、</w:t>
      </w:r>
      <w:r>
        <w:rPr>
          <w:rStyle w:val="32"/>
          <w:rFonts w:hint="eastAsia" w:ascii="黑体" w:hAnsi="黑体" w:eastAsia="黑体"/>
          <w:b w:val="0"/>
        </w:rPr>
        <w:t>其他重要事项的情况说明</w:t>
      </w:r>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bookmarkStart w:id="86" w:name="_Toc79163875"/>
      <w:bookmarkStart w:id="87" w:name="_Toc15377222"/>
      <w:bookmarkStart w:id="88" w:name="_Toc79163625"/>
      <w:r>
        <w:rPr>
          <w:rFonts w:hint="eastAsia" w:ascii="楷体_GB2312" w:hAnsi="楷体_GB2312" w:eastAsia="楷体_GB2312" w:cs="楷体_GB2312"/>
          <w:b/>
          <w:bCs/>
          <w:sz w:val="32"/>
          <w:szCs w:val="32"/>
        </w:rPr>
        <w:t>（一）机关运行经费支出情况</w:t>
      </w:r>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bookmarkStart w:id="89" w:name="_Toc15377223"/>
      <w:bookmarkStart w:id="90" w:name="_Toc79163626"/>
      <w:bookmarkStart w:id="91" w:name="_Toc79163876"/>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年，茂县供销社机关运行经费支出</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lang w:eastAsia="zh-CN"/>
        </w:rPr>
        <w:t>万元，比202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年减少</w:t>
      </w:r>
      <w:r>
        <w:rPr>
          <w:rFonts w:hint="eastAsia" w:ascii="仿宋_GB2312" w:hAnsi="仿宋_GB2312" w:eastAsia="仿宋_GB2312" w:cs="仿宋_GB2312"/>
          <w:sz w:val="32"/>
          <w:szCs w:val="32"/>
          <w:highlight w:val="none"/>
          <w:lang w:val="en-US" w:eastAsia="zh-CN"/>
        </w:rPr>
        <w:t>0.80</w:t>
      </w:r>
      <w:r>
        <w:rPr>
          <w:rFonts w:hint="eastAsia" w:ascii="仿宋_GB2312" w:hAnsi="仿宋_GB2312" w:eastAsia="仿宋_GB2312" w:cs="仿宋_GB2312"/>
          <w:sz w:val="32"/>
          <w:szCs w:val="32"/>
          <w:highlight w:val="none"/>
          <w:lang w:eastAsia="zh-CN"/>
        </w:rPr>
        <w:t>万元，下降</w:t>
      </w:r>
      <w:r>
        <w:rPr>
          <w:rFonts w:hint="eastAsia" w:ascii="仿宋_GB2312" w:hAnsi="仿宋_GB2312" w:eastAsia="仿宋_GB2312" w:cs="仿宋_GB2312"/>
          <w:sz w:val="32"/>
          <w:szCs w:val="32"/>
          <w:highlight w:val="none"/>
          <w:lang w:val="en-US" w:eastAsia="zh-CN"/>
        </w:rPr>
        <w:t>12.5</w:t>
      </w:r>
      <w:r>
        <w:rPr>
          <w:rFonts w:hint="eastAsia" w:ascii="仿宋_GB2312" w:hAnsi="仿宋_GB2312" w:eastAsia="仿宋_GB2312" w:cs="仿宋_GB2312"/>
          <w:sz w:val="32"/>
          <w:szCs w:val="32"/>
          <w:highlight w:val="none"/>
          <w:lang w:eastAsia="zh-CN"/>
        </w:rPr>
        <w:t>%。主要原因是：我社退休</w:t>
      </w:r>
      <w:r>
        <w:rPr>
          <w:rFonts w:hint="eastAsia" w:ascii="仿宋_GB2312" w:hAnsi="仿宋_GB2312" w:eastAsia="仿宋_GB2312" w:cs="仿宋_GB2312"/>
          <w:sz w:val="32"/>
          <w:szCs w:val="32"/>
          <w:highlight w:val="none"/>
          <w:lang w:val="en-US" w:eastAsia="zh-CN"/>
        </w:rPr>
        <w:t>1人，2024年公用经费预算人数为7人，2023年公用经费预算人数为8人，因此公用经费减少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（二）政府采购支出情况</w:t>
      </w:r>
      <w:bookmarkEnd w:id="89"/>
      <w:bookmarkEnd w:id="90"/>
      <w:bookmarkEnd w:id="9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highlight w:val="none"/>
        </w:rPr>
      </w:pPr>
      <w:bookmarkStart w:id="92" w:name="_Toc79163627"/>
      <w:bookmarkStart w:id="93" w:name="_Toc15377224"/>
      <w:bookmarkStart w:id="94" w:name="_Toc79163877"/>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万元、政府采购工程支出0万元、政府采购服务支出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年12月31日，茂县供销合作社联合社共有车辆0辆。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highlight w:val="none"/>
        </w:rPr>
      </w:pPr>
      <w:bookmarkStart w:id="95" w:name="_Toc79163878"/>
      <w:bookmarkStart w:id="96" w:name="_Toc79163628"/>
      <w:r>
        <w:rPr>
          <w:rFonts w:hint="eastAsia" w:ascii="楷体_GB2312" w:hAnsi="楷体_GB2312" w:eastAsia="楷体_GB2312" w:cs="楷体_GB2312"/>
          <w:b/>
          <w:bCs/>
          <w:sz w:val="32"/>
          <w:szCs w:val="32"/>
          <w:highlight w:val="none"/>
        </w:rPr>
        <w:t>（四）预算绩效管理情况</w:t>
      </w:r>
      <w:bookmarkEnd w:id="95"/>
      <w:bookmarkEnd w:id="96"/>
    </w:p>
    <w:p>
      <w:pPr>
        <w:pageBreakBefore w:val="0"/>
        <w:widowControl w:val="0"/>
        <w:kinsoku/>
        <w:wordWrap/>
        <w:overflowPunct/>
        <w:topLinePunct w:val="0"/>
        <w:autoSpaceDE/>
        <w:autoSpaceDN/>
        <w:bidi w:val="0"/>
        <w:adjustRightInd w:val="0"/>
        <w:snapToGrid w:val="0"/>
        <w:spacing w:line="576" w:lineRule="exact"/>
        <w:ind w:firstLine="72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根据预算绩效管理要求，本单位在年初预算编制阶段，组织对供销为农服务综合平台试点县建设项目、驻村人员临岗补贴和乡镇补贴项目、2024年度“发展数智茂农，共创云链供销”交融交往项目</w:t>
      </w:r>
      <w:r>
        <w:rPr>
          <w:rFonts w:hint="eastAsia" w:ascii="仿宋_GB2312" w:hAnsi="仿宋_GB2312" w:eastAsia="仿宋_GB2312" w:cs="仿宋_GB2312"/>
          <w:sz w:val="32"/>
          <w:szCs w:val="32"/>
          <w:highlight w:val="none"/>
          <w:lang w:eastAsia="zh-CN"/>
        </w:rPr>
        <w:t>、2024年州级农资价格及储备补贴项目</w:t>
      </w:r>
      <w:r>
        <w:rPr>
          <w:rFonts w:hint="eastAsia" w:ascii="仿宋_GB2312" w:hAnsi="仿宋_GB2312" w:eastAsia="仿宋_GB2312" w:cs="仿宋_GB2312"/>
          <w:sz w:val="32"/>
          <w:szCs w:val="32"/>
          <w:highlight w:val="none"/>
        </w:rPr>
        <w:t>开展了预算事前绩效评估，对4个项目编制了绩效目标，预算执行过程中，选取该项目开展绩效监控。</w:t>
      </w: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茂县供销合作社联合社</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，组织对</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sz w:val="32"/>
          <w:szCs w:val="32"/>
          <w:highlight w:val="none"/>
        </w:rPr>
        <w:t>供销为农服务综合平台试点县建设项目、驻村人员临岗补贴和乡镇补贴项目、2024年度“发展数智茂农，共创云链供销”交融交往项目</w:t>
      </w:r>
      <w:r>
        <w:rPr>
          <w:rFonts w:hint="eastAsia" w:ascii="仿宋_GB2312" w:hAnsi="仿宋_GB2312" w:eastAsia="仿宋_GB2312" w:cs="仿宋_GB2312"/>
          <w:sz w:val="32"/>
          <w:szCs w:val="32"/>
          <w:highlight w:val="none"/>
          <w:lang w:eastAsia="zh-CN"/>
        </w:rPr>
        <w:t>、2024年州级农资价格及储备补贴</w:t>
      </w:r>
      <w:r>
        <w:rPr>
          <w:rFonts w:hint="eastAsia" w:ascii="Times New Roman" w:hAnsi="Times New Roman" w:eastAsia="仿宋_GB2312" w:cs="仿宋_GB2312"/>
          <w:color w:val="auto"/>
          <w:kern w:val="2"/>
          <w:sz w:val="32"/>
          <w:szCs w:val="32"/>
          <w:highlight w:val="none"/>
          <w:lang w:val="en-US" w:eastAsia="zh-CN" w:bidi="ar-SA"/>
        </w:rPr>
        <w:t>等专项预算</w:t>
      </w:r>
      <w:r>
        <w:rPr>
          <w:rFonts w:hint="eastAsia" w:eastAsia="仿宋_GB2312" w:cs="仿宋_GB2312"/>
          <w:color w:val="auto"/>
          <w:kern w:val="2"/>
          <w:sz w:val="32"/>
          <w:szCs w:val="32"/>
          <w:highlight w:val="none"/>
          <w:lang w:val="en-US" w:eastAsia="zh-CN" w:bidi="ar-SA"/>
        </w:rPr>
        <w:t>进行了</w:t>
      </w:r>
      <w:r>
        <w:rPr>
          <w:rFonts w:hint="eastAsia" w:ascii="Times New Roman" w:hAnsi="Times New Roman" w:eastAsia="仿宋_GB2312" w:cs="仿宋_GB2312"/>
          <w:color w:val="auto"/>
          <w:kern w:val="2"/>
          <w:sz w:val="32"/>
          <w:szCs w:val="32"/>
          <w:highlight w:val="none"/>
          <w:lang w:val="en-US" w:eastAsia="zh-CN" w:bidi="ar-SA"/>
        </w:rPr>
        <w:t>项目绩效</w:t>
      </w:r>
      <w:r>
        <w:rPr>
          <w:rFonts w:hint="eastAsia" w:eastAsia="仿宋_GB2312" w:cs="仿宋_GB2312"/>
          <w:color w:val="auto"/>
          <w:kern w:val="2"/>
          <w:sz w:val="32"/>
          <w:szCs w:val="32"/>
          <w:highlight w:val="none"/>
          <w:lang w:val="en-US" w:eastAsia="zh-CN" w:bidi="ar-SA"/>
        </w:rPr>
        <w:t>形成了</w:t>
      </w:r>
      <w:r>
        <w:rPr>
          <w:rFonts w:hint="eastAsia" w:ascii="Times New Roman" w:hAnsi="Times New Roman" w:eastAsia="仿宋_GB2312" w:cs="仿宋_GB2312"/>
          <w:color w:val="auto"/>
          <w:kern w:val="2"/>
          <w:sz w:val="32"/>
          <w:szCs w:val="32"/>
          <w:highlight w:val="none"/>
          <w:lang w:val="en-US" w:eastAsia="zh-CN" w:bidi="ar-SA"/>
        </w:rPr>
        <w:t>自评报告，其中，</w:t>
      </w:r>
      <w:r>
        <w:rPr>
          <w:rFonts w:hint="eastAsia" w:eastAsia="仿宋_GB2312" w:cs="仿宋_GB2312"/>
          <w:color w:val="auto"/>
          <w:kern w:val="2"/>
          <w:sz w:val="32"/>
          <w:szCs w:val="32"/>
          <w:highlight w:val="none"/>
          <w:lang w:val="en-US" w:eastAsia="zh-CN" w:bidi="ar-SA"/>
        </w:rPr>
        <w:t>茂县供销合作社联合社</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s="仿宋_GB2312"/>
          <w:sz w:val="32"/>
          <w:szCs w:val="32"/>
          <w:highlight w:val="none"/>
        </w:rPr>
        <w:t>驻村人员临岗补贴和乡镇补贴</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Times New Roman" w:eastAsia="仿宋_GB2312" w:cs="Times New Roman"/>
          <w:kern w:val="2"/>
          <w:sz w:val="32"/>
          <w:szCs w:val="32"/>
          <w:highlight w:val="none"/>
        </w:rPr>
        <w:t>该项目依据充分，绩效目标明确，具有公共性，符合</w:t>
      </w:r>
      <w:r>
        <w:rPr>
          <w:rFonts w:hint="eastAsia" w:ascii="仿宋_GB2312" w:hAnsi="Times New Roman" w:eastAsia="仿宋_GB2312" w:cs="Times New Roman"/>
          <w:kern w:val="2"/>
          <w:sz w:val="32"/>
          <w:szCs w:val="32"/>
          <w:highlight w:val="none"/>
          <w:lang w:eastAsia="zh-CN"/>
        </w:rPr>
        <w:t>财政资金</w:t>
      </w:r>
      <w:r>
        <w:rPr>
          <w:rFonts w:hint="eastAsia" w:ascii="仿宋_GB2312" w:hAnsi="Times New Roman" w:eastAsia="仿宋_GB2312" w:cs="Times New Roman"/>
          <w:kern w:val="2"/>
          <w:sz w:val="32"/>
          <w:szCs w:val="32"/>
          <w:highlight w:val="none"/>
        </w:rPr>
        <w:t>支持方向</w:t>
      </w:r>
      <w:r>
        <w:rPr>
          <w:rFonts w:hint="eastAsia" w:ascii="仿宋_GB2312" w:eastAsia="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项目预算0.35万，该项目申请总资金在预算内</w:t>
      </w:r>
      <w:r>
        <w:rPr>
          <w:rFonts w:hint="eastAsia" w:ascii="仿宋_GB2312" w:eastAsia="仿宋_GB2312" w:cs="Times New Roman"/>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2024年州级农资价格及储备补贴资金</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85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绩效自评综述</w:t>
      </w:r>
      <w:r>
        <w:rPr>
          <w:rFonts w:hint="eastAsia" w:eastAsia="仿宋_GB2312" w:cs="仿宋_GB2312"/>
          <w:color w:val="auto"/>
          <w:kern w:val="2"/>
          <w:sz w:val="32"/>
          <w:szCs w:val="32"/>
          <w:highlight w:val="none"/>
          <w:lang w:val="en-US" w:eastAsia="zh-CN" w:bidi="ar-SA"/>
        </w:rPr>
        <w:t>该项目</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严格按照</w:t>
      </w:r>
      <w:r>
        <w:rPr>
          <w:rFonts w:hint="eastAsia" w:ascii="仿宋_GB2312" w:hAnsi="仿宋_GB2312" w:eastAsia="仿宋_GB2312" w:cs="仿宋_GB2312"/>
          <w:b w:val="0"/>
          <w:kern w:val="0"/>
          <w:sz w:val="32"/>
          <w:szCs w:val="32"/>
          <w:highlight w:val="none"/>
          <w:shd w:val="clear" w:color="auto" w:fill="FFFFFF"/>
          <w:lang w:val="zh-CN" w:eastAsia="zh-CN" w:bidi="ar-SA"/>
        </w:rPr>
        <w:t>《阿坝州财政局关于下达2024年州级农资价格及储备补贴资金的通知》（阿州财</w:t>
      </w:r>
      <w:r>
        <w:rPr>
          <w:rFonts w:hint="eastAsia" w:ascii="仿宋_GB2312" w:hAnsi="仿宋_GB2312" w:eastAsia="仿宋_GB2312" w:cs="仿宋_GB2312"/>
          <w:b w:val="0"/>
          <w:kern w:val="0"/>
          <w:sz w:val="32"/>
          <w:szCs w:val="32"/>
          <w:highlight w:val="none"/>
          <w:shd w:val="clear" w:color="auto" w:fill="FFFFFF"/>
          <w:lang w:val="en-US" w:eastAsia="zh-CN" w:bidi="ar-SA"/>
        </w:rPr>
        <w:t>建</w:t>
      </w:r>
      <w:r>
        <w:rPr>
          <w:rFonts w:hint="eastAsia" w:ascii="仿宋_GB2312" w:hAnsi="仿宋_GB2312" w:eastAsia="仿宋_GB2312" w:cs="仿宋_GB2312"/>
          <w:b w:val="0"/>
          <w:kern w:val="0"/>
          <w:sz w:val="32"/>
          <w:szCs w:val="32"/>
          <w:highlight w:val="none"/>
          <w:shd w:val="clear" w:color="auto" w:fill="FFFFFF"/>
          <w:lang w:val="zh-CN" w:eastAsia="zh-CN" w:bidi="ar-SA"/>
        </w:rPr>
        <w:t>〔2024〕</w:t>
      </w:r>
      <w:r>
        <w:rPr>
          <w:rFonts w:hint="eastAsia" w:ascii="仿宋_GB2312" w:hAnsi="仿宋_GB2312" w:eastAsia="仿宋_GB2312" w:cs="仿宋_GB2312"/>
          <w:b w:val="0"/>
          <w:kern w:val="0"/>
          <w:sz w:val="32"/>
          <w:szCs w:val="32"/>
          <w:highlight w:val="none"/>
          <w:shd w:val="clear" w:color="auto" w:fill="FFFFFF"/>
          <w:lang w:val="en-US" w:eastAsia="zh-CN" w:bidi="ar-SA"/>
        </w:rPr>
        <w:t>118</w:t>
      </w:r>
      <w:r>
        <w:rPr>
          <w:rFonts w:hint="eastAsia" w:ascii="仿宋_GB2312" w:hAnsi="仿宋_GB2312" w:eastAsia="仿宋_GB2312" w:cs="仿宋_GB2312"/>
          <w:b w:val="0"/>
          <w:kern w:val="0"/>
          <w:sz w:val="32"/>
          <w:szCs w:val="32"/>
          <w:highlight w:val="none"/>
          <w:shd w:val="clear" w:color="auto" w:fill="FFFFFF"/>
          <w:lang w:val="zh-CN" w:eastAsia="zh-CN" w:bidi="ar-SA"/>
        </w:rPr>
        <w:t>号）、《阿坝州供销合作社联合社2024 年度农资价格及储备补贴办法》文件</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精神实施，下达资金与规划一致，完成目标任务，完成绩效目标，资金使用合规</w:t>
      </w:r>
      <w:r>
        <w:rPr>
          <w:rFonts w:hint="eastAsia" w:ascii="仿宋_GB2312" w:eastAsia="仿宋_GB2312" w:cs="仿宋_GB2312"/>
          <w:kern w:val="0"/>
          <w:position w:val="0"/>
          <w:sz w:val="32"/>
          <w:szCs w:val="32"/>
          <w:highlight w:val="none"/>
          <w:u w:val="none"/>
          <w:shd w:val="clear" w:color="auto" w:fill="FFFFFF"/>
          <w:lang w:val="zh-CN" w:eastAsia="zh-CN" w:bidi="ar-SA"/>
        </w:rPr>
        <w:t>；</w:t>
      </w:r>
      <w:r>
        <w:rPr>
          <w:rFonts w:hint="eastAsia" w:ascii="仿宋_GB2312" w:hAnsi="仿宋_GB2312" w:eastAsia="仿宋_GB2312" w:cs="仿宋_GB2312"/>
          <w:sz w:val="32"/>
          <w:szCs w:val="32"/>
          <w:highlight w:val="none"/>
        </w:rPr>
        <w:t>2024年度“发展数智茂农，共创云链供销”交融交往</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85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绩效自评综述</w:t>
      </w:r>
      <w:r>
        <w:rPr>
          <w:rFonts w:hint="eastAsia" w:ascii="仿宋_GB2312" w:eastAsia="仿宋_GB2312" w:cs="Times New Roman"/>
          <w:kern w:val="2"/>
          <w:sz w:val="32"/>
          <w:szCs w:val="32"/>
          <w:highlight w:val="none"/>
          <w:u w:val="none"/>
        </w:rPr>
        <w:t>该</w:t>
      </w:r>
      <w:r>
        <w:rPr>
          <w:rFonts w:hint="eastAsia" w:ascii="仿宋_GB2312" w:eastAsia="仿宋_GB2312" w:cs="Times New Roman"/>
          <w:color w:val="auto"/>
          <w:kern w:val="2"/>
          <w:sz w:val="32"/>
          <w:szCs w:val="32"/>
          <w:highlight w:val="none"/>
          <w:u w:val="none"/>
        </w:rPr>
        <w:t>项目</w:t>
      </w:r>
      <w:r>
        <w:rPr>
          <w:rFonts w:hint="eastAsia" w:ascii="仿宋_GB2312" w:eastAsia="仿宋_GB2312" w:cs="Times New Roman"/>
          <w:color w:val="auto"/>
          <w:kern w:val="2"/>
          <w:sz w:val="32"/>
          <w:szCs w:val="32"/>
          <w:highlight w:val="none"/>
          <w:u w:val="none"/>
          <w:lang w:val="en-US" w:eastAsia="zh-CN"/>
        </w:rPr>
        <w:t>依据</w:t>
      </w:r>
      <w:r>
        <w:rPr>
          <w:rFonts w:hint="eastAsia" w:ascii="仿宋_GB2312" w:eastAsia="仿宋_GB2312" w:cs="Times New Roman"/>
          <w:kern w:val="2"/>
          <w:sz w:val="32"/>
          <w:szCs w:val="32"/>
          <w:highlight w:val="none"/>
          <w:u w:val="none"/>
        </w:rPr>
        <w:t>充分，绩效目标明确，具有公共性，符合</w:t>
      </w:r>
      <w:r>
        <w:rPr>
          <w:rFonts w:hint="eastAsia" w:ascii="仿宋_GB2312" w:eastAsia="仿宋_GB2312" w:cs="Times New Roman"/>
          <w:kern w:val="2"/>
          <w:sz w:val="32"/>
          <w:szCs w:val="32"/>
          <w:highlight w:val="none"/>
          <w:u w:val="none"/>
          <w:lang w:val="en-US" w:eastAsia="zh-CN"/>
        </w:rPr>
        <w:t>对口支援资金</w:t>
      </w:r>
      <w:r>
        <w:rPr>
          <w:rFonts w:hint="eastAsia" w:ascii="仿宋_GB2312" w:eastAsia="仿宋_GB2312" w:cs="Times New Roman"/>
          <w:kern w:val="2"/>
          <w:sz w:val="32"/>
          <w:szCs w:val="32"/>
          <w:highlight w:val="none"/>
          <w:u w:val="none"/>
        </w:rPr>
        <w:t>支持方向</w:t>
      </w:r>
      <w:r>
        <w:rPr>
          <w:rFonts w:hint="eastAsia" w:ascii="仿宋_GB2312" w:eastAsia="仿宋_GB2312" w:cs="Times New Roman"/>
          <w:kern w:val="2"/>
          <w:sz w:val="32"/>
          <w:szCs w:val="32"/>
          <w:highlight w:val="none"/>
          <w:u w:val="none"/>
          <w:lang w:eastAsia="zh-CN"/>
        </w:rPr>
        <w:t>，</w:t>
      </w:r>
      <w:r>
        <w:rPr>
          <w:rFonts w:hint="eastAsia" w:ascii="仿宋_GB2312" w:eastAsia="仿宋_GB2312" w:cs="Times New Roman"/>
          <w:kern w:val="2"/>
          <w:sz w:val="32"/>
          <w:szCs w:val="32"/>
          <w:highlight w:val="none"/>
          <w:u w:val="none"/>
          <w:lang w:val="en-US" w:eastAsia="zh-CN"/>
        </w:rPr>
        <w:t>项目预算12.00</w:t>
      </w:r>
      <w:r>
        <w:rPr>
          <w:rFonts w:hint="eastAsia" w:ascii="仿宋_GB2312" w:eastAsia="仿宋_GB2312" w:cs="Times New Roman"/>
          <w:kern w:val="2"/>
          <w:sz w:val="32"/>
          <w:szCs w:val="32"/>
          <w:highlight w:val="none"/>
          <w:u w:val="none"/>
        </w:rPr>
        <w:t>万</w:t>
      </w:r>
      <w:r>
        <w:rPr>
          <w:rFonts w:hint="eastAsia" w:ascii="仿宋_GB2312" w:eastAsia="仿宋_GB2312" w:cs="Times New Roman"/>
          <w:kern w:val="2"/>
          <w:sz w:val="32"/>
          <w:szCs w:val="32"/>
          <w:highlight w:val="none"/>
          <w:u w:val="none"/>
          <w:lang w:eastAsia="zh-CN"/>
        </w:rPr>
        <w:t>，</w:t>
      </w:r>
      <w:r>
        <w:rPr>
          <w:rFonts w:hint="eastAsia" w:ascii="仿宋_GB2312" w:eastAsia="仿宋_GB2312" w:cs="Times New Roman"/>
          <w:kern w:val="2"/>
          <w:sz w:val="32"/>
          <w:szCs w:val="32"/>
          <w:highlight w:val="none"/>
          <w:u w:val="none"/>
        </w:rPr>
        <w:t>该项目申请</w:t>
      </w:r>
      <w:r>
        <w:rPr>
          <w:rFonts w:hint="eastAsia" w:ascii="仿宋_GB2312" w:eastAsia="仿宋_GB2312" w:cs="Times New Roman"/>
          <w:kern w:val="2"/>
          <w:sz w:val="32"/>
          <w:szCs w:val="32"/>
          <w:highlight w:val="none"/>
          <w:u w:val="none"/>
          <w:lang w:val="en-US" w:eastAsia="zh-CN"/>
        </w:rPr>
        <w:t>总</w:t>
      </w:r>
      <w:r>
        <w:rPr>
          <w:rFonts w:hint="eastAsia" w:ascii="仿宋_GB2312" w:eastAsia="仿宋_GB2312" w:cs="Times New Roman"/>
          <w:kern w:val="2"/>
          <w:sz w:val="32"/>
          <w:szCs w:val="32"/>
          <w:highlight w:val="none"/>
          <w:u w:val="none"/>
        </w:rPr>
        <w:t>资金</w:t>
      </w:r>
      <w:r>
        <w:rPr>
          <w:rFonts w:hint="eastAsia" w:ascii="仿宋_GB2312" w:eastAsia="仿宋_GB2312" w:cs="Times New Roman"/>
          <w:kern w:val="2"/>
          <w:sz w:val="32"/>
          <w:szCs w:val="32"/>
          <w:highlight w:val="none"/>
          <w:u w:val="none"/>
          <w:lang w:val="en-US" w:eastAsia="zh-CN"/>
        </w:rPr>
        <w:t>在预算内</w:t>
      </w:r>
      <w:r>
        <w:rPr>
          <w:rFonts w:hint="eastAsia" w:ascii="仿宋_GB2312" w:eastAsia="仿宋_GB2312" w:cs="Times New Roman"/>
          <w:kern w:val="2"/>
          <w:sz w:val="32"/>
          <w:szCs w:val="32"/>
          <w:highlight w:val="none"/>
          <w:u w:val="none"/>
          <w:lang w:eastAsia="zh-CN"/>
        </w:rPr>
        <w:t>。</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sz w:val="32"/>
          <w:szCs w:val="32"/>
          <w:highlight w:val="none"/>
        </w:rPr>
        <w:t>供销为农服务综合平台试点县建设</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85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，该项目</w:t>
      </w:r>
      <w:r>
        <w:rPr>
          <w:rFonts w:hint="eastAsia" w:ascii="仿宋_GB2312" w:hAnsi="Times New Roman" w:eastAsia="仿宋_GB2312" w:cs="仿宋_GB2312"/>
          <w:color w:val="auto"/>
          <w:kern w:val="0"/>
          <w:position w:val="0"/>
          <w:sz w:val="32"/>
          <w:szCs w:val="32"/>
          <w:highlight w:val="none"/>
          <w:u w:val="none"/>
          <w:shd w:val="clear" w:color="auto" w:fill="FFFFFF"/>
          <w:lang w:val="zh-CN" w:eastAsia="zh-CN" w:bidi="ar-SA"/>
        </w:rPr>
        <w:t>资金投向与规划一致，完成目标任务，完成绩效目标，资金使用合规</w:t>
      </w:r>
      <w:r>
        <w:rPr>
          <w:rFonts w:hint="eastAsia" w:ascii="仿宋_GB2312" w:hAnsi="Times New Roman" w:eastAsia="仿宋_GB2312" w:cs="仿宋_GB2312"/>
          <w:kern w:val="0"/>
          <w:position w:val="0"/>
          <w:sz w:val="32"/>
          <w:szCs w:val="32"/>
          <w:highlight w:val="none"/>
          <w:u w:val="none"/>
          <w:shd w:val="clear" w:color="auto" w:fill="FFFFFF"/>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pStyle w:val="21"/>
        <w:ind w:left="0" w:leftChars="0" w:firstLine="0" w:firstLineChars="0"/>
      </w:pPr>
    </w:p>
    <w:p/>
    <w:p>
      <w:pPr>
        <w:pStyle w:val="2"/>
      </w:pPr>
    </w:p>
    <w:p/>
    <w:p>
      <w:pPr>
        <w:pStyle w:val="2"/>
      </w:pPr>
    </w:p>
    <w:p/>
    <w:p>
      <w:pPr>
        <w:pStyle w:val="2"/>
      </w:pPr>
    </w:p>
    <w:p/>
    <w:p>
      <w:pPr>
        <w:pStyle w:val="2"/>
      </w:pPr>
    </w:p>
    <w:p/>
    <w:p>
      <w:pPr>
        <w:pStyle w:val="2"/>
      </w:pPr>
    </w:p>
    <w:p>
      <w:pPr>
        <w:pStyle w:val="2"/>
      </w:pPr>
    </w:p>
    <w:p/>
    <w:p>
      <w:pPr>
        <w:numPr>
          <w:ilvl w:val="0"/>
          <w:numId w:val="0"/>
        </w:numPr>
        <w:spacing w:line="600" w:lineRule="exact"/>
        <w:ind w:left="2730" w:leftChars="0"/>
        <w:outlineLvl w:val="0"/>
        <w:rPr>
          <w:rStyle w:val="31"/>
          <w:rFonts w:hint="eastAsia" w:ascii="方正小标宋简体" w:hAnsi="方正小标宋简体" w:eastAsia="方正小标宋简体" w:cs="方正小标宋简体"/>
          <w:b w:val="0"/>
        </w:rPr>
      </w:pPr>
      <w:bookmarkStart w:id="97" w:name="_Toc79163879"/>
      <w:bookmarkStart w:id="98" w:name="_Toc15377225"/>
      <w:bookmarkStart w:id="99" w:name="_Toc15396613"/>
      <w:bookmarkStart w:id="100" w:name="_Toc79163629"/>
      <w:r>
        <w:rPr>
          <w:rFonts w:hint="eastAsia" w:ascii="方正小标宋简体" w:hAnsi="方正小标宋简体" w:eastAsia="方正小标宋简体" w:cs="方正小标宋简体"/>
          <w:color w:val="000000"/>
          <w:sz w:val="44"/>
          <w:szCs w:val="44"/>
          <w:lang w:eastAsia="zh-CN"/>
        </w:rPr>
        <w:t>第三部分</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名</w:t>
      </w:r>
      <w:r>
        <w:rPr>
          <w:rStyle w:val="31"/>
          <w:rFonts w:hint="eastAsia" w:ascii="方正小标宋简体" w:hAnsi="方正小标宋简体" w:eastAsia="方正小标宋简体" w:cs="方正小标宋简体"/>
          <w:b w:val="0"/>
        </w:rPr>
        <w:t>词解释</w:t>
      </w:r>
      <w:bookmarkEnd w:id="97"/>
      <w:bookmarkEnd w:id="98"/>
      <w:bookmarkEnd w:id="99"/>
      <w:bookmarkEnd w:id="100"/>
    </w:p>
    <w:p>
      <w:pPr>
        <w:spacing w:line="600" w:lineRule="exact"/>
        <w:jc w:val="left"/>
        <w:rPr>
          <w:rFonts w:ascii="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使用非财政拨款结余：指事业单位使用以前年度积累的非财政拨款结余弥补当年收支差额的金额。</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年初结转和结余：指以前年度尚未完成、结转到本年按有关规定继续使用的资金。</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9.一般公共服务商业服务业（类）商业流通事务（款）行政运行（项）：指</w:t>
      </w:r>
      <w:r>
        <w:rPr>
          <w:rFonts w:ascii="仿宋_GB2312" w:hAnsi="仿宋_GB2312" w:eastAsia="仿宋_GB2312" w:cs="仿宋_GB2312"/>
          <w:sz w:val="32"/>
          <w:szCs w:val="32"/>
        </w:rPr>
        <w:t>用于保障机构正常运行、开展日常工作</w:t>
      </w:r>
      <w:r>
        <w:rPr>
          <w:rFonts w:hint="eastAsia" w:ascii="仿宋_GB2312" w:hAnsi="仿宋_GB2312" w:eastAsia="仿宋_GB2312" w:cs="仿宋_GB2312"/>
          <w:sz w:val="32"/>
          <w:szCs w:val="32"/>
        </w:rPr>
        <w:t>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10.一般公共服务商业服务业（类）商业流通事务（款）其他商业流通事务（项）：指其他用于商业流通事务方面的支出。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11.一般公共服务商业服务业（类）商业流通事务（款）民贸民品贷款贴息（项）：指对从事民贸民品生产销售企业贷款贴息。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12.社会保障和就业（类）行政事业单位离退休（款）机关事业单位基本养老保险缴费（项）：指部门实施养老保险制度由单位缴纳的养老保险费的支出。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13.社会保障和就业（类）行政事业单位离退休（款）机关事业单位职业年金缴费（项）：指部门实施养老保险制度由单位缴纳的职业年金的支出。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14.医疗卫生与计划生育（类）行政事业单位医疗（款）行政单位医疗（项）：指厅机关及参公管理事业单位用于缴纳单位基本医疗保险支出。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15.住房保障支出（类）住房公积金（款）住房公积金（项）：指行政事业单位按规定为职工缴纳的住房公积金。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16.住房保障支出（类）住房改革支出（款）住房公积金住房改革支出（款）购房补贴（项）：指行政事业单位按规定为职工支付的购房补贴。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17.农林水支出（类）农业（款）农业生产支持补贴（项）：指反映对种粮农民直接补贴，对农业生产资料补贴、技术物化补贴，推广先进适用农机农艺技术等方面支出。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18.农林水支出（类）农业（款）其他农业支出（项）：指反映其他用于农业方面的支出。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000000"/>
          <w:sz w:val="44"/>
          <w:szCs w:val="44"/>
        </w:rPr>
      </w:pPr>
      <w:r>
        <w:rPr>
          <w:rFonts w:hint="eastAsia" w:ascii="仿宋_GB2312" w:hAnsi="仿宋_GB2312" w:eastAsia="仿宋_GB2312" w:cs="仿宋_GB2312"/>
          <w:sz w:val="32"/>
          <w:szCs w:val="32"/>
        </w:rPr>
        <w:t>23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1" w:name="_Toc79163630"/>
      <w:bookmarkStart w:id="102" w:name="_Toc15396614"/>
      <w:bookmarkStart w:id="103" w:name="_Toc79163880"/>
      <w:bookmarkStart w:id="104" w:name="_Toc15377226"/>
    </w:p>
    <w:p>
      <w:pPr>
        <w:spacing w:line="576" w:lineRule="exact"/>
        <w:rPr>
          <w:rFonts w:ascii="黑体" w:hAnsi="黑体" w:eastAsia="黑体"/>
          <w:color w:val="000000"/>
          <w:sz w:val="44"/>
          <w:szCs w:val="44"/>
        </w:rPr>
      </w:pPr>
    </w:p>
    <w:p>
      <w:pPr>
        <w:pStyle w:val="21"/>
        <w:rPr>
          <w:rFonts w:ascii="黑体" w:hAnsi="黑体" w:eastAsia="黑体"/>
          <w:color w:val="000000"/>
          <w:sz w:val="44"/>
          <w:szCs w:val="44"/>
        </w:rPr>
      </w:pPr>
    </w:p>
    <w:p>
      <w:pPr>
        <w:rPr>
          <w:rFonts w:ascii="黑体" w:hAnsi="黑体" w:eastAsia="黑体"/>
          <w:color w:val="000000"/>
          <w:sz w:val="44"/>
          <w:szCs w:val="44"/>
        </w:rPr>
      </w:pPr>
    </w:p>
    <w:p>
      <w:pPr>
        <w:pStyle w:val="21"/>
        <w:rPr>
          <w:rFonts w:ascii="黑体" w:hAnsi="黑体" w:eastAsia="黑体"/>
          <w:color w:val="000000"/>
          <w:sz w:val="44"/>
          <w:szCs w:val="44"/>
        </w:rPr>
      </w:pPr>
    </w:p>
    <w:p>
      <w:pPr>
        <w:rPr>
          <w:rFonts w:ascii="黑体" w:hAnsi="黑体" w:eastAsia="黑体"/>
          <w:color w:val="000000"/>
          <w:sz w:val="44"/>
          <w:szCs w:val="44"/>
        </w:rPr>
      </w:pPr>
    </w:p>
    <w:p>
      <w:pPr>
        <w:pStyle w:val="21"/>
        <w:rPr>
          <w:rFonts w:ascii="黑体" w:hAnsi="黑体" w:eastAsia="黑体"/>
          <w:color w:val="000000"/>
          <w:sz w:val="44"/>
          <w:szCs w:val="44"/>
        </w:rPr>
      </w:pPr>
    </w:p>
    <w:p/>
    <w:p>
      <w:pPr>
        <w:spacing w:line="600" w:lineRule="exact"/>
        <w:jc w:val="center"/>
        <w:outlineLvl w:val="0"/>
        <w:rPr>
          <w:rStyle w:val="31"/>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31"/>
          <w:rFonts w:hint="eastAsia" w:ascii="方正小标宋简体" w:hAnsi="方正小标宋简体" w:eastAsia="方正小标宋简体" w:cs="方正小标宋简体"/>
          <w:b w:val="0"/>
        </w:rPr>
        <w:t>四部分 附件</w:t>
      </w:r>
      <w:bookmarkEnd w:id="101"/>
      <w:bookmarkEnd w:id="102"/>
      <w:bookmarkEnd w:id="103"/>
    </w:p>
    <w:p>
      <w:pPr>
        <w:spacing w:line="600" w:lineRule="exact"/>
        <w:jc w:val="left"/>
        <w:outlineLvl w:val="0"/>
        <w:rPr>
          <w:rFonts w:hint="eastAsia" w:ascii="黑体" w:hAnsi="黑体" w:eastAsia="黑体" w:cs="黑体"/>
          <w:color w:val="000000"/>
          <w:sz w:val="32"/>
          <w:szCs w:val="32"/>
        </w:rPr>
      </w:pPr>
      <w:bookmarkStart w:id="105" w:name="_Toc15396618"/>
      <w:bookmarkStart w:id="106" w:name="_Toc79163635"/>
      <w:bookmarkStart w:id="107" w:name="_Toc79163885"/>
      <w:r>
        <w:rPr>
          <w:rFonts w:hint="eastAsia" w:ascii="黑体" w:hAnsi="黑体" w:eastAsia="黑体" w:cs="黑体"/>
          <w:color w:val="000000"/>
          <w:sz w:val="32"/>
          <w:szCs w:val="32"/>
        </w:rPr>
        <w:t>附件1</w:t>
      </w:r>
    </w:p>
    <w:p>
      <w:pPr>
        <w:widowControl/>
        <w:spacing w:line="578" w:lineRule="exact"/>
        <w:contextualSpacing/>
        <w:jc w:val="center"/>
        <w:rPr>
          <w:rFonts w:ascii="Times New Roman" w:hAnsi="Times New Roman" w:eastAsia="方正小标宋简体" w:cs="Times New Roman"/>
          <w:bCs/>
          <w:sz w:val="44"/>
          <w:szCs w:val="44"/>
          <w:shd w:val="clear" w:color="auto" w:fill="FFFFFF"/>
        </w:rPr>
      </w:pPr>
      <w:r>
        <w:rPr>
          <w:rFonts w:hint="eastAsia" w:ascii="Times New Roman" w:hAnsi="Times New Roman" w:eastAsia="方正小标宋简体" w:cs="Times New Roman"/>
          <w:bCs/>
          <w:sz w:val="44"/>
          <w:szCs w:val="44"/>
          <w:shd w:val="clear" w:color="auto" w:fill="FFFFFF"/>
        </w:rPr>
        <w:t>茂县供销合作社联合社</w:t>
      </w:r>
    </w:p>
    <w:p>
      <w:pPr>
        <w:widowControl/>
        <w:spacing w:line="578" w:lineRule="exact"/>
        <w:contextualSpacing/>
        <w:jc w:val="center"/>
        <w:rPr>
          <w:rFonts w:ascii="Times New Roman" w:hAnsi="Times New Roman" w:eastAsia="方正小标宋简体" w:cs="Times New Roman"/>
          <w:bCs/>
          <w:sz w:val="44"/>
          <w:szCs w:val="44"/>
          <w:shd w:val="clear" w:color="auto" w:fill="FFFFFF"/>
        </w:rPr>
      </w:pPr>
      <w:r>
        <w:rPr>
          <w:rFonts w:hint="eastAsia" w:eastAsia="方正小标宋简体" w:cs="Times New Roman"/>
          <w:bCs/>
          <w:sz w:val="44"/>
          <w:szCs w:val="44"/>
          <w:shd w:val="clear" w:color="auto" w:fill="FFFFFF"/>
          <w:lang w:eastAsia="zh-CN"/>
        </w:rPr>
        <w:t>部门预算</w:t>
      </w:r>
      <w:r>
        <w:rPr>
          <w:rFonts w:ascii="Times New Roman" w:hAnsi="Times New Roman" w:eastAsia="方正小标宋简体" w:cs="Times New Roman"/>
          <w:bCs/>
          <w:sz w:val="44"/>
          <w:szCs w:val="44"/>
          <w:shd w:val="clear" w:color="auto" w:fill="FFFFFF"/>
        </w:rPr>
        <w:t>绩效</w:t>
      </w:r>
      <w:r>
        <w:rPr>
          <w:rFonts w:hint="eastAsia" w:eastAsia="方正小标宋简体" w:cs="Times New Roman"/>
          <w:bCs/>
          <w:sz w:val="44"/>
          <w:szCs w:val="44"/>
          <w:shd w:val="clear" w:color="auto" w:fill="FFFFFF"/>
          <w:lang w:eastAsia="zh-CN"/>
        </w:rPr>
        <w:t>自评</w:t>
      </w:r>
      <w:r>
        <w:rPr>
          <w:rFonts w:ascii="Times New Roman" w:hAnsi="Times New Roman" w:eastAsia="方正小标宋简体" w:cs="Times New Roman"/>
          <w:bCs/>
          <w:sz w:val="44"/>
          <w:szCs w:val="44"/>
          <w:shd w:val="clear" w:color="auto" w:fill="FFFFFF"/>
        </w:rPr>
        <w:t>报告</w:t>
      </w:r>
    </w:p>
    <w:p>
      <w:pPr>
        <w:widowControl/>
        <w:adjustRightInd w:val="0"/>
        <w:snapToGrid w:val="0"/>
        <w:spacing w:line="578" w:lineRule="exact"/>
        <w:ind w:firstLine="480" w:firstLineChars="200"/>
        <w:contextualSpacing/>
        <w:jc w:val="left"/>
        <w:rPr>
          <w:rFonts w:ascii="Times New Roman" w:hAnsi="Times New Roman" w:eastAsia="黑体" w:cs="Times New Roman"/>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ascii="Times New Roman" w:hAnsi="Times New Roman" w:eastAsia="仿宋_GB2312" w:cs="Times New Roman"/>
          <w:sz w:val="32"/>
          <w:szCs w:val="32"/>
        </w:rPr>
      </w:pPr>
      <w:r>
        <w:rPr>
          <w:rFonts w:hint="eastAsia" w:ascii="Times New Roman" w:hAnsi="Times New Roman" w:eastAsia="黑体" w:cs="Times New Roman"/>
          <w:color w:val="000000"/>
          <w:kern w:val="0"/>
          <w:sz w:val="32"/>
          <w:szCs w:val="32"/>
          <w:shd w:val="clear" w:color="auto" w:fill="FFFFFF"/>
          <w:lang w:val="zh-CN"/>
        </w:rPr>
        <w:t>一、</w:t>
      </w:r>
      <w:r>
        <w:rPr>
          <w:rFonts w:ascii="Times New Roman" w:hAnsi="Times New Roman" w:eastAsia="黑体" w:cs="Times New Roman"/>
          <w:color w:val="000000"/>
          <w:kern w:val="0"/>
          <w:sz w:val="32"/>
          <w:szCs w:val="32"/>
          <w:shd w:val="clear" w:color="auto" w:fill="FFFFFF"/>
          <w:lang w:val="zh-CN"/>
        </w:rPr>
        <w:t>基本情况</w:t>
      </w:r>
    </w:p>
    <w:p>
      <w:pPr>
        <w:widowControl/>
        <w:adjustRightInd w:val="0"/>
        <w:snapToGrid w:val="0"/>
        <w:spacing w:line="576" w:lineRule="exact"/>
        <w:ind w:firstLine="642" w:firstLineChars="200"/>
        <w:contextualSpacing/>
        <w:rPr>
          <w:rFonts w:hint="eastAsia" w:eastAsia="楷体_GB2312" w:cs="Times New Roman"/>
          <w:b/>
          <w:bCs/>
          <w:color w:val="000000"/>
          <w:kern w:val="0"/>
          <w:sz w:val="32"/>
          <w:szCs w:val="32"/>
          <w:shd w:val="clear" w:color="auto" w:fill="FFFFFF"/>
          <w:lang w:val="en-US" w:eastAsia="zh-CN"/>
        </w:rPr>
      </w:pPr>
      <w:r>
        <w:rPr>
          <w:rFonts w:hint="eastAsia" w:ascii="Times New Roman" w:hAnsi="Times New Roman" w:eastAsia="楷体_GB2312" w:cs="Times New Roman"/>
          <w:b/>
          <w:bCs/>
          <w:color w:val="000000"/>
          <w:kern w:val="0"/>
          <w:sz w:val="32"/>
          <w:szCs w:val="32"/>
          <w:shd w:val="clear" w:color="auto" w:fill="FFFFFF"/>
          <w:lang w:val="zh-CN"/>
        </w:rPr>
        <w:t>（一）</w:t>
      </w:r>
      <w:r>
        <w:rPr>
          <w:rFonts w:ascii="Times New Roman" w:hAnsi="Times New Roman" w:eastAsia="楷体_GB2312" w:cs="Times New Roman"/>
          <w:b/>
          <w:bCs/>
          <w:color w:val="000000"/>
          <w:kern w:val="0"/>
          <w:sz w:val="32"/>
          <w:szCs w:val="32"/>
          <w:shd w:val="clear" w:color="auto" w:fill="FFFFFF"/>
          <w:lang w:val="zh-CN"/>
        </w:rPr>
        <w:t>机构组成</w:t>
      </w:r>
      <w:r>
        <w:rPr>
          <w:rFonts w:hint="eastAsia" w:eastAsia="楷体_GB2312" w:cs="Times New Roman"/>
          <w:b/>
          <w:bCs/>
          <w:color w:val="000000"/>
          <w:kern w:val="0"/>
          <w:sz w:val="32"/>
          <w:szCs w:val="32"/>
          <w:shd w:val="clear" w:color="auto" w:fill="FFFFFF"/>
          <w:lang w:val="en-US" w:eastAsia="zh-CN"/>
        </w:rPr>
        <w:t xml:space="preserve"> </w:t>
      </w:r>
    </w:p>
    <w:p>
      <w:pPr>
        <w:widowControl/>
        <w:adjustRightInd w:val="0"/>
        <w:snapToGrid w:val="0"/>
        <w:spacing w:line="576" w:lineRule="exact"/>
        <w:ind w:firstLine="640" w:firstLineChars="200"/>
        <w:contextualSpacing/>
        <w:rPr>
          <w:rFonts w:ascii="Times New Roman" w:hAnsi="Times New Roman" w:eastAsia="仿宋_GB2312" w:cs="Times New Roman"/>
          <w:sz w:val="32"/>
          <w:szCs w:val="32"/>
        </w:rPr>
      </w:pPr>
      <w:r>
        <w:rPr>
          <w:rFonts w:hint="eastAsia" w:ascii="仿宋_GB2312" w:hAnsi="宋体" w:eastAsia="仿宋_GB2312" w:cs="宋体"/>
          <w:color w:val="000000"/>
          <w:kern w:val="0"/>
          <w:sz w:val="32"/>
          <w:szCs w:val="32"/>
          <w:shd w:val="clear" w:color="auto" w:fill="FFFFFF"/>
          <w:lang w:val="zh-CN"/>
        </w:rPr>
        <w:t>茂县供销合作社联合社内设办公室（监事会办公室）、经济发展与农村合作指导股、企业发展与金融发展股、计财股。</w:t>
      </w:r>
    </w:p>
    <w:p>
      <w:pPr>
        <w:spacing w:line="576" w:lineRule="exact"/>
        <w:ind w:firstLine="642" w:firstLineChars="200"/>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（二）机构职能</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1.宣传贯彻中央“三农”工作方针政策和州委、州政府及县委、县政府有关决策部署，指导全县供销合作事业发展。</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2.负责研究和制定全县供销合作社发展规划并组织实施，指导服务全县供销合作社系统改革发展。</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3.履行社有资产运营指导和监督管理职责，发展社有企业，确保社有企业为农服务方向，落实社有资产保值增值和安全责任。</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4.根据授权对重要生产生活资料的经营、储备进行组织、协调和管理，指导全县供销合作社承担政府委托的公益性服务和其他任务。</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5.指导全县供销合作社开展农业生产经营服务、城乡消费品流通服务、再生资源回收利用服务和生产、供销、信用“三位一体”综合合作等业务活动。</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6.参与公益性农产品市场建设，参与国有控股的农产品批发市场的建设、运营和管护。</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7.领办创办农民专业合作社，发展基层供销合作社，更好履行为农服务职责。推进供销合作社法治建设，研究提出促进农村经济社会和行业发展的政策法规建议，维护全县供销合作社的合法权益。</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.指导全县供销合作社开展教育培训工作。</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.负责职责范围内的安全生产、公共机构节能减排、生态环境保护等工作。</w:t>
      </w:r>
    </w:p>
    <w:p>
      <w:pPr>
        <w:widowControl/>
        <w:adjustRightInd w:val="0"/>
        <w:snapToGrid w:val="0"/>
        <w:spacing w:line="576"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.完成县委、县政府交办的其他任务。</w:t>
      </w:r>
    </w:p>
    <w:p>
      <w:pPr>
        <w:widowControl/>
        <w:adjustRightInd w:val="0"/>
        <w:snapToGrid w:val="0"/>
        <w:spacing w:line="576" w:lineRule="exact"/>
        <w:ind w:firstLine="642" w:firstLineChars="200"/>
        <w:contextualSpacing/>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三</w:t>
      </w:r>
      <w:r>
        <w:rPr>
          <w:rFonts w:ascii="Times New Roman" w:hAnsi="Times New Roman" w:eastAsia="楷体_GB2312" w:cs="Times New Roman"/>
          <w:b/>
          <w:bCs/>
          <w:color w:val="000000"/>
          <w:kern w:val="0"/>
          <w:sz w:val="32"/>
          <w:szCs w:val="32"/>
          <w:shd w:val="clear" w:color="auto" w:fill="FFFFFF"/>
          <w:lang w:val="zh-CN"/>
        </w:rPr>
        <w:t>）人员概况</w:t>
      </w:r>
    </w:p>
    <w:p>
      <w:pPr>
        <w:widowControl/>
        <w:adjustRightInd w:val="0"/>
        <w:snapToGrid w:val="0"/>
        <w:spacing w:line="576" w:lineRule="exact"/>
        <w:ind w:firstLine="640" w:firstLineChars="200"/>
        <w:contextualSpacing/>
        <w:rPr>
          <w:rFonts w:ascii="Times New Roman" w:hAnsi="Times New Roman" w:eastAsia="仿宋_GB2312" w:cs="Times New Roman"/>
          <w:sz w:val="32"/>
          <w:szCs w:val="32"/>
        </w:rPr>
      </w:pPr>
      <w:r>
        <w:rPr>
          <w:rFonts w:hint="eastAsia" w:ascii="仿宋_GB2312" w:hAnsi="宋体" w:eastAsia="仿宋_GB2312" w:cs="宋体"/>
          <w:color w:val="000000"/>
          <w:kern w:val="0"/>
          <w:sz w:val="32"/>
          <w:szCs w:val="32"/>
          <w:shd w:val="clear" w:color="auto" w:fill="FFFFFF"/>
          <w:lang w:val="zh-CN"/>
        </w:rPr>
        <w:t>茂县供销合作社联合社机关事业编制</w:t>
      </w:r>
      <w:r>
        <w:rPr>
          <w:rFonts w:hint="eastAsia" w:ascii="仿宋_GB2312" w:hAnsi="宋体" w:eastAsia="仿宋_GB2312" w:cs="宋体"/>
          <w:color w:val="000000"/>
          <w:kern w:val="0"/>
          <w:sz w:val="32"/>
          <w:szCs w:val="32"/>
          <w:shd w:val="clear" w:color="auto" w:fill="FFFFFF"/>
        </w:rPr>
        <w:t>11</w:t>
      </w:r>
      <w:r>
        <w:rPr>
          <w:rFonts w:hint="eastAsia" w:ascii="仿宋_GB2312" w:hAnsi="宋体" w:eastAsia="仿宋_GB2312" w:cs="宋体"/>
          <w:color w:val="000000"/>
          <w:kern w:val="0"/>
          <w:sz w:val="32"/>
          <w:szCs w:val="32"/>
          <w:shd w:val="clear" w:color="auto" w:fill="FFFFFF"/>
          <w:lang w:val="zh-CN"/>
        </w:rPr>
        <w:t>人，实有在职职工</w:t>
      </w:r>
      <w:r>
        <w:rPr>
          <w:rFonts w:hint="eastAsia" w:ascii="仿宋_GB2312" w:hAnsi="宋体" w:eastAsia="仿宋_GB2312" w:cs="宋体"/>
          <w:color w:val="000000"/>
          <w:kern w:val="0"/>
          <w:sz w:val="32"/>
          <w:szCs w:val="32"/>
          <w:shd w:val="clear" w:color="auto" w:fill="FFFFFF"/>
        </w:rPr>
        <w:t>9</w:t>
      </w:r>
      <w:r>
        <w:rPr>
          <w:rFonts w:hint="eastAsia" w:ascii="仿宋_GB2312" w:hAnsi="宋体" w:eastAsia="仿宋_GB2312" w:cs="宋体"/>
          <w:color w:val="000000"/>
          <w:kern w:val="0"/>
          <w:sz w:val="32"/>
          <w:szCs w:val="32"/>
          <w:shd w:val="clear" w:color="auto" w:fill="FFFFFF"/>
          <w:lang w:val="zh-CN"/>
        </w:rPr>
        <w:t>人。</w:t>
      </w:r>
    </w:p>
    <w:p>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二、部门资金收支情况</w:t>
      </w:r>
    </w:p>
    <w:p>
      <w:pPr>
        <w:widowControl/>
        <w:adjustRightInd w:val="0"/>
        <w:snapToGrid w:val="0"/>
        <w:spacing w:line="580" w:lineRule="exact"/>
        <w:ind w:firstLine="642"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收入情况</w:t>
      </w:r>
    </w:p>
    <w:p>
      <w:pPr>
        <w:widowControl/>
        <w:adjustRightInd w:val="0"/>
        <w:snapToGrid w:val="0"/>
        <w:spacing w:line="580" w:lineRule="exact"/>
        <w:ind w:firstLine="640" w:firstLineChars="200"/>
        <w:contextualSpacing/>
        <w:jc w:val="left"/>
        <w:rPr>
          <w:rFonts w:ascii="Times New Roman" w:hAnsi="Times New Roman" w:eastAsia="楷体_GB2312" w:cs="Times New Roman"/>
          <w:b/>
          <w:bCs/>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茂县供销合作社联合社</w:t>
      </w: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年年初预算收入</w:t>
      </w:r>
      <w:r>
        <w:rPr>
          <w:rFonts w:hint="eastAsia" w:ascii="仿宋_GB2312" w:hAnsi="仿宋_GB2312" w:eastAsia="仿宋_GB2312" w:cs="仿宋_GB2312"/>
          <w:color w:val="000000"/>
          <w:kern w:val="0"/>
          <w:sz w:val="32"/>
          <w:szCs w:val="32"/>
          <w:shd w:val="clear" w:color="auto" w:fill="FFFFFF"/>
        </w:rPr>
        <w:t>164.17万元，</w:t>
      </w:r>
      <w:r>
        <w:rPr>
          <w:rFonts w:hint="eastAsia" w:ascii="仿宋_GB2312" w:hAnsi="仿宋_GB2312" w:eastAsia="仿宋_GB2312" w:cs="仿宋_GB2312"/>
          <w:color w:val="000000"/>
          <w:kern w:val="0"/>
          <w:sz w:val="32"/>
          <w:szCs w:val="32"/>
          <w:shd w:val="clear" w:color="auto" w:fill="FFFFFF"/>
          <w:lang w:val="zh-CN"/>
        </w:rPr>
        <w:t>决算报表收入</w:t>
      </w:r>
      <w:r>
        <w:rPr>
          <w:rFonts w:hint="eastAsia" w:ascii="仿宋_GB2312" w:hAnsi="仿宋_GB2312" w:eastAsia="仿宋_GB2312" w:cs="仿宋_GB2312"/>
          <w:color w:val="000000"/>
          <w:kern w:val="0"/>
          <w:sz w:val="32"/>
          <w:szCs w:val="32"/>
          <w:shd w:val="clear" w:color="auto" w:fill="FFFFFF"/>
        </w:rPr>
        <w:t>536.2</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val="zh-CN"/>
        </w:rPr>
        <w:t>。</w:t>
      </w:r>
    </w:p>
    <w:p>
      <w:pPr>
        <w:widowControl/>
        <w:numPr>
          <w:ilvl w:val="0"/>
          <w:numId w:val="3"/>
        </w:numPr>
        <w:adjustRightInd w:val="0"/>
        <w:snapToGrid w:val="0"/>
        <w:spacing w:line="580" w:lineRule="exact"/>
        <w:ind w:firstLine="642"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支出情况</w:t>
      </w:r>
    </w:p>
    <w:p>
      <w:pPr>
        <w:widowControl/>
        <w:numPr>
          <w:ilvl w:val="0"/>
          <w:numId w:val="0"/>
        </w:numPr>
        <w:adjustRightInd w:val="0"/>
        <w:snapToGrid w:val="0"/>
        <w:spacing w:line="580" w:lineRule="exact"/>
        <w:ind w:firstLine="640" w:firstLineChars="200"/>
        <w:contextualSpacing/>
        <w:jc w:val="left"/>
        <w:rPr>
          <w:rFonts w:ascii="Times New Roman" w:hAnsi="Times New Roman" w:eastAsia="仿宋_GB2312" w:cs="Times New Roman"/>
          <w:sz w:val="32"/>
          <w:szCs w:val="32"/>
          <w:lang w:val="zh-CN"/>
        </w:rPr>
      </w:pPr>
      <w:r>
        <w:rPr>
          <w:rFonts w:hint="eastAsia" w:ascii="仿宋_GB2312" w:hAnsi="宋体" w:eastAsia="仿宋_GB2312" w:cs="宋体"/>
          <w:color w:val="000000"/>
          <w:kern w:val="0"/>
          <w:sz w:val="32"/>
          <w:szCs w:val="32"/>
          <w:shd w:val="clear" w:color="auto" w:fill="FFFFFF"/>
          <w:lang w:val="zh-CN"/>
        </w:rPr>
        <w:t>茂县供销合作社联合社</w:t>
      </w:r>
      <w:r>
        <w:rPr>
          <w:rFonts w:hint="eastAsia" w:ascii="仿宋_GB2312" w:hAnsi="仿宋_GB2312" w:eastAsia="仿宋_GB2312" w:cs="仿宋_GB2312"/>
          <w:color w:val="000000"/>
          <w:kern w:val="0"/>
          <w:sz w:val="32"/>
          <w:szCs w:val="32"/>
          <w:shd w:val="clear" w:color="auto" w:fill="FFFFFF"/>
          <w:lang w:val="zh-CN"/>
        </w:rPr>
        <w:t>202</w:t>
      </w: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年年初预算</w:t>
      </w:r>
      <w:r>
        <w:rPr>
          <w:rFonts w:hint="eastAsia" w:ascii="Times New Roman" w:hAnsi="Times New Roman" w:eastAsia="仿宋_GB2312" w:cs="Times New Roman"/>
          <w:sz w:val="32"/>
          <w:szCs w:val="32"/>
        </w:rPr>
        <w:t>支出</w:t>
      </w:r>
      <w:r>
        <w:rPr>
          <w:rFonts w:hint="eastAsia" w:ascii="仿宋_GB2312" w:hAnsi="仿宋_GB2312" w:eastAsia="仿宋_GB2312" w:cs="仿宋_GB2312"/>
          <w:color w:val="000000"/>
          <w:kern w:val="0"/>
          <w:sz w:val="32"/>
          <w:szCs w:val="32"/>
          <w:shd w:val="clear" w:color="auto" w:fill="FFFFFF"/>
        </w:rPr>
        <w:t>164.17万元，</w:t>
      </w:r>
      <w:r>
        <w:rPr>
          <w:rFonts w:hint="eastAsia" w:ascii="仿宋_GB2312" w:hAnsi="仿宋_GB2312" w:eastAsia="仿宋_GB2312" w:cs="仿宋_GB2312"/>
          <w:color w:val="000000"/>
          <w:kern w:val="0"/>
          <w:sz w:val="32"/>
          <w:szCs w:val="32"/>
          <w:shd w:val="clear" w:color="auto" w:fill="FFFFFF"/>
          <w:lang w:val="zh-CN"/>
        </w:rPr>
        <w:t>决算报表</w:t>
      </w:r>
      <w:r>
        <w:rPr>
          <w:rFonts w:hint="eastAsia" w:ascii="Times New Roman" w:hAnsi="Times New Roman" w:eastAsia="仿宋_GB2312" w:cs="Times New Roman"/>
          <w:sz w:val="32"/>
          <w:szCs w:val="32"/>
        </w:rPr>
        <w:t>支出</w:t>
      </w:r>
      <w:r>
        <w:rPr>
          <w:rFonts w:hint="eastAsia" w:ascii="仿宋_GB2312" w:hAnsi="仿宋_GB2312" w:eastAsia="仿宋_GB2312" w:cs="仿宋_GB2312"/>
          <w:color w:val="000000"/>
          <w:kern w:val="0"/>
          <w:sz w:val="32"/>
          <w:szCs w:val="32"/>
          <w:shd w:val="clear" w:color="auto" w:fill="FFFFFF"/>
        </w:rPr>
        <w:t>536.2</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val="zh-CN"/>
        </w:rPr>
        <w:t>。</w:t>
      </w:r>
    </w:p>
    <w:p>
      <w:pPr>
        <w:widowControl/>
        <w:numPr>
          <w:ilvl w:val="0"/>
          <w:numId w:val="3"/>
        </w:numPr>
        <w:adjustRightInd w:val="0"/>
        <w:snapToGrid w:val="0"/>
        <w:spacing w:line="578" w:lineRule="exact"/>
        <w:ind w:left="0" w:leftChars="0" w:firstLine="642" w:firstLineChars="200"/>
        <w:contextualSpacing/>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结余分配和结转结余情况</w:t>
      </w:r>
    </w:p>
    <w:p>
      <w:pPr>
        <w:widowControl/>
        <w:numPr>
          <w:ilvl w:val="0"/>
          <w:numId w:val="0"/>
        </w:num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茂县供销合作社联合社无结余分配和结余结转。</w:t>
      </w:r>
    </w:p>
    <w:p>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三、部门预算绩效分析</w:t>
      </w:r>
    </w:p>
    <w:p>
      <w:pPr>
        <w:adjustRightInd w:val="0"/>
        <w:snapToGrid w:val="0"/>
        <w:spacing w:line="578" w:lineRule="exact"/>
        <w:ind w:firstLine="642"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部门预算</w:t>
      </w:r>
      <w:r>
        <w:rPr>
          <w:rFonts w:ascii="Times New Roman" w:hAnsi="Times New Roman" w:eastAsia="楷体_GB2312" w:cs="Times New Roman"/>
          <w:b/>
          <w:bCs/>
          <w:color w:val="000000"/>
          <w:kern w:val="0"/>
          <w:sz w:val="32"/>
          <w:szCs w:val="32"/>
          <w:shd w:val="clear" w:color="auto" w:fill="FFFFFF"/>
          <w:lang w:val="zh-CN"/>
        </w:rPr>
        <w:t>总体绩效分析</w:t>
      </w:r>
    </w:p>
    <w:p>
      <w:pPr>
        <w:widowControl/>
        <w:adjustRightInd w:val="0"/>
        <w:snapToGrid w:val="0"/>
        <w:spacing w:line="578"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严格按照相关财务规定要求，加强财务管理。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在规定的时间之内报送绩效管理相关工作，报送资料齐全。</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在编制预算时，按时填报部门整体支出、项目支出绩效目标申报表。绩效目标申报表目标设置合理，符合项目特点，描述清晰明确，</w:t>
      </w:r>
      <w:r>
        <w:rPr>
          <w:rFonts w:hint="eastAsia" w:ascii="仿宋_GB2312" w:hAnsi="仿宋_GB2312" w:eastAsia="仿宋_GB2312" w:cs="仿宋_GB2312"/>
          <w:sz w:val="32"/>
          <w:szCs w:val="32"/>
          <w:lang w:eastAsia="zh-CN"/>
        </w:rPr>
        <w:t>准确</w:t>
      </w:r>
      <w:r>
        <w:rPr>
          <w:rFonts w:hint="eastAsia" w:ascii="仿宋_GB2312" w:hAnsi="仿宋_GB2312" w:eastAsia="仿宋_GB2312" w:cs="仿宋_GB2312"/>
          <w:sz w:val="32"/>
          <w:szCs w:val="32"/>
        </w:rPr>
        <w:t>填报新增重大政策、重大项目目标申报表。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对预算执行中进行有效绩效跟踪监控。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认真开展项目支出、财政政策、部门整体支出事后绩效自评工作。</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及时整改绩效评价存在的问题，并及时报送整改报告。</w:t>
      </w:r>
    </w:p>
    <w:p>
      <w:pPr>
        <w:widowControl/>
        <w:numPr>
          <w:ilvl w:val="0"/>
          <w:numId w:val="0"/>
        </w:numPr>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val="zh-CN"/>
        </w:rPr>
        <w:t>履职效能</w:t>
      </w:r>
    </w:p>
    <w:p>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针对部门整体绩效目标中选定3-5个核心职能目标，我们进行了全面的绩效分析。通过对比实际完成情况与预设目标，整体目标完成率达到</w:t>
      </w:r>
      <w:r>
        <w:rPr>
          <w:rFonts w:hint="eastAsia" w:ascii="仿宋_GB2312" w:hAnsi="仿宋_GB2312" w:eastAsia="仿宋_GB2312" w:cs="仿宋_GB2312"/>
          <w:sz w:val="32"/>
          <w:szCs w:val="32"/>
        </w:rPr>
        <w:t>100%，超过预期目标。</w:t>
      </w:r>
    </w:p>
    <w:p>
      <w:pPr>
        <w:widowControl/>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rPr>
        <w:t>2.</w:t>
      </w:r>
      <w:r>
        <w:rPr>
          <w:rFonts w:hint="eastAsia" w:ascii="楷体" w:hAnsi="楷体" w:eastAsia="楷体" w:cs="楷体"/>
          <w:b/>
          <w:bCs/>
          <w:sz w:val="32"/>
          <w:szCs w:val="32"/>
          <w:lang w:val="zh-CN"/>
        </w:rPr>
        <w:t>预算管理</w:t>
      </w:r>
    </w:p>
    <w:p>
      <w:pPr>
        <w:widowControl/>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仿宋_GB2312" w:hAnsi="仿宋_GB2312" w:eastAsia="仿宋_GB2312" w:cs="仿宋_GB2312"/>
          <w:sz w:val="32"/>
          <w:szCs w:val="32"/>
          <w:lang w:val="zh-CN"/>
        </w:rPr>
        <w:t>在预算管理方面，我们重点分析了预算编制质量，我社</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zh-CN"/>
        </w:rPr>
        <w:t>预算编制质量得到了显著提升、支出执行进度符合预期，预算年终结余控制在合理范围内，未出现大额结余或超支情况。同时，我们严格执行一般性支出控制政策，有效降低了非必要支出</w:t>
      </w:r>
      <w:r>
        <w:rPr>
          <w:rFonts w:hint="eastAsia" w:ascii="Times New Roman" w:hAnsi="Times New Roman" w:eastAsia="仿宋_GB2312" w:cs="Times New Roman"/>
          <w:color w:val="000000"/>
          <w:kern w:val="0"/>
          <w:sz w:val="32"/>
          <w:szCs w:val="32"/>
          <w:shd w:val="clear" w:color="auto" w:fill="FFFFFF"/>
          <w:lang w:val="zh-CN"/>
        </w:rPr>
        <w:t>。</w:t>
      </w:r>
    </w:p>
    <w:p>
      <w:pPr>
        <w:widowControl/>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rPr>
        <w:t>3.</w:t>
      </w:r>
      <w:r>
        <w:rPr>
          <w:rFonts w:hint="eastAsia" w:ascii="楷体" w:hAnsi="楷体" w:eastAsia="楷体" w:cs="楷体"/>
          <w:b/>
          <w:bCs/>
          <w:sz w:val="32"/>
          <w:szCs w:val="32"/>
          <w:lang w:val="zh-CN"/>
        </w:rPr>
        <w:t>财务管理</w:t>
      </w:r>
    </w:p>
    <w:p>
      <w:pPr>
        <w:widowControl/>
        <w:adjustRightInd w:val="0"/>
        <w:snapToGrid w:val="0"/>
        <w:spacing w:line="578"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社在“三重一大”制度、财务岗位设置以及资金使用等方面进行了规范，并严格执行了绩效分析。通过这一系列措施，确保了财务管理的科学性和规范性。“三重一大”制度的完善和绩效分析的实施，有助于提升资金使用的效率和透明度，减少不必要的支出，确保财务健康。同时，严格财务岗位设置有助于明确职责，提高工作效率。</w:t>
      </w:r>
    </w:p>
    <w:p>
      <w:pPr>
        <w:widowControl/>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rPr>
        <w:t>4.</w:t>
      </w:r>
      <w:r>
        <w:rPr>
          <w:rFonts w:hint="eastAsia" w:ascii="楷体" w:hAnsi="楷体" w:eastAsia="楷体" w:cs="楷体"/>
          <w:b/>
          <w:bCs/>
          <w:sz w:val="32"/>
          <w:szCs w:val="32"/>
          <w:lang w:val="zh-CN"/>
        </w:rPr>
        <w:t>资产管理</w:t>
      </w:r>
    </w:p>
    <w:p>
      <w:pPr>
        <w:widowControl/>
        <w:adjustRightInd w:val="0"/>
        <w:snapToGrid w:val="0"/>
        <w:spacing w:line="578"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我社修订了社有资产监督管理制度（试行）、社有资产出租管理制度（试行），修订后的制度通过规范流程、强化监督、两大核心措施，已初步实现“资产盘活、收益增长、风险可控”的目标。</w:t>
      </w:r>
    </w:p>
    <w:p>
      <w:pPr>
        <w:widowControl/>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rPr>
        <w:t>5.</w:t>
      </w:r>
      <w:r>
        <w:rPr>
          <w:rFonts w:hint="eastAsia" w:ascii="楷体" w:hAnsi="楷体" w:eastAsia="楷体" w:cs="楷体"/>
          <w:b/>
          <w:bCs/>
          <w:sz w:val="32"/>
          <w:szCs w:val="32"/>
          <w:lang w:val="zh-CN"/>
        </w:rPr>
        <w:t>采购管理</w:t>
      </w:r>
    </w:p>
    <w:p>
      <w:pPr>
        <w:widowControl/>
        <w:adjustRightInd w:val="0"/>
        <w:snapToGrid w:val="0"/>
        <w:spacing w:line="578" w:lineRule="exact"/>
        <w:ind w:firstLine="640" w:firstLineChars="200"/>
        <w:contextualSpacing/>
        <w:jc w:val="left"/>
        <w:rPr>
          <w:rFonts w:ascii="Times New Roman" w:hAnsi="Times New Roman" w:eastAsia="仿宋_GB2312" w:cs="Times New Roman"/>
          <w:sz w:val="32"/>
        </w:rPr>
      </w:pPr>
      <w:r>
        <w:rPr>
          <w:rFonts w:hint="eastAsia" w:ascii="仿宋_GB2312" w:hAnsi="仿宋_GB2312" w:eastAsia="仿宋_GB2312" w:cs="仿宋_GB2312"/>
          <w:sz w:val="32"/>
          <w:szCs w:val="32"/>
        </w:rPr>
        <w:t>2024年我社无采购预算及采购支出。</w:t>
      </w:r>
    </w:p>
    <w:p>
      <w:pPr>
        <w:numPr>
          <w:ilvl w:val="0"/>
          <w:numId w:val="4"/>
        </w:numPr>
        <w:adjustRightInd w:val="0"/>
        <w:snapToGrid w:val="0"/>
        <w:spacing w:line="578" w:lineRule="exact"/>
        <w:ind w:firstLine="642" w:firstLineChars="200"/>
        <w:contextualSpacing/>
        <w:jc w:val="left"/>
        <w:rPr>
          <w:rFonts w:ascii="仿宋_GB2312" w:hAnsi="仿宋_GB2312" w:eastAsia="仿宋_GB2312" w:cs="仿宋_GB2312"/>
          <w:sz w:val="32"/>
          <w:szCs w:val="32"/>
        </w:rPr>
      </w:pPr>
      <w:r>
        <w:rPr>
          <w:rFonts w:ascii="Times New Roman" w:hAnsi="Times New Roman" w:eastAsia="楷体_GB2312" w:cs="Times New Roman"/>
          <w:b/>
          <w:bCs/>
          <w:color w:val="000000"/>
          <w:kern w:val="0"/>
          <w:sz w:val="32"/>
          <w:szCs w:val="32"/>
          <w:shd w:val="clear" w:color="auto" w:fill="FFFFFF"/>
          <w:lang w:val="zh-CN"/>
        </w:rPr>
        <w:t>部门预算项目绩效分析</w:t>
      </w:r>
    </w:p>
    <w:p>
      <w:pPr>
        <w:numPr>
          <w:ilvl w:val="0"/>
          <w:numId w:val="0"/>
        </w:numPr>
        <w:adjustRightInd w:val="0"/>
        <w:snapToGrid w:val="0"/>
        <w:spacing w:line="578"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本单位认真对部门预算项目绩效简要做了以下分析，情况如下：</w:t>
      </w:r>
    </w:p>
    <w:p>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rPr>
        <w:t>常年项目绩效分析。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hint="eastAsia" w:ascii="Times New Roman" w:hAnsi="Times New Roman" w:eastAsia="仿宋_GB2312" w:cs="Times New Roman"/>
          <w:color w:val="000000"/>
          <w:kern w:val="0"/>
          <w:sz w:val="32"/>
          <w:szCs w:val="32"/>
          <w:shd w:val="clear" w:color="auto" w:fill="FFFFFF"/>
        </w:rPr>
        <w:t>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rPr>
        <w:t>0</w:t>
      </w:r>
      <w:r>
        <w:rPr>
          <w:rFonts w:ascii="Times New Roman" w:hAnsi="Times New Roman" w:eastAsia="仿宋_GB2312" w:cs="Times New Roman"/>
          <w:color w:val="000000"/>
          <w:kern w:val="0"/>
          <w:sz w:val="32"/>
          <w:szCs w:val="32"/>
          <w:shd w:val="clear" w:color="auto" w:fill="FFFFFF"/>
          <w:lang w:val="zh-CN"/>
        </w:rPr>
        <w:t>万元，其中：预算结余率大于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hint="eastAsia" w:ascii="Times New Roman" w:hAnsi="Times New Roman" w:eastAsia="仿宋_GB2312" w:cs="Times New Roman"/>
          <w:color w:val="000000"/>
          <w:kern w:val="0"/>
          <w:sz w:val="32"/>
          <w:szCs w:val="32"/>
          <w:shd w:val="clear" w:color="auto" w:fill="FFFFFF"/>
        </w:rPr>
        <w:t>0</w:t>
      </w:r>
      <w:r>
        <w:rPr>
          <w:rFonts w:ascii="Times New Roman" w:hAnsi="Times New Roman" w:eastAsia="仿宋_GB2312" w:cs="Times New Roman"/>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阶段</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一次性</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hint="eastAsia" w:ascii="Times New Roman" w:hAnsi="Times New Roman" w:eastAsia="仿宋_GB2312" w:cs="Times New Roman"/>
          <w:color w:val="000000"/>
          <w:kern w:val="0"/>
          <w:sz w:val="32"/>
          <w:szCs w:val="32"/>
          <w:shd w:val="clear" w:color="auto" w:fill="FFFFFF"/>
        </w:rPr>
        <w:t>4</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rPr>
        <w:t>328.35</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w:t>
      </w:r>
      <w:r>
        <w:rPr>
          <w:rFonts w:ascii="Times New Roman" w:hAnsi="Times New Roman" w:eastAsia="仿宋_GB2312" w:cs="Times New Roman"/>
          <w:color w:val="000000"/>
          <w:kern w:val="0"/>
          <w:sz w:val="32"/>
          <w:szCs w:val="32"/>
          <w:shd w:val="clear" w:color="auto" w:fill="FFFFFF"/>
        </w:rPr>
        <w:t>2</w:t>
      </w:r>
      <w:r>
        <w:rPr>
          <w:rFonts w:ascii="Times New Roman" w:hAnsi="Times New Roman" w:eastAsia="仿宋_GB2312" w:cs="Times New Roman"/>
          <w:color w:val="000000"/>
          <w:kern w:val="0"/>
          <w:sz w:val="32"/>
          <w:szCs w:val="32"/>
          <w:shd w:val="clear" w:color="auto" w:fill="FFFFFF"/>
          <w:lang w:val="zh-CN"/>
        </w:rPr>
        <w:t>月预算执行总体进度为</w:t>
      </w:r>
      <w:r>
        <w:rPr>
          <w:rFonts w:hint="eastAsia" w:ascii="Times New Roman" w:hAnsi="Times New Roman" w:eastAsia="仿宋_GB2312" w:cs="Times New Roman"/>
          <w:color w:val="000000"/>
          <w:kern w:val="0"/>
          <w:sz w:val="32"/>
          <w:szCs w:val="32"/>
          <w:shd w:val="clear" w:color="auto" w:fill="FFFFFF"/>
        </w:rPr>
        <w:t>100</w:t>
      </w:r>
      <w:r>
        <w:rPr>
          <w:rFonts w:ascii="Times New Roman" w:hAnsi="Times New Roman" w:eastAsia="仿宋_GB2312" w:cs="Times New Roman"/>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lang w:val="zh-CN"/>
        </w:rPr>
        <w:t>%，其中：预算结余率大于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hint="eastAsia" w:ascii="Times New Roman" w:hAnsi="Times New Roman" w:eastAsia="仿宋_GB2312" w:cs="Times New Roman"/>
          <w:color w:val="000000"/>
          <w:kern w:val="0"/>
          <w:sz w:val="32"/>
          <w:szCs w:val="32"/>
          <w:shd w:val="clear" w:color="auto" w:fill="FFFFFF"/>
        </w:rPr>
        <w:t>0</w:t>
      </w:r>
      <w:r>
        <w:rPr>
          <w:rFonts w:ascii="Times New Roman" w:hAnsi="Times New Roman" w:eastAsia="仿宋_GB2312" w:cs="Times New Roman"/>
          <w:color w:val="000000"/>
          <w:kern w:val="0"/>
          <w:sz w:val="32"/>
          <w:szCs w:val="32"/>
          <w:shd w:val="clear" w:color="auto" w:fill="FFFFFF"/>
          <w:lang w:val="zh-CN"/>
        </w:rPr>
        <w:t>个。</w:t>
      </w:r>
    </w:p>
    <w:p>
      <w:pPr>
        <w:numPr>
          <w:ilvl w:val="0"/>
          <w:numId w:val="0"/>
        </w:numPr>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val="zh-CN"/>
        </w:rPr>
        <w:t>项目决策</w:t>
      </w:r>
    </w:p>
    <w:p>
      <w:pPr>
        <w:numPr>
          <w:ilvl w:val="0"/>
          <w:numId w:val="0"/>
        </w:numPr>
        <w:adjustRightInd w:val="0"/>
        <w:snapToGrid w:val="0"/>
        <w:spacing w:line="578" w:lineRule="exact"/>
        <w:ind w:firstLine="640" w:firstLineChars="200"/>
        <w:contextualSpacing/>
        <w:jc w:val="left"/>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在项目启动之前，通过一系列科学、合理的规划来确定项目的可行性和必要性。决策程序经市场调研、风险评估、资源评估、技术可行性分析等，目标设置具体、可衡量、可达成、相关性强、时限明确。这些目标将成为项目执行过程中的指导方向，也是后续绩效评估的基准。项目决策通过，并被正式纳入管理系统后</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sz w:val="32"/>
          <w:szCs w:val="32"/>
          <w:lang w:val="zh-CN"/>
        </w:rPr>
        <w:t>进行初步绩效分析，评估项目预期成果与资源投入之间的匹配度，以及项目可能带来的长期效益，进一步细化项目计划，确保项目资源得到合理分配，并为后续的项目执行和监控奠定基础。</w:t>
      </w:r>
    </w:p>
    <w:p>
      <w:pPr>
        <w:adjustRightInd w:val="0"/>
        <w:snapToGrid w:val="0"/>
        <w:spacing w:line="578" w:lineRule="exact"/>
        <w:ind w:firstLine="642" w:firstLineChars="200"/>
        <w:contextualSpacing/>
        <w:jc w:val="left"/>
        <w:rPr>
          <w:rFonts w:hint="eastAsia" w:ascii="楷体" w:hAnsi="楷体" w:eastAsia="楷体" w:cs="楷体"/>
          <w:b/>
          <w:bCs/>
          <w:sz w:val="32"/>
          <w:szCs w:val="32"/>
        </w:rPr>
      </w:pPr>
      <w:r>
        <w:rPr>
          <w:rFonts w:hint="eastAsia" w:ascii="楷体" w:hAnsi="楷体" w:eastAsia="楷体" w:cs="楷体"/>
          <w:b/>
          <w:bCs/>
          <w:sz w:val="32"/>
          <w:szCs w:val="32"/>
        </w:rPr>
        <w:t>2.项目执行</w:t>
      </w:r>
    </w:p>
    <w:p>
      <w:pPr>
        <w:adjustRightInd w:val="0"/>
        <w:snapToGrid w:val="0"/>
        <w:spacing w:line="578" w:lineRule="exact"/>
        <w:ind w:firstLine="642"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一是</w:t>
      </w:r>
      <w:r>
        <w:rPr>
          <w:rFonts w:hint="eastAsia" w:ascii="仿宋_GB2312" w:hAnsi="仿宋_GB2312" w:eastAsia="仿宋_GB2312" w:cs="仿宋_GB2312"/>
          <w:sz w:val="32"/>
          <w:szCs w:val="32"/>
          <w:lang w:val="zh-CN"/>
        </w:rPr>
        <w:t>项目启动之初，基于详细的项目计划制定科学合理的资金预算，明确各项开支的预期额度及时间安排。预算编制完成后，经过严格的审批流程，确保预算的合理性和可行性。</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sz w:val="32"/>
          <w:szCs w:val="32"/>
          <w:lang w:val="zh-CN"/>
        </w:rPr>
        <w:t>项目实施过程中，</w:t>
      </w:r>
      <w:r>
        <w:rPr>
          <w:rFonts w:hint="eastAsia" w:ascii="Times New Roman" w:hAnsi="Times New Roman" w:eastAsia="仿宋_GB2312" w:cs="Times New Roman"/>
          <w:sz w:val="32"/>
        </w:rPr>
        <w:t>开展有效的资金监管</w:t>
      </w:r>
      <w:r>
        <w:rPr>
          <w:rFonts w:hint="eastAsia" w:ascii="仿宋_GB2312" w:hAnsi="仿宋_GB2312" w:eastAsia="仿宋_GB2312" w:cs="仿宋_GB2312"/>
          <w:sz w:val="32"/>
          <w:szCs w:val="32"/>
          <w:lang w:val="zh-CN"/>
        </w:rPr>
        <w:t>，实时跟踪资金使用情况，确保资金流与项目进度相匹配。通过精细化的成本管理和资源优化配置，减少不必要的开支，提高资金使用效率。同时，鼓励采用创新的成本控制方法，以最小的成本实现最大的项目价值。</w:t>
      </w:r>
      <w:r>
        <w:rPr>
          <w:rFonts w:hint="eastAsia" w:ascii="仿宋_GB2312" w:hAnsi="仿宋_GB2312" w:eastAsia="仿宋_GB2312" w:cs="仿宋_GB2312"/>
          <w:b/>
          <w:bCs/>
          <w:sz w:val="32"/>
          <w:szCs w:val="32"/>
          <w:lang w:val="zh-CN"/>
        </w:rPr>
        <w:t>三是</w:t>
      </w:r>
      <w:r>
        <w:rPr>
          <w:rFonts w:hint="eastAsia" w:ascii="仿宋_GB2312" w:hAnsi="仿宋_GB2312" w:eastAsia="仿宋_GB2312" w:cs="仿宋_GB2312"/>
          <w:sz w:val="32"/>
          <w:szCs w:val="32"/>
          <w:lang w:val="zh-CN"/>
        </w:rPr>
        <w:t>项目执行过程中建立完善的变更管理机制，明确变更申请、评估、审批及实施的流程确保项目有序进行。</w:t>
      </w:r>
    </w:p>
    <w:p>
      <w:pPr>
        <w:adjustRightInd w:val="0"/>
        <w:snapToGrid w:val="0"/>
        <w:spacing w:line="578" w:lineRule="exact"/>
        <w:ind w:firstLine="642" w:firstLineChars="200"/>
        <w:contextualSpacing/>
        <w:jc w:val="left"/>
        <w:rPr>
          <w:rFonts w:hint="eastAsia" w:ascii="楷体" w:hAnsi="楷体" w:eastAsia="楷体" w:cs="楷体"/>
          <w:b/>
          <w:bCs/>
          <w:sz w:val="32"/>
          <w:szCs w:val="32"/>
          <w:lang w:val="zh-CN"/>
        </w:rPr>
      </w:pPr>
      <w:r>
        <w:rPr>
          <w:rFonts w:hint="eastAsia" w:ascii="楷体" w:hAnsi="楷体" w:eastAsia="楷体" w:cs="楷体"/>
          <w:b/>
          <w:bCs/>
          <w:sz w:val="32"/>
          <w:szCs w:val="32"/>
        </w:rPr>
        <w:t>3.</w:t>
      </w:r>
      <w:r>
        <w:rPr>
          <w:rFonts w:hint="eastAsia" w:ascii="楷体" w:hAnsi="楷体" w:eastAsia="楷体" w:cs="楷体"/>
          <w:b/>
          <w:bCs/>
          <w:sz w:val="32"/>
          <w:szCs w:val="32"/>
          <w:lang w:val="zh-CN"/>
        </w:rPr>
        <w:t>目标实现</w:t>
      </w:r>
    </w:p>
    <w:p>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rPr>
      </w:pPr>
      <w:r>
        <w:rPr>
          <w:rFonts w:hint="eastAsia" w:ascii="仿宋_GB2312" w:hAnsi="仿宋_GB2312" w:eastAsia="仿宋_GB2312" w:cs="仿宋_GB2312"/>
          <w:sz w:val="32"/>
          <w:szCs w:val="32"/>
          <w:lang w:val="zh-CN"/>
        </w:rPr>
        <w:t>目标设定</w:t>
      </w:r>
      <w:r>
        <w:rPr>
          <w:rFonts w:hint="eastAsia" w:ascii="仿宋_GB2312" w:hAnsi="仿宋_GB2312" w:eastAsia="仿宋_GB2312" w:cs="仿宋_GB2312"/>
          <w:sz w:val="32"/>
          <w:szCs w:val="32"/>
          <w:lang w:val="zh-CN" w:eastAsia="zh-CN"/>
        </w:rPr>
        <w:t>于</w:t>
      </w:r>
      <w:r>
        <w:rPr>
          <w:rFonts w:hint="eastAsia" w:ascii="仿宋_GB2312" w:hAnsi="仿宋_GB2312" w:eastAsia="仿宋_GB2312" w:cs="仿宋_GB2312"/>
          <w:sz w:val="32"/>
          <w:szCs w:val="32"/>
          <w:lang w:val="zh-CN"/>
        </w:rPr>
        <w:t>明确项目启动之初，明确项目的总体目标及具体可量化的子目标。目标清晰、具体、可衡量并与项目愿景和组织战略紧密相连。明确的目标为项目执行提供方向，也为后续的绩效分析奠定了基础。在项目执行过程中，定期跟踪各项目标的完成情况。通过收集项目数据、进度报告和里程碑成果，对比分析实际完成情况与计划目标的差距。当发现实际完成情况与计划目标存在偏差时，进行了深入的目标偏离分析。</w:t>
      </w:r>
    </w:p>
    <w:p>
      <w:pPr>
        <w:widowControl/>
        <w:adjustRightInd w:val="0"/>
        <w:snapToGrid w:val="0"/>
        <w:spacing w:line="578"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三</w:t>
      </w:r>
      <w:r>
        <w:rPr>
          <w:rFonts w:ascii="Times New Roman" w:hAnsi="Times New Roman" w:eastAsia="楷体_GB2312" w:cs="Times New Roman"/>
          <w:b/>
          <w:bCs/>
          <w:color w:val="000000"/>
          <w:kern w:val="0"/>
          <w:sz w:val="32"/>
          <w:szCs w:val="32"/>
          <w:shd w:val="clear" w:color="auto" w:fill="FFFFFF"/>
          <w:lang w:val="zh-CN"/>
        </w:rPr>
        <w:t>）重点领域绩效分析</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2024年未涉及重点领域绩效分析。</w:t>
      </w:r>
    </w:p>
    <w:p>
      <w:pPr>
        <w:numPr>
          <w:ilvl w:val="0"/>
          <w:numId w:val="4"/>
        </w:numPr>
        <w:snapToGrid w:val="0"/>
        <w:spacing w:line="600" w:lineRule="exact"/>
        <w:ind w:left="0" w:leftChars="0" w:firstLine="642" w:firstLineChars="200"/>
        <w:rPr>
          <w:rFonts w:ascii="Times New Roman" w:hAnsi="Times New Roman" w:eastAsia="楷体_GB2312" w:cs="Times New Roman"/>
          <w:b/>
          <w:bCs/>
          <w:sz w:val="32"/>
          <w:szCs w:val="32"/>
          <w:lang w:val="zh-CN"/>
        </w:rPr>
      </w:pPr>
      <w:r>
        <w:rPr>
          <w:rFonts w:ascii="Times New Roman" w:hAnsi="Times New Roman" w:eastAsia="楷体_GB2312" w:cs="Times New Roman"/>
          <w:b/>
          <w:bCs/>
          <w:sz w:val="32"/>
          <w:szCs w:val="32"/>
          <w:lang w:val="zh-CN"/>
        </w:rPr>
        <w:t>绩效结果应用情况</w:t>
      </w:r>
    </w:p>
    <w:p>
      <w:pPr>
        <w:numPr>
          <w:ilvl w:val="0"/>
          <w:numId w:val="0"/>
        </w:numPr>
        <w:snapToGrid w:val="0"/>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一是</w:t>
      </w:r>
      <w:r>
        <w:rPr>
          <w:rFonts w:hint="eastAsia" w:ascii="仿宋_GB2312" w:hAnsi="仿宋_GB2312" w:eastAsia="仿宋_GB2312" w:cs="仿宋_GB2312"/>
          <w:sz w:val="32"/>
          <w:szCs w:val="32"/>
        </w:rPr>
        <w:t>绩效自评结果将作为以后年度项目立项和经费支持的重要依据，也作为财政部门对单位项目预算的重要参考。</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sz w:val="32"/>
          <w:szCs w:val="32"/>
        </w:rPr>
        <w:t>绩效自评结果公开按照财政部门的统一要求，对绩效评价情况予以公开。</w:t>
      </w:r>
    </w:p>
    <w:p>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（一）评价结论</w:t>
      </w:r>
    </w:p>
    <w:p>
      <w:pPr>
        <w:widowControl/>
        <w:adjustRightInd w:val="0"/>
        <w:snapToGrid w:val="0"/>
        <w:spacing w:line="576" w:lineRule="exact"/>
        <w:ind w:firstLine="640" w:firstLineChars="200"/>
        <w:contextualSpacing/>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sz w:val="32"/>
          <w:szCs w:val="32"/>
          <w:lang w:val="zh-CN"/>
        </w:rPr>
        <w:t>我社</w:t>
      </w:r>
      <w:r>
        <w:rPr>
          <w:rFonts w:hint="eastAsia" w:ascii="仿宋_GB2312" w:hAnsi="仿宋_GB2312" w:eastAsia="仿宋_GB2312" w:cs="仿宋_GB2312"/>
          <w:sz w:val="32"/>
          <w:szCs w:val="32"/>
        </w:rPr>
        <w:t>认真做好年度财政资金的预算编制工作，在资金使用和管理方面，进一步强化资金统筹，优化结构，明确开支范围，细化资金用途，</w:t>
      </w:r>
      <w:r>
        <w:rPr>
          <w:rFonts w:hint="eastAsia" w:ascii="仿宋_GB2312" w:hAnsi="宋体" w:eastAsia="仿宋_GB2312" w:cs="宋体"/>
          <w:color w:val="000000"/>
          <w:kern w:val="0"/>
          <w:sz w:val="32"/>
          <w:szCs w:val="32"/>
          <w:shd w:val="clear" w:color="auto" w:fill="FFFFFF"/>
          <w:lang w:val="zh-CN"/>
        </w:rPr>
        <w:t>坚持为“三农”服务办社宗旨，提升为农服务功能；坚持以市场经济为导向，提升企业市场竞争力；坚持稳中求进的工作基调，推进供销社综合改革发展，取得了较好的成效。</w:t>
      </w:r>
      <w:r>
        <w:rPr>
          <w:rFonts w:hint="eastAsia" w:ascii="仿宋_GB2312" w:hAnsi="宋体" w:eastAsia="仿宋_GB2312" w:cs="宋体"/>
          <w:color w:val="000000"/>
          <w:kern w:val="0"/>
          <w:sz w:val="32"/>
          <w:szCs w:val="32"/>
          <w:shd w:val="clear" w:color="auto" w:fill="FFFFFF"/>
        </w:rPr>
        <w:t>2024</w:t>
      </w:r>
      <w:r>
        <w:rPr>
          <w:rFonts w:hint="eastAsia" w:ascii="仿宋_GB2312" w:hAnsi="宋体" w:eastAsia="仿宋_GB2312" w:cs="宋体"/>
          <w:color w:val="000000"/>
          <w:kern w:val="0"/>
          <w:sz w:val="32"/>
          <w:szCs w:val="32"/>
          <w:shd w:val="clear" w:color="auto" w:fill="FFFFFF"/>
          <w:lang w:val="zh-CN"/>
        </w:rPr>
        <w:t>年茂县供销合作社联合社整体支出绩效评价自查自评结果良好</w:t>
      </w:r>
      <w:r>
        <w:rPr>
          <w:rFonts w:hint="eastAsia" w:ascii="仿宋_GB2312" w:hAnsi="宋体" w:eastAsia="仿宋_GB2312" w:cs="宋体"/>
          <w:color w:val="000000"/>
          <w:kern w:val="0"/>
          <w:sz w:val="32"/>
          <w:szCs w:val="32"/>
          <w:shd w:val="clear" w:color="auto" w:fill="FFFFFF"/>
        </w:rPr>
        <w:t>。</w:t>
      </w:r>
      <w:r>
        <w:rPr>
          <w:rFonts w:hint="eastAsia" w:ascii="仿宋_GB2312" w:hAnsi="仿宋_GB2312" w:eastAsia="仿宋_GB2312" w:cs="仿宋_GB2312"/>
          <w:sz w:val="32"/>
          <w:szCs w:val="32"/>
        </w:rPr>
        <w:t>整体上完成了年初设定的绩效目标，保障了单位的正常运转，降低了运行成本，促进了社会和谐稳定，充分发挥了财政资金的经济效益、社会效益。</w:t>
      </w:r>
    </w:p>
    <w:p>
      <w:pPr>
        <w:widowControl/>
        <w:adjustRightInd w:val="0"/>
        <w:snapToGrid w:val="0"/>
        <w:spacing w:line="578"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（二）存在问题</w:t>
      </w:r>
    </w:p>
    <w:p>
      <w:pPr>
        <w:widowControl/>
        <w:adjustRightInd w:val="0"/>
        <w:snapToGrid w:val="0"/>
        <w:spacing w:line="578" w:lineRule="exact"/>
        <w:ind w:firstLine="610" w:firstLineChars="200"/>
        <w:contextualSpacing/>
        <w:jc w:val="left"/>
        <w:rPr>
          <w:rFonts w:hint="eastAsia" w:ascii="楷体" w:hAnsi="楷体" w:eastAsia="楷体" w:cs="楷体"/>
          <w:b/>
          <w:bCs/>
          <w:w w:val="95"/>
          <w:kern w:val="0"/>
          <w:sz w:val="32"/>
          <w:szCs w:val="32"/>
        </w:rPr>
      </w:pPr>
      <w:r>
        <w:rPr>
          <w:rFonts w:hint="eastAsia" w:ascii="楷体" w:hAnsi="楷体" w:eastAsia="楷体" w:cs="楷体"/>
          <w:b/>
          <w:bCs/>
          <w:w w:val="95"/>
          <w:kern w:val="0"/>
          <w:sz w:val="32"/>
          <w:szCs w:val="32"/>
        </w:rPr>
        <w:t>1.预算绩效观念不深入，思想认识有误区</w:t>
      </w:r>
    </w:p>
    <w:p>
      <w:pPr>
        <w:widowControl/>
        <w:adjustRightInd w:val="0"/>
        <w:snapToGrid w:val="0"/>
        <w:spacing w:line="578" w:lineRule="exact"/>
        <w:ind w:firstLine="608" w:firstLineChars="200"/>
        <w:contextualSpacing/>
        <w:jc w:val="left"/>
        <w:rPr>
          <w:rFonts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对预算绩效管理的认知不到位，存在“两轻两重”的惯性思维，即重视资金分配而忽视资金使用效率。</w:t>
      </w:r>
    </w:p>
    <w:p>
      <w:pPr>
        <w:widowControl/>
        <w:numPr>
          <w:ilvl w:val="0"/>
          <w:numId w:val="0"/>
        </w:numPr>
        <w:adjustRightInd w:val="0"/>
        <w:snapToGrid w:val="0"/>
        <w:spacing w:line="578" w:lineRule="exact"/>
        <w:ind w:firstLine="610" w:firstLineChars="200"/>
        <w:contextualSpacing/>
        <w:jc w:val="left"/>
        <w:rPr>
          <w:rFonts w:hint="eastAsia" w:ascii="楷体" w:hAnsi="楷体" w:eastAsia="楷体" w:cs="楷体"/>
          <w:b/>
          <w:bCs/>
          <w:w w:val="95"/>
          <w:kern w:val="0"/>
          <w:sz w:val="32"/>
          <w:szCs w:val="32"/>
        </w:rPr>
      </w:pPr>
      <w:r>
        <w:rPr>
          <w:rFonts w:hint="eastAsia" w:ascii="楷体" w:hAnsi="楷体" w:eastAsia="楷体" w:cs="楷体"/>
          <w:b/>
          <w:bCs/>
          <w:w w:val="95"/>
          <w:kern w:val="0"/>
          <w:sz w:val="32"/>
          <w:szCs w:val="32"/>
          <w:lang w:val="en-US" w:eastAsia="zh-CN"/>
        </w:rPr>
        <w:t>2.</w:t>
      </w:r>
      <w:r>
        <w:rPr>
          <w:rFonts w:hint="eastAsia" w:ascii="楷体" w:hAnsi="楷体" w:eastAsia="楷体" w:cs="楷体"/>
          <w:b/>
          <w:bCs/>
          <w:w w:val="95"/>
          <w:kern w:val="0"/>
          <w:sz w:val="32"/>
          <w:szCs w:val="32"/>
        </w:rPr>
        <w:t>专业人员匮乏，规范管理有盲点</w:t>
      </w:r>
    </w:p>
    <w:p>
      <w:pPr>
        <w:widowControl/>
        <w:numPr>
          <w:ilvl w:val="0"/>
          <w:numId w:val="0"/>
        </w:numPr>
        <w:adjustRightInd w:val="0"/>
        <w:snapToGrid w:val="0"/>
        <w:spacing w:line="578" w:lineRule="exact"/>
        <w:ind w:firstLine="608" w:firstLineChars="200"/>
        <w:contextualSpacing/>
        <w:jc w:val="left"/>
        <w:rPr>
          <w:rFonts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预算绩效管理工作需要具备专业素养和实战经验的人力资源，但我社专业人员的缺乏导致管理存在盲点。</w:t>
      </w:r>
    </w:p>
    <w:p>
      <w:pPr>
        <w:widowControl/>
        <w:adjustRightInd w:val="0"/>
        <w:snapToGrid w:val="0"/>
        <w:spacing w:line="578" w:lineRule="exact"/>
        <w:ind w:firstLine="642"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（三</w:t>
      </w:r>
      <w:r>
        <w:rPr>
          <w:rFonts w:hint="eastAsia" w:ascii="Times New Roman" w:hAnsi="Times New Roman" w:eastAsia="楷体_GB2312" w:cs="Times New Roman"/>
          <w:b/>
          <w:bCs/>
          <w:color w:val="000000"/>
          <w:kern w:val="0"/>
          <w:sz w:val="32"/>
          <w:szCs w:val="32"/>
          <w:shd w:val="clear" w:color="auto" w:fill="FFFFFF"/>
          <w:lang w:val="zh-CN"/>
        </w:rPr>
        <w:t>）</w:t>
      </w:r>
      <w:r>
        <w:rPr>
          <w:rFonts w:ascii="Times New Roman" w:hAnsi="Times New Roman" w:eastAsia="楷体_GB2312" w:cs="Times New Roman"/>
          <w:b/>
          <w:bCs/>
          <w:color w:val="000000"/>
          <w:kern w:val="0"/>
          <w:sz w:val="32"/>
          <w:szCs w:val="32"/>
          <w:shd w:val="clear" w:color="auto" w:fill="FFFFFF"/>
          <w:lang w:val="zh-CN"/>
        </w:rPr>
        <w:t>改进建议</w:t>
      </w:r>
    </w:p>
    <w:p>
      <w:pPr>
        <w:spacing w:line="578" w:lineRule="exact"/>
        <w:ind w:firstLine="608" w:firstLineChars="200"/>
        <w:contextualSpacing/>
        <w:rPr>
          <w:rFonts w:ascii="仿宋_GB2312" w:hAnsi="仿宋_GB2312" w:eastAsia="仿宋_GB2312" w:cs="仿宋_GB2312"/>
          <w:w w:val="95"/>
          <w:kern w:val="0"/>
          <w:sz w:val="32"/>
          <w:szCs w:val="32"/>
        </w:rPr>
      </w:pPr>
      <w:r>
        <w:rPr>
          <w:rFonts w:hint="eastAsia" w:ascii="仿宋_GB2312" w:hAnsi="仿宋_GB2312" w:eastAsia="仿宋_GB2312" w:cs="仿宋_GB2312"/>
          <w:w w:val="95"/>
          <w:kern w:val="0"/>
          <w:sz w:val="32"/>
          <w:szCs w:val="32"/>
        </w:rPr>
        <w:t>加强宣传教育，通过召开会议、举办业务讲座等多种形式，提高我社</w:t>
      </w:r>
      <w:r>
        <w:rPr>
          <w:rFonts w:hint="eastAsia" w:ascii="仿宋_GB2312" w:hAnsi="仿宋_GB2312" w:eastAsia="仿宋_GB2312" w:cs="仿宋_GB2312"/>
          <w:w w:val="95"/>
          <w:kern w:val="0"/>
          <w:sz w:val="32"/>
          <w:szCs w:val="32"/>
          <w:lang w:eastAsia="zh-CN"/>
        </w:rPr>
        <w:t>领导班子</w:t>
      </w:r>
      <w:r>
        <w:rPr>
          <w:rFonts w:hint="eastAsia" w:ascii="仿宋_GB2312" w:hAnsi="仿宋_GB2312" w:eastAsia="仿宋_GB2312" w:cs="仿宋_GB2312"/>
          <w:w w:val="95"/>
          <w:kern w:val="0"/>
          <w:sz w:val="32"/>
          <w:szCs w:val="32"/>
        </w:rPr>
        <w:t>和财务人员、项目人员的预算绩效管理意识，确保绩效理念深入人心。提升专业能力，通过培训和教育，提高预算单位财务人员和项目人员的专业素养，确保管理工作的高效执行。</w:t>
      </w:r>
    </w:p>
    <w:p>
      <w:pPr>
        <w:widowControl w:val="0"/>
        <w:ind w:left="1060" w:leftChars="200" w:hanging="640" w:hangingChars="200"/>
        <w:jc w:val="both"/>
        <w:rPr>
          <w:rFonts w:ascii="Times New Roman" w:hAnsi="Times New Roman" w:eastAsia="仿宋_GB2312" w:cs="Times New Roman"/>
          <w:kern w:val="2"/>
          <w:sz w:val="32"/>
          <w:szCs w:val="24"/>
          <w:lang w:val="en-US" w:eastAsia="zh-CN" w:bidi="ar-SA"/>
        </w:rPr>
      </w:pPr>
    </w:p>
    <w:p>
      <w:pPr>
        <w:spacing w:line="578" w:lineRule="exact"/>
        <w:jc w:val="left"/>
        <w:rPr>
          <w:rFonts w:ascii="Times New Roman" w:hAnsi="Times New Roman" w:eastAsia="黑体" w:cs="Times New Roman"/>
          <w:sz w:val="32"/>
        </w:rPr>
      </w:pPr>
      <w:r>
        <w:rPr>
          <w:rFonts w:ascii="Times New Roman" w:hAnsi="Times New Roman" w:eastAsia="仿宋_GB2312" w:cs="Times New Roman"/>
          <w:color w:val="000000"/>
          <w:kern w:val="0"/>
          <w:sz w:val="32"/>
          <w:szCs w:val="32"/>
          <w:shd w:val="clear" w:color="auto" w:fill="FFFFFF"/>
        </w:rPr>
        <w:br w:type="page"/>
      </w:r>
      <w:r>
        <w:rPr>
          <w:rFonts w:ascii="Times New Roman" w:hAnsi="Times New Roman" w:eastAsia="黑体" w:cs="Times New Roman"/>
          <w:sz w:val="32"/>
        </w:rPr>
        <w:t>附表</w:t>
      </w:r>
      <w:r>
        <w:rPr>
          <w:rFonts w:hint="eastAsia" w:ascii="Times New Roman" w:hAnsi="Times New Roman" w:eastAsia="黑体" w:cs="Times New Roman"/>
          <w:sz w:val="32"/>
        </w:rPr>
        <w:t>1</w:t>
      </w:r>
    </w:p>
    <w:p>
      <w:pPr>
        <w:widowControl/>
        <w:spacing w:line="600" w:lineRule="exact"/>
        <w:jc w:val="center"/>
        <w:textAlignment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部门预算绩效自评打分表</w:t>
      </w:r>
    </w:p>
    <w:tbl>
      <w:tblPr>
        <w:tblStyle w:val="26"/>
        <w:tblW w:w="9947" w:type="dxa"/>
        <w:jc w:val="center"/>
        <w:tblLayout w:type="fixed"/>
        <w:tblCellMar>
          <w:top w:w="0" w:type="dxa"/>
          <w:left w:w="108" w:type="dxa"/>
          <w:bottom w:w="0" w:type="dxa"/>
          <w:right w:w="108" w:type="dxa"/>
        </w:tblCellMar>
      </w:tblPr>
      <w:tblGrid>
        <w:gridCol w:w="1126"/>
        <w:gridCol w:w="1405"/>
        <w:gridCol w:w="1860"/>
        <w:gridCol w:w="912"/>
        <w:gridCol w:w="3348"/>
        <w:gridCol w:w="684"/>
        <w:gridCol w:w="612"/>
      </w:tblGrid>
      <w:tr>
        <w:tblPrEx>
          <w:tblCellMar>
            <w:top w:w="0" w:type="dxa"/>
            <w:left w:w="108" w:type="dxa"/>
            <w:bottom w:w="0" w:type="dxa"/>
            <w:right w:w="108" w:type="dxa"/>
          </w:tblCellMar>
        </w:tblPrEx>
        <w:trPr>
          <w:trHeight w:val="23" w:hRule="atLeast"/>
          <w:jc w:val="center"/>
        </w:trPr>
        <w:tc>
          <w:tcPr>
            <w:tcW w:w="53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绩效评价指标指标分值</w:t>
            </w:r>
          </w:p>
        </w:tc>
        <w:tc>
          <w:tcPr>
            <w:tcW w:w="3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指标解释</w:t>
            </w:r>
          </w:p>
        </w:tc>
        <w:tc>
          <w:tcPr>
            <w:tcW w:w="68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自评得分</w:t>
            </w:r>
          </w:p>
        </w:tc>
        <w:tc>
          <w:tcPr>
            <w:tcW w:w="612"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备注</w:t>
            </w:r>
          </w:p>
        </w:tc>
      </w:tr>
      <w:tr>
        <w:tblPrEx>
          <w:tblCellMar>
            <w:top w:w="0" w:type="dxa"/>
            <w:left w:w="108" w:type="dxa"/>
            <w:bottom w:w="0" w:type="dxa"/>
            <w:right w:w="108" w:type="dxa"/>
          </w:tblCellMar>
        </w:tblPrEx>
        <w:trPr>
          <w:trHeight w:val="23" w:hRule="atLeast"/>
          <w:jc w:val="center"/>
        </w:trPr>
        <w:tc>
          <w:tcPr>
            <w:tcW w:w="1126"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一级指标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三级指标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指标</w:t>
            </w:r>
            <w:r>
              <w:rPr>
                <w:rFonts w:hint="eastAsia" w:ascii="黑体" w:hAnsi="宋体" w:eastAsia="黑体" w:cs="黑体"/>
                <w:color w:val="000000"/>
                <w:kern w:val="0"/>
                <w:sz w:val="24"/>
              </w:rPr>
              <w:br w:type="textWrapping"/>
            </w:r>
            <w:r>
              <w:rPr>
                <w:rFonts w:hint="eastAsia" w:ascii="黑体" w:hAnsi="宋体" w:eastAsia="黑体" w:cs="黑体"/>
                <w:color w:val="000000"/>
                <w:kern w:val="0"/>
                <w:sz w:val="24"/>
              </w:rPr>
              <w:t>分值</w:t>
            </w:r>
          </w:p>
        </w:tc>
        <w:tc>
          <w:tcPr>
            <w:tcW w:w="3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684"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61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23"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总体绩效</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（65分）</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履职效能</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（15分）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履职效果</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部门整体绩效目标中选定3-5个核心职能目标，反映该项职能目标完成效果情况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预算管理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（25分）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预算编制质量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部门是否严格按要求编制年初部门预算，年初预算编制的科学性和准确性</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单位收入统筹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部门统筹自有收入程度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支出执行进度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部门1至6月、1至10月预算执行情况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预算年终结余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部门整体年终预算结余情况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严控一般性支出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部门严控“三公”经费、会议、培训、差旅、办节办展、办公设备购置、信息网络及软件购置更新、课题经费等8项一般性支出情况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财务管理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财务管理制度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部门财务管理制度建立情况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财务岗位设置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部门财务岗位设置是否符合相关财务管理制度要求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资金使用规范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部门资金使用是否符合相关财务管理制度规定</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人均资产变化率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部门人均资产变化情况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资产利用率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部门资产超最低使用年限情况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总体绩效</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（65分）</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资产盘活率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部门闲置一年以上的资产盘活情况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采购管理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支持中小企业发展</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部门是否严格执行政府采购促进中小企业发展相关管理办法</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采购执行率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部门政府采购项目资金支付比例情况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项目绩效</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（35分）</w:t>
            </w:r>
          </w:p>
        </w:tc>
        <w:tc>
          <w:tcPr>
            <w:tcW w:w="140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项目决策</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决策程序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部门预算项目设立是否按规定履行评估论证、申报程序</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目标设置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部门预算项目绩效目标与计划期内的任务量、预算安排的资金量匹配情况，绩效目标设置是否科学合理、规范完整、量化细化、预算匹配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项目入库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部门预算项目是否在规定时间完成项目入库</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项目执行</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执行同向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部门预算项目实际列支内容是否与绩效目标设置方向相符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项目调整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部门预算项目是否采取对应调整措施</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执行结果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部门预算项目预算执行情况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目标实现</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（11分）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部门预算项目绩效目标数量指标完成情况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目标偏离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部门预算项目绩效目标数量指标实现程度与预期目标的偏离情况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实现效果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部门预算项目绩效目标效益指标实施效果</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扣分项</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3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被评价部门配合度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被评价对象工作配合情况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288" w:hRule="atLeast"/>
          <w:jc w:val="center"/>
        </w:trPr>
        <w:tc>
          <w:tcPr>
            <w:tcW w:w="9947" w:type="dxa"/>
            <w:gridSpan w:val="7"/>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预算年度:2024</w:t>
            </w:r>
          </w:p>
        </w:tc>
      </w:tr>
    </w:tbl>
    <w:p>
      <w:pPr>
        <w:rPr>
          <w:rFonts w:ascii="Times New Roman" w:hAnsi="Times New Roman" w:eastAsia="黑体" w:cs="Times New Roman"/>
          <w:sz w:val="32"/>
        </w:rPr>
      </w:pPr>
      <w:r>
        <w:rPr>
          <w:rFonts w:ascii="Times New Roman" w:hAnsi="Times New Roman" w:eastAsia="黑体" w:cs="Times New Roman"/>
          <w:sz w:val="32"/>
        </w:rPr>
        <w:t>附表</w:t>
      </w:r>
      <w:r>
        <w:rPr>
          <w:rFonts w:hint="eastAsia" w:ascii="Times New Roman" w:hAnsi="Times New Roman" w:eastAsia="黑体" w:cs="Times New Roman"/>
          <w:sz w:val="32"/>
        </w:rPr>
        <w:t>2</w:t>
      </w:r>
    </w:p>
    <w:tbl>
      <w:tblPr>
        <w:tblStyle w:val="26"/>
        <w:tblW w:w="9080" w:type="dxa"/>
        <w:jc w:val="center"/>
        <w:tblLayout w:type="fixed"/>
        <w:tblCellMar>
          <w:top w:w="15" w:type="dxa"/>
          <w:left w:w="15" w:type="dxa"/>
          <w:bottom w:w="15" w:type="dxa"/>
          <w:right w:w="15" w:type="dxa"/>
        </w:tblCellMar>
      </w:tblPr>
      <w:tblGrid>
        <w:gridCol w:w="1124"/>
        <w:gridCol w:w="1158"/>
        <w:gridCol w:w="1095"/>
        <w:gridCol w:w="945"/>
        <w:gridCol w:w="985"/>
        <w:gridCol w:w="1108"/>
        <w:gridCol w:w="909"/>
        <w:gridCol w:w="796"/>
        <w:gridCol w:w="960"/>
      </w:tblGrid>
      <w:tr>
        <w:tblPrEx>
          <w:tblCellMar>
            <w:top w:w="15" w:type="dxa"/>
            <w:left w:w="15" w:type="dxa"/>
            <w:bottom w:w="15" w:type="dxa"/>
            <w:right w:w="15" w:type="dxa"/>
          </w:tblCellMar>
        </w:tblPrEx>
        <w:trPr>
          <w:trHeight w:val="758" w:hRule="exact"/>
          <w:jc w:val="center"/>
        </w:trPr>
        <w:tc>
          <w:tcPr>
            <w:tcW w:w="9080" w:type="dxa"/>
            <w:gridSpan w:val="9"/>
            <w:shd w:val="clear" w:color="auto" w:fill="auto"/>
            <w:vAlign w:val="center"/>
          </w:tcPr>
          <w:p>
            <w:pPr>
              <w:widowControl/>
              <w:spacing w:line="600" w:lineRule="exact"/>
              <w:jc w:val="center"/>
              <w:textAlignment w:val="center"/>
              <w:rPr>
                <w:rFonts w:ascii="Times New Roman" w:hAnsi="Times New Roman" w:eastAsia="黑体" w:cs="Times New Roman"/>
                <w:color w:val="000000"/>
                <w:sz w:val="28"/>
                <w:szCs w:val="28"/>
              </w:rPr>
            </w:pPr>
            <w:r>
              <w:rPr>
                <w:rFonts w:ascii="Times New Roman" w:hAnsi="Times New Roman" w:eastAsia="方正小标宋简体" w:cs="Times New Roman"/>
                <w:color w:val="000000"/>
                <w:kern w:val="0"/>
                <w:sz w:val="44"/>
                <w:szCs w:val="44"/>
              </w:rPr>
              <w:t>部门整体绩效目标完成情况自评表</w:t>
            </w:r>
          </w:p>
        </w:tc>
      </w:tr>
      <w:tr>
        <w:tblPrEx>
          <w:tblCellMar>
            <w:top w:w="15" w:type="dxa"/>
            <w:left w:w="15" w:type="dxa"/>
            <w:bottom w:w="15" w:type="dxa"/>
            <w:right w:w="15" w:type="dxa"/>
          </w:tblCellMar>
        </w:tblPrEx>
        <w:trPr>
          <w:trHeight w:val="322" w:hRule="atLeast"/>
          <w:jc w:val="center"/>
        </w:trPr>
        <w:tc>
          <w:tcPr>
            <w:tcW w:w="9080" w:type="dxa"/>
            <w:gridSpan w:val="9"/>
            <w:shd w:val="clear" w:color="auto" w:fill="auto"/>
            <w:vAlign w:val="center"/>
          </w:tcPr>
          <w:p>
            <w:pPr>
              <w:widowControl/>
              <w:spacing w:line="30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rPr>
              <w:t>（202</w:t>
            </w:r>
            <w:r>
              <w:rPr>
                <w:rFonts w:hint="eastAsia" w:ascii="Times New Roman" w:hAnsi="Times New Roman" w:eastAsia="宋体" w:cs="Times New Roman"/>
                <w:color w:val="000000"/>
                <w:kern w:val="0"/>
                <w:sz w:val="28"/>
                <w:szCs w:val="28"/>
              </w:rPr>
              <w:t>4</w:t>
            </w:r>
            <w:r>
              <w:rPr>
                <w:rFonts w:ascii="Times New Roman" w:hAnsi="Times New Roman" w:eastAsia="宋体" w:cs="Times New Roman"/>
                <w:color w:val="000000"/>
                <w:kern w:val="0"/>
                <w:sz w:val="28"/>
                <w:szCs w:val="28"/>
              </w:rPr>
              <w:t>年度）</w:t>
            </w:r>
          </w:p>
        </w:tc>
      </w:tr>
      <w:tr>
        <w:tblPrEx>
          <w:tblCellMar>
            <w:top w:w="15" w:type="dxa"/>
            <w:left w:w="15" w:type="dxa"/>
            <w:bottom w:w="15" w:type="dxa"/>
            <w:right w:w="15" w:type="dxa"/>
          </w:tblCellMar>
        </w:tblPrEx>
        <w:trPr>
          <w:trHeight w:val="322" w:hRule="atLeast"/>
          <w:jc w:val="center"/>
        </w:trPr>
        <w:tc>
          <w:tcPr>
            <w:tcW w:w="9080" w:type="dxa"/>
            <w:gridSpan w:val="9"/>
            <w:tcBorders>
              <w:bottom w:val="single" w:color="000000" w:sz="4" w:space="0"/>
            </w:tcBorders>
            <w:shd w:val="clear" w:color="auto" w:fill="auto"/>
            <w:vAlign w:val="center"/>
          </w:tcPr>
          <w:p>
            <w:pPr>
              <w:widowControl/>
              <w:spacing w:line="300" w:lineRule="exact"/>
              <w:jc w:val="righ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单位：万元</w:t>
            </w:r>
          </w:p>
        </w:tc>
      </w:tr>
      <w:tr>
        <w:tblPrEx>
          <w:tblCellMar>
            <w:top w:w="15" w:type="dxa"/>
            <w:left w:w="15" w:type="dxa"/>
            <w:bottom w:w="15" w:type="dxa"/>
            <w:right w:w="15" w:type="dxa"/>
          </w:tblCellMar>
        </w:tblPrEx>
        <w:trPr>
          <w:trHeight w:val="332" w:hRule="atLeast"/>
          <w:jc w:val="center"/>
        </w:trPr>
        <w:tc>
          <w:tcPr>
            <w:tcW w:w="3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部门名称</w:t>
            </w:r>
          </w:p>
        </w:tc>
        <w:tc>
          <w:tcPr>
            <w:tcW w:w="57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茂县供销合作社联合社</w:t>
            </w:r>
          </w:p>
        </w:tc>
      </w:tr>
      <w:tr>
        <w:tblPrEx>
          <w:tblCellMar>
            <w:top w:w="15" w:type="dxa"/>
            <w:left w:w="15" w:type="dxa"/>
            <w:bottom w:w="15" w:type="dxa"/>
            <w:right w:w="15" w:type="dxa"/>
          </w:tblCellMar>
        </w:tblPrEx>
        <w:trPr>
          <w:trHeight w:val="332" w:hRule="atLeast"/>
          <w:jc w:val="center"/>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年度部门整体支出预算</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资金总额</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财政拨款</w:t>
            </w:r>
          </w:p>
        </w:tc>
        <w:tc>
          <w:tcPr>
            <w:tcW w:w="3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其他资金</w:t>
            </w:r>
          </w:p>
        </w:tc>
      </w:tr>
      <w:tr>
        <w:tblPrEx>
          <w:tblCellMar>
            <w:top w:w="15" w:type="dxa"/>
            <w:left w:w="15" w:type="dxa"/>
            <w:bottom w:w="15" w:type="dxa"/>
            <w:right w:w="15" w:type="dxa"/>
          </w:tblCellMar>
        </w:tblPrEx>
        <w:trPr>
          <w:trHeight w:val="332"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kern w:val="0"/>
                <w:sz w:val="24"/>
              </w:rPr>
              <w:t>536.2</w:t>
            </w:r>
            <w:r>
              <w:rPr>
                <w:rFonts w:hint="eastAsia" w:cs="Times New Roman"/>
                <w:color w:val="000000"/>
                <w:kern w:val="0"/>
                <w:sz w:val="24"/>
                <w:lang w:val="en-US" w:eastAsia="zh-CN"/>
              </w:rPr>
              <w:t>1</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kern w:val="0"/>
                <w:sz w:val="24"/>
              </w:rPr>
              <w:t>536.2</w:t>
            </w:r>
            <w:r>
              <w:rPr>
                <w:rFonts w:hint="eastAsia" w:cs="Times New Roman"/>
                <w:color w:val="000000"/>
                <w:kern w:val="0"/>
                <w:sz w:val="24"/>
                <w:lang w:val="en-US" w:eastAsia="zh-CN"/>
              </w:rPr>
              <w:t>1</w:t>
            </w:r>
          </w:p>
        </w:tc>
        <w:tc>
          <w:tcPr>
            <w:tcW w:w="3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hint="eastAsia" w:ascii="Times New Roman" w:hAnsi="Times New Roman" w:eastAsia="宋体" w:cs="Times New Roman"/>
                <w:color w:val="FF0000"/>
                <w:sz w:val="24"/>
                <w:lang w:eastAsia="zh-CN"/>
              </w:rPr>
            </w:pPr>
            <w:r>
              <w:rPr>
                <w:rFonts w:hint="eastAsia" w:ascii="Times New Roman" w:hAnsi="Times New Roman" w:eastAsia="宋体" w:cs="Times New Roman"/>
                <w:color w:val="auto"/>
                <w:sz w:val="24"/>
                <w:lang w:val="en-US" w:eastAsia="zh-CN"/>
              </w:rPr>
              <w:t>0</w:t>
            </w:r>
          </w:p>
        </w:tc>
      </w:tr>
      <w:tr>
        <w:tblPrEx>
          <w:tblCellMar>
            <w:top w:w="15" w:type="dxa"/>
            <w:left w:w="15" w:type="dxa"/>
            <w:bottom w:w="15" w:type="dxa"/>
            <w:right w:w="15" w:type="dxa"/>
          </w:tblCellMar>
        </w:tblPrEx>
        <w:trPr>
          <w:trHeight w:val="1209"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年度总体</w:t>
            </w:r>
          </w:p>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目标</w:t>
            </w:r>
          </w:p>
        </w:tc>
        <w:tc>
          <w:tcPr>
            <w:tcW w:w="7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全面深入推进综合改革，提升为农服务能力。;加快体制、机制创新;有效的开展调运、储备重要物资工作;维护合作经济组织的合法权益;推进农业产业化经营;推进建立现代化流通体系和现代化营销方式;确保社有资产的保值、增值;加强对外经济合作;完成好上级主管部门、县委县政府交办的其他工作;</w:t>
            </w:r>
          </w:p>
        </w:tc>
      </w:tr>
      <w:tr>
        <w:tblPrEx>
          <w:tblCellMar>
            <w:top w:w="15" w:type="dxa"/>
            <w:left w:w="15" w:type="dxa"/>
            <w:bottom w:w="15" w:type="dxa"/>
            <w:right w:w="15" w:type="dxa"/>
          </w:tblCellMar>
        </w:tblPrEx>
        <w:trPr>
          <w:trHeight w:val="332" w:hRule="atLeast"/>
          <w:jc w:val="center"/>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年度主要</w:t>
            </w:r>
          </w:p>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任务</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任务名称</w:t>
            </w:r>
          </w:p>
        </w:tc>
        <w:tc>
          <w:tcPr>
            <w:tcW w:w="57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主要内容</w:t>
            </w:r>
          </w:p>
        </w:tc>
      </w:tr>
      <w:tr>
        <w:tblPrEx>
          <w:tblCellMar>
            <w:top w:w="15" w:type="dxa"/>
            <w:left w:w="15" w:type="dxa"/>
            <w:bottom w:w="15" w:type="dxa"/>
            <w:right w:w="15" w:type="dxa"/>
          </w:tblCellMar>
        </w:tblPrEx>
        <w:trPr>
          <w:trHeight w:val="624"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建设为农服务组织体系</w:t>
            </w:r>
          </w:p>
        </w:tc>
        <w:tc>
          <w:tcPr>
            <w:tcW w:w="57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有序开展为农服务综合平台试点县建设项目，完成区域性为农服务中心和仓储库建设；积极做好项目储备与申报</w:t>
            </w:r>
          </w:p>
        </w:tc>
      </w:tr>
      <w:tr>
        <w:tblPrEx>
          <w:tblCellMar>
            <w:top w:w="15" w:type="dxa"/>
            <w:left w:w="15" w:type="dxa"/>
            <w:bottom w:w="15" w:type="dxa"/>
            <w:right w:w="15" w:type="dxa"/>
          </w:tblCellMar>
        </w:tblPrEx>
        <w:trPr>
          <w:trHeight w:val="917"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助力农产品销售</w:t>
            </w:r>
          </w:p>
        </w:tc>
        <w:tc>
          <w:tcPr>
            <w:tcW w:w="57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以对口支援为契机，加强巩固与平湖沟通联系，多方位拓展销售渠道，深度融入茂县农业六统一分发展战略，助力茂县农产品销售。</w:t>
            </w:r>
          </w:p>
        </w:tc>
      </w:tr>
      <w:tr>
        <w:tblPrEx>
          <w:tblCellMar>
            <w:top w:w="15" w:type="dxa"/>
            <w:left w:w="15" w:type="dxa"/>
            <w:bottom w:w="15" w:type="dxa"/>
            <w:right w:w="15" w:type="dxa"/>
          </w:tblCellMar>
        </w:tblPrEx>
        <w:trPr>
          <w:trHeight w:val="1794"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提升为农服务综合能力</w:t>
            </w:r>
          </w:p>
        </w:tc>
        <w:tc>
          <w:tcPr>
            <w:tcW w:w="57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加强企业的监督指导，助推企业健康发展。一是做好传统业务，履行供销为农服务职能，筹措资金全力做好农资储备与稳价保供工作。二是加强社属企业经营管理，确保企业健康发展。三是规范社有资产管理，维护社有资产安全，确保社有资产增值保值不流失。四是积极助农应对极端天气，切实加强防雹烟花的调运和供应工作。</w:t>
            </w:r>
          </w:p>
        </w:tc>
      </w:tr>
      <w:tr>
        <w:tblPrEx>
          <w:tblCellMar>
            <w:top w:w="15" w:type="dxa"/>
            <w:left w:w="15" w:type="dxa"/>
            <w:bottom w:w="15" w:type="dxa"/>
            <w:right w:w="15" w:type="dxa"/>
          </w:tblCellMar>
        </w:tblPrEx>
        <w:trPr>
          <w:trHeight w:val="624" w:hRule="atLeast"/>
          <w:jc w:val="center"/>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年度绩效</w:t>
            </w:r>
          </w:p>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三级指标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绩效指标</w:t>
            </w:r>
          </w:p>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性质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绩效指标值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绩效度量单位</w:t>
            </w:r>
          </w:p>
        </w:tc>
        <w:tc>
          <w:tcPr>
            <w:tcW w:w="79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实际完成</w:t>
            </w:r>
          </w:p>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指标值</w:t>
            </w:r>
          </w:p>
        </w:tc>
      </w:tr>
      <w:tr>
        <w:tblPrEx>
          <w:tblCellMar>
            <w:top w:w="15" w:type="dxa"/>
            <w:left w:w="15" w:type="dxa"/>
            <w:bottom w:w="15" w:type="dxa"/>
            <w:right w:w="15" w:type="dxa"/>
          </w:tblCellMar>
        </w:tblPrEx>
        <w:trPr>
          <w:trHeight w:val="1209"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产出指标</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数量指标</w:t>
            </w:r>
          </w:p>
          <w:p>
            <w:pPr>
              <w:widowControl/>
              <w:spacing w:line="300" w:lineRule="exact"/>
              <w:jc w:val="center"/>
              <w:textAlignment w:val="center"/>
              <w:rPr>
                <w:rFonts w:ascii="Times New Roman" w:hAnsi="Times New Roman" w:eastAsia="宋体" w:cs="Times New Roman"/>
                <w:color w:val="000000"/>
                <w:sz w:val="24"/>
              </w:rPr>
            </w:pPr>
          </w:p>
          <w:p>
            <w:pPr>
              <w:keepNext/>
              <w:keepLines/>
              <w:widowControl w:val="0"/>
              <w:spacing w:before="280" w:after="156" w:line="377" w:lineRule="auto"/>
              <w:outlineLvl w:val="4"/>
              <w:rPr>
                <w:rFonts w:ascii="Arial" w:hAnsi="Arial" w:eastAsia="黑体" w:cs="Times New Roman"/>
                <w:b/>
                <w:kern w:val="2"/>
                <w:sz w:val="24"/>
                <w:szCs w:val="28"/>
                <w:lang w:val="en-US" w:eastAsia="zh-CN" w:bidi="ar-S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改造提升农村镇村经营服务网点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ascii="Times New Roman" w:hAnsi="Times New Roman" w:eastAsia="宋体" w:cs="Times New Roman"/>
                <w:color w:val="FF0000"/>
                <w:sz w:val="24"/>
                <w:lang w:eastAsia="zh-CN"/>
              </w:rPr>
            </w:pPr>
            <w:r>
              <w:rPr>
                <w:rFonts w:hint="eastAsia" w:ascii="Times New Roman" w:hAnsi="Times New Roman" w:eastAsia="宋体" w:cs="Times New Roman"/>
                <w:color w:val="auto"/>
                <w:kern w:val="0"/>
                <w:sz w:val="24"/>
                <w:lang w:val="en-US" w:eastAsia="zh-CN"/>
              </w:rPr>
              <w:t>2</w:t>
            </w:r>
          </w:p>
        </w:tc>
      </w:tr>
      <w:tr>
        <w:tblPrEx>
          <w:tblCellMar>
            <w:top w:w="15" w:type="dxa"/>
            <w:left w:w="15" w:type="dxa"/>
            <w:bottom w:w="15" w:type="dxa"/>
            <w:right w:w="15" w:type="dxa"/>
          </w:tblCellMar>
        </w:tblPrEx>
        <w:trPr>
          <w:trHeight w:val="1209"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095"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改造提升区域性为农服务中心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r>
      <w:tr>
        <w:tblPrEx>
          <w:tblCellMar>
            <w:top w:w="15" w:type="dxa"/>
            <w:left w:w="15" w:type="dxa"/>
            <w:bottom w:w="15" w:type="dxa"/>
            <w:right w:w="15" w:type="dxa"/>
          </w:tblCellMar>
        </w:tblPrEx>
        <w:trPr>
          <w:trHeight w:val="917"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农产品冷链仓储加工中心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p>
        </w:tc>
      </w:tr>
      <w:tr>
        <w:tblPrEx>
          <w:tblCellMar>
            <w:top w:w="15" w:type="dxa"/>
            <w:left w:w="15" w:type="dxa"/>
            <w:bottom w:w="15" w:type="dxa"/>
            <w:right w:w="15" w:type="dxa"/>
          </w:tblCellMar>
        </w:tblPrEx>
        <w:trPr>
          <w:trHeight w:val="332"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质量指标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服务对象生产成本和管理成本</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定性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完成</w:t>
            </w:r>
          </w:p>
        </w:tc>
      </w:tr>
      <w:tr>
        <w:tblPrEx>
          <w:tblCellMar>
            <w:top w:w="15" w:type="dxa"/>
            <w:left w:w="15" w:type="dxa"/>
            <w:bottom w:w="15" w:type="dxa"/>
            <w:right w:w="15" w:type="dxa"/>
          </w:tblCellMar>
        </w:tblPrEx>
        <w:trPr>
          <w:trHeight w:val="917"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质量指标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完成化肥、农药储备任务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定性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完成</w:t>
            </w:r>
          </w:p>
        </w:tc>
      </w:tr>
      <w:tr>
        <w:tblPrEx>
          <w:tblCellMar>
            <w:top w:w="15" w:type="dxa"/>
            <w:left w:w="15" w:type="dxa"/>
            <w:bottom w:w="15" w:type="dxa"/>
            <w:right w:w="15" w:type="dxa"/>
          </w:tblCellMar>
        </w:tblPrEx>
        <w:trPr>
          <w:trHeight w:val="4719"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效益指标</w:t>
            </w:r>
          </w:p>
        </w:tc>
        <w:tc>
          <w:tcPr>
            <w:tcW w:w="1095"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可持续影响指标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有利于供销社发挥服务农民生产生活综合平台功能，党和政府密切联系农民群众的桥梁纽带作用，切实在农业现代化建设中更好的发挥作用</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定性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完成</w:t>
            </w:r>
          </w:p>
        </w:tc>
      </w:tr>
      <w:tr>
        <w:tblPrEx>
          <w:tblCellMar>
            <w:top w:w="15" w:type="dxa"/>
            <w:left w:w="15" w:type="dxa"/>
            <w:bottom w:w="15" w:type="dxa"/>
            <w:right w:w="15" w:type="dxa"/>
          </w:tblCellMar>
        </w:tblPrEx>
        <w:trPr>
          <w:trHeight w:val="927" w:hRule="atLeast"/>
          <w:jc w:val="center"/>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Times New Roman" w:hAnsi="Times New Roman" w:eastAsia="宋体" w:cs="Times New Roman"/>
                <w:color w:val="000000"/>
                <w:sz w:val="24"/>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服务对象满意度指标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三农服务对象满意度</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90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rPr>
              <w:t>10</w:t>
            </w:r>
            <w:r>
              <w:rPr>
                <w:rFonts w:ascii="Times New Roman" w:hAnsi="Times New Roman" w:eastAsia="宋体" w:cs="Times New Roman"/>
                <w:color w:val="000000"/>
                <w:kern w:val="0"/>
                <w:sz w:val="24"/>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90%</w:t>
            </w:r>
          </w:p>
        </w:tc>
      </w:tr>
    </w:tbl>
    <w:p>
      <w:pPr>
        <w:pStyle w:val="10"/>
        <w:ind w:left="0" w:leftChars="0" w:firstLine="0" w:firstLineChars="0"/>
        <w:rPr>
          <w:rFonts w:hint="eastAsia" w:ascii="方正小标宋简体" w:hAnsi="方正小标宋简体" w:eastAsia="方正小标宋简体" w:cs="方正小标宋简体"/>
          <w:color w:val="000000"/>
          <w:sz w:val="44"/>
          <w:szCs w:val="44"/>
        </w:rPr>
      </w:pPr>
    </w:p>
    <w:p>
      <w:pPr>
        <w:spacing w:line="600" w:lineRule="exact"/>
        <w:jc w:val="lef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spacing w:line="576"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茂县供销合作社联合社</w:t>
      </w:r>
    </w:p>
    <w:p>
      <w:pPr>
        <w:spacing w:line="576"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2024年度驻村人员临岗补贴和乡镇补贴项目绩效评价报告</w:t>
      </w:r>
    </w:p>
    <w:p>
      <w:pPr>
        <w:adjustRightInd w:val="0"/>
        <w:snapToGrid w:val="0"/>
        <w:spacing w:line="578" w:lineRule="exact"/>
        <w:ind w:firstLine="640" w:firstLineChars="200"/>
        <w:rPr>
          <w:rFonts w:ascii="黑体" w:hAnsi="宋体" w:eastAsia="黑体" w:cs="宋体"/>
          <w:kern w:val="0"/>
          <w:sz w:val="32"/>
          <w:szCs w:val="32"/>
        </w:rPr>
      </w:pPr>
    </w:p>
    <w:p>
      <w:pPr>
        <w:adjustRightInd w:val="0"/>
        <w:snapToGrid w:val="0"/>
        <w:spacing w:line="578" w:lineRule="exact"/>
        <w:ind w:firstLine="640" w:firstLineChars="200"/>
        <w:rPr>
          <w:rFonts w:ascii="黑体" w:hAnsi="宋体" w:eastAsia="黑体" w:cs="宋体"/>
          <w:kern w:val="0"/>
          <w:sz w:val="32"/>
          <w:szCs w:val="32"/>
          <w:lang w:val="zh-CN"/>
        </w:rPr>
      </w:pPr>
      <w:r>
        <w:rPr>
          <w:rFonts w:hint="eastAsia" w:ascii="黑体" w:hAnsi="宋体" w:eastAsia="黑体" w:cs="宋体"/>
          <w:kern w:val="0"/>
          <w:sz w:val="32"/>
          <w:szCs w:val="32"/>
        </w:rPr>
        <w:t>一、</w:t>
      </w:r>
      <w:r>
        <w:rPr>
          <w:rFonts w:hint="eastAsia" w:ascii="黑体" w:hAnsi="宋体" w:eastAsia="黑体" w:cs="宋体"/>
          <w:kern w:val="0"/>
          <w:sz w:val="32"/>
          <w:szCs w:val="32"/>
          <w:lang w:val="zh-CN"/>
        </w:rPr>
        <w:t>项目概况</w:t>
      </w:r>
    </w:p>
    <w:p>
      <w:pPr>
        <w:spacing w:line="576" w:lineRule="exact"/>
        <w:ind w:firstLine="642" w:firstLineChars="200"/>
        <w:jc w:val="left"/>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（一）设立背景及基本情况</w:t>
      </w:r>
    </w:p>
    <w:p>
      <w:pPr>
        <w:spacing w:line="576" w:lineRule="exact"/>
        <w:ind w:firstLine="640" w:firstLineChars="200"/>
        <w:jc w:val="left"/>
        <w:rPr>
          <w:rFonts w:ascii="仿宋_GB2312" w:hAnsi="仿宋_GB2312" w:eastAsia="仿宋_GB2312" w:cs="仿宋_GB2312"/>
          <w:kern w:val="2"/>
          <w:sz w:val="32"/>
          <w:szCs w:val="32"/>
        </w:rPr>
      </w:pPr>
      <w:r>
        <w:rPr>
          <w:rFonts w:hint="eastAsia" w:ascii="仿宋_GB2312" w:hAnsi="Times New Roman" w:eastAsia="仿宋_GB2312" w:cs="宋体"/>
          <w:kern w:val="0"/>
          <w:sz w:val="32"/>
          <w:szCs w:val="32"/>
        </w:rPr>
        <w:t>按照省委组织部关于《关于印发&lt;四川省驻村第一书记和工作队管理办法&gt;的通知》（川组通</w:t>
      </w:r>
      <w:r>
        <w:rPr>
          <w:rFonts w:hint="eastAsia" w:ascii="仿宋_GB2312" w:eastAsia="仿宋_GB2312" w:cs="宋体"/>
          <w:kern w:val="0"/>
          <w:sz w:val="32"/>
          <w:szCs w:val="32"/>
          <w:lang w:val="en-US" w:eastAsia="zh-CN"/>
        </w:rPr>
        <w:t>[</w:t>
      </w:r>
      <w:r>
        <w:rPr>
          <w:rFonts w:hint="eastAsia" w:ascii="仿宋_GB2312" w:hAnsi="Times New Roman" w:eastAsia="仿宋_GB2312" w:cs="宋体"/>
          <w:kern w:val="0"/>
          <w:sz w:val="32"/>
          <w:szCs w:val="32"/>
        </w:rPr>
        <w:t>2021</w:t>
      </w:r>
      <w:r>
        <w:rPr>
          <w:rFonts w:hint="eastAsia" w:ascii="仿宋_GB2312" w:eastAsia="仿宋_GB2312" w:cs="宋体"/>
          <w:kern w:val="0"/>
          <w:sz w:val="32"/>
          <w:szCs w:val="32"/>
          <w:lang w:val="en-US" w:eastAsia="zh-CN"/>
        </w:rPr>
        <w:t>]</w:t>
      </w:r>
      <w:r>
        <w:rPr>
          <w:rFonts w:hint="eastAsia" w:ascii="仿宋_GB2312" w:hAnsi="Times New Roman" w:eastAsia="仿宋_GB2312" w:cs="宋体"/>
          <w:kern w:val="0"/>
          <w:sz w:val="32"/>
          <w:szCs w:val="32"/>
        </w:rPr>
        <w:t>75号）文件要求保障驻村工作队员乡镇补贴和临岗补贴。</w:t>
      </w:r>
    </w:p>
    <w:p>
      <w:pPr>
        <w:numPr>
          <w:ilvl w:val="0"/>
          <w:numId w:val="5"/>
        </w:numPr>
        <w:spacing w:line="576" w:lineRule="exact"/>
        <w:ind w:firstLine="642" w:firstLineChars="200"/>
        <w:jc w:val="left"/>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实施目的及支持方向</w:t>
      </w:r>
    </w:p>
    <w:p>
      <w:pPr>
        <w:numPr>
          <w:ilvl w:val="0"/>
          <w:numId w:val="0"/>
        </w:numPr>
        <w:spacing w:line="576" w:lineRule="exact"/>
        <w:ind w:firstLine="640" w:firstLineChars="20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保障驻村工作队员乡镇补贴和临岗补贴</w:t>
      </w:r>
    </w:p>
    <w:p>
      <w:pPr>
        <w:numPr>
          <w:ilvl w:val="0"/>
          <w:numId w:val="5"/>
        </w:numPr>
        <w:spacing w:line="576" w:lineRule="exact"/>
        <w:ind w:left="0" w:leftChars="0" w:firstLine="642" w:firstLineChars="200"/>
        <w:jc w:val="left"/>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预算安排及分配管理</w:t>
      </w:r>
    </w:p>
    <w:p>
      <w:pPr>
        <w:numPr>
          <w:ilvl w:val="0"/>
          <w:numId w:val="0"/>
        </w:numPr>
        <w:spacing w:line="576" w:lineRule="exact"/>
        <w:ind w:firstLine="640" w:firstLineChars="200"/>
        <w:jc w:val="left"/>
        <w:rPr>
          <w:rFonts w:hint="eastAsia" w:ascii="仿宋_GB2312" w:hAnsi="Times New Roman" w:eastAsia="仿宋_GB2312" w:cs="仿宋_GB2312"/>
          <w:color w:val="FF0000"/>
          <w:kern w:val="0"/>
          <w:sz w:val="32"/>
          <w:szCs w:val="32"/>
          <w:lang w:eastAsia="zh-CN"/>
        </w:rPr>
      </w:pPr>
      <w:r>
        <w:rPr>
          <w:rFonts w:hint="eastAsia" w:ascii="仿宋_GB2312" w:hAnsi="仿宋_GB2312" w:eastAsia="仿宋_GB2312" w:cs="仿宋_GB2312"/>
          <w:kern w:val="2"/>
          <w:sz w:val="32"/>
          <w:szCs w:val="32"/>
        </w:rPr>
        <w:t>申报项目预算金额为0.35万元</w:t>
      </w:r>
      <w:r>
        <w:rPr>
          <w:rFonts w:hint="eastAsia" w:ascii="仿宋_GB2312" w:hAnsi="仿宋_GB2312" w:eastAsia="仿宋_GB2312" w:cs="仿宋_GB2312"/>
          <w:color w:val="auto"/>
          <w:kern w:val="2"/>
          <w:sz w:val="32"/>
          <w:szCs w:val="32"/>
        </w:rPr>
        <w:t>（资金来源为</w:t>
      </w:r>
      <w:r>
        <w:rPr>
          <w:rFonts w:hint="eastAsia" w:ascii="仿宋_GB2312" w:hAnsi="仿宋_GB2312" w:eastAsia="仿宋_GB2312" w:cs="仿宋_GB2312"/>
          <w:color w:val="auto"/>
          <w:kern w:val="0"/>
          <w:sz w:val="32"/>
          <w:szCs w:val="32"/>
          <w:lang w:eastAsia="zh-CN"/>
        </w:rPr>
        <w:t>财政</w:t>
      </w:r>
      <w:r>
        <w:rPr>
          <w:rFonts w:hint="eastAsia" w:ascii="仿宋_GB2312" w:hAnsi="仿宋_GB2312" w:eastAsia="仿宋_GB2312" w:cs="仿宋_GB2312"/>
          <w:color w:val="auto"/>
          <w:kern w:val="0"/>
          <w:sz w:val="32"/>
          <w:szCs w:val="32"/>
        </w:rPr>
        <w:t>资金0.35万元</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w:t>
      </w:r>
    </w:p>
    <w:p>
      <w:pPr>
        <w:numPr>
          <w:ilvl w:val="0"/>
          <w:numId w:val="5"/>
        </w:numPr>
        <w:spacing w:line="576" w:lineRule="exact"/>
        <w:ind w:left="0" w:leftChars="0" w:firstLine="642" w:firstLineChars="200"/>
        <w:jc w:val="left"/>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项目绩效目标设置</w:t>
      </w:r>
    </w:p>
    <w:p>
      <w:pPr>
        <w:numPr>
          <w:ilvl w:val="0"/>
          <w:numId w:val="0"/>
        </w:numPr>
        <w:spacing w:line="576"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val="zh-CN"/>
        </w:rPr>
        <w:t>茂县供销合作社联合社</w:t>
      </w:r>
      <w:r>
        <w:rPr>
          <w:rFonts w:hint="eastAsia" w:ascii="仿宋_GB2312" w:hAnsi="Times New Roman" w:eastAsia="仿宋_GB2312" w:cs="仿宋_GB2312"/>
          <w:kern w:val="0"/>
          <w:sz w:val="32"/>
          <w:szCs w:val="32"/>
        </w:rPr>
        <w:t>完成了事前绩效评估。绩效目标设置如下：</w:t>
      </w:r>
    </w:p>
    <w:p>
      <w:pPr>
        <w:spacing w:line="576" w:lineRule="exact"/>
        <w:ind w:firstLine="640" w:firstLineChars="200"/>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茂县供销合作社联合社</w:t>
      </w:r>
    </w:p>
    <w:p>
      <w:pPr>
        <w:spacing w:line="576" w:lineRule="exact"/>
        <w:ind w:firstLine="640" w:firstLineChars="200"/>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2024年度驻村人员临岗补贴和乡镇补贴</w:t>
      </w:r>
    </w:p>
    <w:p>
      <w:pPr>
        <w:spacing w:line="576" w:lineRule="exact"/>
        <w:ind w:firstLine="640" w:firstLineChars="200"/>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项目绩效目标表</w:t>
      </w:r>
    </w:p>
    <w:tbl>
      <w:tblPr>
        <w:tblStyle w:val="26"/>
        <w:tblW w:w="7924" w:type="dxa"/>
        <w:tblInd w:w="96" w:type="dxa"/>
        <w:tblLayout w:type="autofit"/>
        <w:tblCellMar>
          <w:top w:w="0" w:type="dxa"/>
          <w:left w:w="108" w:type="dxa"/>
          <w:bottom w:w="0" w:type="dxa"/>
          <w:right w:w="108" w:type="dxa"/>
        </w:tblCellMar>
      </w:tblPr>
      <w:tblGrid>
        <w:gridCol w:w="1845"/>
        <w:gridCol w:w="1597"/>
        <w:gridCol w:w="2036"/>
        <w:gridCol w:w="469"/>
        <w:gridCol w:w="990"/>
        <w:gridCol w:w="987"/>
      </w:tblGrid>
      <w:tr>
        <w:tblPrEx>
          <w:tblCellMar>
            <w:top w:w="0" w:type="dxa"/>
            <w:left w:w="108" w:type="dxa"/>
            <w:bottom w:w="0" w:type="dxa"/>
            <w:right w:w="108" w:type="dxa"/>
          </w:tblCellMar>
        </w:tblPrEx>
        <w:trPr>
          <w:trHeight w:val="452"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一级指标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二级指标</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指标性质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指标值</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度量单位</w:t>
            </w:r>
          </w:p>
        </w:tc>
      </w:tr>
      <w:tr>
        <w:tblPrEx>
          <w:tblCellMar>
            <w:top w:w="0" w:type="dxa"/>
            <w:left w:w="108" w:type="dxa"/>
            <w:bottom w:w="0" w:type="dxa"/>
            <w:right w:w="108" w:type="dxa"/>
          </w:tblCellMar>
        </w:tblPrEx>
        <w:trPr>
          <w:trHeight w:val="339"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产出指标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时效指标</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驻村时间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月</w:t>
            </w:r>
          </w:p>
        </w:tc>
      </w:tr>
      <w:tr>
        <w:tblPrEx>
          <w:tblCellMar>
            <w:top w:w="0" w:type="dxa"/>
            <w:left w:w="108" w:type="dxa"/>
            <w:bottom w:w="0" w:type="dxa"/>
            <w:right w:w="108" w:type="dxa"/>
          </w:tblCellMar>
        </w:tblPrEx>
        <w:trPr>
          <w:trHeight w:val="794"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效益指标</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经济效益指标</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临岗补贴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400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元/人*月</w:t>
            </w:r>
          </w:p>
        </w:tc>
      </w:tr>
      <w:tr>
        <w:trPr>
          <w:trHeight w:val="678"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乡镇补贴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300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元/人*月</w:t>
            </w:r>
          </w:p>
        </w:tc>
      </w:tr>
      <w:tr>
        <w:tblPrEx>
          <w:tblCellMar>
            <w:top w:w="0" w:type="dxa"/>
            <w:left w:w="108" w:type="dxa"/>
            <w:bottom w:w="0" w:type="dxa"/>
            <w:right w:w="108" w:type="dxa"/>
          </w:tblCellMar>
        </w:tblPrEx>
        <w:trPr>
          <w:trHeight w:val="452"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帮扶对象满意度指标</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帮扶对象对驻村工作队员满意度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85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r>
    </w:tbl>
    <w:p>
      <w:pPr>
        <w:adjustRightInd w:val="0"/>
        <w:snapToGrid w:val="0"/>
        <w:spacing w:line="578" w:lineRule="exact"/>
        <w:ind w:firstLine="640" w:firstLineChars="200"/>
        <w:rPr>
          <w:rFonts w:ascii="黑体" w:hAnsi="宋体" w:eastAsia="黑体" w:cs="宋体"/>
          <w:kern w:val="0"/>
          <w:sz w:val="32"/>
          <w:szCs w:val="32"/>
          <w:lang w:val="zh-CN"/>
        </w:rPr>
      </w:pPr>
      <w:r>
        <w:rPr>
          <w:rFonts w:hint="eastAsia" w:ascii="黑体" w:hAnsi="宋体" w:eastAsia="黑体" w:cs="宋体"/>
          <w:kern w:val="0"/>
          <w:sz w:val="32"/>
          <w:szCs w:val="32"/>
          <w:lang w:val="zh-CN"/>
        </w:rPr>
        <w:t>二、评价实施</w:t>
      </w:r>
    </w:p>
    <w:p>
      <w:pPr>
        <w:spacing w:line="576" w:lineRule="exact"/>
        <w:ind w:firstLine="642" w:firstLineChars="200"/>
        <w:jc w:val="left"/>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（一）评价目的</w:t>
      </w:r>
    </w:p>
    <w:p>
      <w:pPr>
        <w:spacing w:line="576"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pPr>
        <w:numPr>
          <w:ilvl w:val="0"/>
          <w:numId w:val="6"/>
        </w:numPr>
        <w:spacing w:line="576" w:lineRule="exact"/>
        <w:ind w:firstLine="642" w:firstLineChars="200"/>
        <w:jc w:val="left"/>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预设问题及评价重点</w:t>
      </w:r>
    </w:p>
    <w:p>
      <w:pPr>
        <w:numPr>
          <w:ilvl w:val="0"/>
          <w:numId w:val="0"/>
        </w:numPr>
        <w:spacing w:line="576"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茂县供销合作社联合社</w:t>
      </w:r>
      <w:r>
        <w:rPr>
          <w:rFonts w:hint="eastAsia" w:ascii="仿宋_GB2312" w:hAnsi="仿宋_GB2312" w:eastAsia="仿宋_GB2312" w:cs="仿宋_GB2312"/>
          <w:kern w:val="2"/>
          <w:sz w:val="32"/>
          <w:szCs w:val="32"/>
        </w:rPr>
        <w:t>2024年度驻村人员临岗补贴和乡镇补贴</w:t>
      </w:r>
      <w:r>
        <w:rPr>
          <w:rFonts w:hint="eastAsia" w:ascii="仿宋_GB2312" w:hAnsi="Times New Roman" w:eastAsia="仿宋_GB2312" w:cs="仿宋_GB2312"/>
          <w:kern w:val="0"/>
          <w:sz w:val="32"/>
          <w:szCs w:val="32"/>
        </w:rPr>
        <w:t>项目资金支出使用全过程规范。</w:t>
      </w:r>
    </w:p>
    <w:p>
      <w:pPr>
        <w:numPr>
          <w:ilvl w:val="0"/>
          <w:numId w:val="6"/>
        </w:numPr>
        <w:adjustRightInd w:val="0"/>
        <w:snapToGrid w:val="0"/>
        <w:spacing w:line="578" w:lineRule="exact"/>
        <w:ind w:left="0" w:leftChars="0" w:firstLine="642" w:firstLineChars="20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评价选点</w:t>
      </w:r>
    </w:p>
    <w:p>
      <w:pPr>
        <w:numPr>
          <w:ilvl w:val="0"/>
          <w:numId w:val="0"/>
        </w:numPr>
        <w:adjustRightInd w:val="0"/>
        <w:snapToGrid w:val="0"/>
        <w:spacing w:line="578" w:lineRule="exact"/>
        <w:ind w:firstLine="640" w:firstLineChars="200"/>
        <w:rPr>
          <w:rFonts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茂县供销合作社联合社</w:t>
      </w:r>
    </w:p>
    <w:p>
      <w:pPr>
        <w:numPr>
          <w:ilvl w:val="0"/>
          <w:numId w:val="6"/>
        </w:numPr>
        <w:spacing w:line="578" w:lineRule="exact"/>
        <w:ind w:left="0" w:leftChars="0" w:firstLine="642" w:firstLineChars="20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评价方法</w:t>
      </w:r>
    </w:p>
    <w:p>
      <w:pPr>
        <w:numPr>
          <w:ilvl w:val="0"/>
          <w:numId w:val="0"/>
        </w:numPr>
        <w:spacing w:line="578" w:lineRule="exact"/>
        <w:ind w:firstLine="640" w:firstLineChars="200"/>
        <w:rPr>
          <w:rFonts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采用单位自评法。</w:t>
      </w:r>
    </w:p>
    <w:p>
      <w:pPr>
        <w:widowControl/>
        <w:tabs>
          <w:tab w:val="left" w:pos="2160"/>
        </w:tabs>
        <w:spacing w:line="600" w:lineRule="exact"/>
        <w:ind w:firstLine="640" w:firstLineChars="200"/>
        <w:jc w:val="left"/>
        <w:rPr>
          <w:rFonts w:ascii="黑体" w:hAnsi="宋体" w:eastAsia="黑体" w:cs="Times New Roman"/>
          <w:position w:val="3"/>
          <w:sz w:val="32"/>
          <w:szCs w:val="32"/>
          <w:lang w:val="en-US" w:eastAsia="zh-CN" w:bidi="ar-SA"/>
        </w:rPr>
      </w:pPr>
      <w:r>
        <w:rPr>
          <w:rFonts w:hint="eastAsia" w:ascii="黑体" w:hAnsi="宋体" w:eastAsia="黑体" w:cs="Times New Roman"/>
          <w:position w:val="3"/>
          <w:sz w:val="32"/>
          <w:szCs w:val="32"/>
          <w:lang w:val="en-US" w:eastAsia="zh-CN" w:bidi="ar-SA"/>
        </w:rPr>
        <w:t>三、绩效分析</w:t>
      </w:r>
    </w:p>
    <w:p>
      <w:pPr>
        <w:spacing w:line="576" w:lineRule="exact"/>
        <w:ind w:firstLine="642" w:firstLineChars="200"/>
        <w:jc w:val="left"/>
        <w:rPr>
          <w:rFonts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（一）通用指标绩效分析</w:t>
      </w:r>
    </w:p>
    <w:p>
      <w:pPr>
        <w:spacing w:line="576" w:lineRule="exact"/>
        <w:ind w:firstLine="642" w:firstLineChars="20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1.项目决策</w:t>
      </w:r>
    </w:p>
    <w:p>
      <w:pPr>
        <w:spacing w:line="576"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决策程序严密，符合资金管理基本规范和决策程序要求。规划论证符合中省要求、项目绩效目标设置科学合理。资金投向与项目总体规划、相关行业事业发展相匹配。</w:t>
      </w:r>
    </w:p>
    <w:p>
      <w:pPr>
        <w:spacing w:line="576" w:lineRule="exact"/>
        <w:ind w:firstLine="642" w:firstLineChars="200"/>
        <w:jc w:val="left"/>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2.</w:t>
      </w:r>
      <w:r>
        <w:rPr>
          <w:rFonts w:hint="eastAsia" w:ascii="楷体" w:hAnsi="楷体" w:eastAsia="楷体" w:cs="楷体"/>
          <w:b/>
          <w:bCs/>
          <w:kern w:val="0"/>
          <w:sz w:val="32"/>
          <w:szCs w:val="32"/>
        </w:rPr>
        <w:t>项目管理</w:t>
      </w:r>
    </w:p>
    <w:p>
      <w:pPr>
        <w:numPr>
          <w:ilvl w:val="0"/>
          <w:numId w:val="0"/>
        </w:numPr>
        <w:spacing w:line="576"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项目资金分配因素选取、权重设置、区域分布，项目管理、审批符合管理要求、绩效监管按中省要求全面完成绩效目标（含事前评估）、绩效评价。</w:t>
      </w:r>
    </w:p>
    <w:p>
      <w:pPr>
        <w:spacing w:line="576" w:lineRule="exact"/>
        <w:ind w:firstLine="642" w:firstLineChars="200"/>
        <w:jc w:val="left"/>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3.项目实施</w:t>
      </w:r>
    </w:p>
    <w:p>
      <w:pPr>
        <w:numPr>
          <w:ilvl w:val="0"/>
          <w:numId w:val="0"/>
        </w:numPr>
        <w:spacing w:line="576" w:lineRule="exact"/>
        <w:ind w:left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财政资金拨付率100%，使用率100%，无地方配套资金。</w:t>
      </w:r>
    </w:p>
    <w:p>
      <w:pPr>
        <w:spacing w:line="576" w:lineRule="exact"/>
        <w:ind w:firstLine="642" w:firstLineChars="200"/>
        <w:jc w:val="left"/>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4.项目结果</w:t>
      </w:r>
    </w:p>
    <w:p>
      <w:pPr>
        <w:numPr>
          <w:ilvl w:val="0"/>
          <w:numId w:val="0"/>
        </w:numPr>
        <w:spacing w:line="576" w:lineRule="exact"/>
        <w:ind w:left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完成预期目标</w:t>
      </w:r>
      <w:r>
        <w:rPr>
          <w:rFonts w:hint="eastAsia" w:ascii="Times New Roman" w:hAnsi="Times New Roman" w:eastAsia="宋体" w:cs="宋体"/>
          <w:kern w:val="0"/>
          <w:szCs w:val="21"/>
          <w:lang w:eastAsia="zh-CN"/>
        </w:rPr>
        <w:t>、</w:t>
      </w:r>
      <w:r>
        <w:rPr>
          <w:rFonts w:hint="eastAsia" w:ascii="仿宋_GB2312" w:hAnsi="Times New Roman" w:eastAsia="仿宋_GB2312" w:cs="仿宋_GB2312"/>
          <w:kern w:val="0"/>
          <w:sz w:val="32"/>
          <w:szCs w:val="32"/>
        </w:rPr>
        <w:t>实施结果与绩效目标相匹配。</w:t>
      </w:r>
    </w:p>
    <w:p>
      <w:pPr>
        <w:spacing w:line="576" w:lineRule="exact"/>
        <w:ind w:firstLine="642" w:firstLineChars="200"/>
        <w:jc w:val="left"/>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zh-CN"/>
        </w:rPr>
        <w:t>（二）专用指标绩效分析</w:t>
      </w:r>
    </w:p>
    <w:p>
      <w:pPr>
        <w:spacing w:line="576" w:lineRule="exact"/>
        <w:ind w:firstLine="642" w:firstLineChars="200"/>
        <w:jc w:val="left"/>
        <w:rPr>
          <w:rFonts w:hint="eastAsia" w:ascii="楷体" w:hAnsi="楷体" w:eastAsia="楷体" w:cs="楷体"/>
          <w:b/>
          <w:bCs/>
          <w:kern w:val="0"/>
          <w:sz w:val="32"/>
          <w:szCs w:val="32"/>
          <w:lang w:val="zh-CN" w:eastAsia="zh-CN"/>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lang w:val="zh-CN" w:eastAsia="zh-CN"/>
        </w:rPr>
        <w:t>民生保障</w:t>
      </w:r>
    </w:p>
    <w:p>
      <w:pPr>
        <w:spacing w:line="576" w:lineRule="exact"/>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资金分配均衡公平、支持对象符合管理要求，符合支持对象范围、资金实际补贴标准符合资金管理办法规定的补助标准，及时按标准兑现。</w:t>
      </w:r>
    </w:p>
    <w:p>
      <w:pPr>
        <w:numPr>
          <w:ilvl w:val="0"/>
          <w:numId w:val="0"/>
        </w:numPr>
        <w:spacing w:line="576" w:lineRule="exact"/>
        <w:ind w:firstLine="642" w:firstLineChars="200"/>
        <w:jc w:val="left"/>
        <w:rPr>
          <w:rFonts w:hint="eastAsia" w:ascii="楷体" w:hAnsi="楷体" w:eastAsia="楷体" w:cs="楷体"/>
          <w:b/>
          <w:bCs/>
          <w:kern w:val="0"/>
          <w:sz w:val="32"/>
          <w:szCs w:val="32"/>
          <w:lang w:val="zh-CN" w:eastAsia="zh-CN"/>
        </w:rPr>
      </w:pPr>
      <w:r>
        <w:rPr>
          <w:rFonts w:hint="eastAsia" w:ascii="楷体" w:hAnsi="楷体" w:eastAsia="楷体" w:cs="楷体"/>
          <w:b/>
          <w:bCs/>
          <w:kern w:val="0"/>
          <w:sz w:val="32"/>
          <w:szCs w:val="32"/>
          <w:lang w:val="en-US" w:eastAsia="zh-CN"/>
        </w:rPr>
        <w:t>2.</w:t>
      </w:r>
      <w:r>
        <w:rPr>
          <w:rFonts w:hint="eastAsia" w:ascii="楷体" w:hAnsi="楷体" w:eastAsia="楷体" w:cs="楷体"/>
          <w:b/>
          <w:bCs/>
          <w:kern w:val="0"/>
          <w:sz w:val="32"/>
          <w:szCs w:val="32"/>
          <w:lang w:val="zh-CN" w:eastAsia="zh-CN"/>
        </w:rPr>
        <w:t>行政运转</w:t>
      </w:r>
    </w:p>
    <w:p>
      <w:pPr>
        <w:numPr>
          <w:ilvl w:val="0"/>
          <w:numId w:val="0"/>
        </w:numPr>
        <w:spacing w:line="576" w:lineRule="exact"/>
        <w:ind w:firstLine="640" w:firstLineChars="200"/>
        <w:jc w:val="left"/>
        <w:rPr>
          <w:rFonts w:ascii="Times New Roman" w:hAnsi="Times New Roman" w:eastAsia="宋体" w:cs="宋体"/>
          <w:kern w:val="0"/>
        </w:rPr>
      </w:pPr>
      <w:r>
        <w:rPr>
          <w:rFonts w:hint="eastAsia" w:ascii="仿宋_GB2312" w:hAnsi="Times New Roman" w:eastAsia="仿宋_GB2312" w:cs="仿宋_GB2312"/>
          <w:kern w:val="0"/>
          <w:sz w:val="32"/>
          <w:szCs w:val="32"/>
          <w:lang w:val="zh-CN"/>
        </w:rPr>
        <w:t>按规定用途、适用范围进行本地区专项资金分配。</w:t>
      </w:r>
    </w:p>
    <w:p>
      <w:pPr>
        <w:widowControl/>
        <w:numPr>
          <w:ilvl w:val="0"/>
          <w:numId w:val="4"/>
        </w:numPr>
        <w:tabs>
          <w:tab w:val="left" w:pos="2160"/>
        </w:tabs>
        <w:spacing w:line="600" w:lineRule="exact"/>
        <w:ind w:left="0" w:leftChars="0" w:firstLine="642" w:firstLineChars="200"/>
        <w:jc w:val="left"/>
        <w:rPr>
          <w:rFonts w:hint="eastAsia" w:ascii="楷体_GB2312" w:hAnsi="宋体" w:eastAsia="楷体_GB2312" w:cs="宋体"/>
          <w:b/>
          <w:position w:val="3"/>
          <w:sz w:val="32"/>
          <w:szCs w:val="32"/>
          <w:lang w:val="zh-CN" w:eastAsia="zh-CN" w:bidi="ar-SA"/>
        </w:rPr>
      </w:pPr>
      <w:r>
        <w:rPr>
          <w:rFonts w:hint="eastAsia" w:ascii="楷体_GB2312" w:hAnsi="宋体" w:eastAsia="楷体_GB2312" w:cs="宋体"/>
          <w:b/>
          <w:position w:val="3"/>
          <w:sz w:val="32"/>
          <w:szCs w:val="32"/>
          <w:lang w:val="zh-CN" w:eastAsia="zh-CN" w:bidi="ar-SA"/>
        </w:rPr>
        <w:t>个性指标绩效分析</w:t>
      </w:r>
    </w:p>
    <w:p>
      <w:pPr>
        <w:widowControl/>
        <w:numPr>
          <w:ilvl w:val="0"/>
          <w:numId w:val="0"/>
        </w:numPr>
        <w:tabs>
          <w:tab w:val="left" w:pos="2160"/>
        </w:tabs>
        <w:spacing w:line="600" w:lineRule="exact"/>
        <w:ind w:firstLine="640" w:firstLineChars="200"/>
        <w:jc w:val="left"/>
        <w:rPr>
          <w:rFonts w:hint="eastAsia" w:ascii="仿宋_GB2312" w:hAnsi="Times New Roman" w:eastAsia="仿宋_GB2312" w:cs="仿宋_GB2312"/>
          <w:position w:val="3"/>
          <w:sz w:val="32"/>
          <w:szCs w:val="32"/>
          <w:lang w:val="zh-CN" w:eastAsia="zh-CN" w:bidi="ar-SA"/>
        </w:rPr>
      </w:pPr>
      <w:r>
        <w:rPr>
          <w:rFonts w:hint="eastAsia" w:ascii="仿宋_GB2312" w:hAnsi="Times New Roman" w:eastAsia="仿宋_GB2312" w:cs="仿宋_GB2312"/>
          <w:position w:val="3"/>
          <w:sz w:val="32"/>
          <w:szCs w:val="32"/>
          <w:lang w:val="zh-CN" w:eastAsia="zh-CN" w:bidi="ar-SA"/>
        </w:rPr>
        <w:t>根据项目设定指标如实完成。</w:t>
      </w:r>
    </w:p>
    <w:p>
      <w:pPr>
        <w:widowControl/>
        <w:tabs>
          <w:tab w:val="left" w:pos="2160"/>
        </w:tabs>
        <w:spacing w:line="600" w:lineRule="exact"/>
        <w:ind w:firstLine="640" w:firstLineChars="200"/>
        <w:jc w:val="left"/>
        <w:rPr>
          <w:rFonts w:ascii="黑体" w:hAnsi="宋体" w:eastAsia="黑体" w:cs="Times New Roman"/>
          <w:position w:val="3"/>
          <w:sz w:val="32"/>
          <w:szCs w:val="32"/>
          <w:lang w:val="en-US" w:eastAsia="zh-CN" w:bidi="ar-SA"/>
        </w:rPr>
      </w:pPr>
      <w:r>
        <w:rPr>
          <w:rFonts w:hint="eastAsia" w:ascii="黑体" w:hAnsi="宋体" w:eastAsia="黑体" w:cs="Times New Roman"/>
          <w:position w:val="3"/>
          <w:sz w:val="32"/>
          <w:szCs w:val="32"/>
          <w:lang w:val="en-US" w:eastAsia="zh-CN" w:bidi="ar-SA"/>
        </w:rPr>
        <w:t>四、评</w:t>
      </w:r>
      <w:r>
        <w:rPr>
          <w:rFonts w:hint="eastAsia" w:ascii="黑体" w:hAnsi="宋体" w:eastAsia="黑体" w:cs="宋体"/>
          <w:position w:val="3"/>
          <w:sz w:val="32"/>
          <w:szCs w:val="32"/>
          <w:lang w:val="en-US" w:eastAsia="zh-CN" w:bidi="ar-SA"/>
        </w:rPr>
        <w:t>价结论</w:t>
      </w:r>
    </w:p>
    <w:p>
      <w:pPr>
        <w:spacing w:line="560" w:lineRule="exact"/>
        <w:ind w:left="49" w:firstLine="640" w:firstLineChars="200"/>
        <w:rPr>
          <w:rFonts w:hint="eastAsia" w:ascii="仿宋_GB2312" w:hAnsi="Times New Roman" w:eastAsia="仿宋_GB2312" w:cs="仿宋_GB2312"/>
          <w:kern w:val="0"/>
          <w:sz w:val="32"/>
          <w:szCs w:val="32"/>
          <w:shd w:val="clear" w:color="auto" w:fill="FFFFFF"/>
          <w:lang w:val="zh-CN"/>
        </w:rPr>
      </w:pPr>
      <w:r>
        <w:rPr>
          <w:rFonts w:hint="eastAsia" w:ascii="仿宋_GB2312" w:hAnsi="Times New Roman" w:eastAsia="仿宋_GB2312" w:cs="Times New Roman"/>
          <w:kern w:val="2"/>
          <w:sz w:val="32"/>
          <w:szCs w:val="32"/>
        </w:rPr>
        <w:t>综合前述评估内容来看，该项目依据充分，绩效目标明确，具有公共性，符合</w:t>
      </w:r>
      <w:r>
        <w:rPr>
          <w:rFonts w:hint="eastAsia" w:ascii="仿宋_GB2312" w:hAnsi="Times New Roman" w:eastAsia="仿宋_GB2312" w:cs="Times New Roman"/>
          <w:kern w:val="2"/>
          <w:sz w:val="32"/>
          <w:szCs w:val="32"/>
          <w:lang w:eastAsia="zh-CN"/>
        </w:rPr>
        <w:t>财政资金</w:t>
      </w:r>
      <w:r>
        <w:rPr>
          <w:rFonts w:hint="eastAsia" w:ascii="仿宋_GB2312" w:hAnsi="Times New Roman" w:eastAsia="仿宋_GB2312" w:cs="Times New Roman"/>
          <w:kern w:val="2"/>
          <w:sz w:val="32"/>
          <w:szCs w:val="32"/>
        </w:rPr>
        <w:t>支持方向。项目预算0.35万</w:t>
      </w:r>
      <w:r>
        <w:rPr>
          <w:rFonts w:hint="eastAsia" w:ascii="仿宋_GB2312" w:eastAsia="仿宋_GB2312" w:cs="Times New Roman"/>
          <w:kern w:val="2"/>
          <w:sz w:val="32"/>
          <w:szCs w:val="32"/>
          <w:lang w:eastAsia="zh-CN"/>
        </w:rPr>
        <w:t>元</w:t>
      </w:r>
      <w:r>
        <w:rPr>
          <w:rFonts w:hint="eastAsia" w:ascii="仿宋_GB2312" w:hAnsi="Times New Roman" w:eastAsia="仿宋_GB2312" w:cs="Times New Roman"/>
          <w:kern w:val="2"/>
          <w:sz w:val="32"/>
          <w:szCs w:val="32"/>
        </w:rPr>
        <w:t>，该项目申请总资金在预算内。我单位将进一步加强运行监控，提升资金效益，提升预算绩效管理水平</w:t>
      </w:r>
      <w:r>
        <w:rPr>
          <w:rFonts w:hint="eastAsia" w:ascii="仿宋_GB2312" w:hAnsi="Times New Roman" w:eastAsia="宋体" w:cs="Times New Roman"/>
          <w:kern w:val="2"/>
          <w:sz w:val="32"/>
          <w:szCs w:val="32"/>
        </w:rPr>
        <w:t>。</w:t>
      </w:r>
      <w:r>
        <w:rPr>
          <w:rFonts w:hint="eastAsia" w:ascii="仿宋_GB2312" w:hAnsi="Times New Roman" w:eastAsia="仿宋_GB2312" w:cs="仿宋_GB2312"/>
          <w:kern w:val="0"/>
          <w:sz w:val="32"/>
          <w:szCs w:val="32"/>
          <w:shd w:val="clear" w:color="auto" w:fill="FFFFFF"/>
          <w:lang w:val="zh-CN"/>
        </w:rPr>
        <w:t>综合自评得分</w:t>
      </w:r>
      <w:r>
        <w:rPr>
          <w:rFonts w:hint="eastAsia" w:ascii="仿宋_GB2312" w:hAnsi="Times New Roman" w:eastAsia="宋体" w:cs="仿宋_GB2312"/>
          <w:kern w:val="0"/>
          <w:sz w:val="32"/>
          <w:szCs w:val="32"/>
          <w:shd w:val="clear" w:color="auto" w:fill="FFFFFF"/>
        </w:rPr>
        <w:t>100</w:t>
      </w:r>
      <w:r>
        <w:rPr>
          <w:rFonts w:hint="eastAsia" w:ascii="仿宋_GB2312" w:hAnsi="Times New Roman" w:eastAsia="仿宋_GB2312" w:cs="仿宋_GB2312"/>
          <w:kern w:val="0"/>
          <w:sz w:val="32"/>
          <w:szCs w:val="32"/>
          <w:shd w:val="clear" w:color="auto" w:fill="FFFFFF"/>
          <w:lang w:val="zh-CN"/>
        </w:rPr>
        <w:t>分。</w:t>
      </w:r>
    </w:p>
    <w:p>
      <w:pPr>
        <w:keepNext w:val="0"/>
        <w:keepLines w:val="0"/>
        <w:pageBreakBefore w:val="0"/>
        <w:widowControl w:val="0"/>
        <w:numPr>
          <w:ilvl w:val="0"/>
          <w:numId w:val="7"/>
        </w:numPr>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存在主要问题</w:t>
      </w:r>
    </w:p>
    <w:p>
      <w:pPr>
        <w:spacing w:line="560" w:lineRule="exact"/>
        <w:ind w:firstLine="640" w:firstLineChars="200"/>
        <w:rPr>
          <w:rFonts w:hint="default"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2024年无部门预算绩效自评的主要问题。</w:t>
      </w:r>
    </w:p>
    <w:p>
      <w:pPr>
        <w:keepNext w:val="0"/>
        <w:keepLines w:val="0"/>
        <w:pageBreakBefore w:val="0"/>
        <w:widowControl w:val="0"/>
        <w:numPr>
          <w:ilvl w:val="0"/>
          <w:numId w:val="7"/>
        </w:numPr>
        <w:kinsoku/>
        <w:wordWrap/>
        <w:overflowPunct/>
        <w:topLinePunct w:val="0"/>
        <w:autoSpaceDE/>
        <w:autoSpaceDN/>
        <w:bidi w:val="0"/>
        <w:spacing w:line="578" w:lineRule="exact"/>
        <w:ind w:left="0" w:leftChars="0" w:firstLine="640" w:firstLineChars="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改进建议</w:t>
      </w:r>
    </w:p>
    <w:p>
      <w:pPr>
        <w:spacing w:line="560" w:lineRule="exact"/>
        <w:ind w:firstLine="640" w:firstLineChars="200"/>
        <w:rPr>
          <w:rFonts w:hint="default"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2024年无预算安排、完善政策、改进管理等方面的措施建议。</w:t>
      </w:r>
    </w:p>
    <w:p>
      <w:pPr>
        <w:spacing w:line="60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zh-CN" w:eastAsia="zh-CN"/>
        </w:rPr>
        <w:t>附表</w:t>
      </w:r>
      <w:r>
        <w:rPr>
          <w:rFonts w:hint="eastAsia" w:ascii="黑体" w:hAnsi="黑体" w:eastAsia="黑体" w:cs="黑体"/>
          <w:color w:val="000000"/>
          <w:sz w:val="32"/>
          <w:szCs w:val="32"/>
          <w:lang w:eastAsia="zh-CN"/>
        </w:rPr>
        <w:t>1</w:t>
      </w:r>
    </w:p>
    <w:p>
      <w:pPr>
        <w:spacing w:line="578" w:lineRule="exact"/>
        <w:jc w:val="center"/>
        <w:rPr>
          <w:rFonts w:ascii="Times New Roman" w:hAnsi="Times New Roman" w:eastAsia="方正小标宋_GBK" w:cs="宋体"/>
          <w:kern w:val="0"/>
          <w:sz w:val="40"/>
          <w:szCs w:val="40"/>
        </w:rPr>
      </w:pPr>
      <w:r>
        <w:rPr>
          <w:rFonts w:hint="eastAsia" w:ascii="Times New Roman" w:hAnsi="Times New Roman" w:eastAsia="方正小标宋_GBK" w:cs="宋体"/>
          <w:kern w:val="0"/>
          <w:sz w:val="40"/>
          <w:szCs w:val="40"/>
        </w:rPr>
        <w:t>专项</w:t>
      </w:r>
      <w:r>
        <w:rPr>
          <w:rFonts w:ascii="Times New Roman" w:hAnsi="Times New Roman" w:eastAsia="方正小标宋_GBK" w:cs="宋体"/>
          <w:kern w:val="0"/>
          <w:sz w:val="40"/>
          <w:szCs w:val="40"/>
        </w:rPr>
        <w:t>预算绩效自评打分表</w:t>
      </w:r>
    </w:p>
    <w:tbl>
      <w:tblPr>
        <w:tblStyle w:val="26"/>
        <w:tblW w:w="9438" w:type="dxa"/>
        <w:jc w:val="center"/>
        <w:tblLayout w:type="fixed"/>
        <w:tblCellMar>
          <w:top w:w="0" w:type="dxa"/>
          <w:left w:w="108" w:type="dxa"/>
          <w:bottom w:w="0" w:type="dxa"/>
          <w:right w:w="108" w:type="dxa"/>
        </w:tblCellMar>
      </w:tblPr>
      <w:tblGrid>
        <w:gridCol w:w="624"/>
        <w:gridCol w:w="80"/>
        <w:gridCol w:w="582"/>
        <w:gridCol w:w="122"/>
        <w:gridCol w:w="593"/>
        <w:gridCol w:w="111"/>
        <w:gridCol w:w="703"/>
        <w:gridCol w:w="359"/>
        <w:gridCol w:w="344"/>
        <w:gridCol w:w="258"/>
        <w:gridCol w:w="445"/>
        <w:gridCol w:w="707"/>
        <w:gridCol w:w="703"/>
        <w:gridCol w:w="703"/>
        <w:gridCol w:w="703"/>
        <w:gridCol w:w="929"/>
        <w:gridCol w:w="433"/>
        <w:gridCol w:w="634"/>
        <w:gridCol w:w="405"/>
      </w:tblGrid>
      <w:tr>
        <w:tblPrEx>
          <w:tblCellMar>
            <w:top w:w="0" w:type="dxa"/>
            <w:left w:w="108" w:type="dxa"/>
            <w:bottom w:w="0" w:type="dxa"/>
            <w:right w:w="108" w:type="dxa"/>
          </w:tblCellMar>
        </w:tblPrEx>
        <w:trPr>
          <w:trHeight w:val="23" w:hRule="atLeast"/>
          <w:jc w:val="center"/>
        </w:trPr>
        <w:tc>
          <w:tcPr>
            <w:tcW w:w="3776" w:type="dxa"/>
            <w:gridSpan w:val="10"/>
            <w:tcBorders>
              <w:top w:val="single" w:color="000000" w:sz="4" w:space="0"/>
              <w:left w:val="single" w:color="000000" w:sz="4" w:space="0"/>
              <w:bottom w:val="nil"/>
              <w:right w:val="nil"/>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绩效评价指标</w:t>
            </w:r>
          </w:p>
        </w:tc>
        <w:tc>
          <w:tcPr>
            <w:tcW w:w="4623" w:type="dxa"/>
            <w:gridSpan w:val="7"/>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指标解释</w:t>
            </w:r>
          </w:p>
        </w:tc>
        <w:tc>
          <w:tcPr>
            <w:tcW w:w="634"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自评得分</w:t>
            </w:r>
          </w:p>
        </w:tc>
        <w:tc>
          <w:tcPr>
            <w:tcW w:w="405"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备注</w:t>
            </w:r>
          </w:p>
        </w:tc>
      </w:tr>
      <w:tr>
        <w:tblPrEx>
          <w:tblCellMar>
            <w:top w:w="0" w:type="dxa"/>
            <w:left w:w="108" w:type="dxa"/>
            <w:bottom w:w="0" w:type="dxa"/>
            <w:right w:w="108" w:type="dxa"/>
          </w:tblCellMar>
        </w:tblPrEx>
        <w:trPr>
          <w:trHeight w:val="23" w:hRule="atLeas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一级指标</w:t>
            </w:r>
          </w:p>
        </w:tc>
        <w:tc>
          <w:tcPr>
            <w:tcW w:w="137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二级指标</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三级指标</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指标</w:t>
            </w:r>
            <w:r>
              <w:rPr>
                <w:rFonts w:hint="eastAsia" w:ascii="黑体" w:hAnsi="宋体" w:eastAsia="黑体" w:cs="黑体"/>
                <w:color w:val="000000"/>
                <w:kern w:val="0"/>
                <w:sz w:val="24"/>
              </w:rPr>
              <w:br w:type="textWrapping"/>
            </w:r>
            <w:r>
              <w:rPr>
                <w:rFonts w:hint="eastAsia" w:ascii="黑体" w:hAnsi="宋体" w:eastAsia="黑体" w:cs="黑体"/>
                <w:color w:val="000000"/>
                <w:kern w:val="0"/>
                <w:sz w:val="24"/>
              </w:rPr>
              <w:t>分值</w:t>
            </w:r>
          </w:p>
        </w:tc>
        <w:tc>
          <w:tcPr>
            <w:tcW w:w="4623" w:type="dxa"/>
            <w:gridSpan w:val="7"/>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黑体" w:hAnsi="宋体" w:eastAsia="黑体" w:cs="黑体"/>
                <w:color w:val="000000"/>
                <w:kern w:val="0"/>
                <w:sz w:val="24"/>
              </w:rPr>
            </w:pPr>
          </w:p>
        </w:tc>
        <w:tc>
          <w:tcPr>
            <w:tcW w:w="634"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ascii="黑体" w:hAnsi="宋体" w:eastAsia="黑体" w:cs="黑体"/>
                <w:color w:val="000000"/>
                <w:kern w:val="0"/>
                <w:sz w:val="24"/>
              </w:rPr>
            </w:pPr>
          </w:p>
        </w:tc>
        <w:tc>
          <w:tcPr>
            <w:tcW w:w="40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ascii="黑体" w:hAnsi="宋体" w:eastAsia="黑体" w:cs="黑体"/>
                <w:color w:val="000000"/>
                <w:kern w:val="0"/>
                <w:sz w:val="24"/>
              </w:rPr>
            </w:pPr>
          </w:p>
        </w:tc>
      </w:tr>
      <w:tr>
        <w:tblPrEx>
          <w:tblCellMar>
            <w:top w:w="0" w:type="dxa"/>
            <w:left w:w="108" w:type="dxa"/>
            <w:bottom w:w="0" w:type="dxa"/>
            <w:right w:w="108" w:type="dxa"/>
          </w:tblCellMar>
        </w:tblPrEx>
        <w:trPr>
          <w:trHeight w:val="23"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通用指标</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（54分）</w:t>
            </w: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项目决策</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（18分）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决策程序</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项目决策程序是否严密</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规划论证</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项目规划论证是否符合中省要求，项目绩效目标设置是否科学合理</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资金投向</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项目资金是否与项目总体规划、相关行业事业发展相匹配，是否聚焦重大任务、重点领域、重点环节和重点项目</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项目管理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（18分）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制度办法</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项目制度办法是否体系健全、要素完备</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2</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分配管理</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项目资金分配因素选取、权重设置、区域分布，项目管理、审批是否符合管理要求</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绩效监管</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管资金、项目、政策是否管绩效，项目绩效监管是否按要求开展，对下指导是否有力有效</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项目实施</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预算执行</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项目资金财政拨付、单位执行和地方配套到位情况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资金使用</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资金使用拨付、项目实施是否符合规定</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项目结果</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目标完成</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项目是否完成预期目标，实施结果是否与绩效目标相匹配，反映目标实现程度</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完成时效</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项目实际完成时间与计划完成时间的比较</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专用指标</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（30分）</w:t>
            </w: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产业发展</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（30分）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符合性</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项目实施是否与省委省政府支持重点、产业支持政策符合</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成长性</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项目实施对相关企业（机构）成长性的促进作用，主要反映支持对象创新创造创业能力情况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经济性</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项目实施对相关企业（机构）主营业务收入、净利润、税收、产量等方面增长情况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民生保障</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（30分）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区域均衡性</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项目资金分配体现的均衡公平情况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对象精准性</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资金实际支持对象是否符合管理要求，是否符合支持对象范围</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标准合理性</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资金实际补贴标准是否符合资金管理办法规定的补助标准，是否及时按标准兑现</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群众满意度</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资金涉及相关受益群体、支持对象的满意度调查访谈情况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66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基础</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设施</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（30分）</w:t>
            </w:r>
          </w:p>
        </w:tc>
        <w:tc>
          <w:tcPr>
            <w:tcW w:w="71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在建</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项目</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工程进度</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项目是否达到计划工程进度</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66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资金拨付</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15</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项目是否达到预先确定的资金拨付进度</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66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71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建成</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项目</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项目验收</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项目验收是否及时合格</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66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功能实现</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项目经济社会功能是否实现</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66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后续管护</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项目后续维护是否实现</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专用指标</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（30分）</w:t>
            </w:r>
          </w:p>
        </w:tc>
        <w:tc>
          <w:tcPr>
            <w:tcW w:w="137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行政运转</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（30分）</w:t>
            </w:r>
          </w:p>
        </w:tc>
        <w:tc>
          <w:tcPr>
            <w:tcW w:w="1173" w:type="dxa"/>
            <w:gridSpan w:val="3"/>
            <w:tcBorders>
              <w:top w:val="nil"/>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用途合规性</w:t>
            </w:r>
          </w:p>
        </w:tc>
        <w:tc>
          <w:tcPr>
            <w:tcW w:w="602" w:type="dxa"/>
            <w:gridSpan w:val="2"/>
            <w:tcBorders>
              <w:top w:val="nil"/>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nil"/>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是否按规定用途、适用范围进行本地区专项资金分配</w:t>
            </w:r>
          </w:p>
        </w:tc>
        <w:tc>
          <w:tcPr>
            <w:tcW w:w="634" w:type="dxa"/>
            <w:tcBorders>
              <w:top w:val="nil"/>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405" w:type="dxa"/>
            <w:tcBorders>
              <w:top w:val="nil"/>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nil"/>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程序合规性</w:t>
            </w:r>
          </w:p>
        </w:tc>
        <w:tc>
          <w:tcPr>
            <w:tcW w:w="602" w:type="dxa"/>
            <w:gridSpan w:val="2"/>
            <w:tcBorders>
              <w:top w:val="nil"/>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资金管理程序是否符合专项资金管理要求</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37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nil"/>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标准合规性</w:t>
            </w:r>
          </w:p>
        </w:tc>
        <w:tc>
          <w:tcPr>
            <w:tcW w:w="602" w:type="dxa"/>
            <w:gridSpan w:val="2"/>
            <w:tcBorders>
              <w:top w:val="nil"/>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资金分配标准是否符合专项资金管理要求</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2001"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个性指标</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（16分）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4623" w:type="dxa"/>
            <w:gridSpan w:val="7"/>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根据项目个性自行设定部分指标，反映该项指标执行完成情况。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2001"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4623" w:type="dxa"/>
            <w:gridSpan w:val="7"/>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24"/>
              </w:rPr>
            </w:pP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2001"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color w:val="000000"/>
                <w:kern w:val="0"/>
                <w:sz w:val="24"/>
              </w:rPr>
            </w:pP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4623" w:type="dxa"/>
            <w:gridSpan w:val="7"/>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000000"/>
                <w:kern w:val="0"/>
                <w:sz w:val="24"/>
              </w:rPr>
            </w:pP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auto"/>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23" w:hRule="atLeast"/>
          <w:jc w:val="center"/>
        </w:trPr>
        <w:tc>
          <w:tcPr>
            <w:tcW w:w="200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扣分项</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11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被评价</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部门配合度</w:t>
            </w:r>
          </w:p>
        </w:tc>
        <w:tc>
          <w:tcPr>
            <w:tcW w:w="6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w:t>
            </w:r>
          </w:p>
        </w:tc>
        <w:tc>
          <w:tcPr>
            <w:tcW w:w="4623"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被评价对象工作配合情况</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p>
        </w:tc>
        <w:tc>
          <w:tcPr>
            <w:tcW w:w="4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gridAfter w:val="3"/>
          <w:wAfter w:w="1472" w:type="dxa"/>
          <w:trHeight w:val="892" w:hRule="atLeast"/>
          <w:jc w:val="center"/>
        </w:trPr>
        <w:tc>
          <w:tcPr>
            <w:tcW w:w="796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kern w:val="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gridAfter w:val="3"/>
          <w:wAfter w:w="1472" w:type="dxa"/>
          <w:trHeight w:val="402" w:hRule="atLeast"/>
          <w:jc w:val="center"/>
        </w:trPr>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项目名称</w:t>
            </w:r>
          </w:p>
        </w:tc>
        <w:tc>
          <w:tcPr>
            <w:tcW w:w="65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51322325T000012289598-驻村人员临岗补贴和乡镇补贴</w:t>
            </w:r>
          </w:p>
        </w:tc>
      </w:tr>
      <w:tr>
        <w:tblPrEx>
          <w:tblCellMar>
            <w:top w:w="0" w:type="dxa"/>
            <w:left w:w="108" w:type="dxa"/>
            <w:bottom w:w="0" w:type="dxa"/>
            <w:right w:w="108" w:type="dxa"/>
          </w:tblCellMar>
        </w:tblPrEx>
        <w:trPr>
          <w:gridAfter w:val="3"/>
          <w:wAfter w:w="1472" w:type="dxa"/>
          <w:trHeight w:val="622" w:hRule="atLeast"/>
          <w:jc w:val="center"/>
        </w:trPr>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主管部门</w:t>
            </w:r>
          </w:p>
        </w:tc>
        <w:tc>
          <w:tcPr>
            <w:tcW w:w="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茂县供销合作社联合社本级</w:t>
            </w:r>
          </w:p>
        </w:tc>
        <w:tc>
          <w:tcPr>
            <w:tcW w:w="703"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实施单位 （盖章）</w:t>
            </w:r>
          </w:p>
        </w:tc>
        <w:tc>
          <w:tcPr>
            <w:tcW w:w="2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茂县供销合作社联合社</w:t>
            </w: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项目基本情况</w:t>
            </w:r>
          </w:p>
        </w:tc>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1.项目年度目标完成情况</w:t>
            </w:r>
          </w:p>
        </w:tc>
        <w:tc>
          <w:tcPr>
            <w:tcW w:w="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项目年度目标</w:t>
            </w:r>
          </w:p>
        </w:tc>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gridAfter w:val="3"/>
          <w:wAfter w:w="1472" w:type="dxa"/>
          <w:trHeight w:val="928"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18"/>
                <w:szCs w:val="18"/>
              </w:rPr>
            </w:pPr>
          </w:p>
        </w:tc>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18"/>
                <w:szCs w:val="18"/>
              </w:rPr>
            </w:pPr>
          </w:p>
        </w:tc>
        <w:tc>
          <w:tcPr>
            <w:tcW w:w="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按照省委组织部关于《关于印发&lt;四川省驻村第一书记和工作队管理办法&gt;的通知》（川组通（2021）75号）文件要求保障驻村工作队员乡镇补贴和临岗补贴</w:t>
            </w:r>
          </w:p>
        </w:tc>
        <w:tc>
          <w:tcPr>
            <w:tcW w:w="3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保障了驻村工作队员乡镇补贴和临岗补贴</w:t>
            </w:r>
          </w:p>
        </w:tc>
      </w:tr>
      <w:tr>
        <w:tblPrEx>
          <w:tblCellMar>
            <w:top w:w="0" w:type="dxa"/>
            <w:left w:w="108" w:type="dxa"/>
            <w:bottom w:w="0" w:type="dxa"/>
            <w:right w:w="108" w:type="dxa"/>
          </w:tblCellMar>
        </w:tblPrEx>
        <w:trPr>
          <w:gridAfter w:val="3"/>
          <w:wAfter w:w="1472" w:type="dxa"/>
          <w:trHeight w:val="928"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2.项目实施内容及过程概述</w:t>
            </w:r>
          </w:p>
        </w:tc>
        <w:tc>
          <w:tcPr>
            <w:tcW w:w="65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驻村工作队员乡镇补贴300元，临岗补贴400月，完成驻村时间5个月，发放乡镇补贴及临岗补贴共计3500元</w:t>
            </w:r>
          </w:p>
        </w:tc>
      </w:tr>
      <w:tr>
        <w:tblPrEx>
          <w:tblCellMar>
            <w:top w:w="0" w:type="dxa"/>
            <w:left w:w="108" w:type="dxa"/>
            <w:bottom w:w="0" w:type="dxa"/>
            <w:right w:w="108" w:type="dxa"/>
          </w:tblCellMar>
        </w:tblPrEx>
        <w:trPr>
          <w:gridAfter w:val="3"/>
          <w:wAfter w:w="1472" w:type="dxa"/>
          <w:trHeight w:val="622" w:hRule="atLeast"/>
          <w:jc w:val="center"/>
        </w:trPr>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预算执行情况（10分）</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年度预算数（万元）</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年初预算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调整后预算数</w:t>
            </w: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预算执行数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预算执行率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权重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原因</w:t>
            </w: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总额</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0.35</w:t>
            </w: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0.35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kern w:val="0"/>
                <w:sz w:val="18"/>
                <w:szCs w:val="18"/>
              </w:rPr>
            </w:pPr>
          </w:p>
        </w:tc>
      </w:tr>
      <w:tr>
        <w:tblPrEx>
          <w:tblCellMar>
            <w:top w:w="0" w:type="dxa"/>
            <w:left w:w="108" w:type="dxa"/>
            <w:bottom w:w="0" w:type="dxa"/>
            <w:right w:w="108" w:type="dxa"/>
          </w:tblCellMar>
        </w:tblPrEx>
        <w:trPr>
          <w:gridAfter w:val="3"/>
          <w:wAfter w:w="1472" w:type="dxa"/>
          <w:trHeight w:val="62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其中：财政资金</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0.35</w:t>
            </w: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0.35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kern w:val="0"/>
                <w:sz w:val="18"/>
                <w:szCs w:val="18"/>
              </w:rPr>
            </w:pPr>
          </w:p>
        </w:tc>
      </w:tr>
      <w:tr>
        <w:tblPrEx>
          <w:tblCellMar>
            <w:top w:w="0" w:type="dxa"/>
            <w:left w:w="108" w:type="dxa"/>
            <w:bottom w:w="0" w:type="dxa"/>
            <w:right w:w="108" w:type="dxa"/>
          </w:tblCellMar>
        </w:tblPrEx>
        <w:trPr>
          <w:gridAfter w:val="3"/>
          <w:wAfter w:w="1472" w:type="dxa"/>
          <w:trHeight w:val="62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财政专户管理资金</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kern w:val="0"/>
                <w:sz w:val="18"/>
                <w:szCs w:val="18"/>
              </w:rPr>
            </w:pP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单位资金</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kern w:val="0"/>
                <w:sz w:val="18"/>
                <w:szCs w:val="18"/>
              </w:rPr>
            </w:pP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其他资金</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c>
          <w:tcPr>
            <w:tcW w:w="2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kern w:val="0"/>
                <w:sz w:val="18"/>
                <w:szCs w:val="18"/>
              </w:rPr>
            </w:pPr>
          </w:p>
        </w:tc>
      </w:tr>
      <w:tr>
        <w:tblPrEx>
          <w:tblCellMar>
            <w:top w:w="0" w:type="dxa"/>
            <w:left w:w="108" w:type="dxa"/>
            <w:bottom w:w="0" w:type="dxa"/>
            <w:right w:w="108" w:type="dxa"/>
          </w:tblCellMar>
        </w:tblPrEx>
        <w:trPr>
          <w:gridAfter w:val="3"/>
          <w:wAfter w:w="1472" w:type="dxa"/>
          <w:trHeight w:val="622" w:hRule="atLeast"/>
          <w:jc w:val="center"/>
        </w:trPr>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绩效指标（90分）</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一级指标</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二级指标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三级指标</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指标性质</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度量单位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权重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得分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未完成原因分析</w:t>
            </w: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产出指标</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时效指标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驻村时间</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月</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效益指标</w:t>
            </w:r>
          </w:p>
        </w:tc>
        <w:tc>
          <w:tcPr>
            <w:tcW w:w="7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经济效益指标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临岗补贴</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400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元/人*月</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乡镇补贴</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300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元/人*月</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r>
      <w:tr>
        <w:tblPrEx>
          <w:tblCellMar>
            <w:top w:w="0" w:type="dxa"/>
            <w:left w:w="108" w:type="dxa"/>
            <w:bottom w:w="0" w:type="dxa"/>
            <w:right w:w="108" w:type="dxa"/>
          </w:tblCellMar>
        </w:tblPrEx>
        <w:trPr>
          <w:gridAfter w:val="3"/>
          <w:wAfter w:w="1472" w:type="dxa"/>
          <w:trHeight w:val="1233" w:hRule="atLeast"/>
          <w:jc w:val="center"/>
        </w:trPr>
        <w:tc>
          <w:tcPr>
            <w:tcW w:w="7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18"/>
                <w:szCs w:val="18"/>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满意度指标</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帮扶对象满意度指标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帮扶对象对驻村工作队员满意度</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85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kern w:val="0"/>
                <w:sz w:val="16"/>
                <w:szCs w:val="16"/>
              </w:rPr>
            </w:pPr>
          </w:p>
        </w:tc>
      </w:tr>
      <w:tr>
        <w:tblPrEx>
          <w:tblCellMar>
            <w:top w:w="0" w:type="dxa"/>
            <w:left w:w="108" w:type="dxa"/>
            <w:bottom w:w="0" w:type="dxa"/>
            <w:right w:w="108" w:type="dxa"/>
          </w:tblCellMar>
        </w:tblPrEx>
        <w:trPr>
          <w:gridAfter w:val="3"/>
          <w:wAfter w:w="1472" w:type="dxa"/>
          <w:trHeight w:val="402" w:hRule="atLeast"/>
          <w:jc w:val="center"/>
        </w:trPr>
        <w:tc>
          <w:tcPr>
            <w:tcW w:w="56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合计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评价结论</w:t>
            </w:r>
          </w:p>
        </w:tc>
        <w:tc>
          <w:tcPr>
            <w:tcW w:w="72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保障了驻村工作队员乡镇补贴和临岗补贴</w:t>
            </w: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存在问题</w:t>
            </w:r>
          </w:p>
        </w:tc>
        <w:tc>
          <w:tcPr>
            <w:tcW w:w="72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gridAfter w:val="3"/>
          <w:wAfter w:w="1472" w:type="dxa"/>
          <w:trHeight w:val="402" w:hRule="atLeast"/>
          <w:jc w:val="center"/>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改进措施</w:t>
            </w:r>
          </w:p>
        </w:tc>
        <w:tc>
          <w:tcPr>
            <w:tcW w:w="72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kern w:val="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gridAfter w:val="3"/>
          <w:wAfter w:w="1472" w:type="dxa"/>
          <w:trHeight w:val="412" w:hRule="atLeast"/>
          <w:jc w:val="center"/>
        </w:trPr>
        <w:tc>
          <w:tcPr>
            <w:tcW w:w="35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rPr>
              <w:t>项目负责人：</w:t>
            </w:r>
            <w:r>
              <w:rPr>
                <w:rFonts w:hint="eastAsia" w:ascii="黑体" w:hAnsi="黑体" w:eastAsia="黑体" w:cs="黑体"/>
                <w:color w:val="000000"/>
                <w:kern w:val="0"/>
                <w:sz w:val="18"/>
                <w:szCs w:val="18"/>
                <w:lang w:eastAsia="zh-CN"/>
              </w:rPr>
              <w:t>杨雪剑</w:t>
            </w:r>
          </w:p>
        </w:tc>
        <w:tc>
          <w:tcPr>
            <w:tcW w:w="44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rPr>
              <w:t>财务负责人：</w:t>
            </w:r>
            <w:r>
              <w:rPr>
                <w:rFonts w:hint="eastAsia" w:ascii="黑体" w:hAnsi="黑体" w:eastAsia="黑体" w:cs="黑体"/>
                <w:color w:val="000000"/>
                <w:kern w:val="0"/>
                <w:sz w:val="18"/>
                <w:szCs w:val="18"/>
                <w:lang w:eastAsia="zh-CN"/>
              </w:rPr>
              <w:t>李婷</w:t>
            </w:r>
          </w:p>
        </w:tc>
      </w:tr>
    </w:tbl>
    <w:p>
      <w:pPr>
        <w:spacing w:line="600" w:lineRule="exact"/>
        <w:jc w:val="left"/>
        <w:outlineLvl w:val="0"/>
        <w:rPr>
          <w:rFonts w:hint="eastAsia" w:ascii="黑体" w:hAnsi="黑体" w:eastAsia="黑体" w:cs="黑体"/>
          <w:color w:val="000000"/>
          <w:sz w:val="32"/>
          <w:szCs w:val="32"/>
          <w:lang w:eastAsia="zh-CN"/>
        </w:rPr>
      </w:pPr>
    </w:p>
    <w:p>
      <w:pPr>
        <w:spacing w:line="600" w:lineRule="exact"/>
        <w:jc w:val="left"/>
        <w:outlineLvl w:val="0"/>
        <w:rPr>
          <w:rFonts w:hint="eastAsia"/>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茂县供销合作社联合社</w:t>
      </w:r>
    </w:p>
    <w:p>
      <w:pPr>
        <w:widowControl w:val="0"/>
        <w:spacing w:line="578" w:lineRule="exact"/>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2024年州级农资价格及储备补贴资金项目绩效评价报告</w:t>
      </w:r>
    </w:p>
    <w:p>
      <w:pPr>
        <w:widowControl w:val="0"/>
        <w:spacing w:line="578" w:lineRule="exact"/>
        <w:ind w:firstLine="640"/>
        <w:jc w:val="center"/>
        <w:rPr>
          <w:rFonts w:ascii="宋体" w:hAnsi="宋体" w:eastAsia="宋体" w:cs="Times New Roman"/>
          <w:color w:val="auto"/>
          <w:kern w:val="2"/>
          <w:sz w:val="32"/>
          <w:szCs w:val="32"/>
          <w:lang w:val="zh-CN" w:eastAsia="zh-CN" w:bidi="ar-SA"/>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widowControl/>
        <w:adjustRightInd w:val="0"/>
        <w:snapToGrid w:val="0"/>
        <w:spacing w:line="578" w:lineRule="exact"/>
        <w:ind w:firstLine="642" w:firstLineChars="200"/>
        <w:contextualSpacing/>
        <w:jc w:val="left"/>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b w:val="0"/>
          <w:kern w:val="0"/>
          <w:sz w:val="32"/>
          <w:szCs w:val="32"/>
          <w:shd w:val="clear" w:color="auto" w:fill="FFFFFF"/>
          <w:lang w:val="zh-CN" w:eastAsia="zh-CN" w:bidi="ar-SA"/>
        </w:rPr>
      </w:pPr>
      <w:r>
        <w:rPr>
          <w:rFonts w:hint="eastAsia" w:ascii="仿宋_GB2312" w:hAnsi="仿宋_GB2312" w:eastAsia="仿宋_GB2312" w:cs="仿宋_GB2312"/>
          <w:b w:val="0"/>
          <w:kern w:val="0"/>
          <w:sz w:val="32"/>
          <w:szCs w:val="32"/>
          <w:shd w:val="clear" w:color="auto" w:fill="FFFFFF"/>
          <w:lang w:val="zh-CN" w:eastAsia="zh-CN" w:bidi="ar-SA"/>
        </w:rPr>
        <w:t>根据《阿坝州财政局关于下达2024年州级农资价格及储备补贴资金的通知》（阿州财</w:t>
      </w:r>
      <w:r>
        <w:rPr>
          <w:rFonts w:hint="eastAsia" w:ascii="仿宋_GB2312" w:hAnsi="仿宋_GB2312" w:eastAsia="仿宋_GB2312" w:cs="仿宋_GB2312"/>
          <w:b w:val="0"/>
          <w:kern w:val="0"/>
          <w:sz w:val="32"/>
          <w:szCs w:val="32"/>
          <w:shd w:val="clear" w:color="auto" w:fill="FFFFFF"/>
          <w:lang w:val="en-US" w:eastAsia="zh-CN" w:bidi="ar-SA"/>
        </w:rPr>
        <w:t>建</w:t>
      </w:r>
      <w:r>
        <w:rPr>
          <w:rFonts w:hint="eastAsia" w:ascii="仿宋_GB2312" w:hAnsi="仿宋_GB2312" w:eastAsia="仿宋_GB2312" w:cs="仿宋_GB2312"/>
          <w:b w:val="0"/>
          <w:kern w:val="0"/>
          <w:sz w:val="32"/>
          <w:szCs w:val="32"/>
          <w:shd w:val="clear" w:color="auto" w:fill="FFFFFF"/>
          <w:lang w:val="zh-CN" w:eastAsia="zh-CN" w:bidi="ar-SA"/>
        </w:rPr>
        <w:t>〔2024〕</w:t>
      </w:r>
      <w:r>
        <w:rPr>
          <w:rFonts w:hint="eastAsia" w:ascii="仿宋_GB2312" w:hAnsi="仿宋_GB2312" w:eastAsia="仿宋_GB2312" w:cs="仿宋_GB2312"/>
          <w:b w:val="0"/>
          <w:kern w:val="0"/>
          <w:sz w:val="32"/>
          <w:szCs w:val="32"/>
          <w:shd w:val="clear" w:color="auto" w:fill="FFFFFF"/>
          <w:lang w:val="en-US" w:eastAsia="zh-CN" w:bidi="ar-SA"/>
        </w:rPr>
        <w:t>118</w:t>
      </w:r>
      <w:r>
        <w:rPr>
          <w:rFonts w:hint="eastAsia" w:ascii="仿宋_GB2312" w:hAnsi="仿宋_GB2312" w:eastAsia="仿宋_GB2312" w:cs="仿宋_GB2312"/>
          <w:b w:val="0"/>
          <w:kern w:val="0"/>
          <w:sz w:val="32"/>
          <w:szCs w:val="32"/>
          <w:shd w:val="clear" w:color="auto" w:fill="FFFFFF"/>
          <w:lang w:val="zh-CN" w:eastAsia="zh-CN" w:bidi="ar-SA"/>
        </w:rPr>
        <w:t>号）文件精神，有效控制农资市场价格，切实保障我县农业生产需要，下达我社“2024年州级农资价格及储备补贴资金”共计33</w:t>
      </w:r>
      <w:r>
        <w:rPr>
          <w:rFonts w:hint="eastAsia" w:ascii="仿宋_GB2312" w:hAnsi="仿宋_GB2312" w:eastAsia="仿宋_GB2312" w:cs="仿宋_GB2312"/>
          <w:b w:val="0"/>
          <w:kern w:val="0"/>
          <w:sz w:val="32"/>
          <w:szCs w:val="32"/>
          <w:shd w:val="clear" w:color="auto" w:fill="FFFFFF"/>
          <w:lang w:val="en-US" w:eastAsia="zh-CN" w:bidi="ar-SA"/>
        </w:rPr>
        <w:t>.00</w:t>
      </w:r>
      <w:r>
        <w:rPr>
          <w:rFonts w:hint="eastAsia" w:ascii="仿宋_GB2312" w:hAnsi="仿宋_GB2312" w:eastAsia="仿宋_GB2312" w:cs="仿宋_GB2312"/>
          <w:b w:val="0"/>
          <w:kern w:val="0"/>
          <w:sz w:val="32"/>
          <w:szCs w:val="32"/>
          <w:shd w:val="clear" w:color="auto" w:fill="FFFFFF"/>
          <w:lang w:val="zh-CN" w:eastAsia="zh-CN" w:bidi="ar-SA"/>
        </w:rPr>
        <w:t>万元。</w:t>
      </w:r>
    </w:p>
    <w:p>
      <w:pPr>
        <w:numPr>
          <w:ilvl w:val="0"/>
          <w:numId w:val="8"/>
        </w:numPr>
        <w:ind w:firstLine="645"/>
        <w:rPr>
          <w:rFonts w:ascii="楷体_GB2312" w:hAnsi="宋体" w:eastAsia="楷体_GB2312"/>
          <w:b/>
          <w:sz w:val="32"/>
          <w:szCs w:val="32"/>
        </w:rPr>
      </w:pPr>
      <w:r>
        <w:rPr>
          <w:rFonts w:ascii="楷体_GB2312" w:hAnsi="宋体" w:eastAsia="楷体_GB2312"/>
          <w:b/>
          <w:sz w:val="32"/>
          <w:szCs w:val="32"/>
        </w:rPr>
        <w:t>实施目的及支持方向</w:t>
      </w:r>
    </w:p>
    <w:p>
      <w:pPr>
        <w:numPr>
          <w:ilvl w:val="0"/>
          <w:numId w:val="0"/>
        </w:numPr>
        <w:ind w:firstLine="640" w:firstLineChars="200"/>
        <w:rPr>
          <w:rFonts w:hint="eastAsia" w:ascii="仿宋_GB2312" w:hAnsi="Times New Roman" w:eastAsia="仿宋_GB2312" w:cs="仿宋_GB2312"/>
          <w:sz w:val="32"/>
          <w:szCs w:val="32"/>
          <w:lang w:val="zh-CN" w:eastAsia="zh-CN"/>
        </w:rPr>
      </w:pPr>
      <w:r>
        <w:rPr>
          <w:rFonts w:hint="eastAsia" w:ascii="仿宋_GB2312" w:hAnsi="Times New Roman" w:eastAsia="仿宋_GB2312" w:cs="仿宋_GB2312"/>
          <w:sz w:val="32"/>
          <w:szCs w:val="32"/>
          <w:lang w:val="zh-CN" w:eastAsia="zh-CN"/>
        </w:rPr>
        <w:t>为有效控制农资市场价格，切实保障全州农业生产需要，促进农民增产增收，引导广大农民群众使用配方肥和有机肥，降低土地面源污染，推动我州绿色、生态农业发展。</w:t>
      </w:r>
    </w:p>
    <w:p>
      <w:pPr>
        <w:widowControl/>
        <w:numPr>
          <w:ilvl w:val="0"/>
          <w:numId w:val="8"/>
        </w:numPr>
        <w:adjustRightInd w:val="0"/>
        <w:snapToGrid w:val="0"/>
        <w:spacing w:line="578" w:lineRule="exact"/>
        <w:ind w:left="0" w:leftChars="0" w:firstLine="645" w:firstLineChars="0"/>
        <w:contextualSpacing/>
        <w:jc w:val="left"/>
        <w:rPr>
          <w:rFonts w:ascii="楷体_GB2312" w:hAnsi="宋体" w:eastAsia="楷体_GB2312"/>
          <w:b/>
          <w:sz w:val="32"/>
          <w:szCs w:val="32"/>
        </w:rPr>
      </w:pPr>
      <w:r>
        <w:rPr>
          <w:rFonts w:ascii="楷体_GB2312" w:hAnsi="宋体" w:eastAsia="楷体_GB2312"/>
          <w:b/>
          <w:sz w:val="32"/>
          <w:szCs w:val="32"/>
        </w:rPr>
        <w:t>预算安排及分配管理</w:t>
      </w:r>
    </w:p>
    <w:p>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val="0"/>
          <w:kern w:val="0"/>
          <w:sz w:val="32"/>
          <w:szCs w:val="32"/>
          <w:shd w:val="clear" w:color="auto" w:fill="FFFFFF"/>
          <w:lang w:val="en-US" w:eastAsia="zh-CN" w:bidi="ar-SA"/>
        </w:rPr>
        <w:t>预算安排资金：</w:t>
      </w:r>
      <w:r>
        <w:rPr>
          <w:rFonts w:hint="eastAsia" w:ascii="仿宋_GB2312" w:hAnsi="仿宋_GB2312" w:eastAsia="仿宋_GB2312" w:cs="仿宋_GB2312"/>
          <w:b w:val="0"/>
          <w:kern w:val="0"/>
          <w:sz w:val="32"/>
          <w:szCs w:val="32"/>
          <w:shd w:val="clear" w:color="auto" w:fill="FFFFFF"/>
          <w:lang w:val="zh-CN" w:eastAsia="zh-CN" w:bidi="ar-SA"/>
        </w:rPr>
        <w:t>33</w:t>
      </w:r>
      <w:r>
        <w:rPr>
          <w:rFonts w:hint="eastAsia" w:ascii="仿宋_GB2312" w:hAnsi="仿宋_GB2312" w:eastAsia="仿宋_GB2312" w:cs="仿宋_GB2312"/>
          <w:b w:val="0"/>
          <w:kern w:val="0"/>
          <w:sz w:val="32"/>
          <w:szCs w:val="32"/>
          <w:shd w:val="clear" w:color="auto" w:fill="FFFFFF"/>
          <w:lang w:val="en-US" w:eastAsia="zh-CN" w:bidi="ar-SA"/>
        </w:rPr>
        <w:t>.00</w:t>
      </w:r>
      <w:r>
        <w:rPr>
          <w:rFonts w:hint="eastAsia" w:ascii="仿宋_GB2312" w:hAnsi="仿宋_GB2312" w:eastAsia="仿宋_GB2312" w:cs="仿宋_GB2312"/>
          <w:b w:val="0"/>
          <w:kern w:val="0"/>
          <w:sz w:val="32"/>
          <w:szCs w:val="32"/>
          <w:shd w:val="clear" w:color="auto" w:fill="FFFFFF"/>
          <w:lang w:val="zh-CN" w:eastAsia="zh-CN" w:bidi="ar-SA"/>
        </w:rPr>
        <w:t>万元，</w:t>
      </w:r>
      <w:r>
        <w:rPr>
          <w:rFonts w:hint="eastAsia" w:ascii="仿宋_GB2312" w:hAnsi="仿宋_GB2312" w:eastAsia="仿宋_GB2312" w:cs="仿宋_GB2312"/>
          <w:b w:val="0"/>
          <w:kern w:val="0"/>
          <w:sz w:val="32"/>
          <w:szCs w:val="32"/>
          <w:shd w:val="clear" w:color="auto" w:fill="FFFFFF"/>
          <w:lang w:val="en-US" w:eastAsia="zh-CN" w:bidi="ar-SA"/>
        </w:rPr>
        <w:t>其中：</w:t>
      </w:r>
      <w:r>
        <w:rPr>
          <w:rFonts w:hint="eastAsia" w:ascii="仿宋_GB2312" w:hAnsi="仿宋_GB2312" w:eastAsia="仿宋_GB2312" w:cs="仿宋_GB2312"/>
          <w:b w:val="0"/>
          <w:kern w:val="0"/>
          <w:sz w:val="32"/>
          <w:szCs w:val="32"/>
          <w:shd w:val="clear" w:color="auto" w:fill="FFFFFF"/>
          <w:lang w:val="zh-CN" w:eastAsia="zh-CN" w:bidi="ar-SA"/>
        </w:rPr>
        <w:t>价格补贴资金22</w:t>
      </w:r>
      <w:r>
        <w:rPr>
          <w:rFonts w:hint="eastAsia" w:ascii="仿宋_GB2312" w:hAnsi="仿宋_GB2312" w:eastAsia="仿宋_GB2312" w:cs="仿宋_GB2312"/>
          <w:b w:val="0"/>
          <w:kern w:val="0"/>
          <w:sz w:val="32"/>
          <w:szCs w:val="32"/>
          <w:shd w:val="clear" w:color="auto" w:fill="FFFFFF"/>
          <w:lang w:val="en-US" w:eastAsia="zh-CN" w:bidi="ar-SA"/>
        </w:rPr>
        <w:t>.00</w:t>
      </w:r>
      <w:r>
        <w:rPr>
          <w:rFonts w:hint="eastAsia" w:ascii="仿宋_GB2312" w:hAnsi="仿宋_GB2312" w:eastAsia="仿宋_GB2312" w:cs="仿宋_GB2312"/>
          <w:b w:val="0"/>
          <w:kern w:val="0"/>
          <w:sz w:val="32"/>
          <w:szCs w:val="32"/>
          <w:shd w:val="clear" w:color="auto" w:fill="FFFFFF"/>
          <w:lang w:val="zh-CN" w:eastAsia="zh-CN" w:bidi="ar-SA"/>
        </w:rPr>
        <w:t>万</w:t>
      </w:r>
      <w:r>
        <w:rPr>
          <w:rFonts w:hint="eastAsia" w:ascii="仿宋_GB2312" w:hAnsi="仿宋_GB2312" w:eastAsia="仿宋_GB2312" w:cs="仿宋_GB2312"/>
          <w:b w:val="0"/>
          <w:kern w:val="0"/>
          <w:sz w:val="32"/>
          <w:szCs w:val="32"/>
          <w:shd w:val="clear" w:color="auto" w:fill="FFFFFF"/>
          <w:lang w:val="en-US" w:eastAsia="zh-CN" w:bidi="ar-SA"/>
        </w:rPr>
        <w:t>元</w:t>
      </w:r>
      <w:r>
        <w:rPr>
          <w:rFonts w:hint="eastAsia" w:ascii="仿宋_GB2312" w:hAnsi="仿宋_GB2312" w:eastAsia="仿宋_GB2312" w:cs="仿宋_GB2312"/>
          <w:b w:val="0"/>
          <w:kern w:val="0"/>
          <w:sz w:val="32"/>
          <w:szCs w:val="32"/>
          <w:shd w:val="clear" w:color="auto" w:fill="FFFFFF"/>
          <w:lang w:val="zh-CN" w:eastAsia="zh-CN" w:bidi="ar-SA"/>
        </w:rPr>
        <w:t>，储备补贴资金11</w:t>
      </w:r>
      <w:r>
        <w:rPr>
          <w:rFonts w:hint="eastAsia" w:ascii="仿宋_GB2312" w:hAnsi="仿宋_GB2312" w:eastAsia="仿宋_GB2312" w:cs="仿宋_GB2312"/>
          <w:b w:val="0"/>
          <w:kern w:val="0"/>
          <w:sz w:val="32"/>
          <w:szCs w:val="32"/>
          <w:shd w:val="clear" w:color="auto" w:fill="FFFFFF"/>
          <w:lang w:val="en-US" w:eastAsia="zh-CN" w:bidi="ar-SA"/>
        </w:rPr>
        <w:t>.00</w:t>
      </w:r>
      <w:r>
        <w:rPr>
          <w:rFonts w:hint="eastAsia" w:ascii="仿宋_GB2312" w:hAnsi="仿宋_GB2312" w:eastAsia="仿宋_GB2312" w:cs="仿宋_GB2312"/>
          <w:b w:val="0"/>
          <w:kern w:val="0"/>
          <w:sz w:val="32"/>
          <w:szCs w:val="32"/>
          <w:shd w:val="clear" w:color="auto" w:fill="FFFFFF"/>
          <w:lang w:val="zh-CN" w:eastAsia="zh-CN" w:bidi="ar-SA"/>
        </w:rPr>
        <w:t>万</w:t>
      </w:r>
      <w:r>
        <w:rPr>
          <w:rFonts w:hint="eastAsia" w:ascii="仿宋_GB2312" w:hAnsi="仿宋_GB2312" w:eastAsia="仿宋_GB2312" w:cs="仿宋_GB2312"/>
          <w:b w:val="0"/>
          <w:kern w:val="0"/>
          <w:sz w:val="32"/>
          <w:szCs w:val="32"/>
          <w:shd w:val="clear" w:color="auto" w:fill="FFFFFF"/>
          <w:lang w:val="en-US" w:eastAsia="zh-CN" w:bidi="ar-SA"/>
        </w:rPr>
        <w:t>元</w:t>
      </w:r>
      <w:r>
        <w:rPr>
          <w:rFonts w:hint="eastAsia" w:ascii="仿宋_GB2312" w:hAnsi="仿宋_GB2312" w:eastAsia="仿宋_GB2312" w:cs="仿宋_GB2312"/>
          <w:b w:val="0"/>
          <w:kern w:val="0"/>
          <w:sz w:val="32"/>
          <w:szCs w:val="32"/>
          <w:shd w:val="clear" w:color="auto" w:fill="FFFFFF"/>
          <w:lang w:val="zh-CN" w:eastAsia="zh-CN" w:bidi="ar-SA"/>
        </w:rPr>
        <w:t>。</w:t>
      </w:r>
    </w:p>
    <w:p>
      <w:pPr>
        <w:numPr>
          <w:ilvl w:val="0"/>
          <w:numId w:val="8"/>
        </w:numPr>
        <w:adjustRightInd w:val="0"/>
        <w:snapToGrid w:val="0"/>
        <w:spacing w:line="578" w:lineRule="exact"/>
        <w:ind w:left="0" w:leftChars="0" w:firstLine="645"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项目绩效目标设置</w:t>
      </w:r>
    </w:p>
    <w:p>
      <w:pPr>
        <w:numPr>
          <w:ilvl w:val="0"/>
          <w:numId w:val="0"/>
        </w:numPr>
        <w:adjustRightInd w:val="0"/>
        <w:snapToGrid w:val="0"/>
        <w:spacing w:line="578" w:lineRule="exact"/>
        <w:ind w:firstLine="640" w:firstLineChars="200"/>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zh-CN"/>
        </w:rPr>
        <w:t>茂县供销合作社联合社</w:t>
      </w:r>
      <w:r>
        <w:rPr>
          <w:rFonts w:hint="eastAsia" w:ascii="仿宋_GB2312" w:hAnsi="仿宋_GB2312" w:eastAsia="仿宋_GB2312" w:cs="仿宋_GB2312"/>
          <w:kern w:val="2"/>
          <w:sz w:val="32"/>
          <w:szCs w:val="32"/>
          <w:u w:val="none"/>
          <w:lang w:val="en-US" w:eastAsia="zh-CN"/>
        </w:rPr>
        <w:t>完成了事前绩效评估。绩效目标设置如下：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茂县供销合作社联合社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2024年农资价格和储备补贴</w:t>
      </w:r>
      <w:r>
        <w:rPr>
          <w:rFonts w:hint="eastAsia" w:ascii="仿宋_GB2312" w:hAnsi="仿宋_GB2312" w:eastAsia="仿宋_GB2312" w:cs="仿宋_GB2312"/>
          <w:kern w:val="2"/>
          <w:sz w:val="32"/>
          <w:szCs w:val="32"/>
        </w:rPr>
        <w:t>绩效目标表</w:t>
      </w:r>
    </w:p>
    <w:tbl>
      <w:tblPr>
        <w:tblStyle w:val="26"/>
        <w:tblpPr w:leftFromText="180" w:rightFromText="180" w:vertAnchor="text" w:horzAnchor="page" w:tblpX="1905"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80"/>
        <w:gridCol w:w="346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一级指标</w:t>
            </w:r>
          </w:p>
        </w:tc>
        <w:tc>
          <w:tcPr>
            <w:tcW w:w="1980"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二级指标</w:t>
            </w:r>
          </w:p>
        </w:tc>
        <w:tc>
          <w:tcPr>
            <w:tcW w:w="3465"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三级指标</w:t>
            </w:r>
          </w:p>
        </w:tc>
        <w:tc>
          <w:tcPr>
            <w:tcW w:w="1415" w:type="dxa"/>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20" w:type="dxa"/>
            <w:vMerge w:val="restart"/>
            <w:tcBorders>
              <w:top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产出指标</w:t>
            </w:r>
          </w:p>
        </w:tc>
        <w:tc>
          <w:tcPr>
            <w:tcW w:w="1980" w:type="dxa"/>
            <w:vMerge w:val="restart"/>
            <w:tcBorders>
              <w:top w:val="single" w:color="auto" w:sz="4" w:space="0"/>
              <w:left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数量指标</w:t>
            </w:r>
          </w:p>
        </w:tc>
        <w:tc>
          <w:tcPr>
            <w:tcW w:w="3465"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全年农资销售增长率</w:t>
            </w:r>
          </w:p>
        </w:tc>
        <w:tc>
          <w:tcPr>
            <w:tcW w:w="1415" w:type="dxa"/>
            <w:tcBorders>
              <w:top w:val="single" w:color="auto" w:sz="4" w:space="0"/>
              <w:left w:val="single" w:color="auto" w:sz="4" w:space="0"/>
              <w:bottom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20" w:type="dxa"/>
            <w:vMerge w:val="continue"/>
            <w:tcBorders>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1980" w:type="dxa"/>
            <w:vMerge w:val="continue"/>
            <w:tcBorders>
              <w:left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3465" w:type="dxa"/>
            <w:tcBorders>
              <w:top w:val="single" w:color="auto" w:sz="4" w:space="0"/>
              <w:left w:val="single" w:color="auto" w:sz="4" w:space="0"/>
              <w:right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农资储备</w:t>
            </w:r>
          </w:p>
        </w:tc>
        <w:tc>
          <w:tcPr>
            <w:tcW w:w="1415" w:type="dxa"/>
            <w:tcBorders>
              <w:top w:val="single" w:color="auto" w:sz="4" w:space="0"/>
              <w:left w:val="single" w:color="auto" w:sz="4" w:space="0"/>
              <w:bottom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20" w:type="dxa"/>
            <w:vMerge w:val="continue"/>
            <w:tcBorders>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1980" w:type="dxa"/>
            <w:vMerge w:val="continue"/>
            <w:tcBorders>
              <w:left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3465" w:type="dxa"/>
            <w:tcBorders>
              <w:top w:val="single" w:color="auto" w:sz="4" w:space="0"/>
              <w:left w:val="single" w:color="auto" w:sz="4" w:space="0"/>
              <w:right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补贴化肥种类</w:t>
            </w:r>
          </w:p>
        </w:tc>
        <w:tc>
          <w:tcPr>
            <w:tcW w:w="1415" w:type="dxa"/>
            <w:tcBorders>
              <w:top w:val="single" w:color="auto" w:sz="4" w:space="0"/>
              <w:left w:val="single" w:color="auto" w:sz="4" w:space="0"/>
              <w:bottom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20" w:type="dxa"/>
            <w:vMerge w:val="continue"/>
            <w:tcBorders>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1980" w:type="dxa"/>
            <w:vMerge w:val="continue"/>
            <w:tcBorders>
              <w:left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3465" w:type="dxa"/>
            <w:tcBorders>
              <w:top w:val="single" w:color="auto" w:sz="4" w:space="0"/>
              <w:left w:val="single" w:color="auto" w:sz="4" w:space="0"/>
              <w:right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有机肥、复合肥销售增长率</w:t>
            </w:r>
          </w:p>
        </w:tc>
        <w:tc>
          <w:tcPr>
            <w:tcW w:w="1415" w:type="dxa"/>
            <w:tcBorders>
              <w:top w:val="single" w:color="auto" w:sz="4" w:space="0"/>
              <w:left w:val="single" w:color="auto" w:sz="4" w:space="0"/>
              <w:bottom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20" w:type="dxa"/>
            <w:vMerge w:val="continue"/>
            <w:tcBorders>
              <w:bottom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tc>
        <w:tc>
          <w:tcPr>
            <w:tcW w:w="1980" w:type="dxa"/>
            <w:tcBorders>
              <w:left w:val="single" w:color="auto" w:sz="4" w:space="0"/>
              <w:bottom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时效指标</w:t>
            </w:r>
          </w:p>
        </w:tc>
        <w:tc>
          <w:tcPr>
            <w:tcW w:w="3465" w:type="dxa"/>
            <w:tcBorders>
              <w:left w:val="single" w:color="auto" w:sz="4" w:space="0"/>
              <w:bottom w:val="single" w:color="auto" w:sz="4" w:space="0"/>
              <w:right w:val="single" w:color="auto" w:sz="4" w:space="0"/>
            </w:tcBorders>
            <w:noWrap w:val="0"/>
            <w:vAlign w:val="top"/>
          </w:tcPr>
          <w:p>
            <w:pPr>
              <w:bidi w:val="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按时完成项目</w:t>
            </w:r>
          </w:p>
        </w:tc>
        <w:tc>
          <w:tcPr>
            <w:tcW w:w="1415" w:type="dxa"/>
            <w:tcBorders>
              <w:top w:val="single" w:color="auto" w:sz="4" w:space="0"/>
              <w:left w:val="single" w:color="auto" w:sz="4" w:space="0"/>
              <w:bottom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420" w:type="dxa"/>
            <w:tcBorders>
              <w:top w:val="single" w:color="auto" w:sz="4" w:space="0"/>
              <w:bottom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效益指标</w:t>
            </w:r>
          </w:p>
        </w:tc>
        <w:tc>
          <w:tcPr>
            <w:tcW w:w="1980" w:type="dxa"/>
            <w:tcBorders>
              <w:top w:val="single" w:color="auto" w:sz="4" w:space="0"/>
              <w:left w:val="single" w:color="auto" w:sz="4" w:space="0"/>
              <w:bottom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社会效益指标</w:t>
            </w:r>
          </w:p>
        </w:tc>
        <w:tc>
          <w:tcPr>
            <w:tcW w:w="34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价格补贴直接由供销社农资销售门市通过满减的模式现场直接补贴给消费者</w:t>
            </w:r>
          </w:p>
        </w:tc>
        <w:tc>
          <w:tcPr>
            <w:tcW w:w="1415" w:type="dxa"/>
            <w:tcBorders>
              <w:top w:val="single" w:color="auto" w:sz="4" w:space="0"/>
              <w:left w:val="single" w:color="auto" w:sz="4" w:space="0"/>
              <w:bottom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420" w:type="dxa"/>
            <w:tcBorders>
              <w:top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满意度指标</w:t>
            </w:r>
          </w:p>
        </w:tc>
        <w:tc>
          <w:tcPr>
            <w:tcW w:w="1980" w:type="dxa"/>
            <w:tcBorders>
              <w:top w:val="single" w:color="auto" w:sz="4" w:space="0"/>
              <w:left w:val="single" w:color="auto" w:sz="4" w:space="0"/>
              <w:right w:val="single" w:color="auto" w:sz="4" w:space="0"/>
            </w:tcBorders>
            <w:noWrap w:val="0"/>
            <w:vAlign w:val="top"/>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服务对象满意度指标</w:t>
            </w:r>
          </w:p>
        </w:tc>
        <w:tc>
          <w:tcPr>
            <w:tcW w:w="3465"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农户、受益群众对该项目的满意度</w:t>
            </w:r>
          </w:p>
        </w:tc>
        <w:tc>
          <w:tcPr>
            <w:tcW w:w="1415" w:type="dxa"/>
            <w:tcBorders>
              <w:top w:val="single" w:color="auto" w:sz="4" w:space="0"/>
              <w:left w:val="single" w:color="auto" w:sz="4" w:space="0"/>
            </w:tcBorders>
            <w:noWrap w:val="0"/>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r>
    </w:tbl>
    <w:p>
      <w:pPr>
        <w:adjustRightInd w:val="0"/>
        <w:snapToGrid w:val="0"/>
        <w:spacing w:line="578" w:lineRule="exact"/>
        <w:ind w:firstLine="640" w:firstLineChars="200"/>
        <w:rPr>
          <w:rFonts w:ascii="黑体" w:hAnsi="宋体" w:eastAsia="黑体"/>
          <w:sz w:val="32"/>
          <w:szCs w:val="32"/>
        </w:rPr>
      </w:pPr>
      <w:r>
        <w:rPr>
          <w:rFonts w:hint="eastAsia" w:ascii="黑体" w:hAnsi="宋体" w:eastAsia="黑体"/>
          <w:sz w:val="32"/>
          <w:szCs w:val="32"/>
        </w:rPr>
        <w:t>二、评价实施</w:t>
      </w:r>
    </w:p>
    <w:p>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pPr>
        <w:spacing w:line="578" w:lineRule="exact"/>
        <w:ind w:firstLine="640"/>
        <w:rPr>
          <w:rFonts w:eastAsia="仿宋_GB2312"/>
          <w:sz w:val="32"/>
          <w:szCs w:val="32"/>
        </w:rPr>
      </w:pPr>
      <w:r>
        <w:rPr>
          <w:rFonts w:hint="eastAsia" w:eastAsia="仿宋_GB2312"/>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pPr>
        <w:numPr>
          <w:ilvl w:val="0"/>
          <w:numId w:val="9"/>
        </w:numPr>
        <w:adjustRightInd w:val="0"/>
        <w:snapToGrid w:val="0"/>
        <w:spacing w:line="578" w:lineRule="exact"/>
        <w:ind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预设问题及评价重点</w:t>
      </w:r>
    </w:p>
    <w:p>
      <w:pPr>
        <w:numPr>
          <w:ilvl w:val="0"/>
          <w:numId w:val="0"/>
        </w:numPr>
        <w:adjustRightInd w:val="0"/>
        <w:snapToGrid w:val="0"/>
        <w:spacing w:line="578" w:lineRule="exact"/>
        <w:ind w:firstLine="640" w:firstLineChars="200"/>
        <w:rPr>
          <w:rFonts w:eastAsia="仿宋_GB2312"/>
          <w:sz w:val="32"/>
          <w:szCs w:val="32"/>
        </w:rPr>
      </w:pPr>
      <w:r>
        <w:rPr>
          <w:rFonts w:hint="eastAsia" w:ascii="仿宋_GB2312" w:hAnsi="仿宋_GB2312" w:eastAsia="仿宋_GB2312" w:cs="仿宋_GB2312"/>
          <w:kern w:val="2"/>
          <w:sz w:val="32"/>
          <w:szCs w:val="32"/>
          <w:lang w:val="en-US" w:eastAsia="zh-CN"/>
        </w:rPr>
        <w:t>2024年州级农资价格及储备补贴资金</w:t>
      </w:r>
      <w:r>
        <w:rPr>
          <w:rFonts w:hint="eastAsia" w:eastAsia="仿宋_GB2312"/>
          <w:sz w:val="32"/>
          <w:szCs w:val="32"/>
        </w:rPr>
        <w:t>资金支出使用全过程</w:t>
      </w:r>
      <w:r>
        <w:rPr>
          <w:rFonts w:hint="eastAsia" w:eastAsia="仿宋_GB2312"/>
          <w:sz w:val="32"/>
          <w:szCs w:val="32"/>
          <w:lang w:eastAsia="zh-CN"/>
        </w:rPr>
        <w:t>规范。</w:t>
      </w:r>
    </w:p>
    <w:p>
      <w:pPr>
        <w:numPr>
          <w:ilvl w:val="0"/>
          <w:numId w:val="9"/>
        </w:numPr>
        <w:adjustRightInd w:val="0"/>
        <w:snapToGrid w:val="0"/>
        <w:spacing w:line="578" w:lineRule="exact"/>
        <w:ind w:left="0" w:leftChars="0" w:firstLine="642" w:firstLineChars="200"/>
        <w:rPr>
          <w:rFonts w:eastAsia="仿宋_GB2312"/>
          <w:sz w:val="32"/>
          <w:szCs w:val="32"/>
          <w:lang w:val="zh-CN"/>
        </w:rPr>
      </w:pPr>
      <w:r>
        <w:rPr>
          <w:rFonts w:hint="eastAsia" w:ascii="楷体_GB2312" w:hAnsi="宋体" w:eastAsia="楷体_GB2312"/>
          <w:b/>
          <w:sz w:val="32"/>
          <w:szCs w:val="32"/>
          <w:lang w:val="zh-CN"/>
        </w:rPr>
        <w:t>评价选点</w:t>
      </w:r>
    </w:p>
    <w:p>
      <w:pPr>
        <w:numPr>
          <w:ilvl w:val="0"/>
          <w:numId w:val="0"/>
        </w:numPr>
        <w:adjustRightInd w:val="0"/>
        <w:snapToGrid w:val="0"/>
        <w:spacing w:line="578" w:lineRule="exact"/>
        <w:ind w:firstLine="640" w:firstLineChars="200"/>
        <w:rPr>
          <w:rFonts w:eastAsia="仿宋_GB2312"/>
          <w:sz w:val="32"/>
          <w:szCs w:val="32"/>
          <w:lang w:val="zh-CN"/>
        </w:rPr>
      </w:pPr>
      <w:r>
        <w:rPr>
          <w:rFonts w:hint="eastAsia" w:eastAsia="仿宋_GB2312"/>
          <w:sz w:val="32"/>
          <w:szCs w:val="32"/>
          <w:lang w:val="zh-CN"/>
        </w:rPr>
        <w:t>茂县供销合作社联合社农业生产资料公司。</w:t>
      </w:r>
    </w:p>
    <w:p>
      <w:pPr>
        <w:numPr>
          <w:ilvl w:val="0"/>
          <w:numId w:val="9"/>
        </w:numPr>
        <w:spacing w:line="578" w:lineRule="exact"/>
        <w:ind w:left="0" w:leftChars="0"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评价方法</w:t>
      </w:r>
    </w:p>
    <w:p>
      <w:pPr>
        <w:numPr>
          <w:ilvl w:val="0"/>
          <w:numId w:val="0"/>
        </w:numPr>
        <w:spacing w:line="578" w:lineRule="exact"/>
        <w:ind w:firstLine="640" w:firstLineChars="200"/>
        <w:rPr>
          <w:rFonts w:eastAsia="仿宋_GB2312"/>
          <w:sz w:val="32"/>
          <w:szCs w:val="32"/>
        </w:rPr>
      </w:pPr>
      <w:r>
        <w:rPr>
          <w:rFonts w:hint="eastAsia" w:ascii="Times New Roman" w:hAnsi="Times New Roman" w:eastAsia="仿宋_GB2312" w:cs="Times New Roman"/>
          <w:sz w:val="32"/>
          <w:szCs w:val="32"/>
          <w:lang w:eastAsia="zh-CN"/>
        </w:rPr>
        <w:t>采用</w:t>
      </w:r>
      <w:r>
        <w:rPr>
          <w:rFonts w:eastAsia="仿宋_GB2312"/>
          <w:sz w:val="32"/>
          <w:szCs w:val="32"/>
        </w:rPr>
        <w:t>单位自评法</w:t>
      </w:r>
      <w:r>
        <w:rPr>
          <w:rFonts w:hint="eastAsia" w:eastAsia="仿宋_GB2312"/>
          <w:sz w:val="32"/>
          <w:szCs w:val="32"/>
        </w:rPr>
        <w:t>。</w:t>
      </w:r>
    </w:p>
    <w:p>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pPr>
        <w:spacing w:line="578" w:lineRule="exact"/>
        <w:ind w:firstLine="640"/>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楷体" w:hAnsi="楷体" w:eastAsia="楷体" w:cs="楷体"/>
          <w:b/>
          <w:bCs/>
          <w:sz w:val="32"/>
          <w:szCs w:val="32"/>
        </w:rPr>
      </w:pPr>
      <w:r>
        <w:rPr>
          <w:rFonts w:hint="eastAsia" w:ascii="楷体" w:hAnsi="楷体" w:eastAsia="楷体" w:cs="楷体"/>
          <w:b/>
          <w:bCs/>
          <w:sz w:val="32"/>
          <w:szCs w:val="32"/>
        </w:rPr>
        <w:t>1.项目决策</w:t>
      </w:r>
    </w:p>
    <w:p>
      <w:pPr>
        <w:spacing w:line="578" w:lineRule="exact"/>
        <w:ind w:firstLine="640"/>
        <w:rPr>
          <w:rFonts w:hint="default" w:eastAsia="仿宋_GB2312"/>
          <w:sz w:val="32"/>
          <w:szCs w:val="32"/>
          <w:lang w:val="en-US" w:eastAsia="zh-CN"/>
        </w:rPr>
      </w:pPr>
      <w:r>
        <w:rPr>
          <w:rFonts w:hint="eastAsia" w:eastAsia="仿宋_GB2312"/>
          <w:sz w:val="32"/>
          <w:szCs w:val="32"/>
        </w:rPr>
        <w:t>决策程序</w:t>
      </w:r>
      <w:r>
        <w:rPr>
          <w:rFonts w:hint="eastAsia" w:eastAsia="仿宋_GB2312"/>
          <w:sz w:val="32"/>
          <w:szCs w:val="32"/>
          <w:lang w:eastAsia="zh-CN"/>
        </w:rPr>
        <w:t>严密，</w:t>
      </w:r>
      <w:r>
        <w:rPr>
          <w:rFonts w:hint="eastAsia" w:eastAsia="仿宋_GB2312"/>
          <w:sz w:val="32"/>
          <w:szCs w:val="32"/>
        </w:rPr>
        <w:t>符合资金管理基本规范和决策程序要求</w:t>
      </w:r>
      <w:r>
        <w:rPr>
          <w:rFonts w:hint="eastAsia" w:eastAsia="仿宋_GB2312"/>
          <w:sz w:val="32"/>
          <w:szCs w:val="32"/>
          <w:lang w:eastAsia="zh-CN"/>
        </w:rPr>
        <w:t>。</w:t>
      </w:r>
      <w:r>
        <w:rPr>
          <w:rFonts w:hint="eastAsia" w:eastAsia="仿宋_GB2312"/>
          <w:sz w:val="32"/>
          <w:szCs w:val="32"/>
        </w:rPr>
        <w:t>规划论证符合中省要求、项目绩效目标设置科学合理</w:t>
      </w:r>
      <w:r>
        <w:rPr>
          <w:rFonts w:hint="eastAsia" w:eastAsia="仿宋_GB2312"/>
          <w:sz w:val="32"/>
          <w:szCs w:val="32"/>
          <w:lang w:eastAsia="zh-CN"/>
        </w:rPr>
        <w:t>。</w:t>
      </w:r>
      <w:r>
        <w:rPr>
          <w:rFonts w:hint="eastAsia" w:eastAsia="仿宋_GB2312"/>
          <w:sz w:val="32"/>
          <w:szCs w:val="32"/>
        </w:rPr>
        <w:t>资金投向与项目总体规划、相关行业事业发展相匹配。</w:t>
      </w:r>
    </w:p>
    <w:p>
      <w:pPr>
        <w:spacing w:line="578" w:lineRule="exact"/>
        <w:ind w:firstLine="64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项目管理</w:t>
      </w:r>
    </w:p>
    <w:p>
      <w:pPr>
        <w:numPr>
          <w:ilvl w:val="0"/>
          <w:numId w:val="0"/>
        </w:numPr>
        <w:spacing w:line="578" w:lineRule="exact"/>
        <w:ind w:firstLine="640" w:firstLineChars="200"/>
        <w:rPr>
          <w:rFonts w:hint="default" w:eastAsia="仿宋_GB2312"/>
          <w:sz w:val="32"/>
          <w:szCs w:val="32"/>
          <w:lang w:val="en-US" w:eastAsia="zh-CN"/>
        </w:rPr>
      </w:pPr>
      <w:r>
        <w:rPr>
          <w:rFonts w:hint="eastAsia" w:eastAsia="仿宋_GB2312"/>
          <w:sz w:val="32"/>
          <w:szCs w:val="32"/>
        </w:rPr>
        <w:t>项目资金分配因素选取、权重设置、区域分布，项目管理、审批符合管理要求、绩效监管按中省要求全面完成绩效目标（含事前评估）、绩效评价。</w:t>
      </w:r>
    </w:p>
    <w:p>
      <w:pPr>
        <w:spacing w:line="578" w:lineRule="exact"/>
        <w:ind w:firstLine="640"/>
        <w:rPr>
          <w:rFonts w:hint="eastAsia" w:ascii="楷体" w:hAnsi="楷体" w:eastAsia="楷体" w:cs="楷体"/>
          <w:b/>
          <w:bCs/>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项目实施</w:t>
      </w:r>
    </w:p>
    <w:p>
      <w:pPr>
        <w:numPr>
          <w:ilvl w:val="0"/>
          <w:numId w:val="0"/>
        </w:numPr>
        <w:spacing w:line="578" w:lineRule="exact"/>
        <w:ind w:firstLine="640" w:firstLineChars="200"/>
        <w:rPr>
          <w:rFonts w:hint="default" w:eastAsia="仿宋_GB2312"/>
          <w:sz w:val="32"/>
          <w:szCs w:val="32"/>
          <w:lang w:val="en-US" w:eastAsia="zh-CN"/>
        </w:rPr>
      </w:pPr>
      <w:r>
        <w:rPr>
          <w:rFonts w:hint="eastAsia" w:eastAsia="仿宋_GB2312"/>
          <w:sz w:val="32"/>
          <w:szCs w:val="32"/>
          <w:lang w:eastAsia="zh-CN"/>
        </w:rPr>
        <w:t>财政资金拨付率</w:t>
      </w:r>
      <w:r>
        <w:rPr>
          <w:rFonts w:hint="eastAsia" w:ascii="仿宋_GB2312" w:hAnsi="仿宋_GB2312" w:eastAsia="仿宋_GB2312" w:cs="仿宋_GB2312"/>
          <w:sz w:val="32"/>
          <w:szCs w:val="32"/>
          <w:lang w:val="en-US" w:eastAsia="zh-CN"/>
        </w:rPr>
        <w:t>100%</w:t>
      </w:r>
      <w:r>
        <w:rPr>
          <w:rFonts w:hint="eastAsia" w:eastAsia="仿宋_GB2312"/>
          <w:sz w:val="32"/>
          <w:szCs w:val="32"/>
          <w:lang w:val="en-US" w:eastAsia="zh-CN"/>
        </w:rPr>
        <w:t>，使用率100%，无地方配套资金。</w:t>
      </w:r>
    </w:p>
    <w:p>
      <w:pPr>
        <w:spacing w:line="578" w:lineRule="exact"/>
        <w:ind w:firstLine="640"/>
        <w:rPr>
          <w:rFonts w:hint="eastAsia" w:ascii="楷体" w:hAnsi="楷体" w:eastAsia="楷体" w:cs="楷体"/>
          <w:b/>
          <w:bCs/>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项目结果</w:t>
      </w:r>
    </w:p>
    <w:p>
      <w:pPr>
        <w:numPr>
          <w:ilvl w:val="0"/>
          <w:numId w:val="0"/>
        </w:numPr>
        <w:spacing w:line="578" w:lineRule="exact"/>
        <w:ind w:firstLine="640" w:firstLineChars="200"/>
        <w:rPr>
          <w:rFonts w:hint="eastAsia" w:eastAsia="仿宋_GB2312"/>
          <w:sz w:val="32"/>
          <w:szCs w:val="32"/>
          <w:lang w:eastAsia="zh-CN"/>
        </w:rPr>
      </w:pPr>
      <w:r>
        <w:rPr>
          <w:rFonts w:hint="eastAsia" w:eastAsia="仿宋_GB2312"/>
          <w:sz w:val="32"/>
          <w:szCs w:val="32"/>
        </w:rPr>
        <w:t>完成预期目标，实施结果。与绩效目标相匹配</w:t>
      </w:r>
      <w:r>
        <w:rPr>
          <w:rFonts w:hint="eastAsia" w:eastAsia="仿宋_GB2312"/>
          <w:sz w:val="32"/>
          <w:szCs w:val="32"/>
          <w:lang w:eastAsia="zh-CN"/>
        </w:rPr>
        <w:t>。</w:t>
      </w:r>
    </w:p>
    <w:p>
      <w:pPr>
        <w:numPr>
          <w:ilvl w:val="0"/>
          <w:numId w:val="0"/>
        </w:numPr>
        <w:spacing w:line="578" w:lineRule="exact"/>
        <w:ind w:firstLine="642" w:firstLineChars="200"/>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1.产业发展</w:t>
      </w:r>
    </w:p>
    <w:p>
      <w:pPr>
        <w:spacing w:line="578" w:lineRule="exact"/>
        <w:ind w:firstLine="640" w:firstLineChars="200"/>
        <w:rPr>
          <w:rFonts w:hint="default" w:ascii="楷体_GB2312" w:hAnsi="楷体_GB2312" w:eastAsia="仿宋_GB2312" w:cs="楷体_GB2312"/>
          <w:sz w:val="32"/>
          <w:szCs w:val="32"/>
          <w:lang w:val="en-US" w:eastAsia="zh-CN"/>
        </w:rPr>
      </w:pPr>
      <w:r>
        <w:rPr>
          <w:rFonts w:hint="eastAsia" w:eastAsia="仿宋_GB2312"/>
          <w:sz w:val="32"/>
          <w:szCs w:val="32"/>
        </w:rPr>
        <w:t>与省委</w:t>
      </w:r>
      <w:r>
        <w:rPr>
          <w:rFonts w:hint="eastAsia" w:eastAsia="仿宋_GB2312"/>
          <w:sz w:val="32"/>
          <w:szCs w:val="32"/>
          <w:lang w:eastAsia="zh-CN"/>
        </w:rPr>
        <w:t>、</w:t>
      </w:r>
      <w:r>
        <w:rPr>
          <w:rFonts w:hint="eastAsia" w:eastAsia="仿宋_GB2312"/>
          <w:sz w:val="32"/>
          <w:szCs w:val="32"/>
        </w:rPr>
        <w:t>省政府支持重点、产业支持政策符合</w:t>
      </w:r>
      <w:r>
        <w:rPr>
          <w:rFonts w:hint="eastAsia" w:eastAsia="仿宋_GB2312"/>
          <w:sz w:val="32"/>
          <w:szCs w:val="32"/>
          <w:lang w:eastAsia="zh-CN"/>
        </w:rPr>
        <w:t>，发挥</w:t>
      </w:r>
      <w:r>
        <w:rPr>
          <w:rFonts w:hint="eastAsia" w:eastAsia="仿宋_GB2312"/>
          <w:sz w:val="32"/>
          <w:szCs w:val="32"/>
        </w:rPr>
        <w:t>对相关企业（机构）成长性的促进作用。</w:t>
      </w:r>
    </w:p>
    <w:p>
      <w:pPr>
        <w:numPr>
          <w:ilvl w:val="0"/>
          <w:numId w:val="0"/>
        </w:numPr>
        <w:spacing w:line="578" w:lineRule="exact"/>
        <w:ind w:firstLine="642" w:firstLineChars="200"/>
        <w:rPr>
          <w:rFonts w:hint="default" w:eastAsia="仿宋_GB2312"/>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val="zh-CN" w:eastAsia="zh-CN"/>
        </w:rPr>
        <w:t>行政运转</w:t>
      </w:r>
    </w:p>
    <w:p>
      <w:pPr>
        <w:numPr>
          <w:ilvl w:val="0"/>
          <w:numId w:val="0"/>
        </w:numPr>
        <w:spacing w:line="578" w:lineRule="exact"/>
        <w:ind w:firstLine="640" w:firstLineChars="200"/>
        <w:rPr>
          <w:rFonts w:hint="default" w:eastAsia="仿宋_GB2312"/>
          <w:sz w:val="32"/>
          <w:szCs w:val="32"/>
          <w:lang w:val="en-US" w:eastAsia="zh-CN"/>
        </w:rPr>
      </w:pPr>
      <w:r>
        <w:rPr>
          <w:rFonts w:hint="eastAsia" w:eastAsia="仿宋_GB2312"/>
          <w:sz w:val="32"/>
          <w:szCs w:val="32"/>
          <w:lang w:val="zh-CN"/>
        </w:rPr>
        <w:t>按规定用途、适用范围进行本地区专项资金分配。</w:t>
      </w:r>
    </w:p>
    <w:p>
      <w:pPr>
        <w:spacing w:line="578" w:lineRule="exact"/>
        <w:ind w:firstLine="640"/>
        <w:rPr>
          <w:rFonts w:hint="default" w:eastAsia="仿宋_GB2312"/>
          <w:sz w:val="32"/>
          <w:szCs w:val="32"/>
          <w:lang w:val="en-US" w:eastAsia="zh-CN"/>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根据项目设定指标如实完成。</w:t>
      </w:r>
    </w:p>
    <w:p>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茂县供销合作社联合社2024年州级农资价格及储备补贴资金</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严格按照</w:t>
      </w:r>
      <w:r>
        <w:rPr>
          <w:rFonts w:hint="eastAsia" w:ascii="仿宋_GB2312" w:hAnsi="仿宋_GB2312" w:eastAsia="仿宋_GB2312" w:cs="仿宋_GB2312"/>
          <w:b w:val="0"/>
          <w:kern w:val="0"/>
          <w:sz w:val="32"/>
          <w:szCs w:val="32"/>
          <w:shd w:val="clear" w:color="auto" w:fill="FFFFFF"/>
          <w:lang w:val="zh-CN" w:eastAsia="zh-CN" w:bidi="ar-SA"/>
        </w:rPr>
        <w:t>《阿坝州财政局关于下达2024年州级农资价格及储备补贴资金的通知》（阿州财</w:t>
      </w:r>
      <w:r>
        <w:rPr>
          <w:rFonts w:hint="eastAsia" w:ascii="仿宋_GB2312" w:hAnsi="仿宋_GB2312" w:eastAsia="仿宋_GB2312" w:cs="仿宋_GB2312"/>
          <w:b w:val="0"/>
          <w:kern w:val="0"/>
          <w:sz w:val="32"/>
          <w:szCs w:val="32"/>
          <w:shd w:val="clear" w:color="auto" w:fill="FFFFFF"/>
          <w:lang w:val="en-US" w:eastAsia="zh-CN" w:bidi="ar-SA"/>
        </w:rPr>
        <w:t>建</w:t>
      </w:r>
      <w:r>
        <w:rPr>
          <w:rFonts w:hint="eastAsia" w:ascii="仿宋_GB2312" w:hAnsi="仿宋_GB2312" w:eastAsia="仿宋_GB2312" w:cs="仿宋_GB2312"/>
          <w:b w:val="0"/>
          <w:kern w:val="0"/>
          <w:sz w:val="32"/>
          <w:szCs w:val="32"/>
          <w:shd w:val="clear" w:color="auto" w:fill="FFFFFF"/>
          <w:lang w:val="zh-CN" w:eastAsia="zh-CN" w:bidi="ar-SA"/>
        </w:rPr>
        <w:t>〔2024〕</w:t>
      </w:r>
      <w:r>
        <w:rPr>
          <w:rFonts w:hint="eastAsia" w:ascii="仿宋_GB2312" w:hAnsi="仿宋_GB2312" w:eastAsia="仿宋_GB2312" w:cs="仿宋_GB2312"/>
          <w:b w:val="0"/>
          <w:kern w:val="0"/>
          <w:sz w:val="32"/>
          <w:szCs w:val="32"/>
          <w:shd w:val="clear" w:color="auto" w:fill="FFFFFF"/>
          <w:lang w:val="en-US" w:eastAsia="zh-CN" w:bidi="ar-SA"/>
        </w:rPr>
        <w:t>118</w:t>
      </w:r>
      <w:r>
        <w:rPr>
          <w:rFonts w:hint="eastAsia" w:ascii="仿宋_GB2312" w:hAnsi="仿宋_GB2312" w:eastAsia="仿宋_GB2312" w:cs="仿宋_GB2312"/>
          <w:b w:val="0"/>
          <w:kern w:val="0"/>
          <w:sz w:val="32"/>
          <w:szCs w:val="32"/>
          <w:shd w:val="clear" w:color="auto" w:fill="FFFFFF"/>
          <w:lang w:val="zh-CN" w:eastAsia="zh-CN" w:bidi="ar-SA"/>
        </w:rPr>
        <w:t>号）文件、《阿坝州供销合作社联合社2024 年度农资价格及储备补贴办法》文件</w:t>
      </w:r>
      <w:r>
        <w:rPr>
          <w:rFonts w:hint="eastAsia" w:ascii="仿宋_GB2312" w:eastAsia="仿宋_GB2312" w:cs="仿宋_GB2312"/>
          <w:color w:val="auto"/>
          <w:kern w:val="0"/>
          <w:position w:val="0"/>
          <w:sz w:val="32"/>
          <w:szCs w:val="32"/>
          <w:highlight w:val="none"/>
          <w:u w:val="none"/>
          <w:shd w:val="clear" w:color="auto" w:fill="FFFFFF"/>
          <w:lang w:val="zh-CN" w:eastAsia="zh-CN" w:bidi="ar-SA"/>
        </w:rPr>
        <w:t>精神实施，下达资金与规划一致，完成目标任务，完成绩效目标，资金使用合规。</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eastAsia="仿宋_GB2312" w:cs="仿宋_GB2312"/>
          <w:kern w:val="0"/>
          <w:position w:val="0"/>
          <w:sz w:val="32"/>
          <w:szCs w:val="32"/>
          <w:highlight w:val="none"/>
          <w:u w:val="none"/>
          <w:shd w:val="clear" w:color="auto" w:fill="FFFFFF"/>
          <w:lang w:val="en-US" w:eastAsia="zh-CN" w:bidi="ar-SA"/>
        </w:rPr>
        <w:t>85</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pPr>
        <w:snapToGrid w:val="0"/>
        <w:spacing w:line="578" w:lineRule="exact"/>
        <w:ind w:firstLine="640" w:firstLineChars="200"/>
        <w:rPr>
          <w:rFonts w:eastAsia="仿宋_GB2312"/>
          <w:color w:val="000000"/>
          <w:kern w:val="0"/>
          <w:sz w:val="32"/>
          <w:szCs w:val="32"/>
          <w:shd w:val="clear" w:color="auto" w:fill="FFFFFF"/>
          <w:lang w:val="zh-CN"/>
        </w:rPr>
      </w:pPr>
    </w:p>
    <w:p>
      <w:pPr>
        <w:snapToGrid w:val="0"/>
        <w:spacing w:line="578" w:lineRule="exact"/>
        <w:ind w:firstLine="1600" w:firstLineChars="500"/>
        <w:rPr>
          <w:rFonts w:hint="eastAsia" w:eastAsia="仿宋_GB2312"/>
          <w:color w:val="000000"/>
          <w:kern w:val="0"/>
          <w:sz w:val="32"/>
          <w:szCs w:val="32"/>
          <w:shd w:val="clear" w:color="auto" w:fill="FFFFFF"/>
          <w:lang w:val="zh-CN"/>
        </w:rPr>
      </w:pPr>
    </w:p>
    <w:p>
      <w:pPr>
        <w:snapToGrid w:val="0"/>
        <w:spacing w:line="578" w:lineRule="exact"/>
        <w:ind w:firstLine="1600" w:firstLineChars="500"/>
        <w:rPr>
          <w:rFonts w:hint="eastAsia" w:eastAsia="仿宋_GB2312"/>
          <w:color w:val="000000"/>
          <w:kern w:val="0"/>
          <w:sz w:val="32"/>
          <w:szCs w:val="32"/>
          <w:shd w:val="clear" w:color="auto" w:fill="FFFFFF"/>
          <w:lang w:val="zh-CN"/>
        </w:rPr>
      </w:pPr>
    </w:p>
    <w:p>
      <w:pPr>
        <w:snapToGrid w:val="0"/>
        <w:spacing w:line="578" w:lineRule="exact"/>
        <w:ind w:firstLine="4480" w:firstLineChars="1400"/>
        <w:rPr>
          <w:rFonts w:eastAsia="仿宋_GB2312"/>
          <w:color w:val="000000"/>
          <w:kern w:val="0"/>
          <w:sz w:val="32"/>
          <w:szCs w:val="32"/>
          <w:shd w:val="clear" w:color="auto" w:fill="FFFFFF"/>
          <w:lang w:val="zh-CN"/>
        </w:rPr>
      </w:pPr>
      <w:r>
        <w:rPr>
          <w:rFonts w:hint="eastAsia" w:eastAsia="仿宋_GB2312"/>
          <w:color w:val="000000"/>
          <w:kern w:val="0"/>
          <w:sz w:val="32"/>
          <w:szCs w:val="32"/>
          <w:shd w:val="clear" w:color="auto" w:fill="FFFFFF"/>
          <w:lang w:val="zh-CN"/>
        </w:rPr>
        <w:br w:type="page"/>
      </w:r>
    </w:p>
    <w:p>
      <w:pPr>
        <w:spacing w:line="60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zh-CN" w:eastAsia="zh-CN"/>
        </w:rPr>
        <w:t>附表</w:t>
      </w:r>
      <w:r>
        <w:rPr>
          <w:rFonts w:hint="eastAsia" w:ascii="黑体" w:hAnsi="黑体" w:eastAsia="黑体" w:cs="黑体"/>
          <w:color w:val="000000"/>
          <w:sz w:val="32"/>
          <w:szCs w:val="32"/>
          <w:lang w:eastAsia="zh-CN"/>
        </w:rPr>
        <w:t>1</w:t>
      </w:r>
    </w:p>
    <w:p>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26"/>
        <w:tblW w:w="8837" w:type="dxa"/>
        <w:jc w:val="center"/>
        <w:tblLayout w:type="fixed"/>
        <w:tblCellMar>
          <w:top w:w="0" w:type="dxa"/>
          <w:left w:w="108" w:type="dxa"/>
          <w:bottom w:w="0" w:type="dxa"/>
          <w:right w:w="108" w:type="dxa"/>
        </w:tblCellMar>
      </w:tblPr>
      <w:tblGrid>
        <w:gridCol w:w="583"/>
        <w:gridCol w:w="620"/>
        <w:gridCol w:w="669"/>
        <w:gridCol w:w="1098"/>
        <w:gridCol w:w="566"/>
        <w:gridCol w:w="4330"/>
        <w:gridCol w:w="593"/>
        <w:gridCol w:w="378"/>
      </w:tblGrid>
      <w:tr>
        <w:tblPrEx>
          <w:tblCellMar>
            <w:top w:w="0" w:type="dxa"/>
            <w:left w:w="108" w:type="dxa"/>
            <w:bottom w:w="0" w:type="dxa"/>
            <w:right w:w="108" w:type="dxa"/>
          </w:tblCellMar>
        </w:tblPrEx>
        <w:trPr>
          <w:trHeight w:val="214" w:hRule="atLeast"/>
          <w:jc w:val="center"/>
        </w:trPr>
        <w:tc>
          <w:tcPr>
            <w:tcW w:w="3536"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绩效评价指标</w:t>
            </w:r>
          </w:p>
        </w:tc>
        <w:tc>
          <w:tcPr>
            <w:tcW w:w="43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指标解释</w:t>
            </w:r>
          </w:p>
        </w:tc>
        <w:tc>
          <w:tcPr>
            <w:tcW w:w="593"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37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828"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一级指标</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二级指标</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三级指标</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43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593"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c>
          <w:tcPr>
            <w:tcW w:w="37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sz w:val="24"/>
                <w:szCs w:val="24"/>
              </w:rPr>
            </w:pPr>
          </w:p>
        </w:tc>
      </w:tr>
      <w:tr>
        <w:tblPrEx>
          <w:tblCellMar>
            <w:top w:w="0" w:type="dxa"/>
            <w:left w:w="108" w:type="dxa"/>
            <w:bottom w:w="0" w:type="dxa"/>
            <w:right w:w="108" w:type="dxa"/>
          </w:tblCellMar>
        </w:tblPrEx>
        <w:trPr>
          <w:trHeight w:val="214"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决策程序</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项目决策程序是否严密</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规划论证</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23"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资金投向</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制度办法</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项目制度办法是否体系健全、要素完备</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分配管理</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23"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绩效监管</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预算执行</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资金使用拨付、项目实施是否符合规定</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目标完成</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完成时效</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项目实际完成时间与计划完成时间的比较</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符合性</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23"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成长性</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经济性</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区域均衡性</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项目资金分配体现的均衡公平情况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对象精准性</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标准合理性</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群众满意度</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6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工程进度</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项目是否达到计划工程进度</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资金拨付</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项目是否达到预先确定的资金拨付进度</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项目验收是否及时合格</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1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功能实现</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项目经济社会功能是否实现</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58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后续管护</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项目后续维护是否实现</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8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09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用途合规性</w:t>
            </w:r>
          </w:p>
        </w:tc>
        <w:tc>
          <w:tcPr>
            <w:tcW w:w="56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593"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程序合规性</w:t>
            </w:r>
          </w:p>
        </w:tc>
        <w:tc>
          <w:tcPr>
            <w:tcW w:w="56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资金管理程序是否符合专项资金管理要求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0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标准合规性</w:t>
            </w:r>
          </w:p>
        </w:tc>
        <w:tc>
          <w:tcPr>
            <w:tcW w:w="56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资金分配标准是否符合专项资金管理要求</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187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43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19" w:hRule="atLeast"/>
          <w:jc w:val="center"/>
        </w:trPr>
        <w:tc>
          <w:tcPr>
            <w:tcW w:w="18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43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419" w:hRule="atLeast"/>
          <w:jc w:val="center"/>
        </w:trPr>
        <w:tc>
          <w:tcPr>
            <w:tcW w:w="187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43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32" w:hRule="atLeast"/>
          <w:jc w:val="center"/>
        </w:trPr>
        <w:tc>
          <w:tcPr>
            <w:tcW w:w="187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4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被评价对象工作配合情况</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600" w:lineRule="exact"/>
        <w:jc w:val="lef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附表2</w:t>
      </w:r>
    </w:p>
    <w:tbl>
      <w:tblPr>
        <w:tblStyle w:val="26"/>
        <w:tblW w:w="8740" w:type="dxa"/>
        <w:jc w:val="center"/>
        <w:tblLayout w:type="fixed"/>
        <w:tblCellMar>
          <w:top w:w="15" w:type="dxa"/>
          <w:left w:w="15" w:type="dxa"/>
          <w:bottom w:w="15" w:type="dxa"/>
          <w:right w:w="15" w:type="dxa"/>
        </w:tblCellMar>
      </w:tblPr>
      <w:tblGrid>
        <w:gridCol w:w="556"/>
        <w:gridCol w:w="923"/>
        <w:gridCol w:w="1000"/>
        <w:gridCol w:w="1296"/>
        <w:gridCol w:w="855"/>
        <w:gridCol w:w="828"/>
        <w:gridCol w:w="906"/>
        <w:gridCol w:w="800"/>
        <w:gridCol w:w="1576"/>
      </w:tblGrid>
      <w:tr>
        <w:tblPrEx>
          <w:tblCellMar>
            <w:top w:w="15" w:type="dxa"/>
            <w:left w:w="15" w:type="dxa"/>
            <w:bottom w:w="15" w:type="dxa"/>
            <w:right w:w="15" w:type="dxa"/>
          </w:tblCellMar>
        </w:tblPrEx>
        <w:trPr>
          <w:trHeight w:val="638" w:hRule="atLeast"/>
          <w:jc w:val="center"/>
        </w:trPr>
        <w:tc>
          <w:tcPr>
            <w:tcW w:w="8740" w:type="dxa"/>
            <w:gridSpan w:val="9"/>
            <w:noWrap w:val="0"/>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368" w:hRule="atLeast"/>
          <w:jc w:val="center"/>
        </w:trPr>
        <w:tc>
          <w:tcPr>
            <w:tcW w:w="37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项目名称</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2024年州级农资价格及储备补贴资金</w:t>
            </w:r>
          </w:p>
        </w:tc>
      </w:tr>
      <w:tr>
        <w:tblPrEx>
          <w:tblCellMar>
            <w:top w:w="15" w:type="dxa"/>
            <w:left w:w="15" w:type="dxa"/>
            <w:bottom w:w="15" w:type="dxa"/>
            <w:right w:w="15" w:type="dxa"/>
          </w:tblCellMar>
        </w:tblPrEx>
        <w:trPr>
          <w:trHeight w:val="521" w:hRule="atLeast"/>
          <w:jc w:val="center"/>
        </w:trPr>
        <w:tc>
          <w:tcPr>
            <w:tcW w:w="37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预算单位</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茂县供销合作社联合社</w:t>
            </w:r>
          </w:p>
        </w:tc>
      </w:tr>
      <w:tr>
        <w:tblPrEx>
          <w:tblCellMar>
            <w:top w:w="15" w:type="dxa"/>
            <w:left w:w="15" w:type="dxa"/>
            <w:bottom w:w="15" w:type="dxa"/>
            <w:right w:w="15" w:type="dxa"/>
          </w:tblCellMar>
        </w:tblPrEx>
        <w:trPr>
          <w:trHeight w:val="368" w:hRule="atLeast"/>
          <w:jc w:val="center"/>
        </w:trPr>
        <w:tc>
          <w:tcPr>
            <w:tcW w:w="37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项目类型</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657"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项目 概况</w:t>
            </w: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kern w:val="0"/>
                <w:sz w:val="24"/>
                <w:szCs w:val="24"/>
                <w:lang w:bidi="ar"/>
              </w:rPr>
            </w:pPr>
            <w:r>
              <w:rPr>
                <w:rFonts w:eastAsia="宋体"/>
                <w:color w:val="000000"/>
                <w:kern w:val="0"/>
                <w:sz w:val="24"/>
                <w:szCs w:val="24"/>
                <w:lang w:bidi="ar"/>
              </w:rPr>
              <w:t>中长期规划（名称、文号，仅指</w:t>
            </w:r>
          </w:p>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常年项目）</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zh-CN" w:eastAsia="zh-CN" w:bidi="ar"/>
              </w:rPr>
              <w:t>《阿坝州财政局关于下达2024年州级农资价格及储备补贴资金的通知》（阿州财</w:t>
            </w:r>
            <w:r>
              <w:rPr>
                <w:rFonts w:hint="eastAsia" w:ascii="Times New Roman" w:hAnsi="Times New Roman" w:eastAsia="宋体" w:cs="Times New Roman"/>
                <w:color w:val="000000"/>
                <w:kern w:val="0"/>
                <w:sz w:val="24"/>
                <w:szCs w:val="24"/>
                <w:lang w:val="en-US" w:eastAsia="zh-CN" w:bidi="ar"/>
              </w:rPr>
              <w:t>建</w:t>
            </w:r>
            <w:r>
              <w:rPr>
                <w:rFonts w:hint="eastAsia" w:ascii="Times New Roman" w:hAnsi="Times New Roman" w:eastAsia="宋体" w:cs="Times New Roman"/>
                <w:color w:val="000000"/>
                <w:kern w:val="0"/>
                <w:sz w:val="24"/>
                <w:szCs w:val="24"/>
                <w:lang w:val="zh-CN" w:eastAsia="zh-CN" w:bidi="ar"/>
              </w:rPr>
              <w:t>〔2024〕</w:t>
            </w:r>
            <w:r>
              <w:rPr>
                <w:rFonts w:hint="eastAsia" w:ascii="Times New Roman" w:hAnsi="Times New Roman" w:eastAsia="宋体" w:cs="Times New Roman"/>
                <w:color w:val="000000"/>
                <w:kern w:val="0"/>
                <w:sz w:val="24"/>
                <w:szCs w:val="24"/>
                <w:lang w:val="en-US" w:eastAsia="zh-CN" w:bidi="ar"/>
              </w:rPr>
              <w:t>118</w:t>
            </w:r>
            <w:r>
              <w:rPr>
                <w:rFonts w:hint="eastAsia" w:ascii="Times New Roman" w:hAnsi="Times New Roman" w:eastAsia="宋体" w:cs="Times New Roman"/>
                <w:color w:val="000000"/>
                <w:kern w:val="0"/>
                <w:sz w:val="24"/>
                <w:szCs w:val="24"/>
                <w:lang w:val="zh-CN" w:eastAsia="zh-CN" w:bidi="ar"/>
              </w:rPr>
              <w:t>号）</w:t>
            </w:r>
          </w:p>
        </w:tc>
      </w:tr>
      <w:tr>
        <w:tblPrEx>
          <w:tblCellMar>
            <w:top w:w="15" w:type="dxa"/>
            <w:left w:w="15" w:type="dxa"/>
            <w:bottom w:w="15" w:type="dxa"/>
            <w:right w:w="15" w:type="dxa"/>
          </w:tblCellMar>
        </w:tblPrEx>
        <w:trPr>
          <w:trHeight w:val="36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资金管理办法（名称、文号）</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657"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绩效分配方式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£因素法</w:t>
            </w:r>
          </w:p>
        </w:tc>
        <w:tc>
          <w:tcPr>
            <w:tcW w:w="173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£项目法</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£据实据效</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£因素法与项目法相结合</w:t>
            </w:r>
          </w:p>
        </w:tc>
      </w:tr>
      <w:tr>
        <w:tblPrEx>
          <w:tblCellMar>
            <w:top w:w="15" w:type="dxa"/>
            <w:left w:w="15" w:type="dxa"/>
            <w:bottom w:w="15" w:type="dxa"/>
            <w:right w:w="15" w:type="dxa"/>
          </w:tblCellMar>
        </w:tblPrEx>
        <w:trPr>
          <w:trHeight w:val="36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立项依据</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36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使用范围</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茂县</w:t>
            </w:r>
          </w:p>
        </w:tc>
      </w:tr>
      <w:tr>
        <w:tblPrEx>
          <w:tblCellMar>
            <w:top w:w="15" w:type="dxa"/>
            <w:left w:w="15" w:type="dxa"/>
            <w:bottom w:w="15" w:type="dxa"/>
            <w:right w:w="15" w:type="dxa"/>
          </w:tblCellMar>
        </w:tblPrEx>
        <w:trPr>
          <w:trHeight w:val="946"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申报（补助）条件</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要以户建立销售台帐，记载购买人姓名、所在村组、购买时间、购买品种、购买数量、销售价格、购买人签字并盖手印。</w:t>
            </w:r>
          </w:p>
        </w:tc>
      </w:tr>
      <w:tr>
        <w:tblPrEx>
          <w:tblCellMar>
            <w:top w:w="15" w:type="dxa"/>
            <w:left w:w="15" w:type="dxa"/>
            <w:bottom w:w="15" w:type="dxa"/>
            <w:right w:w="15" w:type="dxa"/>
          </w:tblCellMar>
        </w:tblPrEx>
        <w:trPr>
          <w:trHeight w:val="36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项目起止年限</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2024年</w:t>
            </w:r>
          </w:p>
        </w:tc>
      </w:tr>
      <w:tr>
        <w:tblPrEx>
          <w:tblCellMar>
            <w:top w:w="15" w:type="dxa"/>
            <w:left w:w="15" w:type="dxa"/>
            <w:bottom w:w="15" w:type="dxa"/>
            <w:right w:w="15" w:type="dxa"/>
          </w:tblCellMar>
        </w:tblPrEx>
        <w:trPr>
          <w:trHeight w:val="368" w:hRule="atLeast"/>
          <w:jc w:val="center"/>
        </w:trPr>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项目资金</w:t>
            </w:r>
          </w:p>
          <w:p>
            <w:pPr>
              <w:widowControl/>
              <w:spacing w:line="300" w:lineRule="exact"/>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（万元）</w:t>
            </w:r>
          </w:p>
        </w:tc>
        <w:tc>
          <w:tcPr>
            <w:tcW w:w="22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 xml:space="preserve">  年度资金总额：</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33</w:t>
            </w:r>
          </w:p>
        </w:tc>
      </w:tr>
      <w:tr>
        <w:tblPrEx>
          <w:tblCellMar>
            <w:top w:w="15" w:type="dxa"/>
            <w:left w:w="15" w:type="dxa"/>
            <w:bottom w:w="15" w:type="dxa"/>
            <w:right w:w="15" w:type="dxa"/>
          </w:tblCellMar>
        </w:tblPrEx>
        <w:trPr>
          <w:trHeight w:val="368" w:hRule="atLeast"/>
          <w:jc w:val="center"/>
        </w:trPr>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宋体" w:cs="Times New Roman"/>
                <w:color w:val="000000"/>
                <w:kern w:val="0"/>
                <w:sz w:val="24"/>
                <w:szCs w:val="24"/>
                <w:lang w:val="en-US" w:eastAsia="zh-CN" w:bidi="ar"/>
              </w:rPr>
            </w:pPr>
          </w:p>
        </w:tc>
        <w:tc>
          <w:tcPr>
            <w:tcW w:w="22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 xml:space="preserve">      其中：财政拨款</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33</w:t>
            </w:r>
          </w:p>
        </w:tc>
      </w:tr>
      <w:tr>
        <w:tblPrEx>
          <w:tblCellMar>
            <w:top w:w="15" w:type="dxa"/>
            <w:left w:w="15" w:type="dxa"/>
            <w:bottom w:w="15" w:type="dxa"/>
            <w:right w:w="15" w:type="dxa"/>
          </w:tblCellMar>
        </w:tblPrEx>
        <w:trPr>
          <w:trHeight w:val="629" w:hRule="atLeast"/>
          <w:jc w:val="center"/>
        </w:trPr>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22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其他资金</w:t>
            </w:r>
          </w:p>
        </w:tc>
        <w:tc>
          <w:tcPr>
            <w:tcW w:w="4965"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right"/>
              <w:rPr>
                <w:rFonts w:eastAsia="宋体"/>
                <w:color w:val="000000"/>
                <w:sz w:val="24"/>
                <w:szCs w:val="24"/>
              </w:rPr>
            </w:pPr>
          </w:p>
        </w:tc>
      </w:tr>
      <w:tr>
        <w:tblPrEx>
          <w:tblCellMar>
            <w:top w:w="15" w:type="dxa"/>
            <w:left w:w="15" w:type="dxa"/>
            <w:bottom w:w="15" w:type="dxa"/>
            <w:right w:w="15" w:type="dxa"/>
          </w:tblCellMar>
        </w:tblPrEx>
        <w:trPr>
          <w:trHeight w:val="368"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总体 目标</w:t>
            </w:r>
          </w:p>
        </w:tc>
        <w:tc>
          <w:tcPr>
            <w:tcW w:w="818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年度目标</w:t>
            </w:r>
          </w:p>
        </w:tc>
      </w:tr>
      <w:tr>
        <w:tblPrEx>
          <w:tblCellMar>
            <w:top w:w="15" w:type="dxa"/>
            <w:left w:w="15" w:type="dxa"/>
            <w:bottom w:w="15" w:type="dxa"/>
            <w:right w:w="15" w:type="dxa"/>
          </w:tblCellMar>
        </w:tblPrEx>
        <w:trPr>
          <w:trHeight w:val="1806"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818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申报项目预算金额为33万元                                                             一、价格补贴资金22万根据本县实际情况，在茂县供销合作社联合社社属企业及基层网点购买化肥每满100元享受5元现场直补并登记销售台账，做到让利于民、惠及于民。                                                                              二、储备补贴资金11万用于资金占用利息，农资储备补贴资金用于农资仓储租赁费用补贴、资金占用利息补贴和弥补价差损失。</w:t>
            </w:r>
          </w:p>
        </w:tc>
      </w:tr>
      <w:tr>
        <w:tblPrEx>
          <w:tblCellMar>
            <w:top w:w="15" w:type="dxa"/>
            <w:left w:w="15" w:type="dxa"/>
            <w:bottom w:w="15" w:type="dxa"/>
            <w:right w:w="15" w:type="dxa"/>
          </w:tblCellMar>
        </w:tblPrEx>
        <w:trPr>
          <w:trHeight w:val="629" w:hRule="atLeast"/>
          <w:jc w:val="center"/>
        </w:trPr>
        <w:tc>
          <w:tcPr>
            <w:tcW w:w="556" w:type="dxa"/>
            <w:vMerge w:val="restart"/>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绩效 指标</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一级指标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二级指标</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三级指标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指标性质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指标值</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度量单位</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权重</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实际完成指标值</w:t>
            </w:r>
          </w:p>
        </w:tc>
      </w:tr>
      <w:tr>
        <w:tblPrEx>
          <w:tblCellMar>
            <w:top w:w="15" w:type="dxa"/>
            <w:left w:w="15" w:type="dxa"/>
            <w:bottom w:w="15" w:type="dxa"/>
            <w:right w:w="15" w:type="dxa"/>
          </w:tblCellMar>
        </w:tblPrEx>
        <w:trPr>
          <w:trHeight w:val="657" w:hRule="atLeast"/>
          <w:jc w:val="center"/>
        </w:trPr>
        <w:tc>
          <w:tcPr>
            <w:tcW w:w="556" w:type="dxa"/>
            <w:vMerge w:val="continue"/>
            <w:tcBorders>
              <w:top w:val="single" w:color="000000" w:sz="4" w:space="0"/>
              <w:left w:val="single" w:color="000000" w:sz="4" w:space="0"/>
              <w:bottom w:val="single" w:color="000000" w:sz="4" w:space="0"/>
            </w:tcBorders>
            <w:noWrap w:val="0"/>
            <w:vAlign w:val="center"/>
          </w:tcPr>
          <w:p>
            <w:pPr>
              <w:spacing w:line="300" w:lineRule="exact"/>
              <w:jc w:val="center"/>
              <w:rPr>
                <w:rFonts w:eastAsia="宋体"/>
                <w:color w:val="000000"/>
                <w:sz w:val="24"/>
                <w:szCs w:val="24"/>
              </w:rPr>
            </w:pPr>
          </w:p>
        </w:tc>
        <w:tc>
          <w:tcPr>
            <w:tcW w:w="9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产出指标</w:t>
            </w:r>
          </w:p>
        </w:tc>
        <w:tc>
          <w:tcPr>
            <w:tcW w:w="1000"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数量指标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全年农资销售增长率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≥5%</w:t>
            </w:r>
          </w:p>
        </w:tc>
      </w:tr>
      <w:tr>
        <w:tblPrEx>
          <w:tblCellMar>
            <w:top w:w="15" w:type="dxa"/>
            <w:left w:w="15" w:type="dxa"/>
            <w:bottom w:w="15" w:type="dxa"/>
            <w:right w:w="15" w:type="dxa"/>
          </w:tblCellMar>
        </w:tblPrEx>
        <w:trPr>
          <w:trHeight w:val="368" w:hRule="atLeast"/>
          <w:jc w:val="center"/>
        </w:trPr>
        <w:tc>
          <w:tcPr>
            <w:tcW w:w="556" w:type="dxa"/>
            <w:vMerge w:val="continue"/>
            <w:tcBorders>
              <w:top w:val="single" w:color="000000" w:sz="4" w:space="0"/>
              <w:left w:val="single" w:color="000000" w:sz="4" w:space="0"/>
              <w:bottom w:val="single" w:color="000000" w:sz="4" w:space="0"/>
            </w:tcBorders>
            <w:noWrap w:val="0"/>
            <w:vAlign w:val="center"/>
          </w:tcPr>
          <w:p>
            <w:pPr>
              <w:spacing w:line="300" w:lineRule="exact"/>
              <w:jc w:val="center"/>
              <w:rPr>
                <w:rFonts w:eastAsia="宋体"/>
                <w:color w:val="000000"/>
                <w:sz w:val="24"/>
                <w:szCs w:val="24"/>
              </w:rPr>
            </w:pP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000" w:type="dxa"/>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农资储备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≥100吨</w:t>
            </w:r>
          </w:p>
        </w:tc>
      </w:tr>
      <w:tr>
        <w:tblPrEx>
          <w:tblCellMar>
            <w:top w:w="15" w:type="dxa"/>
            <w:left w:w="15" w:type="dxa"/>
            <w:bottom w:w="15" w:type="dxa"/>
            <w:right w:w="15" w:type="dxa"/>
          </w:tblCellMar>
        </w:tblPrEx>
        <w:trPr>
          <w:trHeight w:val="629" w:hRule="atLeast"/>
          <w:jc w:val="center"/>
        </w:trPr>
        <w:tc>
          <w:tcPr>
            <w:tcW w:w="556" w:type="dxa"/>
            <w:vMerge w:val="continue"/>
            <w:tcBorders>
              <w:top w:val="single" w:color="000000" w:sz="4" w:space="0"/>
              <w:left w:val="single" w:color="000000" w:sz="4" w:space="0"/>
              <w:bottom w:val="single" w:color="000000" w:sz="4" w:space="0"/>
            </w:tcBorders>
            <w:noWrap w:val="0"/>
            <w:vAlign w:val="center"/>
          </w:tcPr>
          <w:p>
            <w:pPr>
              <w:spacing w:line="300" w:lineRule="exact"/>
              <w:jc w:val="center"/>
              <w:rPr>
                <w:rFonts w:eastAsia="宋体"/>
                <w:color w:val="000000"/>
                <w:sz w:val="24"/>
                <w:szCs w:val="24"/>
              </w:rPr>
            </w:pP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000" w:type="dxa"/>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补贴化肥种类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种</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≥2种</w:t>
            </w:r>
          </w:p>
        </w:tc>
      </w:tr>
      <w:tr>
        <w:tblPrEx>
          <w:tblCellMar>
            <w:top w:w="15" w:type="dxa"/>
            <w:left w:w="15" w:type="dxa"/>
            <w:bottom w:w="15" w:type="dxa"/>
            <w:right w:w="15" w:type="dxa"/>
          </w:tblCellMar>
        </w:tblPrEx>
        <w:trPr>
          <w:trHeight w:val="923" w:hRule="atLeast"/>
          <w:jc w:val="center"/>
        </w:trPr>
        <w:tc>
          <w:tcPr>
            <w:tcW w:w="556" w:type="dxa"/>
            <w:vMerge w:val="continue"/>
            <w:tcBorders>
              <w:top w:val="single" w:color="000000" w:sz="4" w:space="0"/>
              <w:left w:val="single" w:color="000000" w:sz="4" w:space="0"/>
              <w:bottom w:val="single" w:color="000000" w:sz="4" w:space="0"/>
            </w:tcBorders>
            <w:noWrap w:val="0"/>
            <w:vAlign w:val="center"/>
          </w:tcPr>
          <w:p>
            <w:pPr>
              <w:spacing w:line="300" w:lineRule="exact"/>
              <w:jc w:val="center"/>
              <w:rPr>
                <w:rFonts w:eastAsia="宋体"/>
                <w:color w:val="000000"/>
                <w:sz w:val="24"/>
                <w:szCs w:val="24"/>
              </w:rPr>
            </w:pP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000" w:type="dxa"/>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296" w:type="dxa"/>
            <w:tcBorders>
              <w:top w:val="single" w:color="000000" w:sz="4" w:space="0"/>
              <w:left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有机肥、复合肥销售增长率</w:t>
            </w:r>
          </w:p>
        </w:tc>
        <w:tc>
          <w:tcPr>
            <w:tcW w:w="855"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w:t>
            </w:r>
          </w:p>
        </w:tc>
        <w:tc>
          <w:tcPr>
            <w:tcW w:w="828"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906"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00"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r>
      <w:tr>
        <w:tblPrEx>
          <w:tblCellMar>
            <w:top w:w="15" w:type="dxa"/>
            <w:left w:w="15" w:type="dxa"/>
            <w:bottom w:w="15" w:type="dxa"/>
            <w:right w:w="15" w:type="dxa"/>
          </w:tblCellMar>
        </w:tblPrEx>
        <w:trPr>
          <w:trHeight w:val="629" w:hRule="atLeast"/>
          <w:jc w:val="center"/>
        </w:trPr>
        <w:tc>
          <w:tcPr>
            <w:tcW w:w="556" w:type="dxa"/>
            <w:vMerge w:val="continue"/>
            <w:tcBorders>
              <w:top w:val="single" w:color="000000" w:sz="4" w:space="0"/>
              <w:left w:val="single" w:color="000000" w:sz="4" w:space="0"/>
              <w:bottom w:val="single" w:color="000000" w:sz="4" w:space="0"/>
            </w:tcBorders>
            <w:noWrap w:val="0"/>
            <w:vAlign w:val="center"/>
          </w:tcPr>
          <w:p>
            <w:pPr>
              <w:spacing w:line="300" w:lineRule="exact"/>
              <w:jc w:val="center"/>
              <w:rPr>
                <w:rFonts w:eastAsia="宋体"/>
                <w:color w:val="000000"/>
                <w:sz w:val="24"/>
                <w:szCs w:val="24"/>
              </w:rPr>
            </w:pPr>
          </w:p>
        </w:tc>
        <w:tc>
          <w:tcPr>
            <w:tcW w:w="923"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00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时效指标</w:t>
            </w:r>
          </w:p>
        </w:tc>
        <w:tc>
          <w:tcPr>
            <w:tcW w:w="129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按时完成项目</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w:t>
            </w:r>
          </w:p>
        </w:tc>
        <w:tc>
          <w:tcPr>
            <w:tcW w:w="82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90</w:t>
            </w:r>
          </w:p>
        </w:tc>
        <w:tc>
          <w:tcPr>
            <w:tcW w:w="90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576"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≥90%</w:t>
            </w:r>
          </w:p>
        </w:tc>
      </w:tr>
      <w:tr>
        <w:tblPrEx>
          <w:tblCellMar>
            <w:top w:w="15" w:type="dxa"/>
            <w:left w:w="15" w:type="dxa"/>
            <w:bottom w:w="15" w:type="dxa"/>
            <w:right w:w="15" w:type="dxa"/>
          </w:tblCellMar>
        </w:tblPrEx>
        <w:trPr>
          <w:trHeight w:val="2100" w:hRule="atLeast"/>
          <w:jc w:val="center"/>
        </w:trPr>
        <w:tc>
          <w:tcPr>
            <w:tcW w:w="556" w:type="dxa"/>
            <w:vMerge w:val="continue"/>
            <w:tcBorders>
              <w:top w:val="single" w:color="000000" w:sz="4" w:space="0"/>
              <w:left w:val="single" w:color="000000" w:sz="4" w:space="0"/>
              <w:bottom w:val="single" w:color="000000" w:sz="4" w:space="0"/>
              <w:right w:val="single" w:color="auto" w:sz="4" w:space="0"/>
            </w:tcBorders>
            <w:noWrap w:val="0"/>
            <w:vAlign w:val="center"/>
          </w:tcPr>
          <w:p>
            <w:pPr>
              <w:spacing w:line="300" w:lineRule="exact"/>
              <w:jc w:val="center"/>
              <w:rPr>
                <w:rFonts w:eastAsia="宋体"/>
                <w:color w:val="000000"/>
                <w:sz w:val="24"/>
                <w:szCs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效益指标</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社会效益</w:t>
            </w:r>
          </w:p>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价格补贴直接由供销社农资销售门市通过满减的模式现场直接补贴给消费者</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仿宋_GB2312" w:hAnsi="仿宋_GB2312" w:eastAsia="仿宋_GB2312" w:cs="仿宋_GB2312"/>
                <w:sz w:val="24"/>
                <w:szCs w:val="24"/>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5</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p>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≤5%</w:t>
            </w:r>
          </w:p>
        </w:tc>
      </w:tr>
      <w:tr>
        <w:tblPrEx>
          <w:tblCellMar>
            <w:top w:w="15" w:type="dxa"/>
            <w:left w:w="15" w:type="dxa"/>
            <w:bottom w:w="15" w:type="dxa"/>
            <w:right w:w="15" w:type="dxa"/>
          </w:tblCellMar>
        </w:tblPrEx>
        <w:trPr>
          <w:trHeight w:val="1072" w:hRule="atLeast"/>
          <w:jc w:val="center"/>
        </w:trPr>
        <w:tc>
          <w:tcPr>
            <w:tcW w:w="556" w:type="dxa"/>
            <w:vMerge w:val="continue"/>
            <w:tcBorders>
              <w:top w:val="single" w:color="000000" w:sz="4" w:space="0"/>
              <w:left w:val="single" w:color="000000" w:sz="4" w:space="0"/>
              <w:bottom w:val="single" w:color="000000" w:sz="4" w:space="0"/>
              <w:right w:val="single" w:color="auto" w:sz="4" w:space="0"/>
            </w:tcBorders>
            <w:noWrap w:val="0"/>
            <w:vAlign w:val="center"/>
          </w:tcPr>
          <w:p>
            <w:pPr>
              <w:spacing w:line="300" w:lineRule="exact"/>
              <w:jc w:val="center"/>
              <w:rPr>
                <w:rFonts w:eastAsia="宋体"/>
                <w:color w:val="000000"/>
                <w:sz w:val="24"/>
                <w:szCs w:val="24"/>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满意度</w:t>
            </w:r>
          </w:p>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服务对象</w:t>
            </w:r>
          </w:p>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满意度指标</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农户、受益群众对该项目的满意度</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eastAsia="仿宋_GB2312"/>
                <w:sz w:val="32"/>
                <w:szCs w:val="32"/>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90</w:t>
            </w:r>
          </w:p>
        </w:tc>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≥9</w:t>
            </w:r>
            <w:r>
              <w:rPr>
                <w:rFonts w:hint="eastAsia" w:ascii="Times New Roman" w:hAnsi="Times New Roman" w:eastAsia="宋体" w:cs="Times New Roman"/>
                <w:color w:val="000000"/>
                <w:kern w:val="0"/>
                <w:sz w:val="24"/>
                <w:szCs w:val="24"/>
                <w:lang w:val="en-US" w:eastAsia="zh-CN" w:bidi="ar"/>
              </w:rPr>
              <w:t>0</w:t>
            </w:r>
            <w:r>
              <w:rPr>
                <w:rFonts w:hint="eastAsia" w:ascii="Times New Roman" w:hAnsi="Times New Roman" w:eastAsia="宋体" w:cs="Times New Roman"/>
                <w:color w:val="000000"/>
                <w:kern w:val="0"/>
                <w:sz w:val="24"/>
                <w:szCs w:val="24"/>
                <w:lang w:bidi="ar"/>
              </w:rPr>
              <w:t>%</w:t>
            </w:r>
          </w:p>
        </w:tc>
      </w:tr>
    </w:tbl>
    <w:p>
      <w:pPr>
        <w:widowControl w:val="0"/>
        <w:spacing w:after="0" w:line="578" w:lineRule="exact"/>
        <w:ind w:left="0" w:leftChars="0" w:firstLine="480" w:firstLineChars="200"/>
        <w:jc w:val="both"/>
        <w:rPr>
          <w:rFonts w:ascii="黑体" w:hAnsi="黑体" w:eastAsia="黑体" w:cs="黑体"/>
          <w:kern w:val="2"/>
          <w:sz w:val="24"/>
          <w:szCs w:val="24"/>
          <w:lang w:val="en-US" w:eastAsia="zh-CN" w:bidi="ar-SA"/>
        </w:rPr>
      </w:pPr>
    </w:p>
    <w:p>
      <w:pPr>
        <w:pStyle w:val="10"/>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pPr>
        <w:pStyle w:val="19"/>
        <w:rPr>
          <w:rFonts w:hint="eastAsia" w:ascii="方正小标宋简体" w:hAnsi="方正小标宋简体" w:eastAsia="方正小标宋简体" w:cs="方正小标宋简体"/>
          <w:color w:val="000000"/>
          <w:sz w:val="44"/>
          <w:szCs w:val="44"/>
        </w:rPr>
      </w:pPr>
    </w:p>
    <w:p>
      <w:pPr>
        <w:pStyle w:val="10"/>
        <w:rPr>
          <w:rFonts w:hint="eastAsia" w:ascii="方正小标宋简体" w:hAnsi="方正小标宋简体" w:eastAsia="方正小标宋简体" w:cs="方正小标宋简体"/>
          <w:color w:val="000000"/>
          <w:sz w:val="44"/>
          <w:szCs w:val="44"/>
        </w:rPr>
      </w:pPr>
    </w:p>
    <w:p>
      <w:pPr>
        <w:pStyle w:val="10"/>
        <w:rPr>
          <w:rFonts w:hint="eastAsia" w:ascii="方正小标宋简体" w:hAnsi="方正小标宋简体" w:eastAsia="方正小标宋简体" w:cs="方正小标宋简体"/>
          <w:color w:val="000000"/>
          <w:sz w:val="44"/>
          <w:szCs w:val="44"/>
        </w:rPr>
      </w:pPr>
    </w:p>
    <w:p>
      <w:pPr>
        <w:spacing w:line="600" w:lineRule="exact"/>
        <w:jc w:val="left"/>
        <w:outlineLvl w:val="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茂县供销合作社联合社</w:t>
      </w: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eastAsia="zh-CN"/>
        </w:rPr>
        <w:t>2024年度“发展数智茂农，共创云链供销”交融交往资金项目</w:t>
      </w:r>
      <w:r>
        <w:rPr>
          <w:rFonts w:hint="eastAsia" w:ascii="方正小标宋简体" w:hAnsi="方正小标宋简体" w:eastAsia="方正小标宋简体" w:cs="方正小标宋简体"/>
          <w:kern w:val="2"/>
          <w:sz w:val="44"/>
          <w:szCs w:val="44"/>
        </w:rPr>
        <w:t>绩效评</w:t>
      </w:r>
      <w:r>
        <w:rPr>
          <w:rFonts w:hint="eastAsia" w:ascii="方正小标宋简体" w:hAnsi="方正小标宋简体" w:eastAsia="方正小标宋简体" w:cs="方正小标宋简体"/>
          <w:kern w:val="2"/>
          <w:sz w:val="44"/>
          <w:szCs w:val="44"/>
          <w:lang w:val="en-US" w:eastAsia="zh-CN"/>
        </w:rPr>
        <w:t>价</w:t>
      </w:r>
      <w:r>
        <w:rPr>
          <w:rFonts w:hint="eastAsia" w:ascii="方正小标宋简体" w:hAnsi="方正小标宋简体" w:eastAsia="方正小标宋简体" w:cs="方正小标宋简体"/>
          <w:kern w:val="2"/>
          <w:sz w:val="44"/>
          <w:szCs w:val="44"/>
        </w:rPr>
        <w:t>报告</w:t>
      </w:r>
    </w:p>
    <w:p>
      <w:pPr>
        <w:adjustRightInd w:val="0"/>
        <w:snapToGrid w:val="0"/>
        <w:spacing w:line="578" w:lineRule="exact"/>
        <w:ind w:firstLine="640" w:firstLineChars="200"/>
        <w:rPr>
          <w:rFonts w:hint="eastAsia" w:ascii="黑体" w:hAnsi="宋体" w:eastAsia="黑体" w:cs="宋体"/>
          <w:kern w:val="0"/>
          <w:sz w:val="32"/>
          <w:szCs w:val="32"/>
        </w:rPr>
      </w:pPr>
    </w:p>
    <w:p>
      <w:pPr>
        <w:adjustRightInd w:val="0"/>
        <w:snapToGrid w:val="0"/>
        <w:spacing w:line="578" w:lineRule="exact"/>
        <w:ind w:firstLine="640" w:firstLineChars="200"/>
        <w:rPr>
          <w:rFonts w:ascii="黑体" w:hAnsi="宋体" w:eastAsia="黑体" w:cs="宋体"/>
          <w:kern w:val="0"/>
          <w:sz w:val="32"/>
          <w:szCs w:val="32"/>
          <w:lang w:val="zh-CN"/>
        </w:rPr>
      </w:pPr>
      <w:r>
        <w:rPr>
          <w:rFonts w:hint="eastAsia" w:ascii="黑体" w:hAnsi="宋体" w:eastAsia="黑体" w:cs="宋体"/>
          <w:kern w:val="0"/>
          <w:sz w:val="32"/>
          <w:szCs w:val="32"/>
        </w:rPr>
        <w:t>一、</w:t>
      </w:r>
      <w:r>
        <w:rPr>
          <w:rFonts w:hint="eastAsia" w:ascii="黑体" w:hAnsi="宋体" w:eastAsia="黑体" w:cs="宋体"/>
          <w:kern w:val="0"/>
          <w:sz w:val="32"/>
          <w:szCs w:val="32"/>
          <w:lang w:val="zh-CN"/>
        </w:rPr>
        <w:t>项目概况</w:t>
      </w:r>
    </w:p>
    <w:p>
      <w:pPr>
        <w:keepNext w:val="0"/>
        <w:keepLines w:val="0"/>
        <w:pageBreakBefore w:val="0"/>
        <w:widowControl w:val="0"/>
        <w:kinsoku/>
        <w:overflowPunct/>
        <w:topLinePunct w:val="0"/>
        <w:autoSpaceDE/>
        <w:autoSpaceDN/>
        <w:bidi w:val="0"/>
        <w:adjustRightInd/>
        <w:snapToGrid/>
        <w:spacing w:line="576" w:lineRule="exact"/>
        <w:ind w:firstLine="642" w:firstLineChars="20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（一）设立背景及基本情况</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u w:val="none"/>
          <w:lang w:eastAsia="zh-CN"/>
        </w:rPr>
      </w:pPr>
      <w:r>
        <w:rPr>
          <w:rFonts w:hint="eastAsia" w:ascii="仿宋_GB2312" w:eastAsia="仿宋_GB2312" w:cs="宋体"/>
          <w:kern w:val="0"/>
          <w:sz w:val="32"/>
          <w:szCs w:val="32"/>
          <w:lang w:val="en-US" w:eastAsia="zh-CN"/>
        </w:rPr>
        <w:t>根据脱贫攻坚同乡村振兴有效衔接，依托</w:t>
      </w:r>
      <w:r>
        <w:rPr>
          <w:rFonts w:hint="eastAsia" w:ascii="仿宋_GB2312" w:eastAsia="仿宋_GB2312" w:cs="宋体"/>
          <w:kern w:val="0"/>
          <w:sz w:val="32"/>
          <w:szCs w:val="32"/>
        </w:rPr>
        <w:t>《平湖-茂县东西部协作框架协议》《供销合作暨数字农业和服务平台共建协议》等相关</w:t>
      </w:r>
      <w:r>
        <w:rPr>
          <w:rFonts w:ascii="仿宋_GB2312" w:eastAsia="仿宋_GB2312" w:cs="宋体"/>
          <w:kern w:val="0"/>
          <w:sz w:val="32"/>
          <w:szCs w:val="32"/>
        </w:rPr>
        <w:t>要求</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通过加强山海两地交流交往</w:t>
      </w:r>
      <w:r>
        <w:rPr>
          <w:rFonts w:hint="eastAsia" w:ascii="仿宋_GB2312" w:hAnsi="仿宋_GB2312" w:eastAsia="仿宋_GB2312" w:cs="仿宋_GB2312"/>
          <w:kern w:val="2"/>
          <w:sz w:val="32"/>
          <w:szCs w:val="32"/>
          <w:u w:val="none"/>
          <w:lang w:eastAsia="zh-CN"/>
        </w:rPr>
        <w:t>，实现两地经济文化的共赢，</w:t>
      </w:r>
      <w:r>
        <w:rPr>
          <w:rFonts w:hint="eastAsia" w:ascii="仿宋_GB2312" w:hAnsi="仿宋_GB2312" w:eastAsia="仿宋_GB2312" w:cs="仿宋_GB2312"/>
          <w:kern w:val="2"/>
          <w:sz w:val="32"/>
          <w:szCs w:val="32"/>
          <w:u w:val="none"/>
          <w:lang w:val="en-US" w:eastAsia="zh-CN"/>
        </w:rPr>
        <w:t>确定按照方案实施</w:t>
      </w:r>
      <w:r>
        <w:rPr>
          <w:rFonts w:hint="eastAsia" w:ascii="仿宋_GB2312" w:hAnsi="仿宋_GB2312" w:eastAsia="仿宋_GB2312" w:cs="仿宋_GB2312"/>
          <w:kern w:val="2"/>
          <w:sz w:val="32"/>
          <w:szCs w:val="32"/>
          <w:u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实施目的及支持方向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Times New Roman" w:eastAsia="仿宋_GB2312" w:cs="仿宋_GB2312"/>
          <w:kern w:val="0"/>
          <w:sz w:val="32"/>
          <w:szCs w:val="32"/>
          <w:lang w:val="zh-CN" w:eastAsia="zh-CN"/>
        </w:rPr>
      </w:pPr>
      <w:r>
        <w:rPr>
          <w:rFonts w:hint="eastAsia" w:ascii="仿宋_GB2312" w:eastAsia="仿宋_GB2312" w:cs="宋体"/>
          <w:kern w:val="0"/>
          <w:sz w:val="32"/>
          <w:szCs w:val="32"/>
        </w:rPr>
        <w:t>持续深化供销合作社综合改革，不断健全为农服务功能，</w:t>
      </w:r>
      <w:r>
        <w:rPr>
          <w:rFonts w:ascii="仿宋_GB2312" w:eastAsia="仿宋_GB2312" w:cs="宋体"/>
          <w:kern w:val="0"/>
          <w:sz w:val="32"/>
          <w:szCs w:val="32"/>
        </w:rPr>
        <w:t>为</w:t>
      </w:r>
      <w:r>
        <w:rPr>
          <w:rFonts w:hint="eastAsia" w:ascii="仿宋_GB2312" w:eastAsia="仿宋_GB2312" w:cs="宋体"/>
          <w:kern w:val="0"/>
          <w:sz w:val="32"/>
          <w:szCs w:val="32"/>
        </w:rPr>
        <w:t>持续推进茂县农产品的品质和拓宽销售渠道，助</w:t>
      </w:r>
      <w:r>
        <w:rPr>
          <w:rFonts w:ascii="仿宋_GB2312" w:eastAsia="仿宋_GB2312" w:cs="宋体"/>
          <w:kern w:val="0"/>
          <w:sz w:val="32"/>
          <w:szCs w:val="32"/>
        </w:rPr>
        <w:t>推</w:t>
      </w:r>
      <w:r>
        <w:rPr>
          <w:rFonts w:hint="eastAsia" w:ascii="仿宋_GB2312" w:eastAsia="仿宋_GB2312" w:cs="仿宋_GB2312"/>
          <w:kern w:val="0"/>
          <w:sz w:val="32"/>
          <w:szCs w:val="32"/>
        </w:rPr>
        <w:t>乡村振兴</w:t>
      </w:r>
      <w:r>
        <w:rPr>
          <w:rFonts w:ascii="仿宋_GB2312" w:eastAsia="仿宋_GB2312" w:cs="仿宋_GB2312"/>
          <w:kern w:val="0"/>
          <w:sz w:val="32"/>
          <w:szCs w:val="32"/>
        </w:rPr>
        <w:t>，</w:t>
      </w:r>
      <w:r>
        <w:rPr>
          <w:rFonts w:hint="eastAsia" w:ascii="仿宋_GB2312" w:eastAsia="仿宋_GB2312" w:cs="宋体"/>
          <w:kern w:val="0"/>
          <w:sz w:val="32"/>
          <w:szCs w:val="32"/>
        </w:rPr>
        <w:t>在结对助农、服务资源共享、农业品牌共推、数字转型共谋等方面深化协作，加强与</w:t>
      </w:r>
      <w:r>
        <w:rPr>
          <w:rFonts w:hint="eastAsia" w:ascii="仿宋_GB2312" w:eastAsia="仿宋_GB2312" w:cs="仿宋_GB2312"/>
          <w:kern w:val="0"/>
          <w:sz w:val="32"/>
          <w:szCs w:val="32"/>
        </w:rPr>
        <w:t>企业对接,把茂县的特色农产品卖到浙江、上海，增加农民收入，助推两地农民共同致富。</w:t>
      </w:r>
      <w:r>
        <w:rPr>
          <w:rFonts w:hint="eastAsia" w:ascii="仿宋_GB2312" w:eastAsia="仿宋_GB2312" w:cs="Times New Roman"/>
          <w:kern w:val="2"/>
          <w:sz w:val="32"/>
          <w:szCs w:val="32"/>
          <w:u w:val="none"/>
        </w:rPr>
        <w:t>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0" w:leftChars="0"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预算安排及分配管理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hAnsi="仿宋_GB2312" w:eastAsia="仿宋_GB2312" w:cs="仿宋_GB2312"/>
          <w:kern w:val="2"/>
          <w:sz w:val="32"/>
          <w:szCs w:val="32"/>
        </w:rPr>
        <w:t>申报项目预算金额为</w:t>
      </w:r>
      <w:r>
        <w:rPr>
          <w:rFonts w:hint="eastAsia" w:ascii="仿宋_GB2312" w:hAnsi="仿宋_GB2312" w:eastAsia="仿宋_GB2312" w:cs="仿宋_GB2312"/>
          <w:kern w:val="2"/>
          <w:sz w:val="32"/>
          <w:szCs w:val="32"/>
          <w:lang w:val="en-US" w:eastAsia="zh-CN"/>
        </w:rPr>
        <w:t>12.00</w:t>
      </w:r>
      <w:r>
        <w:rPr>
          <w:rFonts w:hint="eastAsia" w:ascii="仿宋_GB2312" w:hAnsi="仿宋_GB2312" w:eastAsia="仿宋_GB2312" w:cs="仿宋_GB2312"/>
          <w:kern w:val="2"/>
          <w:sz w:val="32"/>
          <w:szCs w:val="32"/>
        </w:rPr>
        <w:t>万元（资金来源为</w:t>
      </w:r>
      <w:r>
        <w:rPr>
          <w:rFonts w:hint="eastAsia" w:ascii="仿宋_GB2312" w:hAnsi="仿宋_GB2312" w:eastAsia="仿宋_GB2312" w:cs="仿宋_GB2312"/>
          <w:kern w:val="0"/>
          <w:sz w:val="32"/>
          <w:szCs w:val="32"/>
        </w:rPr>
        <w:t>对口援建交流交往交融项目资金</w:t>
      </w:r>
      <w:r>
        <w:rPr>
          <w:rFonts w:hint="eastAsia" w:ascii="仿宋_GB2312" w:hAnsi="仿宋_GB2312" w:eastAsia="仿宋_GB2312" w:cs="仿宋_GB2312"/>
          <w:kern w:val="0"/>
          <w:sz w:val="32"/>
          <w:szCs w:val="32"/>
          <w:lang w:val="en-US" w:eastAsia="zh-CN"/>
        </w:rPr>
        <w:t>12.00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2"/>
          <w:sz w:val="32"/>
          <w:szCs w:val="32"/>
        </w:rPr>
        <w:t>）</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0" w:leftChars="0"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val="zh-CN"/>
        </w:rPr>
        <w:t>茂县供销合作社联合社</w:t>
      </w:r>
      <w:r>
        <w:rPr>
          <w:rFonts w:hint="eastAsia" w:ascii="仿宋_GB2312" w:eastAsia="仿宋_GB2312" w:cs="仿宋_GB2312"/>
          <w:kern w:val="0"/>
          <w:sz w:val="32"/>
          <w:szCs w:val="32"/>
          <w:lang w:val="en-US" w:eastAsia="zh-CN"/>
        </w:rPr>
        <w:t>完成了事前绩效评估。绩效目标设置如下：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茂县供销合作社联合社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2024年度“发展数智茂农，共创云链供销”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交融交往资金项目</w:t>
      </w:r>
      <w:r>
        <w:rPr>
          <w:rFonts w:hint="eastAsia" w:ascii="仿宋_GB2312" w:hAnsi="仿宋_GB2312" w:eastAsia="仿宋_GB2312" w:cs="仿宋_GB2312"/>
          <w:kern w:val="2"/>
          <w:sz w:val="32"/>
          <w:szCs w:val="32"/>
        </w:rPr>
        <w:t>绩效目标表</w:t>
      </w:r>
    </w:p>
    <w:tbl>
      <w:tblPr>
        <w:tblStyle w:val="26"/>
        <w:tblpPr w:leftFromText="180" w:rightFromText="180" w:vertAnchor="text" w:horzAnchor="page" w:tblpX="1905" w:tblpY="1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653"/>
        <w:gridCol w:w="36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5" w:type="dxa"/>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一级指标</w:t>
            </w:r>
          </w:p>
        </w:tc>
        <w:tc>
          <w:tcPr>
            <w:tcW w:w="1653"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二级指标</w:t>
            </w:r>
          </w:p>
        </w:tc>
        <w:tc>
          <w:tcPr>
            <w:tcW w:w="3606"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三级指标</w:t>
            </w:r>
          </w:p>
        </w:tc>
        <w:tc>
          <w:tcPr>
            <w:tcW w:w="1476" w:type="dxa"/>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545" w:type="dxa"/>
            <w:vMerge w:val="restart"/>
            <w:tcBorders>
              <w:top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产出</w:t>
            </w:r>
            <w:r>
              <w:rPr>
                <w:rFonts w:hint="eastAsia" w:ascii="仿宋_GB2312" w:hAnsi="仿宋_GB2312" w:eastAsia="仿宋_GB2312" w:cs="仿宋_GB2312"/>
                <w:kern w:val="0"/>
                <w:sz w:val="24"/>
                <w:szCs w:val="24"/>
              </w:rPr>
              <w:t>指标</w:t>
            </w:r>
          </w:p>
        </w:tc>
        <w:tc>
          <w:tcPr>
            <w:tcW w:w="1653"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数量指标</w:t>
            </w:r>
          </w:p>
        </w:tc>
        <w:tc>
          <w:tcPr>
            <w:tcW w:w="3606"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参加“2024平湖西瓜灯节”</w:t>
            </w:r>
          </w:p>
        </w:tc>
        <w:tc>
          <w:tcPr>
            <w:tcW w:w="1476" w:type="dxa"/>
            <w:tcBorders>
              <w:top w:val="single" w:color="auto" w:sz="4" w:space="0"/>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545" w:type="dxa"/>
            <w:vMerge w:val="continue"/>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cs="宋体"/>
                <w:kern w:val="0"/>
              </w:rPr>
            </w:pPr>
          </w:p>
        </w:tc>
        <w:tc>
          <w:tcPr>
            <w:tcW w:w="1653" w:type="dxa"/>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cs="宋体"/>
                <w:kern w:val="0"/>
              </w:rPr>
            </w:pPr>
          </w:p>
        </w:tc>
        <w:tc>
          <w:tcPr>
            <w:tcW w:w="3606"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赴杭州、嘉兴进行培训学习交流</w:t>
            </w:r>
          </w:p>
        </w:tc>
        <w:tc>
          <w:tcPr>
            <w:tcW w:w="1476"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545" w:type="dxa"/>
            <w:vMerge w:val="continue"/>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p>
        </w:tc>
        <w:tc>
          <w:tcPr>
            <w:tcW w:w="165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p>
        </w:tc>
        <w:tc>
          <w:tcPr>
            <w:tcW w:w="3606"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赴浙江人数</w:t>
            </w:r>
          </w:p>
        </w:tc>
        <w:tc>
          <w:tcPr>
            <w:tcW w:w="1476"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45" w:type="dxa"/>
            <w:vMerge w:val="continue"/>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cs="宋体"/>
                <w:kern w:val="0"/>
              </w:rPr>
            </w:pPr>
          </w:p>
        </w:tc>
        <w:tc>
          <w:tcPr>
            <w:tcW w:w="1653"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时效指标</w:t>
            </w:r>
          </w:p>
        </w:tc>
        <w:tc>
          <w:tcPr>
            <w:tcW w:w="3606"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培训学习交流时间</w:t>
            </w:r>
          </w:p>
        </w:tc>
        <w:tc>
          <w:tcPr>
            <w:tcW w:w="1476" w:type="dxa"/>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45" w:type="dxa"/>
            <w:vMerge w:val="continue"/>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cs="宋体"/>
                <w:kern w:val="0"/>
              </w:rPr>
            </w:pPr>
          </w:p>
        </w:tc>
        <w:tc>
          <w:tcPr>
            <w:tcW w:w="165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cs="宋体"/>
                <w:kern w:val="0"/>
              </w:rPr>
            </w:pPr>
          </w:p>
        </w:tc>
        <w:tc>
          <w:tcPr>
            <w:tcW w:w="3606" w:type="dxa"/>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按时完成交流交往项目</w:t>
            </w:r>
          </w:p>
        </w:tc>
        <w:tc>
          <w:tcPr>
            <w:tcW w:w="1476" w:type="dxa"/>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效益指标</w:t>
            </w:r>
          </w:p>
        </w:tc>
        <w:tc>
          <w:tcPr>
            <w:tcW w:w="16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社会效益指标</w:t>
            </w:r>
          </w:p>
        </w:tc>
        <w:tc>
          <w:tcPr>
            <w:tcW w:w="36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rPr>
              <w:t>展示展销茂县农特产品</w:t>
            </w:r>
          </w:p>
        </w:tc>
        <w:tc>
          <w:tcPr>
            <w:tcW w:w="1476" w:type="dxa"/>
            <w:tcBorders>
              <w:top w:val="single" w:color="auto" w:sz="4" w:space="0"/>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5" w:type="dxa"/>
            <w:tcBorders>
              <w:top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满意度指标</w:t>
            </w:r>
          </w:p>
        </w:tc>
        <w:tc>
          <w:tcPr>
            <w:tcW w:w="1653"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象满意度指标</w:t>
            </w:r>
          </w:p>
        </w:tc>
        <w:tc>
          <w:tcPr>
            <w:tcW w:w="3606"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农户、受益群众的满意度</w:t>
            </w:r>
          </w:p>
        </w:tc>
        <w:tc>
          <w:tcPr>
            <w:tcW w:w="1476" w:type="dxa"/>
            <w:tcBorders>
              <w:top w:val="single" w:color="auto" w:sz="4" w:space="0"/>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w:t>
            </w:r>
          </w:p>
        </w:tc>
      </w:tr>
    </w:tbl>
    <w:p>
      <w:pPr>
        <w:adjustRightInd w:val="0"/>
        <w:snapToGrid w:val="0"/>
        <w:spacing w:line="578" w:lineRule="exact"/>
        <w:ind w:firstLine="640" w:firstLineChars="200"/>
        <w:rPr>
          <w:rFonts w:hint="eastAsia" w:ascii="黑体" w:hAnsi="宋体" w:eastAsia="黑体" w:cs="宋体"/>
          <w:kern w:val="0"/>
          <w:sz w:val="32"/>
          <w:szCs w:val="32"/>
          <w:lang w:val="zh-CN"/>
        </w:rPr>
      </w:pPr>
      <w:r>
        <w:rPr>
          <w:rFonts w:hint="eastAsia" w:ascii="黑体" w:hAnsi="宋体" w:eastAsia="黑体" w:cs="宋体"/>
          <w:kern w:val="0"/>
          <w:sz w:val="32"/>
          <w:szCs w:val="32"/>
          <w:lang w:val="zh-CN"/>
        </w:rPr>
        <w:t>二、评价实施</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茂县供销合作社联合社2024年度“发展数智茂农，共创云链供销”交融交往资金项目</w:t>
      </w:r>
      <w:r>
        <w:rPr>
          <w:rFonts w:hint="eastAsia" w:ascii="仿宋_GB2312" w:eastAsia="仿宋_GB2312" w:cs="仿宋_GB2312"/>
          <w:kern w:val="0"/>
          <w:sz w:val="32"/>
          <w:szCs w:val="32"/>
        </w:rPr>
        <w:t>资金支出使用全过程</w:t>
      </w:r>
      <w:r>
        <w:rPr>
          <w:rFonts w:hint="eastAsia" w:ascii="仿宋_GB2312" w:eastAsia="仿宋_GB2312" w:cs="仿宋_GB2312"/>
          <w:kern w:val="0"/>
          <w:sz w:val="32"/>
          <w:szCs w:val="32"/>
          <w:lang w:eastAsia="zh-CN"/>
        </w:rPr>
        <w:t>规范。</w:t>
      </w:r>
    </w:p>
    <w:p>
      <w:pPr>
        <w:numPr>
          <w:ilvl w:val="0"/>
          <w:numId w:val="11"/>
        </w:numPr>
        <w:adjustRightInd w:val="0"/>
        <w:snapToGrid w:val="0"/>
        <w:spacing w:line="578" w:lineRule="exact"/>
        <w:ind w:left="0" w:leftChars="0" w:firstLine="642" w:firstLineChars="20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评价选点</w:t>
      </w:r>
    </w:p>
    <w:p>
      <w:pPr>
        <w:numPr>
          <w:ilvl w:val="0"/>
          <w:numId w:val="0"/>
        </w:numPr>
        <w:adjustRightInd w:val="0"/>
        <w:snapToGrid w:val="0"/>
        <w:spacing w:line="578" w:lineRule="exact"/>
        <w:ind w:firstLine="640" w:firstLineChars="200"/>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茂县供销合作社联合社</w:t>
      </w:r>
    </w:p>
    <w:p>
      <w:pPr>
        <w:numPr>
          <w:ilvl w:val="0"/>
          <w:numId w:val="11"/>
        </w:numPr>
        <w:spacing w:line="578" w:lineRule="exact"/>
        <w:ind w:left="0" w:leftChars="0" w:firstLine="642" w:firstLineChars="20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评价方法</w:t>
      </w:r>
    </w:p>
    <w:p>
      <w:pPr>
        <w:numPr>
          <w:ilvl w:val="0"/>
          <w:numId w:val="0"/>
        </w:numPr>
        <w:spacing w:line="578" w:lineRule="exact"/>
        <w:ind w:firstLine="640" w:firstLineChars="200"/>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采用单位自评法。</w:t>
      </w:r>
    </w:p>
    <w:p>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（一）通用指标绩效分析</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1.项目决策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决策程序</w:t>
      </w:r>
      <w:r>
        <w:rPr>
          <w:rFonts w:hint="eastAsia" w:ascii="仿宋_GB2312" w:eastAsia="仿宋_GB2312" w:cs="仿宋_GB2312"/>
          <w:kern w:val="0"/>
          <w:sz w:val="32"/>
          <w:szCs w:val="32"/>
          <w:lang w:eastAsia="zh-CN"/>
        </w:rPr>
        <w:t>严密，</w:t>
      </w:r>
      <w:r>
        <w:rPr>
          <w:rFonts w:hint="eastAsia" w:ascii="仿宋_GB2312" w:eastAsia="仿宋_GB2312" w:cs="仿宋_GB2312"/>
          <w:kern w:val="0"/>
          <w:sz w:val="32"/>
          <w:szCs w:val="32"/>
        </w:rPr>
        <w:t>符合资金管理基本规范和决策程序要求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规划论证符合要求</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项目绩效目标设置科学合理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资金投向与项目总体规划、相关行业事业发展相匹配。</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2.</w:t>
      </w:r>
      <w:r>
        <w:rPr>
          <w:rFonts w:hint="eastAsia" w:ascii="楷体" w:hAnsi="楷体" w:eastAsia="楷体" w:cs="楷体"/>
          <w:b/>
          <w:bCs/>
          <w:kern w:val="0"/>
          <w:sz w:val="32"/>
          <w:szCs w:val="32"/>
        </w:rPr>
        <w:t>项目管理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项目资金分配因素选取、权重设置、区域分布，项目管理、审批符合管理要求、绩效监管按要求全面完成绩效目标（含事前评估）、绩效评价。</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3.</w:t>
      </w:r>
      <w:r>
        <w:rPr>
          <w:rFonts w:hint="eastAsia" w:ascii="楷体" w:hAnsi="楷体" w:eastAsia="楷体" w:cs="楷体"/>
          <w:b/>
          <w:bCs/>
          <w:kern w:val="0"/>
          <w:sz w:val="32"/>
          <w:szCs w:val="32"/>
        </w:rPr>
        <w:t>项目实施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财政资金拨付率</w:t>
      </w:r>
      <w:r>
        <w:rPr>
          <w:rFonts w:hint="eastAsia" w:ascii="仿宋_GB2312" w:eastAsia="仿宋_GB2312" w:cs="仿宋_GB2312"/>
          <w:kern w:val="0"/>
          <w:sz w:val="32"/>
          <w:szCs w:val="32"/>
          <w:lang w:val="en-US" w:eastAsia="zh-CN"/>
        </w:rPr>
        <w:t>100%，使用率100%，无地方配套资金。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4.项目结果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完成预期目标，实施结果。与绩效目标相匹配</w:t>
      </w:r>
      <w:r>
        <w:rPr>
          <w:rFonts w:hint="eastAsia" w:ascii="仿宋_GB2312"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（二）专用指标绩效分析</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left"/>
        <w:textAlignment w:val="auto"/>
        <w:rPr>
          <w:rFonts w:hint="eastAsia" w:ascii="楷体" w:hAnsi="楷体" w:eastAsia="楷体" w:cs="楷体"/>
          <w:b/>
          <w:bCs/>
          <w:kern w:val="0"/>
          <w:sz w:val="32"/>
          <w:szCs w:val="32"/>
          <w:lang w:val="zh-CN" w:eastAsia="zh-CN"/>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lang w:val="zh-CN" w:eastAsia="zh-CN"/>
        </w:rPr>
        <w:t>民生保障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资金分配均衡公平、支持对象符合管理要求，符合支持对象范围、资金实际补贴标准符合资金管理办法规定的补助标准，及时按标准兑现。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eastAsia" w:ascii="楷体" w:hAnsi="楷体" w:eastAsia="楷体" w:cs="楷体"/>
          <w:b/>
          <w:bCs/>
          <w:kern w:val="0"/>
          <w:sz w:val="32"/>
          <w:szCs w:val="32"/>
          <w:lang w:val="zh-CN" w:eastAsia="zh-CN"/>
        </w:rPr>
      </w:pPr>
      <w:r>
        <w:rPr>
          <w:rFonts w:hint="eastAsia" w:ascii="楷体" w:hAnsi="楷体" w:eastAsia="楷体" w:cs="楷体"/>
          <w:b/>
          <w:bCs/>
          <w:kern w:val="0"/>
          <w:sz w:val="32"/>
          <w:szCs w:val="32"/>
          <w:lang w:val="en-US" w:eastAsia="zh-CN"/>
        </w:rPr>
        <w:t>2.</w:t>
      </w:r>
      <w:r>
        <w:rPr>
          <w:rFonts w:hint="eastAsia" w:ascii="楷体" w:hAnsi="楷体" w:eastAsia="楷体" w:cs="楷体"/>
          <w:b/>
          <w:bCs/>
          <w:kern w:val="0"/>
          <w:sz w:val="32"/>
          <w:szCs w:val="32"/>
          <w:lang w:val="zh-CN" w:eastAsia="zh-CN"/>
        </w:rPr>
        <w:t>行政运转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cs="宋体"/>
          <w:kern w:val="0"/>
          <w:lang w:val="en-US" w:eastAsia="zh-CN"/>
        </w:rPr>
      </w:pPr>
      <w:r>
        <w:rPr>
          <w:rFonts w:hint="eastAsia" w:ascii="仿宋_GB2312" w:eastAsia="仿宋_GB2312" w:cs="仿宋_GB2312"/>
          <w:kern w:val="0"/>
          <w:sz w:val="32"/>
          <w:szCs w:val="32"/>
          <w:lang w:val="zh-CN"/>
        </w:rPr>
        <w:t>按规定用途、适用范围进行本地区专项资金分配。</w:t>
      </w:r>
    </w:p>
    <w:p>
      <w:pPr>
        <w:widowControl/>
        <w:numPr>
          <w:ilvl w:val="0"/>
          <w:numId w:val="3"/>
        </w:numPr>
        <w:tabs>
          <w:tab w:val="left" w:pos="2160"/>
        </w:tabs>
        <w:spacing w:line="600" w:lineRule="exact"/>
        <w:ind w:left="0" w:leftChars="0" w:firstLine="642" w:firstLineChars="200"/>
        <w:jc w:val="left"/>
        <w:rPr>
          <w:rFonts w:hint="eastAsia" w:ascii="楷体_GB2312" w:hAnsi="宋体" w:eastAsia="楷体_GB2312" w:cs="宋体"/>
          <w:b/>
          <w:kern w:val="0"/>
          <w:position w:val="3"/>
          <w:sz w:val="32"/>
          <w:szCs w:val="32"/>
          <w:lang w:val="zh-CN" w:eastAsia="en-US" w:bidi="ar-SA"/>
        </w:rPr>
      </w:pPr>
      <w:r>
        <w:rPr>
          <w:rFonts w:hint="eastAsia" w:ascii="楷体_GB2312" w:hAnsi="宋体" w:eastAsia="楷体_GB2312" w:cs="宋体"/>
          <w:b/>
          <w:kern w:val="0"/>
          <w:position w:val="3"/>
          <w:sz w:val="32"/>
          <w:szCs w:val="32"/>
          <w:lang w:val="zh-CN" w:eastAsia="en-US" w:bidi="ar-SA"/>
        </w:rPr>
        <w:t>个性指标绩效分析</w:t>
      </w:r>
    </w:p>
    <w:p>
      <w:pPr>
        <w:widowControl/>
        <w:numPr>
          <w:ilvl w:val="0"/>
          <w:numId w:val="0"/>
        </w:numPr>
        <w:tabs>
          <w:tab w:val="left" w:pos="2160"/>
        </w:tabs>
        <w:spacing w:line="600" w:lineRule="exact"/>
        <w:ind w:firstLine="640" w:firstLineChars="200"/>
        <w:jc w:val="left"/>
        <w:rPr>
          <w:rFonts w:hint="eastAsia" w:ascii="仿宋_GB2312" w:hAnsi="Times New Roman" w:eastAsia="仿宋_GB2312" w:cs="仿宋_GB2312"/>
          <w:kern w:val="0"/>
          <w:position w:val="3"/>
          <w:sz w:val="32"/>
          <w:szCs w:val="32"/>
          <w:lang w:val="zh-CN" w:eastAsia="en-US" w:bidi="ar-SA"/>
        </w:rPr>
      </w:pPr>
      <w:r>
        <w:rPr>
          <w:rFonts w:hint="eastAsia" w:ascii="仿宋_GB2312" w:hAnsi="Times New Roman" w:eastAsia="仿宋_GB2312" w:cs="仿宋_GB2312"/>
          <w:kern w:val="0"/>
          <w:position w:val="3"/>
          <w:sz w:val="32"/>
          <w:szCs w:val="32"/>
          <w:lang w:val="zh-CN" w:eastAsia="en-US" w:bidi="ar-SA"/>
        </w:rPr>
        <w:t>根据项目设定指标如实完成。</w:t>
      </w:r>
    </w:p>
    <w:p>
      <w:pPr>
        <w:widowControl/>
        <w:numPr>
          <w:ilvl w:val="0"/>
          <w:numId w:val="12"/>
        </w:numPr>
        <w:tabs>
          <w:tab w:val="left" w:pos="2160"/>
        </w:tabs>
        <w:spacing w:line="600" w:lineRule="exact"/>
        <w:ind w:leftChars="200"/>
        <w:jc w:val="left"/>
        <w:rPr>
          <w:rFonts w:hint="eastAsia" w:ascii="黑体" w:hAnsi="宋体" w:eastAsia="黑体" w:cs="宋体"/>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评</w:t>
      </w:r>
      <w:r>
        <w:rPr>
          <w:rFonts w:hint="eastAsia" w:ascii="黑体" w:hAnsi="宋体" w:eastAsia="黑体" w:cs="宋体"/>
          <w:kern w:val="0"/>
          <w:position w:val="3"/>
          <w:sz w:val="32"/>
          <w:szCs w:val="32"/>
          <w:lang w:val="en-US" w:eastAsia="zh-CN" w:bidi="ar-SA"/>
        </w:rPr>
        <w:t>价结论</w:t>
      </w:r>
    </w:p>
    <w:p>
      <w:pPr>
        <w:widowControl/>
        <w:numPr>
          <w:ilvl w:val="0"/>
          <w:numId w:val="0"/>
        </w:numPr>
        <w:tabs>
          <w:tab w:val="left" w:pos="2160"/>
        </w:tabs>
        <w:spacing w:line="600" w:lineRule="exact"/>
        <w:ind w:firstLine="640" w:firstLineChars="200"/>
        <w:jc w:val="left"/>
        <w:rPr>
          <w:rFonts w:hint="eastAsia" w:ascii="仿宋_GB2312" w:hAnsi="仿宋_GB2312" w:eastAsia="仿宋_GB2312" w:cs="仿宋_GB2312"/>
          <w:kern w:val="2"/>
          <w:sz w:val="32"/>
          <w:szCs w:val="32"/>
        </w:rPr>
      </w:pPr>
      <w:r>
        <w:rPr>
          <w:rFonts w:hint="eastAsia" w:ascii="仿宋_GB2312" w:eastAsia="仿宋_GB2312" w:cs="Times New Roman"/>
          <w:kern w:val="2"/>
          <w:sz w:val="32"/>
          <w:szCs w:val="32"/>
          <w:u w:val="none"/>
        </w:rPr>
        <w:t>综合前述评估内容来看，该</w:t>
      </w:r>
      <w:r>
        <w:rPr>
          <w:rFonts w:hint="eastAsia" w:ascii="仿宋_GB2312" w:eastAsia="仿宋_GB2312" w:cs="Times New Roman"/>
          <w:color w:val="auto"/>
          <w:kern w:val="2"/>
          <w:sz w:val="32"/>
          <w:szCs w:val="32"/>
          <w:u w:val="none"/>
        </w:rPr>
        <w:t>项目</w:t>
      </w:r>
      <w:r>
        <w:rPr>
          <w:rFonts w:hint="eastAsia" w:ascii="仿宋_GB2312" w:eastAsia="仿宋_GB2312" w:cs="Times New Roman"/>
          <w:color w:val="auto"/>
          <w:kern w:val="2"/>
          <w:sz w:val="32"/>
          <w:szCs w:val="32"/>
          <w:u w:val="none"/>
          <w:lang w:val="en-US" w:eastAsia="zh-CN"/>
        </w:rPr>
        <w:t>依据</w:t>
      </w:r>
      <w:r>
        <w:rPr>
          <w:rFonts w:hint="eastAsia" w:ascii="仿宋_GB2312" w:eastAsia="仿宋_GB2312" w:cs="Times New Roman"/>
          <w:kern w:val="2"/>
          <w:sz w:val="32"/>
          <w:szCs w:val="32"/>
          <w:u w:val="none"/>
        </w:rPr>
        <w:t>充分，绩效目标明确，具有公共性，符合</w:t>
      </w:r>
      <w:r>
        <w:rPr>
          <w:rFonts w:hint="eastAsia" w:ascii="仿宋_GB2312" w:eastAsia="仿宋_GB2312" w:cs="Times New Roman"/>
          <w:kern w:val="2"/>
          <w:sz w:val="32"/>
          <w:szCs w:val="32"/>
          <w:u w:val="none"/>
          <w:lang w:val="en-US" w:eastAsia="zh-CN"/>
        </w:rPr>
        <w:t>对口支援资金</w:t>
      </w:r>
      <w:r>
        <w:rPr>
          <w:rFonts w:hint="eastAsia" w:ascii="仿宋_GB2312" w:eastAsia="仿宋_GB2312" w:cs="Times New Roman"/>
          <w:kern w:val="2"/>
          <w:sz w:val="32"/>
          <w:szCs w:val="32"/>
          <w:u w:val="none"/>
        </w:rPr>
        <w:t>支持方向。</w:t>
      </w:r>
      <w:r>
        <w:rPr>
          <w:rFonts w:hint="eastAsia" w:ascii="仿宋_GB2312" w:eastAsia="仿宋_GB2312" w:cs="Times New Roman"/>
          <w:kern w:val="2"/>
          <w:sz w:val="32"/>
          <w:szCs w:val="32"/>
          <w:u w:val="none"/>
          <w:lang w:val="en-US" w:eastAsia="zh-CN"/>
        </w:rPr>
        <w:t>项目预算12.00</w:t>
      </w:r>
      <w:r>
        <w:rPr>
          <w:rFonts w:hint="eastAsia" w:ascii="仿宋_GB2312" w:eastAsia="仿宋_GB2312" w:cs="Times New Roman"/>
          <w:kern w:val="2"/>
          <w:sz w:val="32"/>
          <w:szCs w:val="32"/>
          <w:u w:val="none"/>
        </w:rPr>
        <w:t>万</w:t>
      </w:r>
      <w:r>
        <w:rPr>
          <w:rFonts w:hint="eastAsia" w:ascii="仿宋_GB2312" w:eastAsia="仿宋_GB2312" w:cs="Times New Roman"/>
          <w:kern w:val="2"/>
          <w:sz w:val="32"/>
          <w:szCs w:val="32"/>
          <w:u w:val="none"/>
          <w:lang w:eastAsia="zh-CN"/>
        </w:rPr>
        <w:t>元，</w:t>
      </w:r>
      <w:r>
        <w:rPr>
          <w:rFonts w:hint="eastAsia" w:ascii="仿宋_GB2312" w:eastAsia="仿宋_GB2312" w:cs="Times New Roman"/>
          <w:kern w:val="2"/>
          <w:sz w:val="32"/>
          <w:szCs w:val="32"/>
          <w:u w:val="none"/>
        </w:rPr>
        <w:t>该项目申请</w:t>
      </w:r>
      <w:r>
        <w:rPr>
          <w:rFonts w:hint="eastAsia" w:ascii="仿宋_GB2312" w:eastAsia="仿宋_GB2312" w:cs="Times New Roman"/>
          <w:kern w:val="2"/>
          <w:sz w:val="32"/>
          <w:szCs w:val="32"/>
          <w:u w:val="none"/>
          <w:lang w:val="en-US" w:eastAsia="zh-CN"/>
        </w:rPr>
        <w:t>总</w:t>
      </w:r>
      <w:r>
        <w:rPr>
          <w:rFonts w:hint="eastAsia" w:ascii="仿宋_GB2312" w:eastAsia="仿宋_GB2312" w:cs="Times New Roman"/>
          <w:kern w:val="2"/>
          <w:sz w:val="32"/>
          <w:szCs w:val="32"/>
          <w:u w:val="none"/>
        </w:rPr>
        <w:t>资金</w:t>
      </w:r>
      <w:r>
        <w:rPr>
          <w:rFonts w:hint="eastAsia" w:ascii="仿宋_GB2312" w:eastAsia="仿宋_GB2312" w:cs="Times New Roman"/>
          <w:kern w:val="2"/>
          <w:sz w:val="32"/>
          <w:szCs w:val="32"/>
          <w:u w:val="none"/>
          <w:lang w:val="en-US" w:eastAsia="zh-CN"/>
        </w:rPr>
        <w:t>在预算内</w:t>
      </w:r>
      <w:r>
        <w:rPr>
          <w:rFonts w:hint="eastAsia" w:ascii="仿宋_GB2312" w:eastAsia="仿宋_GB2312" w:cs="Times New Roman"/>
          <w:kern w:val="2"/>
          <w:sz w:val="32"/>
          <w:szCs w:val="32"/>
          <w:u w:val="none"/>
        </w:rPr>
        <w:t>。我单位将进一步加强运行监控，提升资金效益，提升预算绩效管理水平</w:t>
      </w:r>
      <w:r>
        <w:rPr>
          <w:rFonts w:hint="eastAsia" w:ascii="仿宋_GB2312" w:cs="Times New Roman"/>
          <w:kern w:val="2"/>
          <w:sz w:val="32"/>
          <w:szCs w:val="32"/>
          <w:u w:val="none"/>
          <w:lang w:eastAsia="zh-CN"/>
        </w:rPr>
        <w:t>。</w:t>
      </w:r>
      <w:r>
        <w:rPr>
          <w:rFonts w:hint="eastAsia" w:ascii="仿宋_GB2312" w:eastAsia="仿宋_GB2312" w:cs="仿宋_GB2312"/>
          <w:kern w:val="0"/>
          <w:position w:val="0"/>
          <w:sz w:val="32"/>
          <w:szCs w:val="32"/>
          <w:highlight w:val="none"/>
          <w:u w:val="none"/>
          <w:shd w:val="clear" w:color="auto" w:fill="FFFFFF"/>
          <w:lang w:val="zh-CN" w:eastAsia="zh-CN" w:bidi="ar-SA"/>
        </w:rPr>
        <w:t>综合自评得分</w:t>
      </w:r>
      <w:r>
        <w:rPr>
          <w:rFonts w:hint="eastAsia" w:ascii="仿宋_GB2312" w:cs="仿宋_GB2312"/>
          <w:kern w:val="0"/>
          <w:position w:val="0"/>
          <w:sz w:val="32"/>
          <w:szCs w:val="32"/>
          <w:highlight w:val="none"/>
          <w:u w:val="none"/>
          <w:shd w:val="clear" w:color="auto" w:fill="FFFFFF"/>
          <w:lang w:val="en-US" w:eastAsia="zh-CN" w:bidi="ar-SA"/>
        </w:rPr>
        <w:t>85</w:t>
      </w:r>
      <w:r>
        <w:rPr>
          <w:rFonts w:hint="eastAsia" w:ascii="仿宋_GB2312" w:eastAsia="仿宋_GB2312" w:cs="仿宋_GB2312"/>
          <w:kern w:val="0"/>
          <w:position w:val="0"/>
          <w:sz w:val="32"/>
          <w:szCs w:val="32"/>
          <w:highlight w:val="none"/>
          <w:u w:val="none"/>
          <w:shd w:val="clear" w:color="auto" w:fill="FFFFFF"/>
          <w:lang w:val="zh-CN" w:eastAsia="zh-CN" w:bidi="ar-SA"/>
        </w:rPr>
        <w:t>分。</w:t>
      </w:r>
    </w:p>
    <w:p>
      <w:pPr>
        <w:spacing w:line="560" w:lineRule="exact"/>
        <w:ind w:left="49" w:firstLine="640" w:firstLineChars="200"/>
        <w:rPr>
          <w:rFonts w:hint="eastAsia" w:ascii="仿宋_GB2312" w:eastAsia="仿宋_GB2312" w:cs="Times New Roman"/>
          <w:kern w:val="2"/>
          <w:sz w:val="32"/>
          <w:szCs w:val="32"/>
          <w:u w:val="none"/>
          <w:lang w:val="zh-CN"/>
        </w:rPr>
      </w:pPr>
    </w:p>
    <w:p>
      <w:pPr>
        <w:keepNext/>
        <w:keepLines/>
        <w:widowControl w:val="0"/>
        <w:numPr>
          <w:ilvl w:val="0"/>
          <w:numId w:val="0"/>
        </w:numPr>
        <w:spacing w:before="280" w:after="156" w:line="377" w:lineRule="auto"/>
        <w:outlineLvl w:val="4"/>
        <w:rPr>
          <w:rFonts w:hint="eastAsia" w:ascii="Arial" w:hAnsi="Arial" w:eastAsia="黑体" w:cs="Times New Roman"/>
          <w:b/>
          <w:kern w:val="2"/>
          <w:sz w:val="24"/>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eastAsia="仿宋_GB2312" w:cs="仿宋_GB2312"/>
          <w:kern w:val="0"/>
          <w:sz w:val="32"/>
          <w:szCs w:val="32"/>
          <w:lang w:val="en-US" w:eastAsia="zh-CN"/>
        </w:rPr>
      </w:pPr>
    </w:p>
    <w:p>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pPr>
        <w:rPr>
          <w:rFonts w:hint="default" w:ascii="仿宋_GB2312" w:eastAsia="仿宋_GB2312" w:cs="仿宋_GB2312"/>
          <w:kern w:val="0"/>
          <w:sz w:val="32"/>
          <w:szCs w:val="32"/>
          <w:lang w:val="en-US" w:eastAsia="zh-CN"/>
        </w:rPr>
      </w:pPr>
    </w:p>
    <w:p>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pPr>
        <w:rPr>
          <w:rFonts w:hint="default" w:ascii="仿宋_GB2312" w:eastAsia="仿宋_GB2312" w:cs="仿宋_GB2312"/>
          <w:kern w:val="0"/>
          <w:sz w:val="32"/>
          <w:szCs w:val="32"/>
          <w:lang w:val="en-US" w:eastAsia="zh-CN"/>
        </w:rPr>
      </w:pPr>
    </w:p>
    <w:p>
      <w:pPr>
        <w:keepNext/>
        <w:keepLines/>
        <w:widowControl w:val="0"/>
        <w:spacing w:before="280" w:after="156" w:line="377" w:lineRule="auto"/>
        <w:outlineLvl w:val="4"/>
        <w:rPr>
          <w:rFonts w:hint="default" w:ascii="仿宋_GB2312" w:hAnsi="Arial" w:eastAsia="仿宋_GB2312" w:cs="仿宋_GB2312"/>
          <w:b/>
          <w:kern w:val="2"/>
          <w:sz w:val="32"/>
          <w:szCs w:val="32"/>
          <w:lang w:val="en-US" w:eastAsia="zh-CN" w:bidi="ar-SA"/>
        </w:rPr>
      </w:pPr>
    </w:p>
    <w:p>
      <w:pPr>
        <w:spacing w:line="600" w:lineRule="exact"/>
        <w:jc w:val="left"/>
        <w:outlineLvl w:val="0"/>
        <w:rPr>
          <w:rFonts w:hint="eastAsia" w:ascii="黑体" w:hAnsi="黑体" w:eastAsia="黑体" w:cs="黑体"/>
          <w:color w:val="000000"/>
          <w:sz w:val="32"/>
          <w:szCs w:val="32"/>
          <w:lang w:val="zh-CN" w:eastAsia="zh-CN"/>
        </w:rPr>
      </w:pPr>
    </w:p>
    <w:p>
      <w:pPr>
        <w:spacing w:line="60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zh-CN" w:eastAsia="zh-CN"/>
        </w:rPr>
        <w:t>附表</w:t>
      </w:r>
      <w:r>
        <w:rPr>
          <w:rFonts w:hint="eastAsia" w:ascii="黑体" w:hAnsi="黑体" w:eastAsia="黑体" w:cs="黑体"/>
          <w:color w:val="000000"/>
          <w:sz w:val="32"/>
          <w:szCs w:val="32"/>
          <w:lang w:eastAsia="zh-CN"/>
        </w:rPr>
        <w:t>1</w:t>
      </w:r>
    </w:p>
    <w:p>
      <w:pPr>
        <w:spacing w:line="578" w:lineRule="exact"/>
        <w:jc w:val="center"/>
        <w:rPr>
          <w:rFonts w:eastAsia="方正小标宋_GBK" w:cs="宋体"/>
          <w:kern w:val="0"/>
          <w:sz w:val="40"/>
          <w:szCs w:val="40"/>
        </w:rPr>
      </w:pPr>
      <w:r>
        <w:rPr>
          <w:rFonts w:hint="eastAsia" w:eastAsia="方正小标宋_GBK" w:cs="宋体"/>
          <w:kern w:val="0"/>
          <w:sz w:val="40"/>
          <w:szCs w:val="40"/>
        </w:rPr>
        <w:t>专项</w:t>
      </w:r>
      <w:r>
        <w:rPr>
          <w:rFonts w:eastAsia="方正小标宋_GBK" w:cs="宋体"/>
          <w:kern w:val="0"/>
          <w:sz w:val="40"/>
          <w:szCs w:val="40"/>
        </w:rPr>
        <w:t>预算绩效自评打分表</w:t>
      </w:r>
    </w:p>
    <w:tbl>
      <w:tblPr>
        <w:tblStyle w:val="26"/>
        <w:tblW w:w="8737" w:type="dxa"/>
        <w:jc w:val="center"/>
        <w:tblLayout w:type="fixed"/>
        <w:tblCellMar>
          <w:top w:w="0" w:type="dxa"/>
          <w:left w:w="108" w:type="dxa"/>
          <w:bottom w:w="0" w:type="dxa"/>
          <w:right w:w="108" w:type="dxa"/>
        </w:tblCellMar>
      </w:tblPr>
      <w:tblGrid>
        <w:gridCol w:w="576"/>
        <w:gridCol w:w="613"/>
        <w:gridCol w:w="661"/>
        <w:gridCol w:w="1086"/>
        <w:gridCol w:w="560"/>
        <w:gridCol w:w="4281"/>
        <w:gridCol w:w="586"/>
        <w:gridCol w:w="374"/>
      </w:tblGrid>
      <w:tr>
        <w:tblPrEx>
          <w:tblCellMar>
            <w:top w:w="0" w:type="dxa"/>
            <w:left w:w="108" w:type="dxa"/>
            <w:bottom w:w="0" w:type="dxa"/>
            <w:right w:w="108" w:type="dxa"/>
          </w:tblCellMar>
        </w:tblPrEx>
        <w:trPr>
          <w:trHeight w:val="242" w:hRule="atLeast"/>
          <w:jc w:val="center"/>
        </w:trPr>
        <w:tc>
          <w:tcPr>
            <w:tcW w:w="3496" w:type="dxa"/>
            <w:gridSpan w:val="5"/>
            <w:tcBorders>
              <w:top w:val="single" w:color="000000" w:sz="4" w:space="0"/>
              <w:left w:val="single" w:color="000000" w:sz="4" w:space="0"/>
              <w:bottom w:val="nil"/>
              <w:right w:val="nil"/>
            </w:tcBorders>
            <w:noWrap w:val="0"/>
            <w:vAlign w:val="center"/>
          </w:tcPr>
          <w:p>
            <w:pPr>
              <w:widowControl/>
              <w:spacing w:line="240" w:lineRule="exact"/>
              <w:jc w:val="center"/>
              <w:textAlignment w:val="center"/>
              <w:rPr>
                <w:rFonts w:ascii="黑体" w:hAnsi="宋体" w:eastAsia="黑体" w:cs="黑体"/>
                <w:color w:val="000000"/>
                <w:kern w:val="0"/>
                <w:sz w:val="24"/>
                <w:szCs w:val="24"/>
              </w:rPr>
            </w:pPr>
            <w:r>
              <w:rPr>
                <w:rFonts w:hint="eastAsia" w:ascii="黑体" w:hAnsi="宋体" w:eastAsia="黑体" w:cs="黑体"/>
                <w:color w:val="000000"/>
                <w:kern w:val="0"/>
                <w:sz w:val="24"/>
                <w:szCs w:val="24"/>
                <w:lang w:bidi="ar"/>
              </w:rPr>
              <w:t>绩效评价指标</w:t>
            </w:r>
          </w:p>
        </w:tc>
        <w:tc>
          <w:tcPr>
            <w:tcW w:w="428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lang w:bidi="ar"/>
              </w:rPr>
              <w:t>指标解释</w:t>
            </w:r>
          </w:p>
        </w:tc>
        <w:tc>
          <w:tcPr>
            <w:tcW w:w="586"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自评得分</w:t>
            </w:r>
          </w:p>
        </w:tc>
        <w:tc>
          <w:tcPr>
            <w:tcW w:w="374"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902"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lang w:bidi="ar"/>
              </w:rPr>
              <w:t>一级指标</w:t>
            </w:r>
          </w:p>
        </w:tc>
        <w:tc>
          <w:tcPr>
            <w:tcW w:w="12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lang w:bidi="ar"/>
              </w:rPr>
              <w:t>二级指标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lang w:bidi="ar"/>
              </w:rPr>
              <w:t>三级指标</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lang w:bidi="ar"/>
              </w:rPr>
              <w:t>指标</w:t>
            </w:r>
            <w:r>
              <w:rPr>
                <w:rFonts w:hint="eastAsia" w:ascii="黑体" w:hAnsi="宋体" w:eastAsia="黑体" w:cs="黑体"/>
                <w:color w:val="000000"/>
                <w:kern w:val="0"/>
                <w:sz w:val="24"/>
                <w:szCs w:val="24"/>
                <w:lang w:bidi="ar"/>
              </w:rPr>
              <w:br w:type="textWrapping"/>
            </w:r>
            <w:r>
              <w:rPr>
                <w:rFonts w:hint="eastAsia" w:ascii="黑体" w:hAnsi="宋体" w:eastAsia="黑体" w:cs="黑体"/>
                <w:color w:val="000000"/>
                <w:kern w:val="0"/>
                <w:sz w:val="24"/>
                <w:szCs w:val="24"/>
                <w:lang w:bidi="ar"/>
              </w:rPr>
              <w:t>分值</w:t>
            </w:r>
          </w:p>
        </w:tc>
        <w:tc>
          <w:tcPr>
            <w:tcW w:w="428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kern w:val="0"/>
                <w:sz w:val="24"/>
                <w:szCs w:val="24"/>
              </w:rPr>
            </w:pPr>
          </w:p>
        </w:tc>
        <w:tc>
          <w:tcPr>
            <w:tcW w:w="586"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kern w:val="0"/>
                <w:sz w:val="24"/>
                <w:szCs w:val="24"/>
              </w:rPr>
            </w:pPr>
          </w:p>
        </w:tc>
        <w:tc>
          <w:tcPr>
            <w:tcW w:w="374"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黑体" w:hAnsi="宋体" w:eastAsia="黑体" w:cs="黑体"/>
                <w:color w:val="000000"/>
                <w:kern w:val="0"/>
                <w:sz w:val="24"/>
                <w:szCs w:val="24"/>
              </w:rPr>
            </w:pPr>
          </w:p>
        </w:tc>
      </w:tr>
      <w:tr>
        <w:tblPrEx>
          <w:tblCellMar>
            <w:top w:w="0" w:type="dxa"/>
            <w:left w:w="108" w:type="dxa"/>
            <w:bottom w:w="0" w:type="dxa"/>
            <w:right w:w="108" w:type="dxa"/>
          </w:tblCellMar>
        </w:tblPrEx>
        <w:trPr>
          <w:trHeight w:val="24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通用指标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（54分）</w:t>
            </w: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项目决策</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决策程序</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项目决策程序是否严密</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规划论证</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项目规划论证是否符合中省要求，项目绩效目标设置是否科学合理</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9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资金投向</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项目资金是否与项目总体规划、相关行业事业发展相匹配，是否聚焦重大任务、重点领域、重点环节和重点项目</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项目管理</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（18分）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制度办法</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项目制度办法是否体系健全、要素完备</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分配管理</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项目资金分配因素选取、权重设置、区域分布，项目管理、审批是否符合管理要求</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绩效监管</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管资金、项目、政策是否管绩效，项目绩效监管是否按要求开展，对下指导是否有力有效</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项目实施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预算执行</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项目资金财政拨付、单位执行和地方配套到位情况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资金使用</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资金使用拨付、项目实施是否符合规定</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项目结果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（9分）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目标完成</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项目是否完成预期目标，实施结果是否与绩效目标相匹配，反映目标实现程度</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完成时效</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项目实际完成时间与计划完成时间的比较</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产业发展</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符合性</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项目实施是否与省委省政府支持重点、产业支持政策符合</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7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成长性</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项目实施对相关企业（机构）成长性的促进作用，主要反映支持对象创新创造创业能力情况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经济性</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项目实施对相关企业（机构）主营业务收入、净利润、税收、产量等方面增长情况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民生保障</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区域均衡性</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项目资金分配体现的均衡公平情况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对象精准性</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资金实际支持对象是否符合管理要求，是否符合支持对象范围</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标准合理性</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资金实际补贴标准是否符合资金管理办法规定的补助标准，是否及时按标准兑现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群众满意度</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资金涉及相关受益群体、支持对象的满意度调查访谈情况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基础</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设施</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在建</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工程进度</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15</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项目是否达到计划工程进度</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资金拨付</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15</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项目是否达到预先确定的资金拨付进度</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建成</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项目</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项目验收</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项目验收是否及时合格</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24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功能实现</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项目经济社会功能是否实现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60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后续管护</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项目后续维护是否实现</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专用指标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2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行政运转</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（30分）</w:t>
            </w:r>
          </w:p>
        </w:tc>
        <w:tc>
          <w:tcPr>
            <w:tcW w:w="108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用途合规性</w:t>
            </w:r>
          </w:p>
        </w:tc>
        <w:tc>
          <w:tcPr>
            <w:tcW w:w="56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是否按规定用途、适用范围进行本地区专项资金分配</w:t>
            </w:r>
          </w:p>
        </w:tc>
        <w:tc>
          <w:tcPr>
            <w:tcW w:w="58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4"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程序合规性</w:t>
            </w:r>
          </w:p>
        </w:tc>
        <w:tc>
          <w:tcPr>
            <w:tcW w:w="56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资金管理程序是否符合专项资金管理要求</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6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标准合规性</w:t>
            </w:r>
          </w:p>
        </w:tc>
        <w:tc>
          <w:tcPr>
            <w:tcW w:w="56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资金分配标准是否符合专项资金管理要求</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宋体" w:hAnsi="宋体" w:eastAsia="宋体" w:cs="宋体"/>
                <w:color w:val="000000"/>
                <w:kern w:val="0"/>
                <w:sz w:val="24"/>
                <w:szCs w:val="24"/>
                <w:lang w:val="en-US" w:eastAsia="zh-CN"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56" w:hRule="atLeast"/>
          <w:jc w:val="center"/>
        </w:trPr>
        <w:tc>
          <w:tcPr>
            <w:tcW w:w="18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个性指标</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（16分）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428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根据项目个性自行设定部分指标，反映该项指标执行完成情况。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456" w:hRule="atLeast"/>
          <w:jc w:val="center"/>
        </w:trPr>
        <w:tc>
          <w:tcPr>
            <w:tcW w:w="18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428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kern w:val="0"/>
                <w:sz w:val="24"/>
                <w:szCs w:val="24"/>
              </w:rPr>
            </w:pP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kern w:val="0"/>
                <w:sz w:val="24"/>
                <w:szCs w:val="24"/>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6" w:hRule="atLeast"/>
          <w:jc w:val="center"/>
        </w:trPr>
        <w:tc>
          <w:tcPr>
            <w:tcW w:w="18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宋体" w:hAnsi="宋体" w:eastAsia="宋体" w:cs="宋体"/>
                <w:b/>
                <w:color w:val="000000"/>
                <w:kern w:val="0"/>
                <w:sz w:val="24"/>
                <w:szCs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428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kern w:val="0"/>
                <w:sz w:val="24"/>
                <w:szCs w:val="24"/>
              </w:rPr>
            </w:pP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kern w:val="0"/>
                <w:sz w:val="24"/>
                <w:szCs w:val="24"/>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709" w:hRule="atLeast"/>
          <w:jc w:val="center"/>
        </w:trPr>
        <w:tc>
          <w:tcPr>
            <w:tcW w:w="18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bidi="ar"/>
              </w:rPr>
              <w:t>扣分项</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（10分）</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被评价</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部门配合度</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w:t>
            </w:r>
          </w:p>
        </w:tc>
        <w:tc>
          <w:tcPr>
            <w:tcW w:w="42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被评价对象工作配合情况</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c>
          <w:tcPr>
            <w:tcW w:w="3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宋体" w:cs="宋体"/>
                <w:color w:val="000000"/>
                <w:kern w:val="0"/>
                <w:sz w:val="24"/>
                <w:szCs w:val="24"/>
                <w:lang w:bidi="ar"/>
              </w:rPr>
            </w:pPr>
          </w:p>
        </w:tc>
      </w:tr>
    </w:tbl>
    <w:p>
      <w:pPr>
        <w:spacing w:line="60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zh-CN" w:eastAsia="zh-CN"/>
        </w:rPr>
        <w:t>附表</w:t>
      </w:r>
      <w:r>
        <w:rPr>
          <w:rFonts w:hint="eastAsia" w:ascii="黑体" w:hAnsi="黑体" w:eastAsia="黑体" w:cs="黑体"/>
          <w:color w:val="000000"/>
          <w:sz w:val="32"/>
          <w:szCs w:val="32"/>
          <w:lang w:eastAsia="zh-CN"/>
        </w:rPr>
        <w:t>2</w:t>
      </w:r>
    </w:p>
    <w:tbl>
      <w:tblPr>
        <w:tblStyle w:val="26"/>
        <w:tblW w:w="9260" w:type="dxa"/>
        <w:jc w:val="center"/>
        <w:tblLayout w:type="fixed"/>
        <w:tblCellMar>
          <w:top w:w="15" w:type="dxa"/>
          <w:left w:w="15" w:type="dxa"/>
          <w:bottom w:w="15" w:type="dxa"/>
          <w:right w:w="15" w:type="dxa"/>
        </w:tblCellMar>
      </w:tblPr>
      <w:tblGrid>
        <w:gridCol w:w="590"/>
        <w:gridCol w:w="978"/>
        <w:gridCol w:w="1131"/>
        <w:gridCol w:w="1187"/>
        <w:gridCol w:w="1019"/>
        <w:gridCol w:w="878"/>
        <w:gridCol w:w="960"/>
        <w:gridCol w:w="848"/>
        <w:gridCol w:w="1669"/>
      </w:tblGrid>
      <w:tr>
        <w:tblPrEx>
          <w:tblCellMar>
            <w:top w:w="15" w:type="dxa"/>
            <w:left w:w="15" w:type="dxa"/>
            <w:bottom w:w="15" w:type="dxa"/>
            <w:right w:w="15" w:type="dxa"/>
          </w:tblCellMar>
        </w:tblPrEx>
        <w:trPr>
          <w:trHeight w:val="608" w:hRule="atLeast"/>
          <w:jc w:val="center"/>
        </w:trPr>
        <w:tc>
          <w:tcPr>
            <w:tcW w:w="9260" w:type="dxa"/>
            <w:gridSpan w:val="9"/>
            <w:noWrap w:val="0"/>
            <w:vAlign w:val="center"/>
          </w:tcPr>
          <w:p>
            <w:pPr>
              <w:widowControl/>
              <w:spacing w:line="600" w:lineRule="exact"/>
              <w:jc w:val="center"/>
              <w:textAlignment w:val="center"/>
              <w:rPr>
                <w:rFonts w:eastAsia="黑体" w:cs="宋体"/>
                <w:color w:val="000000"/>
                <w:kern w:val="0"/>
                <w:sz w:val="30"/>
                <w:szCs w:val="30"/>
              </w:rPr>
            </w:pPr>
            <w:r>
              <w:rPr>
                <w:rFonts w:eastAsia="方正小标宋简体" w:cs="宋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618" w:hRule="atLeast"/>
          <w:jc w:val="center"/>
        </w:trPr>
        <w:tc>
          <w:tcPr>
            <w:tcW w:w="388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项目名称</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茂县供销合作社联合社2024年度“发展数智茂农，共创云链供销”交融交往资金项目</w:t>
            </w:r>
          </w:p>
        </w:tc>
      </w:tr>
      <w:tr>
        <w:tblPrEx>
          <w:tblCellMar>
            <w:top w:w="15" w:type="dxa"/>
            <w:left w:w="15" w:type="dxa"/>
            <w:bottom w:w="15" w:type="dxa"/>
            <w:right w:w="15" w:type="dxa"/>
          </w:tblCellMar>
        </w:tblPrEx>
        <w:trPr>
          <w:trHeight w:val="481" w:hRule="atLeast"/>
          <w:jc w:val="center"/>
        </w:trPr>
        <w:tc>
          <w:tcPr>
            <w:tcW w:w="388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预算单位</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茂县供销合作社联合社</w:t>
            </w:r>
          </w:p>
        </w:tc>
      </w:tr>
      <w:tr>
        <w:tblPrEx>
          <w:tblCellMar>
            <w:top w:w="15" w:type="dxa"/>
            <w:left w:w="15" w:type="dxa"/>
            <w:bottom w:w="15" w:type="dxa"/>
            <w:right w:w="15" w:type="dxa"/>
          </w:tblCellMar>
        </w:tblPrEx>
        <w:trPr>
          <w:trHeight w:val="329" w:hRule="atLeast"/>
          <w:jc w:val="center"/>
        </w:trPr>
        <w:tc>
          <w:tcPr>
            <w:tcW w:w="388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项目类型</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文化交流</w:t>
            </w:r>
          </w:p>
        </w:tc>
      </w:tr>
      <w:tr>
        <w:tblPrEx>
          <w:tblCellMar>
            <w:top w:w="15" w:type="dxa"/>
            <w:left w:w="15" w:type="dxa"/>
            <w:bottom w:w="15" w:type="dxa"/>
            <w:right w:w="15" w:type="dxa"/>
          </w:tblCellMar>
        </w:tblPrEx>
        <w:trPr>
          <w:trHeight w:val="618"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s="宋体"/>
                <w:color w:val="000000"/>
                <w:kern w:val="0"/>
                <w:sz w:val="24"/>
                <w:szCs w:val="24"/>
              </w:rPr>
            </w:pPr>
            <w:r>
              <w:rPr>
                <w:rFonts w:eastAsia="宋体" w:cs="宋体"/>
                <w:color w:val="000000"/>
                <w:kern w:val="0"/>
                <w:sz w:val="24"/>
                <w:szCs w:val="24"/>
                <w:lang w:bidi="ar"/>
              </w:rPr>
              <w:t>项目 概况</w:t>
            </w: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lang w:bidi="ar"/>
              </w:rPr>
            </w:pPr>
            <w:r>
              <w:rPr>
                <w:rFonts w:eastAsia="宋体" w:cs="宋体"/>
                <w:color w:val="000000"/>
                <w:kern w:val="0"/>
                <w:sz w:val="24"/>
                <w:szCs w:val="24"/>
                <w:lang w:bidi="ar"/>
              </w:rPr>
              <w:t>中长期规划（名称、文号，仅指</w:t>
            </w:r>
          </w:p>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常年项目）</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《平湖-茂县东西部协作框架协议》《供销合作暨数字农业和服务平台共建协议》</w:t>
            </w:r>
          </w:p>
        </w:tc>
      </w:tr>
      <w:tr>
        <w:tblPrEx>
          <w:tblCellMar>
            <w:top w:w="15" w:type="dxa"/>
            <w:left w:w="15" w:type="dxa"/>
            <w:bottom w:w="15" w:type="dxa"/>
            <w:right w:w="15" w:type="dxa"/>
          </w:tblCellMar>
        </w:tblPrEx>
        <w:trPr>
          <w:trHeight w:val="329"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资金管理办法（名称、文号）</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618"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绩效分配方式</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£因素法</w:t>
            </w:r>
          </w:p>
        </w:tc>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£项目法</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£据实据效</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£因素法与项目法相结合</w:t>
            </w:r>
          </w:p>
        </w:tc>
      </w:tr>
      <w:tr>
        <w:tblPrEx>
          <w:tblCellMar>
            <w:top w:w="15" w:type="dxa"/>
            <w:left w:w="15" w:type="dxa"/>
            <w:bottom w:w="15" w:type="dxa"/>
            <w:right w:w="15" w:type="dxa"/>
          </w:tblCellMar>
        </w:tblPrEx>
        <w:trPr>
          <w:trHeight w:val="329"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立项依据</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329"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使用范围</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618"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申报（补助）条件</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该项目依据充分，绩效目标明确，具备实施条件，具有公共性，符合对口援建资金支持方向。</w:t>
            </w:r>
          </w:p>
        </w:tc>
      </w:tr>
      <w:tr>
        <w:tblPrEx>
          <w:tblCellMar>
            <w:top w:w="15" w:type="dxa"/>
            <w:left w:w="15" w:type="dxa"/>
            <w:bottom w:w="15" w:type="dxa"/>
            <w:right w:w="15" w:type="dxa"/>
          </w:tblCellMar>
        </w:tblPrEx>
        <w:trPr>
          <w:trHeight w:val="329"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32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项目起止年限</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2024年</w:t>
            </w:r>
          </w:p>
        </w:tc>
      </w:tr>
      <w:tr>
        <w:tblPrEx>
          <w:tblCellMar>
            <w:top w:w="15" w:type="dxa"/>
            <w:left w:w="15" w:type="dxa"/>
            <w:bottom w:w="15" w:type="dxa"/>
            <w:right w:w="15" w:type="dxa"/>
          </w:tblCellMar>
        </w:tblPrEx>
        <w:trPr>
          <w:trHeight w:val="329" w:hRule="atLeast"/>
          <w:jc w:val="center"/>
        </w:trPr>
        <w:tc>
          <w:tcPr>
            <w:tcW w:w="156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s="宋体"/>
                <w:color w:val="000000"/>
                <w:kern w:val="0"/>
                <w:sz w:val="24"/>
                <w:szCs w:val="24"/>
                <w:lang w:bidi="ar"/>
              </w:rPr>
            </w:pPr>
            <w:r>
              <w:rPr>
                <w:rFonts w:eastAsia="宋体" w:cs="宋体"/>
                <w:color w:val="000000"/>
                <w:kern w:val="0"/>
                <w:sz w:val="24"/>
                <w:szCs w:val="24"/>
                <w:lang w:bidi="ar"/>
              </w:rPr>
              <w:t>项目资金</w:t>
            </w:r>
          </w:p>
          <w:p>
            <w:pPr>
              <w:widowControl/>
              <w:spacing w:line="300" w:lineRule="exact"/>
              <w:jc w:val="center"/>
              <w:textAlignment w:val="center"/>
              <w:rPr>
                <w:rFonts w:eastAsia="宋体" w:cs="宋体"/>
                <w:color w:val="000000"/>
                <w:kern w:val="0"/>
                <w:sz w:val="24"/>
                <w:szCs w:val="24"/>
              </w:rPr>
            </w:pPr>
            <w:r>
              <w:rPr>
                <w:rFonts w:eastAsia="宋体" w:cs="宋体"/>
                <w:color w:val="000000"/>
                <w:kern w:val="0"/>
                <w:sz w:val="24"/>
                <w:szCs w:val="24"/>
                <w:lang w:bidi="ar"/>
              </w:rPr>
              <w:t>（万元）</w:t>
            </w:r>
          </w:p>
        </w:tc>
        <w:tc>
          <w:tcPr>
            <w:tcW w:w="23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 xml:space="preserve">  年度资金总额：</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12</w:t>
            </w:r>
          </w:p>
        </w:tc>
      </w:tr>
      <w:tr>
        <w:tblPrEx>
          <w:tblCellMar>
            <w:top w:w="15" w:type="dxa"/>
            <w:left w:w="15" w:type="dxa"/>
            <w:bottom w:w="15" w:type="dxa"/>
            <w:right w:w="15" w:type="dxa"/>
          </w:tblCellMar>
        </w:tblPrEx>
        <w:trPr>
          <w:trHeight w:val="329" w:hRule="atLeast"/>
          <w:jc w:val="center"/>
        </w:trPr>
        <w:tc>
          <w:tcPr>
            <w:tcW w:w="15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23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 xml:space="preserve">      其中：财政拨款</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12</w:t>
            </w:r>
          </w:p>
        </w:tc>
      </w:tr>
      <w:tr>
        <w:tblPrEx>
          <w:tblCellMar>
            <w:top w:w="15" w:type="dxa"/>
            <w:left w:w="15" w:type="dxa"/>
            <w:bottom w:w="15" w:type="dxa"/>
            <w:right w:w="15" w:type="dxa"/>
          </w:tblCellMar>
        </w:tblPrEx>
        <w:trPr>
          <w:trHeight w:val="329" w:hRule="atLeast"/>
          <w:jc w:val="center"/>
        </w:trPr>
        <w:tc>
          <w:tcPr>
            <w:tcW w:w="156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23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s="宋体"/>
                <w:color w:val="000000"/>
                <w:kern w:val="0"/>
                <w:sz w:val="24"/>
                <w:szCs w:val="24"/>
              </w:rPr>
            </w:pPr>
            <w:r>
              <w:rPr>
                <w:rFonts w:eastAsia="宋体" w:cs="宋体"/>
                <w:color w:val="000000"/>
                <w:kern w:val="0"/>
                <w:sz w:val="24"/>
                <w:szCs w:val="24"/>
                <w:lang w:bidi="ar"/>
              </w:rPr>
              <w:t xml:space="preserve">            其他资金</w:t>
            </w:r>
          </w:p>
        </w:tc>
        <w:tc>
          <w:tcPr>
            <w:tcW w:w="537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宋体" w:cs="Times New Roman"/>
                <w:color w:val="000000"/>
                <w:kern w:val="0"/>
                <w:sz w:val="24"/>
                <w:szCs w:val="24"/>
                <w:lang w:bidi="ar"/>
              </w:rPr>
            </w:pPr>
          </w:p>
        </w:tc>
      </w:tr>
      <w:tr>
        <w:tblPrEx>
          <w:tblCellMar>
            <w:top w:w="15" w:type="dxa"/>
            <w:left w:w="15" w:type="dxa"/>
            <w:bottom w:w="15" w:type="dxa"/>
            <w:right w:w="15" w:type="dxa"/>
          </w:tblCellMar>
        </w:tblPrEx>
        <w:trPr>
          <w:trHeight w:val="329"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s="宋体"/>
                <w:color w:val="000000"/>
                <w:kern w:val="0"/>
                <w:sz w:val="24"/>
                <w:szCs w:val="24"/>
              </w:rPr>
            </w:pPr>
            <w:r>
              <w:rPr>
                <w:rFonts w:eastAsia="宋体" w:cs="宋体"/>
                <w:color w:val="000000"/>
                <w:kern w:val="0"/>
                <w:sz w:val="24"/>
                <w:szCs w:val="24"/>
                <w:lang w:bidi="ar"/>
              </w:rPr>
              <w:t>总体 目标</w:t>
            </w:r>
          </w:p>
        </w:tc>
        <w:tc>
          <w:tcPr>
            <w:tcW w:w="86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s="宋体"/>
                <w:color w:val="000000"/>
                <w:kern w:val="0"/>
                <w:sz w:val="24"/>
                <w:szCs w:val="24"/>
              </w:rPr>
            </w:pPr>
            <w:r>
              <w:rPr>
                <w:rFonts w:eastAsia="宋体" w:cs="宋体"/>
                <w:color w:val="000000"/>
                <w:kern w:val="0"/>
                <w:sz w:val="24"/>
                <w:szCs w:val="24"/>
                <w:lang w:bidi="ar"/>
              </w:rPr>
              <w:t>年度目标</w:t>
            </w:r>
          </w:p>
        </w:tc>
      </w:tr>
      <w:tr>
        <w:tblPrEx>
          <w:tblCellMar>
            <w:top w:w="15" w:type="dxa"/>
            <w:left w:w="15" w:type="dxa"/>
            <w:bottom w:w="15" w:type="dxa"/>
            <w:right w:w="15" w:type="dxa"/>
          </w:tblCellMar>
        </w:tblPrEx>
        <w:trPr>
          <w:trHeight w:val="618"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s="宋体"/>
                <w:color w:val="000000"/>
                <w:kern w:val="0"/>
                <w:sz w:val="24"/>
                <w:szCs w:val="24"/>
              </w:rPr>
            </w:pPr>
          </w:p>
        </w:tc>
        <w:tc>
          <w:tcPr>
            <w:tcW w:w="86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为持续推进茂县农产品的品质和拓宽销售渠道，助推乡村振兴，在结对助农、服务资源共享、农业品牌共推、数字转型共谋等方面深化协作。</w:t>
            </w:r>
          </w:p>
        </w:tc>
      </w:tr>
      <w:tr>
        <w:tblPrEx>
          <w:tblCellMar>
            <w:top w:w="15" w:type="dxa"/>
            <w:left w:w="15" w:type="dxa"/>
            <w:bottom w:w="15" w:type="dxa"/>
            <w:right w:w="15" w:type="dxa"/>
          </w:tblCellMar>
        </w:tblPrEx>
        <w:trPr>
          <w:trHeight w:val="329" w:hRule="atLeast"/>
          <w:jc w:val="center"/>
        </w:trPr>
        <w:tc>
          <w:tcPr>
            <w:tcW w:w="590" w:type="dxa"/>
            <w:vMerge w:val="restart"/>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绩效 指标</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一级指标</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二级指标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三级指标</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指标性质</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指标值</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度量单位</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权重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实际完成指标值</w:t>
            </w:r>
          </w:p>
        </w:tc>
      </w:tr>
      <w:tr>
        <w:tblPrEx>
          <w:tblCellMar>
            <w:top w:w="15" w:type="dxa"/>
            <w:left w:w="15" w:type="dxa"/>
            <w:bottom w:w="15" w:type="dxa"/>
            <w:right w:w="15" w:type="dxa"/>
          </w:tblCellMar>
        </w:tblPrEx>
        <w:trPr>
          <w:trHeight w:val="329"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产出指标</w:t>
            </w:r>
          </w:p>
        </w:tc>
        <w:tc>
          <w:tcPr>
            <w:tcW w:w="1131" w:type="dxa"/>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数量指标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eastAsia="zh-CN" w:bidi="ar"/>
              </w:rPr>
              <w:t>参加“2024平湖西瓜灯节”</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=1次</w:t>
            </w:r>
          </w:p>
        </w:tc>
      </w:tr>
      <w:tr>
        <w:tblPrEx>
          <w:tblCellMar>
            <w:top w:w="15" w:type="dxa"/>
            <w:left w:w="15" w:type="dxa"/>
            <w:bottom w:w="15" w:type="dxa"/>
            <w:right w:w="15" w:type="dxa"/>
          </w:tblCellMar>
        </w:tblPrEx>
        <w:trPr>
          <w:trHeight w:val="907"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vMerge w:val="continue"/>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31" w:type="dxa"/>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eastAsia="zh-CN" w:bidi="ar"/>
              </w:rPr>
              <w:t>赴杭州、嘉兴进行培训学习交流</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=1次</w:t>
            </w:r>
          </w:p>
        </w:tc>
      </w:tr>
      <w:tr>
        <w:tblPrEx>
          <w:tblCellMar>
            <w:top w:w="15" w:type="dxa"/>
            <w:left w:w="15" w:type="dxa"/>
            <w:bottom w:w="15" w:type="dxa"/>
            <w:right w:w="15" w:type="dxa"/>
          </w:tblCellMar>
        </w:tblPrEx>
        <w:trPr>
          <w:trHeight w:val="329"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vMerge w:val="continue"/>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31" w:type="dxa"/>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87" w:type="dxa"/>
            <w:tcBorders>
              <w:top w:val="single" w:color="000000" w:sz="4" w:space="0"/>
              <w:left w:val="single" w:color="000000"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eastAsia="zh-CN" w:bidi="ar"/>
              </w:rPr>
              <w:t>赴浙江人数</w:t>
            </w:r>
          </w:p>
        </w:tc>
        <w:tc>
          <w:tcPr>
            <w:tcW w:w="1019"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11</w:t>
            </w:r>
          </w:p>
        </w:tc>
        <w:tc>
          <w:tcPr>
            <w:tcW w:w="960"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人</w:t>
            </w:r>
          </w:p>
        </w:tc>
        <w:tc>
          <w:tcPr>
            <w:tcW w:w="848"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=11人</w:t>
            </w:r>
          </w:p>
        </w:tc>
      </w:tr>
      <w:tr>
        <w:tblPrEx>
          <w:tblCellMar>
            <w:top w:w="15" w:type="dxa"/>
            <w:left w:w="15" w:type="dxa"/>
            <w:bottom w:w="15" w:type="dxa"/>
            <w:right w:w="15" w:type="dxa"/>
          </w:tblCellMar>
        </w:tblPrEx>
        <w:trPr>
          <w:trHeight w:val="618"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31" w:type="dxa"/>
            <w:vMerge w:val="restart"/>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时效指标</w:t>
            </w:r>
          </w:p>
        </w:tc>
        <w:tc>
          <w:tcPr>
            <w:tcW w:w="1187"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培训学习交流时间</w:t>
            </w:r>
          </w:p>
        </w:tc>
        <w:tc>
          <w:tcPr>
            <w:tcW w:w="1019"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7</w:t>
            </w:r>
          </w:p>
        </w:tc>
        <w:tc>
          <w:tcPr>
            <w:tcW w:w="96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天</w:t>
            </w:r>
          </w:p>
        </w:tc>
        <w:tc>
          <w:tcPr>
            <w:tcW w:w="84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669"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≥7天</w:t>
            </w:r>
          </w:p>
        </w:tc>
      </w:tr>
      <w:tr>
        <w:tblPrEx>
          <w:tblCellMar>
            <w:top w:w="15" w:type="dxa"/>
            <w:left w:w="15" w:type="dxa"/>
            <w:bottom w:w="15" w:type="dxa"/>
            <w:right w:w="15" w:type="dxa"/>
          </w:tblCellMar>
        </w:tblPrEx>
        <w:trPr>
          <w:trHeight w:val="685"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按时完成交流交往项目</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90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10</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≥90%</w:t>
            </w:r>
          </w:p>
        </w:tc>
      </w:tr>
      <w:tr>
        <w:tblPrEx>
          <w:tblCellMar>
            <w:top w:w="15" w:type="dxa"/>
            <w:left w:w="15" w:type="dxa"/>
            <w:bottom w:w="15" w:type="dxa"/>
            <w:right w:w="15" w:type="dxa"/>
          </w:tblCellMar>
        </w:tblPrEx>
        <w:trPr>
          <w:trHeight w:val="748"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效益指标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社会效益</w:t>
            </w:r>
          </w:p>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展示展销茂县农特产品</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种</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val="en-US" w:eastAsia="zh-CN" w:bidi="ar"/>
              </w:rPr>
              <w:t>3种</w:t>
            </w:r>
          </w:p>
        </w:tc>
      </w:tr>
      <w:tr>
        <w:tblPrEx>
          <w:tblCellMar>
            <w:top w:w="15" w:type="dxa"/>
            <w:left w:w="15" w:type="dxa"/>
            <w:bottom w:w="15" w:type="dxa"/>
            <w:right w:w="15" w:type="dxa"/>
          </w:tblCellMar>
        </w:tblPrEx>
        <w:trPr>
          <w:trHeight w:val="1023"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满意度</w:t>
            </w:r>
          </w:p>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服务对象</w:t>
            </w:r>
          </w:p>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满意度指标</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农户、受益群众的满意度</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val="en-US" w:eastAsia="zh-CN" w:bidi="ar"/>
              </w:rPr>
              <w:t>≥</w:t>
            </w: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90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300" w:lineRule="exact"/>
              <w:jc w:val="center"/>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≥9</w:t>
            </w:r>
            <w:r>
              <w:rPr>
                <w:rFonts w:hint="eastAsia" w:ascii="Times New Roman" w:hAnsi="Times New Roman" w:eastAsia="宋体" w:cs="Times New Roman"/>
                <w:color w:val="000000"/>
                <w:kern w:val="0"/>
                <w:sz w:val="24"/>
                <w:szCs w:val="24"/>
                <w:lang w:val="en-US" w:eastAsia="zh-CN" w:bidi="ar"/>
              </w:rPr>
              <w:t>0</w:t>
            </w:r>
            <w:r>
              <w:rPr>
                <w:rFonts w:hint="eastAsia" w:ascii="Times New Roman" w:hAnsi="Times New Roman" w:eastAsia="宋体" w:cs="Times New Roman"/>
                <w:color w:val="000000"/>
                <w:kern w:val="0"/>
                <w:sz w:val="24"/>
                <w:szCs w:val="24"/>
                <w:lang w:bidi="ar"/>
              </w:rPr>
              <w:t>%</w:t>
            </w:r>
          </w:p>
        </w:tc>
      </w:tr>
    </w:tbl>
    <w:p>
      <w:pPr>
        <w:widowControl w:val="0"/>
        <w:spacing w:after="0" w:line="20" w:lineRule="exact"/>
        <w:ind w:left="200" w:leftChars="0" w:firstLine="480" w:firstLineChars="200"/>
        <w:jc w:val="both"/>
        <w:rPr>
          <w:rFonts w:ascii="Times New Roman" w:hAnsi="Times New Roman" w:eastAsia="黑体" w:cs="宋体"/>
          <w:sz w:val="24"/>
          <w:szCs w:val="24"/>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p>
    <w:p>
      <w:pPr>
        <w:spacing w:line="600" w:lineRule="exact"/>
        <w:jc w:val="lef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茂县供销为农服务综合平台试点县建设专项预算绩效自评报告</w:t>
      </w:r>
    </w:p>
    <w:p>
      <w:pPr>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hint="default" w:ascii="Times New Roman" w:hAnsi="Times New Roman"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eastAsia="zh-CN" w:bidi="ar-SA"/>
        </w:rPr>
      </w:pPr>
      <w:r>
        <w:rPr>
          <w:rFonts w:hint="default" w:ascii="Times New Roman" w:hAnsi="Times New Roman" w:eastAsia="黑体" w:cs="Times New Roman"/>
          <w:sz w:val="32"/>
          <w:szCs w:val="32"/>
          <w:highlight w:val="none"/>
          <w:lang w:bidi="ar-SA"/>
        </w:rPr>
        <w:t>一、</w:t>
      </w:r>
      <w:r>
        <w:rPr>
          <w:rFonts w:hint="default" w:ascii="Times New Roman" w:hAnsi="Times New Roman" w:eastAsia="黑体" w:cs="Times New Roman"/>
          <w:sz w:val="32"/>
          <w:szCs w:val="32"/>
          <w:highlight w:val="none"/>
          <w:lang w:val="zh-CN" w:eastAsia="zh-CN" w:bidi="ar-SA"/>
        </w:rPr>
        <w:t>项目概况</w:t>
      </w:r>
    </w:p>
    <w:p>
      <w:pPr>
        <w:pStyle w:val="24"/>
        <w:pageBreakBefore w:val="0"/>
        <w:widowControl/>
        <w:kinsoku/>
        <w:wordWrap/>
        <w:overflowPunct/>
        <w:topLinePunct w:val="0"/>
        <w:autoSpaceDE/>
        <w:autoSpaceDN/>
        <w:bidi w:val="0"/>
        <w:spacing w:line="576" w:lineRule="exact"/>
        <w:ind w:firstLine="642" w:firstLineChars="200"/>
        <w:jc w:val="both"/>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（一）设立背景及基本情况</w:t>
      </w:r>
    </w:p>
    <w:p>
      <w:pPr>
        <w:pStyle w:val="24"/>
        <w:pageBreakBefore w:val="0"/>
        <w:widowControl/>
        <w:kinsoku/>
        <w:wordWrap/>
        <w:overflowPunct/>
        <w:topLinePunct w:val="0"/>
        <w:autoSpaceDE/>
        <w:autoSpaceDN/>
        <w:bidi w:val="0"/>
        <w:spacing w:line="576" w:lineRule="exact"/>
        <w:ind w:firstLine="640" w:firstLineChars="200"/>
        <w:jc w:val="both"/>
        <w:rPr>
          <w:rFonts w:hint="eastAsia" w:ascii="仿宋_GB2312" w:eastAsia="仿宋_GB2312" w:cs="仿宋_GB2312"/>
          <w:sz w:val="32"/>
          <w:szCs w:val="32"/>
          <w:shd w:val="clear" w:color="auto" w:fill="FFFFFF"/>
          <w:lang w:val="zh-CN" w:eastAsia="zh-CN" w:bidi="ar-SA"/>
        </w:rPr>
      </w:pPr>
      <w:r>
        <w:rPr>
          <w:rFonts w:hint="eastAsia" w:ascii="仿宋_GB2312" w:eastAsia="仿宋_GB2312" w:cs="仿宋_GB2312"/>
          <w:sz w:val="32"/>
          <w:szCs w:val="32"/>
          <w:shd w:val="clear" w:color="auto" w:fill="FFFFFF"/>
          <w:lang w:val="zh-CN" w:eastAsia="zh-CN" w:bidi="ar-SA"/>
        </w:rPr>
        <w:t>根据《四川省供销合作社联合社关于做好2023年度省级供销综合改革及发展专项资金项目申报工作的通知》（川供财〔2022〕156号）、《四川省供销合作社联合社</w:t>
      </w:r>
      <w:r>
        <w:rPr>
          <w:rFonts w:hint="eastAsia" w:ascii="仿宋_GB2312" w:eastAsia="仿宋_GB2312" w:cs="仿宋_GB2312"/>
          <w:sz w:val="32"/>
          <w:szCs w:val="32"/>
          <w:shd w:val="clear" w:color="auto" w:fill="FFFFFF"/>
          <w:lang w:bidi="ar-SA"/>
        </w:rPr>
        <w:t xml:space="preserve"> </w:t>
      </w:r>
      <w:r>
        <w:rPr>
          <w:rFonts w:hint="eastAsia" w:ascii="仿宋_GB2312" w:eastAsia="仿宋_GB2312" w:cs="仿宋_GB2312"/>
          <w:sz w:val="32"/>
          <w:szCs w:val="32"/>
          <w:shd w:val="clear" w:color="auto" w:fill="FFFFFF"/>
          <w:lang w:val="zh-CN" w:eastAsia="zh-CN" w:bidi="ar-SA"/>
        </w:rPr>
        <w:t>四川省财政厅关于支持实施供销为农服务综合平台试点县建设的通知》（川供办〔2023〕91号）等精神，充分发挥省级供销综合改革资金的引领撬动作用,着力在全省打造一批为农服务综合平台建设的示范亮点，茂县供销合作社联合社结合我县实际，与县财政局共同编制完成《供销为农服务综合平台试点县项目申报书》，申报2023、2024年供销为农服务综合平台试点县项目。项目主要围绕新建、改造茂县城市社区经营服务网点，改造提升区域为农服务中心，改造提升冻库，改造提升县域供销农产品仓储加工中心四方面规划建设。由茂县凤仪镇供销合作社、四川茂供友农优品商贸有限公司和茂县供销合作社联合社农业生产资料公司三个企业具体实施。</w:t>
      </w:r>
    </w:p>
    <w:p>
      <w:pPr>
        <w:pageBreakBefore w:val="0"/>
        <w:widowControl w:val="0"/>
        <w:numPr>
          <w:ilvl w:val="0"/>
          <w:numId w:val="13"/>
        </w:numPr>
        <w:kinsoku/>
        <w:wordWrap/>
        <w:overflowPunct/>
        <w:topLinePunct w:val="0"/>
        <w:autoSpaceDE/>
        <w:autoSpaceDN/>
        <w:bidi w:val="0"/>
        <w:spacing w:line="576" w:lineRule="exact"/>
        <w:ind w:left="0" w:leftChars="0" w:firstLine="642" w:firstLineChars="200"/>
        <w:jc w:val="both"/>
        <w:rPr>
          <w:rFonts w:hint="default" w:ascii="Times New Roman" w:hAnsi="Times New Roman" w:eastAsia="楷体_GB2312" w:cs="Times New Roman"/>
          <w:b/>
          <w:color w:val="auto"/>
          <w:kern w:val="2"/>
          <w:sz w:val="32"/>
          <w:szCs w:val="32"/>
          <w:highlight w:val="none"/>
          <w:u w:val="none"/>
          <w:lang w:val="en-US" w:eastAsia="zh-CN" w:bidi="ar-SA"/>
        </w:rPr>
      </w:pPr>
      <w:r>
        <w:rPr>
          <w:rFonts w:hint="default" w:ascii="Times New Roman" w:hAnsi="Times New Roman" w:eastAsia="楷体_GB2312" w:cs="Times New Roman"/>
          <w:b/>
          <w:color w:val="auto"/>
          <w:kern w:val="2"/>
          <w:sz w:val="32"/>
          <w:szCs w:val="32"/>
          <w:highlight w:val="none"/>
          <w:u w:val="none"/>
          <w:lang w:val="en-US" w:eastAsia="zh-CN" w:bidi="ar-SA"/>
        </w:rPr>
        <w:t>实施目的及支持方向</w:t>
      </w:r>
    </w:p>
    <w:p>
      <w:pPr>
        <w:pageBreakBefore w:val="0"/>
        <w:widowControl w:val="0"/>
        <w:numPr>
          <w:ilvl w:val="0"/>
          <w:numId w:val="0"/>
        </w:numPr>
        <w:kinsoku/>
        <w:wordWrap/>
        <w:overflowPunct/>
        <w:topLinePunct w:val="0"/>
        <w:autoSpaceDE/>
        <w:autoSpaceDN/>
        <w:bidi w:val="0"/>
        <w:spacing w:line="576" w:lineRule="exact"/>
        <w:ind w:firstLine="640" w:firstLineChars="200"/>
        <w:jc w:val="both"/>
        <w:rPr>
          <w:rFonts w:hint="eastAsia" w:ascii="仿宋_GB2312" w:hAnsi="Times New Roman" w:eastAsia="仿宋_GB2312" w:cs="仿宋_GB2312"/>
          <w:kern w:val="2"/>
          <w:sz w:val="32"/>
          <w:szCs w:val="32"/>
          <w:shd w:val="clear" w:color="auto" w:fill="FFFFFF"/>
          <w:lang w:val="zh-CN" w:eastAsia="zh-CN" w:bidi="ar-SA"/>
        </w:rPr>
      </w:pPr>
      <w:r>
        <w:rPr>
          <w:rFonts w:hint="eastAsia" w:ascii="仿宋_GB2312" w:hAnsi="Times New Roman" w:eastAsia="仿宋_GB2312" w:cs="仿宋_GB2312"/>
          <w:kern w:val="2"/>
          <w:sz w:val="32"/>
          <w:szCs w:val="32"/>
          <w:shd w:val="clear" w:color="auto" w:fill="FFFFFF"/>
          <w:lang w:val="zh-CN" w:eastAsia="zh-CN" w:bidi="ar-SA"/>
        </w:rPr>
        <w:t>该项目以供销为农服务综合体建设为申报方向，加快补齐供销为农服务短板，提高供销社农资保供稳价和农业社会化服务水平，畅通农产品上行和消费品下行双向通道，推进供销社改革和高质量发展，提升综合服务能力。</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hAnsi="Times New Roman" w:eastAsia="仿宋_GB2312" w:cs="仿宋_GB2312"/>
          <w:kern w:val="0"/>
          <w:sz w:val="32"/>
          <w:szCs w:val="32"/>
          <w:shd w:val="clear" w:color="auto" w:fill="FFFFFF"/>
          <w:lang w:val="zh-CN" w:eastAsia="zh-CN" w:bidi="ar-SA"/>
        </w:rPr>
      </w:pPr>
      <w:r>
        <w:rPr>
          <w:rFonts w:hint="eastAsia" w:ascii="仿宋_GB2312" w:hAnsi="Times New Roman" w:eastAsia="仿宋_GB2312" w:cs="仿宋_GB2312"/>
          <w:kern w:val="0"/>
          <w:sz w:val="32"/>
          <w:szCs w:val="32"/>
          <w:shd w:val="clear" w:color="auto" w:fill="FFFFFF"/>
          <w:lang w:val="zh-CN" w:eastAsia="zh-CN" w:bidi="ar-SA"/>
        </w:rPr>
        <w:t>为推动项目有序实施，茂县供销合作社联合社高度重视，成立工作专班，定期不定期召开项目推进会，进一步压紧压实工作责任。按照《省级供销综合改革及发展专项资金管理办法》（川供〔2020〕408号），切实管好用好资金，充分发挥资金使用效益。</w:t>
      </w:r>
    </w:p>
    <w:p>
      <w:pPr>
        <w:pStyle w:val="24"/>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项目以收购原茂县六月红花椒专业合作社资产用于改造升级建设。通过项目的实施，实现农资、农机销售，农技培训等社会化服务功能；提升农资或农产品仓储与集中加工、分选、集中配送服务功能，从整体上提升县级供销合作社综合服务能力。</w:t>
      </w:r>
    </w:p>
    <w:p>
      <w:pPr>
        <w:keepNext w:val="0"/>
        <w:keepLines w:val="0"/>
        <w:pageBreakBefore w:val="0"/>
        <w:widowControl/>
        <w:kinsoku/>
        <w:wordWrap/>
        <w:overflowPunct/>
        <w:topLinePunct w:val="0"/>
        <w:autoSpaceDE/>
        <w:autoSpaceDN/>
        <w:bidi w:val="0"/>
        <w:adjustRightInd w:val="0"/>
        <w:snapToGrid w:val="0"/>
        <w:spacing w:line="578" w:lineRule="exact"/>
        <w:ind w:left="0" w:firstLine="642"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（三）</w:t>
      </w:r>
      <w:r>
        <w:rPr>
          <w:rFonts w:hint="default" w:ascii="Times New Roman" w:hAnsi="Times New Roman" w:eastAsia="楷体_GB2312" w:cs="Times New Roman"/>
          <w:b/>
          <w:color w:val="auto"/>
          <w:sz w:val="32"/>
          <w:szCs w:val="32"/>
          <w:highlight w:val="none"/>
          <w:u w:val="none"/>
          <w:lang w:val="en-US" w:eastAsia="zh-CN" w:bidi="ar-SA"/>
        </w:rPr>
        <w:t>预算安排及分配管理</w:t>
      </w:r>
    </w:p>
    <w:tbl>
      <w:tblPr>
        <w:tblStyle w:val="26"/>
        <w:tblpPr w:leftFromText="180" w:rightFromText="180" w:vertAnchor="text" w:horzAnchor="page" w:tblpX="1442" w:tblpY="462"/>
        <w:tblOverlap w:val="never"/>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73"/>
        <w:gridCol w:w="1224"/>
        <w:gridCol w:w="2890"/>
        <w:gridCol w:w="1263"/>
        <w:gridCol w:w="986"/>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18"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实施年度</w:t>
            </w:r>
          </w:p>
        </w:tc>
        <w:tc>
          <w:tcPr>
            <w:tcW w:w="97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项目名称</w:t>
            </w:r>
          </w:p>
        </w:tc>
        <w:tc>
          <w:tcPr>
            <w:tcW w:w="1224"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实施主体</w:t>
            </w:r>
          </w:p>
        </w:tc>
        <w:tc>
          <w:tcPr>
            <w:tcW w:w="2890"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建设内容</w:t>
            </w:r>
          </w:p>
        </w:tc>
        <w:tc>
          <w:tcPr>
            <w:tcW w:w="12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项目总投资（万元）</w:t>
            </w:r>
          </w:p>
        </w:tc>
        <w:tc>
          <w:tcPr>
            <w:tcW w:w="986"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其中：省级财政补助资金（万元）</w:t>
            </w:r>
          </w:p>
        </w:tc>
        <w:tc>
          <w:tcPr>
            <w:tcW w:w="7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黑体" w:hAnsi="Times New Roman" w:eastAsia="黑体" w:cs="宋体"/>
                <w:b w:val="0"/>
                <w:bCs w:val="0"/>
                <w:kern w:val="2"/>
                <w:sz w:val="20"/>
                <w:szCs w:val="20"/>
                <w:lang w:val="en-US" w:eastAsia="zh-CN" w:bidi="ar-SA"/>
              </w:rPr>
            </w:pPr>
            <w:r>
              <w:rPr>
                <w:rFonts w:hint="eastAsia" w:ascii="黑体" w:hAnsi="Times New Roman" w:eastAsia="黑体" w:cs="宋体"/>
                <w:b w:val="0"/>
                <w:bCs w:val="0"/>
                <w:kern w:val="2"/>
                <w:sz w:val="20"/>
                <w:szCs w:val="20"/>
                <w:lang w:val="en-US" w:eastAsia="zh-CN" w:bidi="ar-SA"/>
              </w:rPr>
              <w:t>企业自筹资金（万元）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618" w:type="dxa"/>
            <w:vMerge w:val="restart"/>
            <w:tcBorders>
              <w:bottom w:val="nil"/>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pacing w:line="240" w:lineRule="auto"/>
              <w:rPr>
                <w:rFonts w:hint="eastAsia" w:ascii="Times New Roman" w:hAnsi="Times New Roman" w:eastAsia="仿宋_GB2312" w:cs="Times New Roman"/>
                <w:sz w:val="32"/>
                <w:szCs w:val="32"/>
              </w:rPr>
            </w:pPr>
            <w:r>
              <w:rPr>
                <w:rFonts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ascii="Times New Roman" w:hAnsi="Times New Roman" w:eastAsia="仿宋_GB2312" w:cs="Times New Roman"/>
                <w:sz w:val="20"/>
                <w:szCs w:val="20"/>
              </w:rPr>
              <w:t>年度</w:t>
            </w:r>
            <w:r>
              <w:rPr>
                <w:rFonts w:hint="eastAsia" w:ascii="宋体" w:hAnsi="宋体" w:eastAsia="仿宋_GB2312" w:cs="方正仿宋_GBK"/>
                <w:kern w:val="0"/>
                <w:sz w:val="22"/>
                <w:szCs w:val="22"/>
                <w:u w:val="none"/>
                <w:shd w:val="clear" w:color="auto" w:fill="auto"/>
                <w:lang w:val="en-US" w:eastAsia="zh-CN" w:bidi="ar"/>
              </w:rPr>
              <w:t>茂县供销为农服务综合平台试点县建设</w:t>
            </w:r>
          </w:p>
        </w:tc>
        <w:tc>
          <w:tcPr>
            <w:tcW w:w="973" w:type="dxa"/>
            <w:tcBorders>
              <w:bottom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茂县城市社区经营服务网点（二期）</w:t>
            </w:r>
          </w:p>
        </w:tc>
        <w:tc>
          <w:tcPr>
            <w:tcW w:w="1224" w:type="dxa"/>
            <w:tcBorders>
              <w:bottom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仿宋_GB2312"/>
                <w:b w:val="0"/>
                <w:bCs w:val="0"/>
                <w:kern w:val="2"/>
                <w:sz w:val="20"/>
                <w:szCs w:val="20"/>
                <w:lang w:val="zh-CN" w:eastAsia="zh-CN" w:bidi="ar-SA"/>
              </w:rPr>
              <w:t>茂县供销合作社联合社农业生产资料公司</w:t>
            </w:r>
          </w:p>
        </w:tc>
        <w:tc>
          <w:tcPr>
            <w:tcW w:w="2890"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left"/>
              <w:rPr>
                <w:rFonts w:hint="eastAsia"/>
                <w:sz w:val="20"/>
                <w:szCs w:val="20"/>
              </w:rPr>
            </w:pPr>
            <w:r>
              <w:rPr>
                <w:rFonts w:hint="eastAsia" w:ascii="宋体" w:eastAsia="宋体" w:cs="仿宋_GB2312"/>
                <w:kern w:val="2"/>
                <w:sz w:val="20"/>
                <w:szCs w:val="20"/>
                <w:lang w:val="zh-CN" w:eastAsia="zh-CN" w:bidi="ar-SA"/>
              </w:rPr>
              <w:t>改造提升茂县六月红花椒专业合作社厂区大门现有部分附属用房</w:t>
            </w:r>
            <w:r>
              <w:rPr>
                <w:rFonts w:hint="eastAsia" w:ascii="宋体" w:eastAsia="宋体" w:cs="仿宋_GB2312"/>
                <w:kern w:val="2"/>
                <w:sz w:val="20"/>
                <w:szCs w:val="20"/>
                <w:lang w:val="en-US" w:eastAsia="zh-CN" w:bidi="ar-SA"/>
              </w:rPr>
              <w:t>的</w:t>
            </w:r>
            <w:r>
              <w:rPr>
                <w:rFonts w:hint="eastAsia" w:ascii="宋体" w:eastAsia="宋体" w:cs="仿宋_GB2312"/>
                <w:kern w:val="2"/>
                <w:sz w:val="20"/>
                <w:szCs w:val="20"/>
                <w:lang w:val="zh-CN" w:eastAsia="zh-CN" w:bidi="ar-SA"/>
              </w:rPr>
              <w:t>农资销售区、烟花爆竹销售区、农产品销售区及其他用品销售区四个区域。</w:t>
            </w:r>
          </w:p>
        </w:tc>
        <w:tc>
          <w:tcPr>
            <w:tcW w:w="1263" w:type="dxa"/>
            <w:tcBorders>
              <w:bottom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51</w:t>
            </w:r>
          </w:p>
        </w:tc>
        <w:tc>
          <w:tcPr>
            <w:tcW w:w="986" w:type="dxa"/>
            <w:tcBorders>
              <w:bottom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13</w:t>
            </w:r>
          </w:p>
        </w:tc>
        <w:tc>
          <w:tcPr>
            <w:tcW w:w="763" w:type="dxa"/>
            <w:tcBorders>
              <w:bottom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18" w:type="dxa"/>
            <w:vMerge w:val="continue"/>
            <w:tcBorders>
              <w:bottom w:val="nil"/>
            </w:tcBorders>
            <w:noWrap w:val="0"/>
            <w:vAlign w:val="center"/>
          </w:tcPr>
          <w:p>
            <w:pPr>
              <w:rPr>
                <w:rFonts w:ascii="Times New Roman" w:hAnsi="Times New Roman" w:eastAsia="仿宋_GB2312" w:cs="Times New Roman"/>
                <w:sz w:val="32"/>
                <w:szCs w:val="32"/>
              </w:rPr>
            </w:pPr>
          </w:p>
        </w:tc>
        <w:tc>
          <w:tcPr>
            <w:tcW w:w="973" w:type="dxa"/>
            <w:tcBorders>
              <w:top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区域为农服务中心（二期）</w:t>
            </w:r>
          </w:p>
        </w:tc>
        <w:tc>
          <w:tcPr>
            <w:tcW w:w="1224" w:type="dxa"/>
            <w:tcBorders>
              <w:top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仿宋_GB2312"/>
                <w:b w:val="0"/>
                <w:bCs w:val="0"/>
                <w:kern w:val="2"/>
                <w:sz w:val="20"/>
                <w:szCs w:val="20"/>
                <w:lang w:val="zh-CN" w:eastAsia="zh-CN" w:bidi="ar-SA"/>
              </w:rPr>
              <w:t>茂县供销合作社联合社农业生产资料公司</w:t>
            </w:r>
          </w:p>
        </w:tc>
        <w:tc>
          <w:tcPr>
            <w:tcW w:w="2890" w:type="dxa"/>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left"/>
              <w:rPr>
                <w:rFonts w:hint="eastAsia"/>
                <w:sz w:val="20"/>
                <w:szCs w:val="20"/>
              </w:rPr>
            </w:pPr>
            <w:r>
              <w:rPr>
                <w:rFonts w:hint="eastAsia" w:ascii="宋体" w:eastAsia="宋体" w:cs="仿宋_GB2312"/>
                <w:kern w:val="2"/>
                <w:sz w:val="20"/>
                <w:szCs w:val="20"/>
                <w:lang w:val="zh-CN" w:eastAsia="zh-CN" w:bidi="ar-SA"/>
              </w:rPr>
              <w:t>将现有生产管理用房二层划分功能区不低于200㎡的为农服务中心进行改造提升，购置生产管理设备设施、为农服务管理系统，进一步完善服务功能。</w:t>
            </w:r>
          </w:p>
        </w:tc>
        <w:tc>
          <w:tcPr>
            <w:tcW w:w="1263" w:type="dxa"/>
            <w:tcBorders>
              <w:top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290</w:t>
            </w:r>
          </w:p>
        </w:tc>
        <w:tc>
          <w:tcPr>
            <w:tcW w:w="986" w:type="dxa"/>
            <w:tcBorders>
              <w:top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69</w:t>
            </w:r>
          </w:p>
        </w:tc>
        <w:tc>
          <w:tcPr>
            <w:tcW w:w="763" w:type="dxa"/>
            <w:tcBorders>
              <w:top w:val="single" w:color="auto" w:sz="4" w:space="0"/>
            </w:tcBorders>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18" w:type="dxa"/>
            <w:vMerge w:val="continue"/>
            <w:tcBorders>
              <w:bottom w:val="nil"/>
            </w:tcBorders>
            <w:noWrap w:val="0"/>
            <w:vAlign w:val="center"/>
          </w:tcPr>
          <w:p>
            <w:pPr>
              <w:rPr>
                <w:rFonts w:ascii="Times New Roman" w:hAnsi="Times New Roman" w:eastAsia="仿宋_GB2312" w:cs="Times New Roman"/>
                <w:sz w:val="32"/>
                <w:szCs w:val="32"/>
              </w:rPr>
            </w:pPr>
          </w:p>
        </w:tc>
        <w:tc>
          <w:tcPr>
            <w:tcW w:w="97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改造提升冻库（二期）</w:t>
            </w:r>
          </w:p>
        </w:tc>
        <w:tc>
          <w:tcPr>
            <w:tcW w:w="1224"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仿宋_GB2312"/>
                <w:b w:val="0"/>
                <w:bCs w:val="0"/>
                <w:kern w:val="2"/>
                <w:sz w:val="20"/>
                <w:szCs w:val="20"/>
                <w:lang w:val="zh-CN" w:eastAsia="zh-CN" w:bidi="ar-SA"/>
              </w:rPr>
              <w:t>茂县供销合作社联合社农业生产资料公司</w:t>
            </w:r>
          </w:p>
        </w:tc>
        <w:tc>
          <w:tcPr>
            <w:tcW w:w="2890" w:type="dxa"/>
            <w:noWrap w:val="0"/>
            <w:vAlign w:val="center"/>
          </w:tcPr>
          <w:p>
            <w:pPr>
              <w:pageBreakBefore w:val="0"/>
              <w:widowControl w:val="0"/>
              <w:kinsoku/>
              <w:wordWrap/>
              <w:overflowPunct/>
              <w:topLinePunct w:val="0"/>
              <w:autoSpaceDE/>
              <w:autoSpaceDN/>
              <w:bidi w:val="0"/>
              <w:spacing w:line="240" w:lineRule="auto"/>
              <w:rPr>
                <w:rFonts w:hint="eastAsia" w:ascii="宋体" w:hAnsi="Times New Roman" w:eastAsia="宋体" w:cs="仿宋_GB2312"/>
                <w:kern w:val="2"/>
                <w:sz w:val="20"/>
                <w:szCs w:val="20"/>
                <w:lang w:val="zh-CN" w:eastAsia="zh-CN" w:bidi="ar-SA"/>
              </w:rPr>
            </w:pPr>
            <w:r>
              <w:rPr>
                <w:rFonts w:hint="eastAsia" w:ascii="宋体" w:hAnsi="Times New Roman" w:eastAsia="宋体" w:cs="仿宋_GB2312"/>
                <w:kern w:val="2"/>
                <w:sz w:val="20"/>
                <w:szCs w:val="20"/>
                <w:lang w:val="zh-CN" w:eastAsia="zh-CN" w:bidi="ar-SA"/>
              </w:rPr>
              <w:t>改建提升为储存量不低于300吨的冻库。</w:t>
            </w:r>
          </w:p>
        </w:tc>
        <w:tc>
          <w:tcPr>
            <w:tcW w:w="12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106</w:t>
            </w:r>
          </w:p>
        </w:tc>
        <w:tc>
          <w:tcPr>
            <w:tcW w:w="986"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25</w:t>
            </w:r>
          </w:p>
        </w:tc>
        <w:tc>
          <w:tcPr>
            <w:tcW w:w="7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18" w:type="dxa"/>
            <w:vMerge w:val="continue"/>
            <w:noWrap w:val="0"/>
            <w:vAlign w:val="center"/>
          </w:tcPr>
          <w:p>
            <w:pPr>
              <w:rPr>
                <w:rFonts w:ascii="Times New Roman" w:hAnsi="Times New Roman" w:eastAsia="仿宋_GB2312" w:cs="Times New Roman"/>
                <w:sz w:val="32"/>
                <w:szCs w:val="32"/>
              </w:rPr>
            </w:pPr>
          </w:p>
        </w:tc>
        <w:tc>
          <w:tcPr>
            <w:tcW w:w="97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县域供销农产品仓储加工中心（二期）</w:t>
            </w:r>
          </w:p>
        </w:tc>
        <w:tc>
          <w:tcPr>
            <w:tcW w:w="1224"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宋体"/>
                <w:b w:val="0"/>
                <w:bCs w:val="0"/>
                <w:kern w:val="2"/>
                <w:sz w:val="20"/>
                <w:szCs w:val="20"/>
                <w:lang w:val="en-US" w:eastAsia="zh-CN" w:bidi="ar-SA"/>
              </w:rPr>
            </w:pPr>
            <w:r>
              <w:rPr>
                <w:rFonts w:hint="eastAsia" w:ascii="宋体" w:hAnsi="Times New Roman" w:eastAsia="宋体" w:cs="仿宋_GB2312"/>
                <w:b w:val="0"/>
                <w:bCs w:val="0"/>
                <w:kern w:val="2"/>
                <w:sz w:val="20"/>
                <w:szCs w:val="20"/>
                <w:lang w:val="zh-CN" w:eastAsia="zh-CN" w:bidi="ar-SA"/>
              </w:rPr>
              <w:t>茂县供销合作社联合社农业生产资料公司</w:t>
            </w:r>
          </w:p>
        </w:tc>
        <w:tc>
          <w:tcPr>
            <w:tcW w:w="2890" w:type="dxa"/>
            <w:noWrap w:val="0"/>
            <w:vAlign w:val="center"/>
          </w:tcPr>
          <w:p>
            <w:pPr>
              <w:pageBreakBefore w:val="0"/>
              <w:widowControl w:val="0"/>
              <w:kinsoku/>
              <w:wordWrap/>
              <w:overflowPunct/>
              <w:topLinePunct w:val="0"/>
              <w:autoSpaceDE/>
              <w:autoSpaceDN/>
              <w:bidi w:val="0"/>
              <w:spacing w:line="240" w:lineRule="auto"/>
              <w:rPr>
                <w:rFonts w:hint="eastAsia" w:ascii="宋体" w:hAnsi="Times New Roman" w:eastAsia="宋体" w:cs="仿宋_GB2312"/>
                <w:kern w:val="2"/>
                <w:sz w:val="20"/>
                <w:szCs w:val="20"/>
                <w:lang w:val="zh-CN" w:eastAsia="zh-CN" w:bidi="ar-SA"/>
              </w:rPr>
            </w:pPr>
            <w:r>
              <w:rPr>
                <w:rFonts w:hint="eastAsia" w:ascii="宋体" w:hAnsi="Times New Roman" w:eastAsia="宋体" w:cs="仿宋_GB2312"/>
                <w:kern w:val="2"/>
                <w:sz w:val="20"/>
                <w:szCs w:val="20"/>
                <w:lang w:val="zh-CN" w:eastAsia="zh-CN" w:bidi="ar-SA"/>
              </w:rPr>
              <w:t>对已有资产改建</w:t>
            </w:r>
            <w:r>
              <w:rPr>
                <w:rFonts w:hint="eastAsia" w:ascii="宋体" w:hAnsi="Times New Roman" w:eastAsia="宋体" w:cs="仿宋_GB2312"/>
                <w:kern w:val="2"/>
                <w:sz w:val="20"/>
                <w:szCs w:val="20"/>
                <w:lang w:val="en-US" w:eastAsia="zh-CN" w:bidi="ar-SA"/>
              </w:rPr>
              <w:t>为</w:t>
            </w:r>
            <w:r>
              <w:rPr>
                <w:rFonts w:hint="eastAsia" w:ascii="宋体" w:hAnsi="Times New Roman" w:eastAsia="宋体" w:cs="仿宋_GB2312"/>
                <w:kern w:val="2"/>
                <w:sz w:val="20"/>
                <w:szCs w:val="20"/>
                <w:lang w:val="zh-CN" w:eastAsia="zh-CN" w:bidi="ar-SA"/>
              </w:rPr>
              <w:t>占地1000平方米的农产品仓储加工中心。</w:t>
            </w:r>
          </w:p>
        </w:tc>
        <w:tc>
          <w:tcPr>
            <w:tcW w:w="12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253</w:t>
            </w:r>
          </w:p>
        </w:tc>
        <w:tc>
          <w:tcPr>
            <w:tcW w:w="986"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60</w:t>
            </w:r>
          </w:p>
        </w:tc>
        <w:tc>
          <w:tcPr>
            <w:tcW w:w="7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宋体"/>
                <w:b w:val="0"/>
                <w:bCs w:val="0"/>
                <w:kern w:val="2"/>
                <w:sz w:val="20"/>
                <w:szCs w:val="20"/>
                <w:lang w:val="en-US" w:eastAsia="zh-CN" w:bidi="ar-SA"/>
              </w:rPr>
            </w:pPr>
            <w:r>
              <w:rPr>
                <w:rFonts w:hint="eastAsia" w:ascii="宋体" w:hAnsi="Times New Roman" w:eastAsia="宋体" w:cs="宋体"/>
                <w:b w:val="0"/>
                <w:bCs w:val="0"/>
                <w:kern w:val="2"/>
                <w:sz w:val="20"/>
                <w:szCs w:val="20"/>
                <w:lang w:val="en-US" w:eastAsia="zh-CN" w:bidi="ar-SA"/>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705" w:type="dxa"/>
            <w:gridSpan w:val="4"/>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eastAsia" w:ascii="宋体" w:hAnsi="Times New Roman" w:eastAsia="宋体" w:cs="仿宋_GB2312"/>
                <w:b w:val="0"/>
                <w:bCs w:val="0"/>
                <w:kern w:val="2"/>
                <w:sz w:val="20"/>
                <w:szCs w:val="20"/>
                <w:lang w:val="en-US" w:eastAsia="zh-CN" w:bidi="ar-SA"/>
              </w:rPr>
            </w:pPr>
            <w:r>
              <w:rPr>
                <w:rFonts w:hint="eastAsia" w:ascii="宋体" w:hAnsi="Times New Roman" w:eastAsia="宋体" w:cs="仿宋_GB2312"/>
                <w:b w:val="0"/>
                <w:bCs w:val="0"/>
                <w:kern w:val="2"/>
                <w:sz w:val="20"/>
                <w:szCs w:val="20"/>
                <w:lang w:val="en-US" w:eastAsia="zh-CN" w:bidi="ar-SA"/>
              </w:rPr>
              <w:t>合</w:t>
            </w:r>
            <w:r>
              <w:rPr>
                <w:rFonts w:ascii="宋体" w:hAnsi="Times New Roman" w:eastAsia="宋体" w:cs="仿宋_GB2312"/>
                <w:b w:val="0"/>
                <w:bCs w:val="0"/>
                <w:kern w:val="2"/>
                <w:sz w:val="20"/>
                <w:szCs w:val="20"/>
                <w:lang w:val="en-US" w:eastAsia="zh-CN" w:bidi="ar-SA"/>
              </w:rPr>
              <w:t xml:space="preserve">    </w:t>
            </w:r>
            <w:r>
              <w:rPr>
                <w:rFonts w:hint="eastAsia" w:ascii="宋体" w:hAnsi="Times New Roman" w:eastAsia="宋体" w:cs="仿宋_GB2312"/>
                <w:b w:val="0"/>
                <w:bCs w:val="0"/>
                <w:kern w:val="2"/>
                <w:sz w:val="20"/>
                <w:szCs w:val="20"/>
                <w:lang w:val="en-US" w:eastAsia="zh-CN" w:bidi="ar-SA"/>
              </w:rPr>
              <w:t>计</w:t>
            </w:r>
          </w:p>
        </w:tc>
        <w:tc>
          <w:tcPr>
            <w:tcW w:w="12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仿宋_GB2312"/>
                <w:b w:val="0"/>
                <w:bCs w:val="0"/>
                <w:kern w:val="2"/>
                <w:sz w:val="20"/>
                <w:szCs w:val="20"/>
                <w:lang w:val="en-US" w:eastAsia="zh-CN" w:bidi="ar-SA"/>
              </w:rPr>
            </w:pPr>
            <w:r>
              <w:rPr>
                <w:rFonts w:hint="eastAsia" w:ascii="宋体" w:hAnsi="Times New Roman" w:eastAsia="宋体" w:cs="仿宋_GB2312"/>
                <w:b w:val="0"/>
                <w:bCs w:val="0"/>
                <w:kern w:val="2"/>
                <w:sz w:val="20"/>
                <w:szCs w:val="20"/>
                <w:lang w:val="en-US" w:eastAsia="zh-CN" w:bidi="ar-SA"/>
              </w:rPr>
              <w:t>700</w:t>
            </w:r>
          </w:p>
        </w:tc>
        <w:tc>
          <w:tcPr>
            <w:tcW w:w="986"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仿宋_GB2312"/>
                <w:b w:val="0"/>
                <w:bCs w:val="0"/>
                <w:kern w:val="2"/>
                <w:sz w:val="20"/>
                <w:szCs w:val="20"/>
                <w:lang w:val="en-US" w:eastAsia="zh-CN" w:bidi="ar-SA"/>
              </w:rPr>
            </w:pPr>
            <w:r>
              <w:rPr>
                <w:rFonts w:hint="eastAsia" w:ascii="宋体" w:hAnsi="Times New Roman" w:eastAsia="宋体" w:cs="仿宋_GB2312"/>
                <w:b w:val="0"/>
                <w:bCs w:val="0"/>
                <w:kern w:val="2"/>
                <w:sz w:val="20"/>
                <w:szCs w:val="20"/>
                <w:lang w:val="en-US" w:eastAsia="zh-CN" w:bidi="ar-SA"/>
              </w:rPr>
              <w:t>167</w:t>
            </w:r>
          </w:p>
        </w:tc>
        <w:tc>
          <w:tcPr>
            <w:tcW w:w="763" w:type="dxa"/>
            <w:noWrap w:val="0"/>
            <w:vAlign w:val="center"/>
          </w:tcPr>
          <w:p>
            <w:pPr>
              <w:keepNext w:val="0"/>
              <w:keepLines w:val="0"/>
              <w:pageBreakBefore w:val="0"/>
              <w:widowControl w:val="0"/>
              <w:suppressLineNumbers w:val="0"/>
              <w:suppressAutoHyphens w:val="0"/>
              <w:kinsoku/>
              <w:wordWrap/>
              <w:overflowPunct/>
              <w:topLinePunct w:val="0"/>
              <w:autoSpaceDE/>
              <w:autoSpaceDN/>
              <w:bidi w:val="0"/>
              <w:snapToGrid w:val="0"/>
              <w:spacing w:line="240" w:lineRule="auto"/>
              <w:ind w:left="0"/>
              <w:jc w:val="center"/>
              <w:outlineLvl w:val="1"/>
              <w:rPr>
                <w:rFonts w:hint="default" w:ascii="宋体" w:hAnsi="Times New Roman" w:eastAsia="宋体" w:cs="仿宋_GB2312"/>
                <w:b w:val="0"/>
                <w:bCs w:val="0"/>
                <w:kern w:val="2"/>
                <w:sz w:val="20"/>
                <w:szCs w:val="20"/>
                <w:lang w:val="en-US" w:eastAsia="zh-CN" w:bidi="ar-SA"/>
              </w:rPr>
            </w:pPr>
            <w:r>
              <w:rPr>
                <w:rFonts w:hint="eastAsia" w:ascii="宋体" w:hAnsi="Times New Roman" w:eastAsia="宋体" w:cs="仿宋_GB2312"/>
                <w:b w:val="0"/>
                <w:bCs w:val="0"/>
                <w:kern w:val="2"/>
                <w:sz w:val="20"/>
                <w:szCs w:val="20"/>
                <w:lang w:val="en-US" w:eastAsia="zh-CN" w:bidi="ar-SA"/>
              </w:rPr>
              <w:t>533</w:t>
            </w:r>
          </w:p>
        </w:tc>
      </w:tr>
    </w:tbl>
    <w:p>
      <w:pPr>
        <w:keepNext w:val="0"/>
        <w:keepLines w:val="0"/>
        <w:pageBreakBefore w:val="0"/>
        <w:widowControl w:val="0"/>
        <w:kinsoku/>
        <w:wordWrap/>
        <w:overflowPunct/>
        <w:topLinePunct w:val="0"/>
        <w:autoSpaceDE/>
        <w:autoSpaceDN/>
        <w:bidi w:val="0"/>
        <w:adjustRightInd w:val="0"/>
        <w:snapToGrid w:val="0"/>
        <w:spacing w:line="578" w:lineRule="exact"/>
        <w:ind w:left="0" w:firstLine="642"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（四）项目绩效目标设置</w:t>
      </w:r>
    </w:p>
    <w:tbl>
      <w:tblPr>
        <w:tblStyle w:val="26"/>
        <w:tblpPr w:leftFromText="180" w:rightFromText="180" w:vertAnchor="text" w:horzAnchor="page" w:tblpX="1936" w:tblpY="217"/>
        <w:tblOverlap w:val="never"/>
        <w:tblW w:w="4834" w:type="pct"/>
        <w:tblInd w:w="0" w:type="dxa"/>
        <w:tblLayout w:type="autofit"/>
        <w:tblCellMar>
          <w:top w:w="0" w:type="dxa"/>
          <w:left w:w="108" w:type="dxa"/>
          <w:bottom w:w="0" w:type="dxa"/>
          <w:right w:w="108" w:type="dxa"/>
        </w:tblCellMar>
      </w:tblPr>
      <w:tblGrid>
        <w:gridCol w:w="1016"/>
        <w:gridCol w:w="1272"/>
        <w:gridCol w:w="1483"/>
        <w:gridCol w:w="3142"/>
        <w:gridCol w:w="1327"/>
      </w:tblGrid>
      <w:tr>
        <w:tblPrEx>
          <w:tblCellMar>
            <w:top w:w="0" w:type="dxa"/>
            <w:left w:w="108" w:type="dxa"/>
            <w:bottom w:w="0" w:type="dxa"/>
            <w:right w:w="108" w:type="dxa"/>
          </w:tblCellMar>
        </w:tblPrEx>
        <w:trPr>
          <w:trHeight w:val="536" w:hRule="atLeast"/>
        </w:trPr>
        <w:tc>
          <w:tcPr>
            <w:tcW w:w="8240"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lang w:bidi="ar-SA"/>
              </w:rPr>
            </w:pPr>
            <w:r>
              <w:rPr>
                <w:rFonts w:hint="eastAsia" w:ascii="仿宋_GB2312" w:hAnsi="仿宋_GB2312" w:eastAsia="仿宋_GB2312" w:cs="仿宋_GB2312"/>
                <w:color w:val="000000"/>
                <w:kern w:val="0"/>
                <w:sz w:val="24"/>
                <w:szCs w:val="24"/>
                <w:u w:val="none"/>
                <w:lang w:val="en-US" w:eastAsia="zh-CN" w:bidi="ar"/>
              </w:rPr>
              <w:t>省级供销综合改革及发展专项资金项目绩效目标表</w:t>
            </w:r>
          </w:p>
        </w:tc>
      </w:tr>
      <w:tr>
        <w:tblPrEx>
          <w:tblCellMar>
            <w:top w:w="0" w:type="dxa"/>
            <w:left w:w="108" w:type="dxa"/>
            <w:bottom w:w="0" w:type="dxa"/>
            <w:right w:w="108" w:type="dxa"/>
          </w:tblCellMar>
        </w:tblPrEx>
        <w:trPr>
          <w:trHeight w:val="679" w:hRule="atLeast"/>
        </w:trPr>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sz w:val="24"/>
                <w:szCs w:val="24"/>
                <w:u w:val="none"/>
                <w:shd w:val="clear" w:color="auto" w:fill="auto"/>
                <w:lang w:bidi="ar-SA"/>
              </w:rPr>
            </w:pPr>
            <w:r>
              <w:rPr>
                <w:rFonts w:hint="eastAsia" w:ascii="仿宋_GB2312" w:hAnsi="仿宋_GB2312" w:eastAsia="仿宋_GB2312" w:cs="仿宋_GB2312"/>
                <w:b/>
                <w:bCs/>
                <w:kern w:val="0"/>
                <w:sz w:val="24"/>
                <w:szCs w:val="24"/>
                <w:u w:val="none"/>
                <w:shd w:val="clear" w:color="auto" w:fill="auto"/>
                <w:lang w:val="en-US" w:eastAsia="zh-CN" w:bidi="ar"/>
              </w:rPr>
              <w:t>项目名称</w:t>
            </w:r>
          </w:p>
        </w:tc>
        <w:tc>
          <w:tcPr>
            <w:tcW w:w="59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sz w:val="24"/>
                <w:szCs w:val="24"/>
                <w:u w:val="none"/>
                <w:shd w:val="clear" w:color="auto" w:fill="auto"/>
                <w:lang w:bidi="ar-SA"/>
              </w:rPr>
            </w:pPr>
            <w:r>
              <w:rPr>
                <w:rFonts w:hint="eastAsia" w:ascii="仿宋_GB2312" w:hAnsi="仿宋_GB2312" w:eastAsia="仿宋_GB2312" w:cs="仿宋_GB2312"/>
                <w:kern w:val="0"/>
                <w:sz w:val="24"/>
                <w:szCs w:val="24"/>
                <w:u w:val="none"/>
                <w:shd w:val="clear" w:color="auto" w:fill="auto"/>
                <w:lang w:val="en-US" w:eastAsia="zh-CN" w:bidi="ar"/>
              </w:rPr>
              <w:t xml:space="preserve">2024年度茂县供销为农服务综合平台试点县建设                   </w:t>
            </w:r>
          </w:p>
        </w:tc>
      </w:tr>
      <w:tr>
        <w:tblPrEx>
          <w:tblCellMar>
            <w:top w:w="0" w:type="dxa"/>
            <w:left w:w="108" w:type="dxa"/>
            <w:bottom w:w="0" w:type="dxa"/>
            <w:right w:w="108" w:type="dxa"/>
          </w:tblCellMar>
        </w:tblPrEx>
        <w:trPr>
          <w:trHeight w:val="545" w:hRule="atLeast"/>
        </w:trPr>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shd w:val="clear" w:color="auto" w:fill="auto"/>
                <w:lang w:bidi="ar-SA"/>
              </w:rPr>
            </w:pPr>
            <w:r>
              <w:rPr>
                <w:rFonts w:hint="eastAsia" w:ascii="仿宋_GB2312" w:hAnsi="仿宋_GB2312" w:eastAsia="仿宋_GB2312" w:cs="仿宋_GB2312"/>
                <w:b/>
                <w:bCs/>
                <w:color w:val="000000"/>
                <w:kern w:val="0"/>
                <w:sz w:val="24"/>
                <w:szCs w:val="24"/>
                <w:u w:val="none"/>
                <w:shd w:val="clear" w:color="auto" w:fill="auto"/>
                <w:lang w:val="en-US" w:eastAsia="zh-CN" w:bidi="ar"/>
              </w:rPr>
              <w:t>主管部门</w:t>
            </w:r>
          </w:p>
        </w:tc>
        <w:tc>
          <w:tcPr>
            <w:tcW w:w="59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bidi="ar-SA"/>
              </w:rPr>
            </w:pPr>
            <w:r>
              <w:rPr>
                <w:rFonts w:hint="eastAsia" w:ascii="仿宋_GB2312" w:hAnsi="仿宋_GB2312" w:eastAsia="仿宋_GB2312" w:cs="仿宋_GB2312"/>
                <w:color w:val="000000"/>
                <w:kern w:val="0"/>
                <w:sz w:val="24"/>
                <w:szCs w:val="24"/>
                <w:u w:val="none"/>
                <w:shd w:val="clear" w:color="auto" w:fill="auto"/>
                <w:lang w:val="en-US" w:eastAsia="zh-CN" w:bidi="ar"/>
              </w:rPr>
              <w:t>阿坝州供销合作社联合社</w:t>
            </w:r>
          </w:p>
        </w:tc>
      </w:tr>
      <w:tr>
        <w:tblPrEx>
          <w:tblCellMar>
            <w:top w:w="0" w:type="dxa"/>
            <w:left w:w="108" w:type="dxa"/>
            <w:bottom w:w="0" w:type="dxa"/>
            <w:right w:w="108" w:type="dxa"/>
          </w:tblCellMar>
        </w:tblPrEx>
        <w:trPr>
          <w:trHeight w:val="545" w:hRule="atLeast"/>
        </w:trPr>
        <w:tc>
          <w:tcPr>
            <w:tcW w:w="228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shd w:val="clear" w:color="auto" w:fill="auto"/>
                <w:lang w:bidi="ar-SA"/>
              </w:rPr>
            </w:pPr>
            <w:r>
              <w:rPr>
                <w:rFonts w:hint="eastAsia" w:ascii="仿宋_GB2312" w:hAnsi="仿宋_GB2312" w:eastAsia="仿宋_GB2312" w:cs="仿宋_GB2312"/>
                <w:b/>
                <w:bCs/>
                <w:color w:val="000000"/>
                <w:kern w:val="0"/>
                <w:sz w:val="24"/>
                <w:szCs w:val="24"/>
                <w:u w:val="none"/>
                <w:shd w:val="clear" w:color="auto" w:fill="auto"/>
                <w:lang w:val="en-US" w:eastAsia="zh-CN" w:bidi="ar"/>
              </w:rPr>
              <w:t>项目资金(万元)</w:t>
            </w:r>
          </w:p>
        </w:tc>
        <w:tc>
          <w:tcPr>
            <w:tcW w:w="46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bidi="ar-SA"/>
              </w:rPr>
            </w:pPr>
            <w:r>
              <w:rPr>
                <w:rFonts w:hint="eastAsia" w:ascii="仿宋_GB2312" w:hAnsi="仿宋_GB2312" w:eastAsia="仿宋_GB2312" w:cs="仿宋_GB2312"/>
                <w:color w:val="000000"/>
                <w:kern w:val="0"/>
                <w:sz w:val="24"/>
                <w:szCs w:val="24"/>
                <w:u w:val="none"/>
                <w:shd w:val="clear" w:color="auto" w:fill="auto"/>
                <w:lang w:val="en-US" w:eastAsia="zh-CN" w:bidi="ar"/>
              </w:rPr>
              <w:t>年度资金总额：</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val="en-US" w:eastAsia="en-US" w:bidi="ar-SA"/>
              </w:rPr>
            </w:pPr>
            <w:r>
              <w:rPr>
                <w:rFonts w:hint="eastAsia" w:ascii="仿宋_GB2312" w:hAnsi="仿宋_GB2312" w:eastAsia="仿宋_GB2312" w:cs="仿宋_GB2312"/>
                <w:color w:val="000000"/>
                <w:kern w:val="0"/>
                <w:sz w:val="24"/>
                <w:szCs w:val="24"/>
                <w:u w:val="none"/>
                <w:shd w:val="clear" w:color="auto" w:fill="auto"/>
                <w:lang w:val="en-US" w:eastAsia="zh-CN" w:bidi="ar"/>
              </w:rPr>
              <w:t>700</w:t>
            </w:r>
          </w:p>
        </w:tc>
      </w:tr>
      <w:tr>
        <w:tblPrEx>
          <w:tblCellMar>
            <w:top w:w="0" w:type="dxa"/>
            <w:left w:w="108" w:type="dxa"/>
            <w:bottom w:w="0" w:type="dxa"/>
            <w:right w:w="108" w:type="dxa"/>
          </w:tblCellMar>
        </w:tblPrEx>
        <w:trPr>
          <w:trHeight w:val="545" w:hRule="atLeast"/>
        </w:trPr>
        <w:tc>
          <w:tcPr>
            <w:tcW w:w="22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46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bidi="ar-SA"/>
              </w:rPr>
            </w:pPr>
            <w:r>
              <w:rPr>
                <w:rFonts w:hint="eastAsia" w:ascii="仿宋_GB2312" w:hAnsi="仿宋_GB2312" w:eastAsia="仿宋_GB2312" w:cs="仿宋_GB2312"/>
                <w:color w:val="000000"/>
                <w:kern w:val="0"/>
                <w:sz w:val="24"/>
                <w:szCs w:val="24"/>
                <w:u w:val="none"/>
                <w:shd w:val="clear" w:color="auto" w:fill="auto"/>
                <w:lang w:val="en-US" w:eastAsia="zh-CN" w:bidi="ar"/>
              </w:rPr>
              <w:t>其中：省级供销综合改革及发展专项资金</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val="en-US" w:eastAsia="en-US" w:bidi="ar-SA"/>
              </w:rPr>
            </w:pPr>
            <w:r>
              <w:rPr>
                <w:rFonts w:hint="eastAsia" w:ascii="仿宋_GB2312" w:hAnsi="仿宋_GB2312" w:eastAsia="仿宋_GB2312" w:cs="仿宋_GB2312"/>
                <w:color w:val="000000"/>
                <w:kern w:val="0"/>
                <w:sz w:val="24"/>
                <w:szCs w:val="24"/>
                <w:u w:val="none"/>
                <w:shd w:val="clear" w:color="auto" w:fill="auto"/>
                <w:lang w:val="en-US" w:eastAsia="zh-CN" w:bidi="ar"/>
              </w:rPr>
              <w:t>167</w:t>
            </w:r>
          </w:p>
        </w:tc>
      </w:tr>
      <w:tr>
        <w:tblPrEx>
          <w:tblCellMar>
            <w:top w:w="0" w:type="dxa"/>
            <w:left w:w="108" w:type="dxa"/>
            <w:bottom w:w="0" w:type="dxa"/>
            <w:right w:w="108" w:type="dxa"/>
          </w:tblCellMar>
        </w:tblPrEx>
        <w:trPr>
          <w:trHeight w:val="545" w:hRule="atLeast"/>
        </w:trPr>
        <w:tc>
          <w:tcPr>
            <w:tcW w:w="22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46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bidi="ar-SA"/>
              </w:rPr>
            </w:pPr>
            <w:r>
              <w:rPr>
                <w:rFonts w:hint="eastAsia" w:ascii="仿宋_GB2312" w:hAnsi="仿宋_GB2312" w:eastAsia="仿宋_GB2312" w:cs="仿宋_GB2312"/>
                <w:color w:val="000000"/>
                <w:kern w:val="0"/>
                <w:sz w:val="24"/>
                <w:szCs w:val="24"/>
                <w:u w:val="none"/>
                <w:shd w:val="clear" w:color="auto" w:fill="auto"/>
                <w:lang w:val="en-US" w:eastAsia="zh-CN" w:bidi="ar"/>
              </w:rPr>
              <w:t>企业自筹资金</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color w:val="000000"/>
                <w:sz w:val="24"/>
                <w:szCs w:val="24"/>
                <w:u w:val="none"/>
                <w:shd w:val="clear" w:color="auto" w:fill="auto"/>
                <w:lang w:val="en-US" w:eastAsia="en-US" w:bidi="ar-SA"/>
              </w:rPr>
            </w:pPr>
            <w:r>
              <w:rPr>
                <w:rFonts w:hint="eastAsia" w:ascii="仿宋_GB2312" w:hAnsi="仿宋_GB2312" w:eastAsia="仿宋_GB2312" w:cs="仿宋_GB2312"/>
                <w:color w:val="000000"/>
                <w:kern w:val="0"/>
                <w:sz w:val="24"/>
                <w:szCs w:val="24"/>
                <w:u w:val="none"/>
                <w:shd w:val="clear" w:color="auto" w:fill="auto"/>
                <w:lang w:val="en-US" w:eastAsia="zh-CN" w:bidi="ar"/>
              </w:rPr>
              <w:t>533</w:t>
            </w:r>
          </w:p>
        </w:tc>
      </w:tr>
      <w:tr>
        <w:tblPrEx>
          <w:tblCellMar>
            <w:top w:w="0" w:type="dxa"/>
            <w:left w:w="108" w:type="dxa"/>
            <w:bottom w:w="0" w:type="dxa"/>
            <w:right w:w="108" w:type="dxa"/>
          </w:tblCellMar>
        </w:tblPrEx>
        <w:trPr>
          <w:trHeight w:val="1081" w:hRule="atLeast"/>
        </w:trPr>
        <w:tc>
          <w:tcPr>
            <w:tcW w:w="101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shd w:val="clear" w:color="auto" w:fill="auto"/>
                <w:lang w:bidi="ar-SA"/>
              </w:rPr>
            </w:pPr>
            <w:r>
              <w:rPr>
                <w:rFonts w:hint="eastAsia" w:ascii="仿宋_GB2312" w:hAnsi="仿宋_GB2312" w:eastAsia="仿宋_GB2312" w:cs="仿宋_GB2312"/>
                <w:b/>
                <w:bCs/>
                <w:color w:val="000000"/>
                <w:kern w:val="0"/>
                <w:sz w:val="24"/>
                <w:szCs w:val="24"/>
                <w:u w:val="none"/>
                <w:shd w:val="clear" w:color="auto" w:fill="auto"/>
                <w:lang w:val="en-US" w:eastAsia="zh-CN" w:bidi="ar"/>
              </w:rPr>
              <w:t>总体目标</w:t>
            </w:r>
          </w:p>
        </w:tc>
        <w:tc>
          <w:tcPr>
            <w:tcW w:w="72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sz w:val="24"/>
                <w:szCs w:val="24"/>
                <w:u w:val="none"/>
                <w:shd w:val="clear" w:color="auto" w:fill="auto"/>
                <w:lang w:bidi="ar-SA"/>
              </w:rPr>
            </w:pPr>
            <w:r>
              <w:rPr>
                <w:rFonts w:hint="eastAsia" w:ascii="仿宋_GB2312" w:hAnsi="仿宋_GB2312" w:eastAsia="仿宋_GB2312" w:cs="仿宋_GB2312"/>
                <w:color w:val="000000"/>
                <w:kern w:val="0"/>
                <w:sz w:val="24"/>
                <w:szCs w:val="24"/>
                <w:u w:val="none"/>
                <w:shd w:val="clear" w:color="auto" w:fill="auto"/>
                <w:lang w:val="en-US" w:eastAsia="zh-CN" w:bidi="ar"/>
              </w:rPr>
              <w:t>推动设有企业转型升级，完善农业经营服务设施，优化网络布局，提升综合服务能力，促进高质量发展。</w:t>
            </w:r>
          </w:p>
        </w:tc>
      </w:tr>
      <w:tr>
        <w:tblPrEx>
          <w:tblCellMar>
            <w:top w:w="0" w:type="dxa"/>
            <w:left w:w="108" w:type="dxa"/>
            <w:bottom w:w="0" w:type="dxa"/>
            <w:right w:w="108" w:type="dxa"/>
          </w:tblCellMar>
        </w:tblPrEx>
        <w:trPr>
          <w:trHeight w:val="545" w:hRule="atLeast"/>
        </w:trPr>
        <w:tc>
          <w:tcPr>
            <w:tcW w:w="1016"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kern w:val="0"/>
                <w:sz w:val="24"/>
                <w:szCs w:val="24"/>
                <w:u w:val="none"/>
                <w:lang w:val="en-US" w:eastAsia="zh-CN" w:bidi="ar"/>
              </w:rPr>
              <w:t>绩效指标</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kern w:val="0"/>
                <w:sz w:val="24"/>
                <w:szCs w:val="24"/>
                <w:u w:val="none"/>
                <w:lang w:val="en-US" w:eastAsia="zh-CN" w:bidi="ar"/>
              </w:rPr>
              <w:t>一级指标</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kern w:val="0"/>
                <w:sz w:val="24"/>
                <w:szCs w:val="24"/>
                <w:u w:val="none"/>
                <w:lang w:val="en-US" w:eastAsia="zh-CN" w:bidi="ar"/>
              </w:rPr>
              <w:t>二级指标</w:t>
            </w:r>
          </w:p>
        </w:tc>
        <w:tc>
          <w:tcPr>
            <w:tcW w:w="3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kern w:val="0"/>
                <w:sz w:val="24"/>
                <w:szCs w:val="24"/>
                <w:u w:val="none"/>
                <w:lang w:val="en-US" w:eastAsia="zh-CN" w:bidi="ar"/>
              </w:rPr>
              <w:t>三级指标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kern w:val="0"/>
                <w:sz w:val="24"/>
                <w:szCs w:val="24"/>
                <w:u w:val="none"/>
                <w:lang w:val="en-US" w:eastAsia="zh-CN" w:bidi="ar"/>
              </w:rPr>
              <w:t>指标值</w:t>
            </w:r>
          </w:p>
        </w:tc>
      </w:tr>
      <w:tr>
        <w:tblPrEx>
          <w:tblCellMar>
            <w:top w:w="0" w:type="dxa"/>
            <w:left w:w="108" w:type="dxa"/>
            <w:bottom w:w="0" w:type="dxa"/>
            <w:right w:w="108" w:type="dxa"/>
          </w:tblCellMar>
        </w:tblPrEx>
        <w:trPr>
          <w:trHeight w:val="545"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76" w:lineRule="exact"/>
              <w:jc w:val="center"/>
              <w:textAlignment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kern w:val="0"/>
                <w:sz w:val="24"/>
                <w:szCs w:val="24"/>
                <w:u w:val="none"/>
                <w:lang w:val="en-US" w:eastAsia="zh-CN" w:bidi="ar"/>
              </w:rPr>
              <w:t>产出指标</w:t>
            </w:r>
          </w:p>
        </w:tc>
        <w:tc>
          <w:tcPr>
            <w:tcW w:w="14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数量指标</w:t>
            </w:r>
          </w:p>
        </w:tc>
        <w:tc>
          <w:tcPr>
            <w:tcW w:w="31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改造提升城市社区经营服务网点(个)</w:t>
            </w: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2</w:t>
            </w:r>
          </w:p>
        </w:tc>
      </w:tr>
      <w:tr>
        <w:tblPrEx>
          <w:tblCellMar>
            <w:top w:w="0" w:type="dxa"/>
            <w:left w:w="108" w:type="dxa"/>
            <w:bottom w:w="0" w:type="dxa"/>
            <w:right w:w="108" w:type="dxa"/>
          </w:tblCellMar>
        </w:tblPrEx>
        <w:trPr>
          <w:trHeight w:val="545"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4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1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提升改造区域为农服务中心(个)</w:t>
            </w: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1</w:t>
            </w:r>
          </w:p>
        </w:tc>
      </w:tr>
      <w:tr>
        <w:tblPrEx>
          <w:tblCellMar>
            <w:top w:w="0" w:type="dxa"/>
            <w:left w:w="108" w:type="dxa"/>
            <w:bottom w:w="0" w:type="dxa"/>
            <w:right w:w="108" w:type="dxa"/>
          </w:tblCellMar>
        </w:tblPrEx>
        <w:trPr>
          <w:trHeight w:val="586"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4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1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改造提升冻库(个)</w:t>
            </w: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1</w:t>
            </w:r>
          </w:p>
        </w:tc>
      </w:tr>
      <w:tr>
        <w:tblPrEx>
          <w:tblCellMar>
            <w:top w:w="0" w:type="dxa"/>
            <w:left w:w="108" w:type="dxa"/>
            <w:bottom w:w="0" w:type="dxa"/>
            <w:right w:w="108" w:type="dxa"/>
          </w:tblCellMar>
        </w:tblPrEx>
        <w:trPr>
          <w:trHeight w:val="679"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48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1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改造农产品仓储加工中心(个)</w:t>
            </w: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1</w:t>
            </w:r>
          </w:p>
        </w:tc>
      </w:tr>
      <w:tr>
        <w:tblPrEx>
          <w:tblCellMar>
            <w:top w:w="0" w:type="dxa"/>
            <w:left w:w="108" w:type="dxa"/>
            <w:bottom w:w="0" w:type="dxa"/>
            <w:right w:w="108" w:type="dxa"/>
          </w:tblCellMar>
        </w:tblPrEx>
        <w:trPr>
          <w:trHeight w:val="1081"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质量指标</w:t>
            </w:r>
          </w:p>
        </w:tc>
        <w:tc>
          <w:tcPr>
            <w:tcW w:w="31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县级供销社综合服务功能和为农服务能力(定性)</w:t>
            </w: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有较大提升</w:t>
            </w:r>
          </w:p>
        </w:tc>
      </w:tr>
      <w:tr>
        <w:tblPrEx>
          <w:tblCellMar>
            <w:top w:w="0" w:type="dxa"/>
            <w:left w:w="108" w:type="dxa"/>
            <w:bottom w:w="0" w:type="dxa"/>
            <w:right w:w="108" w:type="dxa"/>
          </w:tblCellMar>
        </w:tblPrEx>
        <w:trPr>
          <w:trHeight w:val="545"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continue"/>
            <w:tcBorders>
              <w:top w:val="nil"/>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时效指标</w:t>
            </w:r>
          </w:p>
        </w:tc>
        <w:tc>
          <w:tcPr>
            <w:tcW w:w="314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项目按期完成率</w:t>
            </w:r>
          </w:p>
        </w:tc>
        <w:tc>
          <w:tcPr>
            <w:tcW w:w="13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sz w:val="24"/>
                <w:szCs w:val="24"/>
                <w:lang w:val="en-US" w:eastAsia="zh-CN" w:bidi="ar-SA"/>
              </w:rPr>
              <w:t>≥90%</w:t>
            </w:r>
          </w:p>
        </w:tc>
      </w:tr>
      <w:tr>
        <w:tblPrEx>
          <w:tblCellMar>
            <w:top w:w="0" w:type="dxa"/>
            <w:left w:w="108" w:type="dxa"/>
            <w:bottom w:w="0" w:type="dxa"/>
            <w:right w:w="108" w:type="dxa"/>
          </w:tblCellMar>
        </w:tblPrEx>
        <w:trPr>
          <w:trHeight w:val="559"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76" w:lineRule="exact"/>
              <w:jc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sz w:val="24"/>
                <w:szCs w:val="24"/>
                <w:u w:val="none"/>
                <w:lang w:bidi="ar-SA"/>
              </w:rPr>
              <w:t>效益指标</w:t>
            </w:r>
          </w:p>
        </w:tc>
        <w:tc>
          <w:tcPr>
            <w:tcW w:w="1483" w:type="dxa"/>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经济效益指标</w:t>
            </w:r>
          </w:p>
        </w:tc>
        <w:tc>
          <w:tcPr>
            <w:tcW w:w="3142" w:type="dxa"/>
            <w:tcBorders>
              <w:top w:val="single" w:color="000000" w:sz="4" w:space="0"/>
              <w:left w:val="single" w:color="000000" w:sz="4" w:space="0"/>
              <w:bottom w:val="nil"/>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销售总额同比增长率（%）</w:t>
            </w:r>
          </w:p>
        </w:tc>
        <w:tc>
          <w:tcPr>
            <w:tcW w:w="1327" w:type="dxa"/>
            <w:tcBorders>
              <w:top w:val="single" w:color="000000" w:sz="4" w:space="0"/>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sz w:val="24"/>
                <w:szCs w:val="24"/>
                <w:lang w:val="en-US" w:eastAsia="zh-CN" w:bidi="ar-SA"/>
              </w:rPr>
              <w:t>≥15%</w:t>
            </w:r>
          </w:p>
        </w:tc>
      </w:tr>
      <w:tr>
        <w:tblPrEx>
          <w:tblCellMar>
            <w:top w:w="0" w:type="dxa"/>
            <w:left w:w="108" w:type="dxa"/>
            <w:bottom w:w="0" w:type="dxa"/>
            <w:right w:w="108" w:type="dxa"/>
          </w:tblCellMar>
        </w:tblPrEx>
        <w:trPr>
          <w:trHeight w:val="559" w:hRule="atLeast"/>
        </w:trPr>
        <w:tc>
          <w:tcPr>
            <w:tcW w:w="1016" w:type="dxa"/>
            <w:vMerge w:val="continue"/>
            <w:tcBorders>
              <w:top w:val="nil"/>
              <w:left w:val="single" w:color="auto" w:sz="4" w:space="0"/>
              <w:bottom w:val="nil"/>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vMerge w:val="continue"/>
            <w:tcBorders>
              <w:top w:val="nil"/>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社会效益</w:t>
            </w:r>
          </w:p>
        </w:tc>
        <w:tc>
          <w:tcPr>
            <w:tcW w:w="3142"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带动当地就业情况（人数）</w:t>
            </w:r>
          </w:p>
        </w:tc>
        <w:tc>
          <w:tcPr>
            <w:tcW w:w="1327" w:type="dxa"/>
            <w:tcBorders>
              <w:top w:val="single" w:color="000000" w:sz="4" w:space="0"/>
              <w:left w:val="single" w:color="000000" w:sz="4" w:space="0"/>
              <w:bottom w:val="nil"/>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sz w:val="24"/>
                <w:szCs w:val="24"/>
                <w:lang w:val="en-US" w:eastAsia="zh-CN" w:bidi="ar-SA"/>
              </w:rPr>
              <w:t>≥30</w:t>
            </w:r>
          </w:p>
        </w:tc>
      </w:tr>
      <w:tr>
        <w:tblPrEx>
          <w:tblCellMar>
            <w:top w:w="0" w:type="dxa"/>
            <w:left w:w="108" w:type="dxa"/>
            <w:bottom w:w="0" w:type="dxa"/>
            <w:right w:w="108" w:type="dxa"/>
          </w:tblCellMar>
        </w:tblPrEx>
        <w:trPr>
          <w:trHeight w:val="554" w:hRule="atLeast"/>
        </w:trPr>
        <w:tc>
          <w:tcPr>
            <w:tcW w:w="1016" w:type="dxa"/>
            <w:vMerge w:val="continue"/>
            <w:tcBorders>
              <w:top w:val="nil"/>
              <w:left w:val="single" w:color="auto" w:sz="4" w:space="0"/>
              <w:bottom w:val="single" w:color="auto"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7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76" w:lineRule="exact"/>
              <w:jc w:val="center"/>
              <w:rPr>
                <w:rFonts w:hint="eastAsia" w:ascii="仿宋_GB2312" w:hAnsi="仿宋_GB2312" w:eastAsia="仿宋_GB2312" w:cs="仿宋_GB2312"/>
                <w:b/>
                <w:bCs/>
                <w:color w:val="000000"/>
                <w:sz w:val="24"/>
                <w:szCs w:val="24"/>
                <w:u w:val="none"/>
                <w:lang w:bidi="ar-SA"/>
              </w:rPr>
            </w:pPr>
            <w:r>
              <w:rPr>
                <w:rFonts w:hint="eastAsia" w:ascii="仿宋_GB2312" w:hAnsi="仿宋_GB2312" w:eastAsia="仿宋_GB2312" w:cs="仿宋_GB2312"/>
                <w:b/>
                <w:bCs/>
                <w:color w:val="000000"/>
                <w:sz w:val="24"/>
                <w:szCs w:val="24"/>
                <w:u w:val="none"/>
                <w:lang w:bidi="ar-SA"/>
              </w:rPr>
              <w:t>满意度指标</w:t>
            </w:r>
          </w:p>
        </w:tc>
        <w:tc>
          <w:tcPr>
            <w:tcW w:w="14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服务对象满意度</w:t>
            </w:r>
          </w:p>
        </w:tc>
        <w:tc>
          <w:tcPr>
            <w:tcW w:w="314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满意度测评情况</w:t>
            </w:r>
          </w:p>
        </w:tc>
        <w:tc>
          <w:tcPr>
            <w:tcW w:w="1327" w:type="dxa"/>
            <w:tcBorders>
              <w:top w:val="single" w:color="auto" w:sz="4" w:space="0"/>
              <w:left w:val="single" w:color="000000" w:sz="4" w:space="0"/>
              <w:bottom w:val="single" w:color="auto"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sz w:val="24"/>
                <w:szCs w:val="24"/>
                <w:lang w:val="en-US" w:eastAsia="zh-CN" w:bidi="ar-SA"/>
              </w:rPr>
              <w:t>≥90%</w:t>
            </w:r>
          </w:p>
        </w:tc>
      </w:tr>
    </w:tbl>
    <w:p>
      <w:pPr>
        <w:pStyle w:val="7"/>
        <w:pageBreakBefore w:val="0"/>
        <w:widowControl w:val="0"/>
        <w:kinsoku/>
        <w:wordWrap/>
        <w:overflowPunct/>
        <w:topLinePunct w:val="0"/>
        <w:autoSpaceDE/>
        <w:autoSpaceDN/>
        <w:bidi w:val="0"/>
        <w:snapToGrid w:val="0"/>
        <w:spacing w:line="576" w:lineRule="exact"/>
        <w:rPr>
          <w:rFonts w:hint="eastAsia" w:ascii="仿宋_GB2312" w:eastAsia="仿宋_GB2312" w:cs="仿宋_GB2312"/>
          <w:kern w:val="2"/>
          <w:sz w:val="32"/>
          <w:szCs w:val="32"/>
          <w:shd w:val="clear" w:color="auto" w:fill="FFFFFF"/>
          <w:lang w:val="zh-CN" w:eastAsia="zh-CN" w:bidi="ar-SA"/>
        </w:rPr>
      </w:pPr>
      <w:r>
        <w:rPr>
          <w:rFonts w:hint="eastAsia" w:ascii="仿宋_GB2312" w:eastAsia="仿宋_GB2312" w:cs="仿宋_GB2312"/>
          <w:kern w:val="2"/>
          <w:sz w:val="32"/>
          <w:szCs w:val="32"/>
          <w:shd w:val="clear" w:color="auto" w:fill="FFFFFF"/>
          <w:lang w:val="zh-CN" w:eastAsia="zh-CN" w:bidi="ar-SA"/>
        </w:rPr>
        <w:t>项目按照‘集中财力办大事要事’的基本思路，充分体现‘规划引领、突出重点、体现差异、强化绩效’的安排原则，茂县供销为农服务综合平台试点县建设项目总投资1190</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万元，申请奖补资金283</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万元，自筹907</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万元。项目分为两期实施，其中一期实施时间为2022年1月-2024年6月，项目总投资490</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万元，申请奖补资金116</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万元，企业自筹374</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万元；二期实施时间为2024年6月-2024年12月，项目总投资700</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万元，申请奖补资金167</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万元，企业自筹533</w:t>
      </w:r>
      <w:r>
        <w:rPr>
          <w:rFonts w:hint="eastAsia" w:ascii="仿宋_GB2312" w:cs="仿宋_GB2312"/>
          <w:kern w:val="2"/>
          <w:sz w:val="32"/>
          <w:szCs w:val="32"/>
          <w:shd w:val="clear" w:color="auto" w:fill="FFFFFF"/>
          <w:lang w:val="en-US" w:eastAsia="zh-CN" w:bidi="ar-SA"/>
        </w:rPr>
        <w:t>.00</w:t>
      </w:r>
      <w:r>
        <w:rPr>
          <w:rFonts w:hint="eastAsia" w:ascii="仿宋_GB2312" w:eastAsia="仿宋_GB2312" w:cs="仿宋_GB2312"/>
          <w:kern w:val="2"/>
          <w:sz w:val="32"/>
          <w:szCs w:val="32"/>
          <w:shd w:val="clear" w:color="auto" w:fill="FFFFFF"/>
          <w:lang w:val="zh-CN" w:eastAsia="zh-CN" w:bidi="ar-SA"/>
        </w:rPr>
        <w:t>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bidi="ar-SA"/>
        </w:rPr>
      </w:pPr>
      <w:r>
        <w:rPr>
          <w:rFonts w:hint="default" w:ascii="Times New Roman" w:hAnsi="Times New Roman" w:eastAsia="黑体" w:cs="Times New Roman"/>
          <w:sz w:val="32"/>
          <w:szCs w:val="32"/>
          <w:highlight w:val="none"/>
          <w:lang w:bidi="ar-SA"/>
        </w:rPr>
        <w:t>二、</w:t>
      </w:r>
      <w:r>
        <w:rPr>
          <w:rFonts w:hint="default" w:ascii="Times New Roman" w:hAnsi="Times New Roman" w:eastAsia="黑体" w:cs="Times New Roman"/>
          <w:sz w:val="32"/>
          <w:szCs w:val="32"/>
          <w:highlight w:val="none"/>
          <w:lang w:eastAsia="zh-CN" w:bidi="ar-SA"/>
        </w:rPr>
        <w:t>评价实施</w:t>
      </w:r>
    </w:p>
    <w:p>
      <w:pPr>
        <w:pStyle w:val="7"/>
        <w:pageBreakBefore w:val="0"/>
        <w:widowControl w:val="0"/>
        <w:kinsoku/>
        <w:wordWrap/>
        <w:overflowPunct/>
        <w:topLinePunct w:val="0"/>
        <w:autoSpaceDE/>
        <w:autoSpaceDN/>
        <w:bidi w:val="0"/>
        <w:snapToGrid w:val="0"/>
        <w:spacing w:line="576" w:lineRule="exact"/>
        <w:rPr>
          <w:rFonts w:hint="eastAsia" w:ascii="楷体_GB2312" w:eastAsia="楷体_GB2312" w:cs="Times New Roman"/>
          <w:b/>
          <w:color w:val="auto"/>
          <w:kern w:val="2"/>
          <w:sz w:val="32"/>
          <w:szCs w:val="32"/>
          <w:highlight w:val="none"/>
          <w:u w:val="none"/>
          <w:lang w:val="zh-CN" w:eastAsia="zh-CN" w:bidi="ar-SA"/>
        </w:rPr>
      </w:pPr>
      <w:r>
        <w:rPr>
          <w:rFonts w:hint="eastAsia" w:ascii="楷体_GB2312" w:eastAsia="楷体_GB2312" w:cs="Times New Roman"/>
          <w:b/>
          <w:color w:val="auto"/>
          <w:kern w:val="2"/>
          <w:sz w:val="32"/>
          <w:szCs w:val="32"/>
          <w:highlight w:val="none"/>
          <w:u w:val="none"/>
          <w:lang w:val="zh-CN" w:eastAsia="zh-CN" w:bidi="ar-SA"/>
        </w:rPr>
        <w:t>（一）评价目的</w:t>
      </w:r>
    </w:p>
    <w:p>
      <w:pPr>
        <w:pStyle w:val="7"/>
        <w:pageBreakBefore w:val="0"/>
        <w:widowControl w:val="0"/>
        <w:kinsoku/>
        <w:wordWrap/>
        <w:overflowPunct/>
        <w:topLinePunct w:val="0"/>
        <w:autoSpaceDE/>
        <w:autoSpaceDN/>
        <w:bidi w:val="0"/>
        <w:snapToGrid w:val="0"/>
        <w:spacing w:line="576" w:lineRule="exact"/>
        <w:rPr>
          <w:rFonts w:hint="eastAsia" w:ascii="仿宋_GB2312" w:eastAsia="仿宋_GB2312" w:cs="仿宋_GB2312"/>
          <w:kern w:val="2"/>
          <w:sz w:val="32"/>
          <w:szCs w:val="32"/>
          <w:shd w:val="clear" w:color="auto" w:fill="FFFFFF"/>
          <w:lang w:val="en-US" w:eastAsia="zh-CN" w:bidi="ar-SA"/>
        </w:rPr>
      </w:pPr>
      <w:r>
        <w:rPr>
          <w:rFonts w:hint="eastAsia" w:ascii="仿宋_GB2312" w:eastAsia="仿宋_GB2312" w:cs="仿宋_GB2312"/>
          <w:kern w:val="2"/>
          <w:sz w:val="32"/>
          <w:szCs w:val="32"/>
          <w:shd w:val="clear" w:color="auto" w:fill="FFFFFF"/>
          <w:lang w:val="zh-CN" w:eastAsia="zh-CN" w:bidi="ar-SA"/>
        </w:rPr>
        <w:t>为贯彻落实中央、省、州关于全面实施预算绩效管理有关文件精神，推进全面实施预算绩效管理工作深入开展的要求，对项目依据、绩效目标、资金管理、项目完成、项目效益等方面进行全面、客观、公正的评价，对资金支出行为过程及其效果进行综合评价和判断，评价资金使用的科学性、合理性和有效性，分析存在的问题，提出资金管理、项目管理相关建议，提高资金使用效益。</w:t>
      </w:r>
    </w:p>
    <w:p>
      <w:pPr>
        <w:ind w:firstLine="642" w:firstLineChars="200"/>
        <w:rPr>
          <w:rFonts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eastAsia="zh-CN" w:bidi="ar-SA"/>
        </w:rPr>
        <w:t>（二）预设问题及评价重点</w:t>
      </w:r>
    </w:p>
    <w:p>
      <w:pPr>
        <w:pStyle w:val="7"/>
        <w:pageBreakBefore w:val="0"/>
        <w:widowControl w:val="0"/>
        <w:kinsoku/>
        <w:wordWrap/>
        <w:overflowPunct/>
        <w:topLinePunct w:val="0"/>
        <w:autoSpaceDE/>
        <w:autoSpaceDN/>
        <w:bidi w:val="0"/>
        <w:snapToGrid w:val="0"/>
        <w:spacing w:line="576" w:lineRule="exact"/>
        <w:rPr>
          <w:rFonts w:hint="eastAsia" w:ascii="仿宋_GB2312" w:eastAsia="仿宋_GB2312" w:cs="仿宋_GB2312"/>
          <w:kern w:val="2"/>
          <w:sz w:val="32"/>
          <w:szCs w:val="32"/>
          <w:shd w:val="clear" w:color="auto" w:fill="FFFFFF"/>
          <w:lang w:val="zh-CN" w:eastAsia="zh-CN" w:bidi="ar-SA"/>
        </w:rPr>
      </w:pPr>
      <w:r>
        <w:rPr>
          <w:rFonts w:hint="eastAsia" w:ascii="仿宋_GB2312" w:eastAsia="仿宋_GB2312" w:cs="仿宋_GB2312"/>
          <w:kern w:val="2"/>
          <w:sz w:val="32"/>
          <w:szCs w:val="32"/>
          <w:shd w:val="clear" w:color="auto" w:fill="FFFFFF"/>
          <w:lang w:val="zh-CN" w:eastAsia="zh-CN" w:bidi="ar-SA"/>
        </w:rPr>
        <w:t>对茂县城市社区经营服务网点、区域为农服务中心、改造提升冻库和县域供销农产品仓储加工中心进行查验，资金按照计划及时、足额到位，资金到位率</w:t>
      </w:r>
      <w:r>
        <w:rPr>
          <w:rFonts w:hint="eastAsia" w:ascii="仿宋_GB2312" w:eastAsia="仿宋_GB2312" w:cs="仿宋_GB2312"/>
          <w:kern w:val="2"/>
          <w:sz w:val="32"/>
          <w:szCs w:val="32"/>
          <w:shd w:val="clear" w:color="auto" w:fill="FFFFFF"/>
          <w:lang w:val="en-US" w:eastAsia="zh-CN" w:bidi="ar-SA"/>
        </w:rPr>
        <w:t>100%</w:t>
      </w:r>
      <w:r>
        <w:rPr>
          <w:rFonts w:hint="eastAsia" w:ascii="仿宋_GB2312" w:eastAsia="仿宋_GB2312" w:cs="仿宋_GB2312"/>
          <w:kern w:val="2"/>
          <w:sz w:val="32"/>
          <w:szCs w:val="32"/>
          <w:shd w:val="clear" w:color="auto" w:fill="FFFFFF"/>
          <w:lang w:val="zh-CN" w:eastAsia="zh-CN" w:bidi="ar-SA"/>
        </w:rPr>
        <w:t>，无资金滞留、截留或挪用等问题。资金实际支出与计划支出吻合。</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2" w:firstLineChars="200"/>
        <w:textAlignment w:val="auto"/>
        <w:outlineLvl w:val="9"/>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（三）评价选点</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textAlignment w:val="auto"/>
        <w:outlineLvl w:val="9"/>
        <w:rPr>
          <w:rFonts w:hint="default" w:ascii="Times New Roman" w:hAnsi="Times New Roman" w:eastAsia="仿宋_GB2312" w:cs="Times New Roman"/>
          <w:sz w:val="32"/>
          <w:szCs w:val="32"/>
          <w:lang w:val="zh-CN" w:eastAsia="zh-CN" w:bidi="ar-SA"/>
        </w:rPr>
      </w:pPr>
      <w:r>
        <w:rPr>
          <w:rFonts w:hint="eastAsia" w:ascii="仿宋_GB2312" w:hAnsi="Times New Roman" w:eastAsia="仿宋_GB2312" w:cs="仿宋_GB2312"/>
          <w:sz w:val="32"/>
          <w:szCs w:val="32"/>
          <w:shd w:val="clear" w:color="auto" w:fill="FFFFFF"/>
          <w:lang w:val="zh-CN" w:eastAsia="zh-CN" w:bidi="ar-SA"/>
        </w:rPr>
        <w:t>茂县凤仪镇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eastAsia="zh-CN" w:bidi="ar-SA"/>
        </w:rPr>
      </w:pPr>
      <w:r>
        <w:rPr>
          <w:rFonts w:hint="default" w:ascii="Times New Roman" w:hAnsi="Times New Roman" w:eastAsia="楷体_GB2312" w:cs="Times New Roman"/>
          <w:b/>
          <w:color w:val="auto"/>
          <w:sz w:val="32"/>
          <w:szCs w:val="32"/>
          <w:highlight w:val="none"/>
          <w:u w:val="none"/>
          <w:lang w:val="zh-CN" w:eastAsia="zh-CN" w:bidi="ar-SA"/>
        </w:rPr>
        <w:t>（四）评价方法</w:t>
      </w:r>
    </w:p>
    <w:p>
      <w:pPr>
        <w:pStyle w:val="7"/>
        <w:pageBreakBefore w:val="0"/>
        <w:widowControl w:val="0"/>
        <w:kinsoku/>
        <w:wordWrap/>
        <w:overflowPunct/>
        <w:topLinePunct w:val="0"/>
        <w:autoSpaceDE/>
        <w:autoSpaceDN/>
        <w:bidi w:val="0"/>
        <w:snapToGrid w:val="0"/>
        <w:spacing w:line="576" w:lineRule="exact"/>
        <w:rPr>
          <w:rFonts w:hint="default" w:ascii="仿宋_GB2312" w:eastAsia="仿宋_GB2312" w:cs="仿宋_GB2312"/>
          <w:kern w:val="2"/>
          <w:sz w:val="32"/>
          <w:szCs w:val="32"/>
          <w:shd w:val="clear" w:color="auto" w:fill="FFFFFF"/>
          <w:lang w:val="zh-CN" w:eastAsia="zh-CN" w:bidi="ar-SA"/>
        </w:rPr>
      </w:pPr>
      <w:r>
        <w:rPr>
          <w:rFonts w:hint="eastAsia" w:ascii="仿宋_GB2312" w:eastAsia="仿宋_GB2312" w:cs="仿宋_GB2312"/>
          <w:kern w:val="2"/>
          <w:sz w:val="32"/>
          <w:szCs w:val="32"/>
          <w:shd w:val="clear" w:color="auto" w:fill="FFFFFF"/>
          <w:lang w:val="zh-CN" w:eastAsia="zh-CN" w:bidi="ar-SA"/>
        </w:rPr>
        <w:t>由“茂县供销为农服务综合平台试点县建设项目”主管部门茂县供销合作社联合社通过项目的建设周期、建设内容、资金使用等目标任务，进行</w:t>
      </w:r>
      <w:r>
        <w:rPr>
          <w:rFonts w:hint="default" w:ascii="仿宋_GB2312" w:eastAsia="仿宋_GB2312" w:cs="仿宋_GB2312"/>
          <w:kern w:val="2"/>
          <w:sz w:val="32"/>
          <w:szCs w:val="32"/>
          <w:shd w:val="clear" w:color="auto" w:fill="FFFFFF"/>
          <w:lang w:val="zh-CN" w:eastAsia="zh-CN" w:bidi="ar-SA"/>
        </w:rPr>
        <w:t>实地勘察法</w:t>
      </w:r>
      <w:r>
        <w:rPr>
          <w:rFonts w:hint="eastAsia" w:ascii="仿宋_GB2312" w:eastAsia="仿宋_GB2312" w:cs="仿宋_GB2312"/>
          <w:kern w:val="2"/>
          <w:sz w:val="32"/>
          <w:szCs w:val="32"/>
          <w:shd w:val="clear" w:color="auto" w:fill="FFFFFF"/>
          <w:lang w:val="zh-CN" w:eastAsia="zh-CN" w:bidi="ar-SA"/>
        </w:rPr>
        <w:t>的方式，进行评价，形成绩效评价报告。</w:t>
      </w:r>
    </w:p>
    <w:p>
      <w:pPr>
        <w:widowControl w:val="0"/>
        <w:snapToGrid w:val="0"/>
        <w:spacing w:line="360" w:lineRule="auto"/>
        <w:ind w:left="0" w:firstLine="642" w:firstLineChars="200"/>
        <w:jc w:val="left"/>
        <w:outlineLvl w:val="1"/>
        <w:rPr>
          <w:rFonts w:hint="default" w:ascii="Times New Roman" w:hAnsi="Times New Roman" w:eastAsia="楷体_GB2312" w:cs="Times New Roman"/>
          <w:b/>
          <w:bCs/>
          <w:color w:val="auto"/>
          <w:kern w:val="2"/>
          <w:sz w:val="32"/>
          <w:szCs w:val="32"/>
          <w:highlight w:val="none"/>
          <w:u w:val="none"/>
          <w:lang w:val="zh-CN" w:eastAsia="zh-CN" w:bidi="ar-SA"/>
        </w:rPr>
      </w:pPr>
      <w:r>
        <w:rPr>
          <w:rFonts w:hint="default" w:ascii="Times New Roman" w:hAnsi="Times New Roman" w:eastAsia="楷体_GB2312" w:cs="Times New Roman"/>
          <w:b/>
          <w:bCs/>
          <w:color w:val="auto"/>
          <w:kern w:val="2"/>
          <w:sz w:val="32"/>
          <w:szCs w:val="32"/>
          <w:highlight w:val="none"/>
          <w:u w:val="none"/>
          <w:lang w:val="zh-CN" w:eastAsia="zh-CN" w:bidi="ar-SA"/>
        </w:rPr>
        <w:t>（五）评价组织</w:t>
      </w:r>
    </w:p>
    <w:p>
      <w:pPr>
        <w:pStyle w:val="7"/>
        <w:pageBreakBefore w:val="0"/>
        <w:widowControl w:val="0"/>
        <w:kinsoku/>
        <w:wordWrap/>
        <w:overflowPunct/>
        <w:topLinePunct w:val="0"/>
        <w:autoSpaceDE/>
        <w:autoSpaceDN/>
        <w:bidi w:val="0"/>
        <w:snapToGrid w:val="0"/>
        <w:spacing w:line="576" w:lineRule="exact"/>
        <w:rPr>
          <w:rFonts w:hint="eastAsia" w:ascii="仿宋_GB2312" w:eastAsia="仿宋_GB2312" w:cs="仿宋_GB2312"/>
          <w:kern w:val="2"/>
          <w:sz w:val="32"/>
          <w:szCs w:val="32"/>
          <w:shd w:val="clear" w:color="auto" w:fill="FFFFFF"/>
          <w:lang w:val="en-US" w:eastAsia="zh-CN" w:bidi="ar-SA"/>
        </w:rPr>
      </w:pPr>
      <w:r>
        <w:rPr>
          <w:rFonts w:hint="eastAsia" w:ascii="仿宋_GB2312" w:eastAsia="仿宋_GB2312" w:cs="仿宋_GB2312"/>
          <w:kern w:val="2"/>
          <w:sz w:val="32"/>
          <w:szCs w:val="32"/>
          <w:shd w:val="clear" w:color="auto" w:fill="FFFFFF"/>
          <w:lang w:val="en-US" w:eastAsia="zh-CN" w:bidi="ar-SA"/>
        </w:rPr>
        <w:t>为确保茂县供销为农服务综合平台试点县建设项目自评工作有序开展，组建由联社主任任组长，联社副主任和企业总经理任副组长，项目实施主体的企业法人和财务负责人为成员的项目自评工作小组。</w:t>
      </w:r>
    </w:p>
    <w:p>
      <w:pPr>
        <w:widowControl/>
        <w:tabs>
          <w:tab w:val="left" w:pos="2160"/>
        </w:tabs>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三、绩效分析</w:t>
      </w:r>
    </w:p>
    <w:p>
      <w:pPr>
        <w:spacing w:line="578" w:lineRule="exact"/>
        <w:ind w:firstLine="640"/>
        <w:rPr>
          <w:rFonts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楷体" w:hAnsi="楷体" w:eastAsia="楷体" w:cs="楷体"/>
          <w:b/>
          <w:bCs/>
          <w:sz w:val="32"/>
          <w:szCs w:val="32"/>
        </w:rPr>
      </w:pPr>
      <w:r>
        <w:rPr>
          <w:rFonts w:hint="eastAsia" w:ascii="楷体" w:hAnsi="楷体" w:eastAsia="楷体" w:cs="楷体"/>
          <w:b/>
          <w:bCs/>
          <w:sz w:val="32"/>
          <w:szCs w:val="32"/>
        </w:rPr>
        <w:t>1.项目决策</w:t>
      </w:r>
    </w:p>
    <w:p>
      <w:pPr>
        <w:pStyle w:val="7"/>
        <w:pageBreakBefore w:val="0"/>
        <w:widowControl w:val="0"/>
        <w:kinsoku/>
        <w:wordWrap/>
        <w:overflowPunct/>
        <w:topLinePunct w:val="0"/>
        <w:autoSpaceDE/>
        <w:autoSpaceDN/>
        <w:bidi w:val="0"/>
        <w:snapToGrid w:val="0"/>
        <w:spacing w:line="576" w:lineRule="exact"/>
        <w:rPr>
          <w:rFonts w:hint="default" w:eastAsia="仿宋_GB2312"/>
          <w:sz w:val="32"/>
          <w:szCs w:val="32"/>
          <w:lang w:val="en-US" w:eastAsia="zh-CN"/>
        </w:rPr>
      </w:pPr>
      <w:r>
        <w:rPr>
          <w:rFonts w:hint="eastAsia" w:eastAsia="仿宋_GB2312"/>
          <w:sz w:val="32"/>
          <w:szCs w:val="32"/>
        </w:rPr>
        <w:t>决策程序</w:t>
      </w:r>
      <w:r>
        <w:rPr>
          <w:rFonts w:hint="eastAsia" w:eastAsia="仿宋_GB2312"/>
          <w:sz w:val="32"/>
          <w:szCs w:val="32"/>
          <w:lang w:eastAsia="zh-CN"/>
        </w:rPr>
        <w:t>严密，</w:t>
      </w:r>
      <w:r>
        <w:rPr>
          <w:rFonts w:hint="eastAsia" w:eastAsia="仿宋_GB2312"/>
          <w:sz w:val="32"/>
          <w:szCs w:val="32"/>
        </w:rPr>
        <w:t>符合资金管理基本规范和决策程序要求</w:t>
      </w:r>
      <w:r>
        <w:rPr>
          <w:rFonts w:hint="eastAsia" w:eastAsia="仿宋_GB2312"/>
          <w:sz w:val="32"/>
          <w:szCs w:val="32"/>
          <w:lang w:eastAsia="zh-CN"/>
        </w:rPr>
        <w:t>。</w:t>
      </w:r>
      <w:r>
        <w:rPr>
          <w:rFonts w:hint="eastAsia" w:eastAsia="仿宋_GB2312"/>
          <w:sz w:val="32"/>
          <w:szCs w:val="32"/>
        </w:rPr>
        <w:t>规划论证符合要求、项目绩效目标设置科学合理</w:t>
      </w:r>
      <w:r>
        <w:rPr>
          <w:rFonts w:hint="eastAsia" w:eastAsia="仿宋_GB2312"/>
          <w:sz w:val="32"/>
          <w:szCs w:val="32"/>
          <w:lang w:eastAsia="zh-CN"/>
        </w:rPr>
        <w:t>。</w:t>
      </w:r>
      <w:r>
        <w:rPr>
          <w:rFonts w:hint="eastAsia" w:eastAsia="仿宋_GB2312"/>
          <w:sz w:val="32"/>
          <w:szCs w:val="32"/>
        </w:rPr>
        <w:t>资金投向与项目总体规划、相关行业事业发展相匹配。</w:t>
      </w:r>
    </w:p>
    <w:p>
      <w:pPr>
        <w:spacing w:line="578" w:lineRule="exact"/>
        <w:ind w:firstLine="64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项目管理</w:t>
      </w:r>
    </w:p>
    <w:p>
      <w:pPr>
        <w:pStyle w:val="7"/>
        <w:pageBreakBefore w:val="0"/>
        <w:widowControl w:val="0"/>
        <w:kinsoku/>
        <w:wordWrap/>
        <w:overflowPunct/>
        <w:topLinePunct w:val="0"/>
        <w:autoSpaceDE/>
        <w:autoSpaceDN/>
        <w:bidi w:val="0"/>
        <w:snapToGrid w:val="0"/>
        <w:spacing w:line="576" w:lineRule="exact"/>
        <w:rPr>
          <w:rFonts w:hint="default" w:eastAsia="仿宋_GB2312"/>
          <w:sz w:val="32"/>
          <w:szCs w:val="32"/>
          <w:lang w:val="en-US" w:eastAsia="zh-CN"/>
        </w:rPr>
      </w:pPr>
      <w:r>
        <w:rPr>
          <w:rFonts w:hint="eastAsia" w:eastAsia="仿宋_GB2312"/>
          <w:sz w:val="32"/>
          <w:szCs w:val="32"/>
        </w:rPr>
        <w:t>项目资金分配因素选取、权重设置、区域分布，项目管理、审批符合管理要求、绩效监管按</w:t>
      </w:r>
      <w:r>
        <w:rPr>
          <w:rFonts w:hint="eastAsia" w:ascii="仿宋_GB2312" w:eastAsia="仿宋_GB2312" w:cs="仿宋_GB2312"/>
          <w:kern w:val="2"/>
          <w:sz w:val="32"/>
          <w:szCs w:val="32"/>
          <w:shd w:val="clear" w:color="auto" w:fill="FFFFFF"/>
          <w:lang w:val="zh-CN" w:eastAsia="zh-CN" w:bidi="ar-SA"/>
        </w:rPr>
        <w:t>要求</w:t>
      </w:r>
      <w:r>
        <w:rPr>
          <w:rFonts w:hint="eastAsia" w:eastAsia="仿宋_GB2312"/>
          <w:sz w:val="32"/>
          <w:szCs w:val="32"/>
        </w:rPr>
        <w:t>全面完成绩效目标（含事前评估）、绩效评价。</w:t>
      </w:r>
    </w:p>
    <w:p>
      <w:pPr>
        <w:spacing w:line="578" w:lineRule="exact"/>
        <w:ind w:firstLine="640"/>
        <w:rPr>
          <w:rFonts w:hint="eastAsia" w:ascii="楷体" w:hAnsi="楷体" w:eastAsia="楷体" w:cs="楷体"/>
          <w:b/>
          <w:bCs/>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项目实施</w:t>
      </w:r>
    </w:p>
    <w:p>
      <w:pPr>
        <w:numPr>
          <w:ilvl w:val="0"/>
          <w:numId w:val="0"/>
        </w:numPr>
        <w:spacing w:line="578" w:lineRule="exact"/>
        <w:ind w:firstLine="640" w:firstLineChars="200"/>
        <w:rPr>
          <w:rFonts w:hint="default" w:eastAsia="仿宋_GB2312"/>
          <w:sz w:val="32"/>
          <w:szCs w:val="32"/>
          <w:lang w:val="en-US" w:eastAsia="zh-CN"/>
        </w:rPr>
      </w:pPr>
      <w:r>
        <w:rPr>
          <w:rFonts w:hint="eastAsia" w:eastAsia="仿宋_GB2312"/>
          <w:sz w:val="32"/>
          <w:szCs w:val="32"/>
          <w:lang w:eastAsia="zh-CN"/>
        </w:rPr>
        <w:t>财政资金拨付率</w:t>
      </w:r>
      <w:r>
        <w:rPr>
          <w:rFonts w:hint="eastAsia" w:ascii="仿宋_GB2312" w:hAnsi="仿宋_GB2312" w:eastAsia="仿宋_GB2312" w:cs="仿宋_GB2312"/>
          <w:sz w:val="32"/>
          <w:szCs w:val="32"/>
          <w:lang w:val="en-US" w:eastAsia="zh-CN"/>
        </w:rPr>
        <w:t>100%</w:t>
      </w:r>
      <w:r>
        <w:rPr>
          <w:rFonts w:hint="eastAsia" w:eastAsia="仿宋_GB2312"/>
          <w:sz w:val="32"/>
          <w:szCs w:val="32"/>
          <w:lang w:val="en-US" w:eastAsia="zh-CN"/>
        </w:rPr>
        <w:t>，使用率100%，无地方配套资金。</w:t>
      </w:r>
    </w:p>
    <w:p>
      <w:pPr>
        <w:spacing w:line="578" w:lineRule="exact"/>
        <w:ind w:firstLine="640"/>
        <w:rPr>
          <w:rFonts w:hint="eastAsia" w:ascii="楷体" w:hAnsi="楷体" w:eastAsia="楷体" w:cs="楷体"/>
          <w:b/>
          <w:bCs/>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项目结果</w:t>
      </w:r>
    </w:p>
    <w:p>
      <w:pPr>
        <w:numPr>
          <w:ilvl w:val="0"/>
          <w:numId w:val="0"/>
        </w:numPr>
        <w:spacing w:line="578" w:lineRule="exact"/>
        <w:ind w:firstLine="640" w:firstLineChars="200"/>
        <w:rPr>
          <w:rFonts w:hint="eastAsia" w:eastAsia="仿宋_GB2312"/>
          <w:sz w:val="32"/>
          <w:szCs w:val="32"/>
          <w:lang w:eastAsia="zh-CN"/>
        </w:rPr>
      </w:pPr>
      <w:r>
        <w:rPr>
          <w:rFonts w:hint="eastAsia" w:eastAsia="仿宋_GB2312"/>
          <w:sz w:val="32"/>
          <w:szCs w:val="32"/>
        </w:rPr>
        <w:t>完成预期目标，实施结果。与绩效目标相匹配</w:t>
      </w:r>
      <w:r>
        <w:rPr>
          <w:rFonts w:hint="eastAsia" w:eastAsia="仿宋_GB2312"/>
          <w:sz w:val="32"/>
          <w:szCs w:val="32"/>
          <w:lang w:eastAsia="zh-CN"/>
        </w:rPr>
        <w:t>。</w:t>
      </w:r>
    </w:p>
    <w:p>
      <w:pPr>
        <w:numPr>
          <w:ilvl w:val="0"/>
          <w:numId w:val="0"/>
        </w:numPr>
        <w:spacing w:line="578" w:lineRule="exact"/>
        <w:ind w:firstLine="642" w:firstLineChars="200"/>
        <w:rPr>
          <w:rFonts w:ascii="楷体_GB2312" w:hAnsi="楷体_GB2312" w:eastAsia="楷体_GB2312" w:cs="楷体_GB2312"/>
          <w:sz w:val="32"/>
          <w:szCs w:val="32"/>
          <w:lang w:val="zh-CN"/>
        </w:rPr>
      </w:pPr>
      <w:r>
        <w:rPr>
          <w:rFonts w:hint="eastAsia" w:ascii="楷体_GB2312" w:hAnsi="宋体" w:eastAsia="楷体_GB2312"/>
          <w:b/>
          <w:sz w:val="32"/>
          <w:szCs w:val="32"/>
          <w:lang w:val="zh-CN"/>
        </w:rPr>
        <w:t>（二）</w:t>
      </w:r>
      <w:r>
        <w:rPr>
          <w:rFonts w:hint="eastAsia" w:ascii="楷体_GB2312" w:hAnsi="宋体"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1.产业发展</w:t>
      </w:r>
    </w:p>
    <w:p>
      <w:pPr>
        <w:pStyle w:val="7"/>
        <w:pageBreakBefore w:val="0"/>
        <w:widowControl w:val="0"/>
        <w:kinsoku/>
        <w:wordWrap/>
        <w:overflowPunct/>
        <w:topLinePunct w:val="0"/>
        <w:autoSpaceDE/>
        <w:autoSpaceDN/>
        <w:bidi w:val="0"/>
        <w:snapToGrid w:val="0"/>
        <w:spacing w:line="576" w:lineRule="exact"/>
        <w:rPr>
          <w:rFonts w:hint="default" w:ascii="楷体_GB2312" w:hAnsi="楷体_GB2312" w:eastAsia="仿宋_GB2312" w:cs="楷体_GB2312"/>
          <w:sz w:val="32"/>
          <w:szCs w:val="32"/>
          <w:lang w:val="en-US" w:eastAsia="zh-CN"/>
        </w:rPr>
      </w:pPr>
      <w:r>
        <w:rPr>
          <w:rFonts w:hint="eastAsia" w:eastAsia="仿宋_GB2312"/>
          <w:sz w:val="32"/>
          <w:szCs w:val="32"/>
        </w:rPr>
        <w:t>与省委</w:t>
      </w:r>
      <w:r>
        <w:rPr>
          <w:rFonts w:hint="eastAsia"/>
          <w:sz w:val="32"/>
          <w:szCs w:val="32"/>
          <w:lang w:eastAsia="zh-CN"/>
        </w:rPr>
        <w:t>、</w:t>
      </w:r>
      <w:r>
        <w:rPr>
          <w:rFonts w:hint="eastAsia" w:eastAsia="仿宋_GB2312"/>
          <w:sz w:val="32"/>
          <w:szCs w:val="32"/>
        </w:rPr>
        <w:t>省政府支持重点</w:t>
      </w:r>
      <w:r>
        <w:rPr>
          <w:rFonts w:hint="eastAsia"/>
          <w:sz w:val="32"/>
          <w:szCs w:val="32"/>
          <w:lang w:eastAsia="zh-CN"/>
        </w:rPr>
        <w:t>，发货</w:t>
      </w:r>
      <w:r>
        <w:rPr>
          <w:rFonts w:hint="eastAsia" w:eastAsia="仿宋_GB2312"/>
          <w:sz w:val="32"/>
          <w:szCs w:val="32"/>
        </w:rPr>
        <w:t>产业支持政策符合、对相关企业（机构）成长性的促进作用。</w:t>
      </w:r>
    </w:p>
    <w:p>
      <w:pPr>
        <w:numPr>
          <w:ilvl w:val="0"/>
          <w:numId w:val="0"/>
        </w:numPr>
        <w:spacing w:line="578" w:lineRule="exact"/>
        <w:ind w:firstLine="642" w:firstLineChars="200"/>
        <w:rPr>
          <w:rFonts w:hint="default" w:eastAsia="仿宋_GB2312"/>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val="zh-CN" w:eastAsia="zh-CN"/>
        </w:rPr>
        <w:t>行政运转</w:t>
      </w:r>
    </w:p>
    <w:p>
      <w:pPr>
        <w:numPr>
          <w:ilvl w:val="0"/>
          <w:numId w:val="0"/>
        </w:numPr>
        <w:spacing w:line="578" w:lineRule="exact"/>
        <w:ind w:firstLine="640" w:firstLineChars="200"/>
        <w:rPr>
          <w:rFonts w:hint="default" w:eastAsia="仿宋_GB2312"/>
          <w:sz w:val="32"/>
          <w:szCs w:val="32"/>
          <w:lang w:val="en-US" w:eastAsia="zh-CN"/>
        </w:rPr>
      </w:pPr>
      <w:r>
        <w:rPr>
          <w:rFonts w:hint="eastAsia" w:eastAsia="仿宋_GB2312"/>
          <w:sz w:val="32"/>
          <w:szCs w:val="32"/>
          <w:lang w:val="zh-CN"/>
        </w:rPr>
        <w:t>按规定用途、适用范围进行本地区专项资金分配。</w:t>
      </w:r>
    </w:p>
    <w:p>
      <w:pPr>
        <w:pageBreakBefore w:val="0"/>
        <w:widowControl/>
        <w:kinsoku/>
        <w:wordWrap/>
        <w:overflowPunct/>
        <w:topLinePunct w:val="0"/>
        <w:autoSpaceDE/>
        <w:autoSpaceDN/>
        <w:bidi w:val="0"/>
        <w:adjustRightInd/>
        <w:spacing w:line="600" w:lineRule="exact"/>
        <w:ind w:left="0"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四、评价结论</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hAnsi="Times New Roman" w:eastAsia="仿宋_GB2312" w:cs="仿宋_GB2312"/>
          <w:kern w:val="0"/>
          <w:position w:val="0"/>
          <w:sz w:val="32"/>
          <w:szCs w:val="32"/>
          <w:highlight w:val="none"/>
          <w:u w:val="none"/>
          <w:shd w:val="clear" w:color="auto" w:fill="FFFFFF"/>
          <w:lang w:val="zh-CN" w:eastAsia="zh-CN" w:bidi="ar-SA"/>
        </w:rPr>
      </w:pPr>
      <w:r>
        <w:rPr>
          <w:rFonts w:hint="eastAsia" w:ascii="仿宋_GB2312" w:hAnsi="Times New Roman" w:eastAsia="仿宋_GB2312" w:cs="仿宋_GB2312"/>
          <w:color w:val="auto"/>
          <w:kern w:val="0"/>
          <w:position w:val="0"/>
          <w:sz w:val="32"/>
          <w:szCs w:val="32"/>
          <w:highlight w:val="none"/>
          <w:u w:val="none"/>
          <w:shd w:val="clear" w:color="auto" w:fill="FFFFFF"/>
          <w:lang w:val="zh-CN" w:eastAsia="zh-CN" w:bidi="ar-SA"/>
        </w:rPr>
        <w:t>茂县供销为农服务综合平台试点县建设项目（二期）资金投向与规划一致，完成目标任务，完成绩效目标，资金使用合规。项目完成了投资任务、建设内容，自评小组</w:t>
      </w:r>
      <w:r>
        <w:rPr>
          <w:rFonts w:hint="eastAsia" w:ascii="仿宋_GB2312" w:hAnsi="Times New Roman" w:eastAsia="仿宋_GB2312" w:cs="仿宋_GB2312"/>
          <w:kern w:val="0"/>
          <w:position w:val="0"/>
          <w:sz w:val="32"/>
          <w:szCs w:val="32"/>
          <w:highlight w:val="none"/>
          <w:u w:val="none"/>
          <w:shd w:val="clear" w:color="auto" w:fill="FFFFFF"/>
          <w:lang w:val="zh-CN" w:eastAsia="zh-CN" w:bidi="ar-SA"/>
        </w:rPr>
        <w:t>自评综合得分</w:t>
      </w:r>
      <w:r>
        <w:rPr>
          <w:rFonts w:hint="eastAsia" w:ascii="仿宋_GB2312" w:hAnsi="Times New Roman" w:eastAsia="仿宋_GB2312" w:cs="仿宋_GB2312"/>
          <w:kern w:val="0"/>
          <w:position w:val="0"/>
          <w:sz w:val="32"/>
          <w:szCs w:val="32"/>
          <w:highlight w:val="none"/>
          <w:u w:val="none"/>
          <w:shd w:val="clear" w:color="auto" w:fill="FFFFFF"/>
          <w:lang w:val="en-US" w:eastAsia="zh-CN" w:bidi="ar-SA"/>
        </w:rPr>
        <w:t>85</w:t>
      </w:r>
      <w:r>
        <w:rPr>
          <w:rFonts w:hint="eastAsia" w:ascii="仿宋_GB2312" w:hAnsi="Times New Roman" w:eastAsia="仿宋_GB2312" w:cs="仿宋_GB2312"/>
          <w:kern w:val="0"/>
          <w:position w:val="0"/>
          <w:sz w:val="32"/>
          <w:szCs w:val="32"/>
          <w:highlight w:val="none"/>
          <w:u w:val="none"/>
          <w:shd w:val="clear" w:color="auto" w:fill="FFFFFF"/>
          <w:lang w:val="zh-CN" w:eastAsia="zh-CN" w:bidi="ar-SA"/>
        </w:rPr>
        <w:t>分。</w:t>
      </w:r>
    </w:p>
    <w:p>
      <w:pPr>
        <w:pageBreakBefore w:val="0"/>
        <w:widowControl/>
        <w:kinsoku/>
        <w:wordWrap/>
        <w:overflowPunct/>
        <w:topLinePunct w:val="0"/>
        <w:autoSpaceDE/>
        <w:autoSpaceDN/>
        <w:bidi w:val="0"/>
        <w:adjustRightInd/>
        <w:spacing w:line="600" w:lineRule="exact"/>
        <w:ind w:left="0"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p>
    <w:p>
      <w:pPr>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仿宋_GB2312" w:hAnsi="楷体_GB2312" w:eastAsia="仿宋_GB2312" w:cs="仿宋_GB2312"/>
          <w:color w:val="auto"/>
          <w:kern w:val="0"/>
          <w:position w:val="0"/>
          <w:sz w:val="32"/>
          <w:szCs w:val="32"/>
          <w:highlight w:val="none"/>
          <w:u w:val="none"/>
          <w:shd w:val="clear" w:color="auto" w:fill="FFFFFF"/>
          <w:lang w:val="zh-CN" w:eastAsia="zh-CN" w:bidi="ar-SA"/>
        </w:rPr>
      </w:pPr>
      <w:r>
        <w:rPr>
          <w:rFonts w:hint="eastAsia" w:ascii="仿宋_GB2312" w:hAnsi="楷体_GB2312" w:eastAsia="仿宋_GB2312" w:cs="仿宋_GB2312"/>
          <w:color w:val="auto"/>
          <w:kern w:val="0"/>
          <w:position w:val="0"/>
          <w:sz w:val="32"/>
          <w:szCs w:val="32"/>
          <w:highlight w:val="none"/>
          <w:u w:val="none"/>
          <w:shd w:val="clear" w:color="auto" w:fill="FFFFFF"/>
          <w:lang w:val="zh-CN" w:eastAsia="zh-CN" w:bidi="ar-SA"/>
        </w:rPr>
        <w:t>由于春节假期及冬季天气变冷（连续五天持续零度以下）不符合施工条件，依据我县停工令要求，项目根据实际情况进行延期竣工。</w:t>
      </w:r>
    </w:p>
    <w:p>
      <w:pPr>
        <w:pageBreakBefore w:val="0"/>
        <w:widowControl/>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pPr>
        <w:tabs>
          <w:tab w:val="left" w:pos="1911"/>
        </w:tabs>
        <w:ind w:firstLine="640" w:firstLineChars="200"/>
        <w:jc w:val="left"/>
        <w:rPr>
          <w:rFonts w:hint="default" w:ascii="Times New Roman" w:hAnsi="Times New Roman" w:eastAsia="仿宋_GB2312" w:cs="Times New Roman"/>
          <w:kern w:val="0"/>
          <w:position w:val="0"/>
          <w:sz w:val="32"/>
          <w:szCs w:val="32"/>
          <w:highlight w:val="none"/>
          <w:lang w:val="en" w:eastAsia="zh-CN" w:bidi="ar-SA"/>
        </w:rPr>
      </w:pPr>
      <w:bookmarkStart w:id="108" w:name="_Hlk110546638"/>
      <w:r>
        <w:rPr>
          <w:rFonts w:hint="eastAsia" w:ascii="仿宋_GB2312" w:hAnsi="Times New Roman" w:eastAsia="仿宋_GB2312" w:cs="仿宋_GB2312"/>
          <w:kern w:val="0"/>
          <w:sz w:val="32"/>
          <w:szCs w:val="32"/>
          <w:highlight w:val="none"/>
          <w:shd w:val="clear" w:color="auto" w:fill="FFFFFF"/>
          <w:lang w:val="zh-CN" w:eastAsia="zh-CN" w:bidi="ar-SA"/>
        </w:rPr>
        <w:t>为加快项目建设进度，责令施工单位根据建设内容并结合气候条件及停工令等实际状况，科学倒排工期，确保项目建设进度。</w:t>
      </w:r>
    </w:p>
    <w:p>
      <w:pPr>
        <w:tabs>
          <w:tab w:val="left" w:pos="1911"/>
        </w:tabs>
        <w:jc w:val="left"/>
        <w:rPr>
          <w:rFonts w:hint="default" w:ascii="Times New Roman" w:hAnsi="Times New Roman" w:eastAsia="仿宋_GB2312" w:cs="Times New Roman"/>
          <w:kern w:val="0"/>
          <w:position w:val="0"/>
          <w:sz w:val="32"/>
          <w:szCs w:val="32"/>
          <w:highlight w:val="none"/>
          <w:lang w:val="en" w:eastAsia="zh-CN" w:bidi="ar-SA"/>
        </w:rPr>
      </w:pPr>
    </w:p>
    <w:bookmarkEnd w:id="108"/>
    <w:p>
      <w:pPr>
        <w:keepNext w:val="0"/>
        <w:keepLines w:val="0"/>
        <w:pageBreakBefore w:val="0"/>
        <w:widowControl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left"/>
        <w:textAlignment w:val="auto"/>
        <w:outlineLvl w:val="9"/>
        <w:rPr>
          <w:rFonts w:hint="default" w:ascii="Times New Roman" w:hAnsi="Times New Roman" w:eastAsia="黑体" w:cs="Times New Roman"/>
          <w:color w:val="auto"/>
          <w:kern w:val="0"/>
          <w:sz w:val="32"/>
          <w:szCs w:val="32"/>
          <w:highlight w:val="none"/>
          <w:u w:val="none"/>
          <w:shd w:val="clear" w:color="auto" w:fill="FFFFFF"/>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color w:val="000000"/>
          <w:kern w:val="0"/>
          <w:sz w:val="32"/>
          <w:szCs w:val="32"/>
          <w:highlight w:val="none"/>
          <w:shd w:val="clear" w:color="auto" w:fill="FFFFFF"/>
          <w:lang w:val="zh-CN" w:eastAsia="zh-CN" w:bidi="ar-SA"/>
        </w:rPr>
        <w:br w:type="page"/>
      </w:r>
      <w:r>
        <w:rPr>
          <w:rFonts w:hint="default" w:ascii="Times New Roman" w:hAnsi="Times New Roman" w:eastAsia="黑体" w:cs="Times New Roman"/>
          <w:color w:val="auto"/>
          <w:kern w:val="0"/>
          <w:sz w:val="32"/>
          <w:szCs w:val="32"/>
          <w:highlight w:val="none"/>
          <w:u w:val="none"/>
          <w:shd w:val="clear" w:color="auto" w:fill="FFFFFF"/>
          <w:lang w:val="zh-CN" w:eastAsia="zh-CN" w:bidi="ar-SA"/>
        </w:rPr>
        <w:t>附表</w:t>
      </w:r>
      <w:r>
        <w:rPr>
          <w:rFonts w:hint="default" w:ascii="Times New Roman" w:hAnsi="Times New Roman" w:eastAsia="黑体" w:cs="Times New Roman"/>
          <w:color w:val="auto"/>
          <w:kern w:val="0"/>
          <w:sz w:val="32"/>
          <w:szCs w:val="32"/>
          <w:highlight w:val="none"/>
          <w:u w:val="none"/>
          <w:shd w:val="clear" w:color="auto" w:fill="FFFFFF"/>
          <w:lang w:val="en-US" w:eastAsia="zh-CN" w:bidi="ar-SA"/>
        </w:rPr>
        <w:t>1</w:t>
      </w:r>
    </w:p>
    <w:p>
      <w:pPr>
        <w:keepNext w:val="0"/>
        <w:keepLines w:val="0"/>
        <w:pageBreakBefore w:val="0"/>
        <w:widowControl w:val="0"/>
        <w:kinsoku/>
        <w:wordWrap/>
        <w:overflowPunct/>
        <w:topLinePunct w:val="0"/>
        <w:autoSpaceDE/>
        <w:autoSpaceDN/>
        <w:bidi w:val="0"/>
        <w:spacing w:line="578" w:lineRule="exact"/>
        <w:ind w:left="0"/>
        <w:jc w:val="center"/>
        <w:textAlignment w:val="auto"/>
        <w:rPr>
          <w:rFonts w:hint="default" w:ascii="Times New Roman" w:hAnsi="Times New Roman" w:eastAsia="方正小标宋_GBK" w:cs="Times New Roman"/>
          <w:color w:val="auto"/>
          <w:sz w:val="40"/>
          <w:szCs w:val="40"/>
          <w:highlight w:val="none"/>
          <w:u w:val="none"/>
          <w:lang w:val="en-US" w:eastAsia="zh-CN" w:bidi="ar-SA"/>
        </w:rPr>
      </w:pPr>
      <w:r>
        <w:rPr>
          <w:rFonts w:hint="eastAsia" w:ascii="Times New Roman" w:hAnsi="Times New Roman" w:eastAsia="方正小标宋_GBK" w:cs="Times New Roman"/>
          <w:color w:val="auto"/>
          <w:sz w:val="40"/>
          <w:szCs w:val="40"/>
          <w:highlight w:val="none"/>
          <w:u w:val="none"/>
          <w:lang w:val="en-US" w:eastAsia="zh-CN" w:bidi="ar-SA"/>
        </w:rPr>
        <w:t>专项</w:t>
      </w:r>
      <w:r>
        <w:rPr>
          <w:rFonts w:hint="default" w:ascii="Times New Roman" w:hAnsi="Times New Roman" w:eastAsia="方正小标宋_GBK" w:cs="Times New Roman"/>
          <w:color w:val="auto"/>
          <w:sz w:val="40"/>
          <w:szCs w:val="40"/>
          <w:highlight w:val="none"/>
          <w:u w:val="none"/>
          <w:lang w:val="en-US" w:eastAsia="zh-CN" w:bidi="ar-SA"/>
        </w:rPr>
        <w:t>预算绩效自评打分表</w:t>
      </w:r>
    </w:p>
    <w:tbl>
      <w:tblPr>
        <w:tblStyle w:val="26"/>
        <w:tblW w:w="8658" w:type="dxa"/>
        <w:jc w:val="center"/>
        <w:tblLayout w:type="fixed"/>
        <w:tblCellMar>
          <w:top w:w="0" w:type="dxa"/>
          <w:left w:w="108" w:type="dxa"/>
          <w:bottom w:w="0" w:type="dxa"/>
          <w:right w:w="108" w:type="dxa"/>
        </w:tblCellMar>
      </w:tblPr>
      <w:tblGrid>
        <w:gridCol w:w="571"/>
        <w:gridCol w:w="1263"/>
        <w:gridCol w:w="1076"/>
        <w:gridCol w:w="554"/>
        <w:gridCol w:w="4243"/>
        <w:gridCol w:w="580"/>
        <w:gridCol w:w="371"/>
      </w:tblGrid>
      <w:tr>
        <w:tblPrEx>
          <w:tblCellMar>
            <w:top w:w="0" w:type="dxa"/>
            <w:left w:w="108" w:type="dxa"/>
            <w:bottom w:w="0" w:type="dxa"/>
            <w:right w:w="108" w:type="dxa"/>
          </w:tblCellMar>
        </w:tblPrEx>
        <w:trPr>
          <w:trHeight w:val="154" w:hRule="atLeast"/>
          <w:jc w:val="center"/>
        </w:trPr>
        <w:tc>
          <w:tcPr>
            <w:tcW w:w="3464" w:type="dxa"/>
            <w:gridSpan w:val="4"/>
            <w:tcBorders>
              <w:top w:val="single" w:color="000000" w:sz="4" w:space="0"/>
              <w:left w:val="single" w:color="000000"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sz w:val="24"/>
                <w:szCs w:val="24"/>
                <w:u w:val="none"/>
                <w:lang w:bidi="ar-SA"/>
              </w:rPr>
            </w:pPr>
            <w:r>
              <w:rPr>
                <w:rFonts w:hint="eastAsia" w:ascii="黑体" w:hAnsi="Times New Roman" w:eastAsia="黑体" w:cs="黑体"/>
                <w:color w:val="000000"/>
                <w:kern w:val="0"/>
                <w:sz w:val="24"/>
                <w:szCs w:val="24"/>
                <w:u w:val="none"/>
                <w:lang w:val="en-US" w:eastAsia="zh-CN" w:bidi="ar"/>
              </w:rPr>
              <w:t>绩效评价指标</w:t>
            </w:r>
          </w:p>
        </w:tc>
        <w:tc>
          <w:tcPr>
            <w:tcW w:w="42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sz w:val="24"/>
                <w:szCs w:val="24"/>
                <w:u w:val="none"/>
                <w:lang w:bidi="ar-SA"/>
              </w:rPr>
            </w:pPr>
            <w:r>
              <w:rPr>
                <w:rFonts w:hint="eastAsia" w:ascii="黑体" w:hAnsi="Times New Roman" w:eastAsia="黑体" w:cs="黑体"/>
                <w:color w:val="000000"/>
                <w:kern w:val="0"/>
                <w:sz w:val="24"/>
                <w:szCs w:val="24"/>
                <w:u w:val="none"/>
                <w:lang w:val="en-US" w:eastAsia="zh-CN" w:bidi="ar"/>
              </w:rPr>
              <w:t>指标解释</w:t>
            </w:r>
          </w:p>
        </w:tc>
        <w:tc>
          <w:tcPr>
            <w:tcW w:w="5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kern w:val="0"/>
                <w:sz w:val="24"/>
                <w:szCs w:val="24"/>
                <w:u w:val="none"/>
                <w:lang w:val="en-US" w:eastAsia="zh-CN" w:bidi="ar"/>
              </w:rPr>
            </w:pPr>
            <w:r>
              <w:rPr>
                <w:rFonts w:hint="eastAsia" w:ascii="黑体" w:hAnsi="Times New Roman" w:eastAsia="黑体" w:cs="黑体"/>
                <w:color w:val="000000"/>
                <w:kern w:val="0"/>
                <w:sz w:val="24"/>
                <w:szCs w:val="24"/>
                <w:u w:val="none"/>
                <w:lang w:val="en-US" w:eastAsia="zh-CN" w:bidi="ar"/>
              </w:rPr>
              <w:t>自评得分</w:t>
            </w:r>
          </w:p>
        </w:tc>
        <w:tc>
          <w:tcPr>
            <w:tcW w:w="37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kern w:val="0"/>
                <w:sz w:val="24"/>
                <w:szCs w:val="24"/>
                <w:u w:val="none"/>
                <w:lang w:val="en-US" w:eastAsia="zh-CN" w:bidi="ar"/>
              </w:rPr>
            </w:pPr>
            <w:r>
              <w:rPr>
                <w:rFonts w:hint="eastAsia" w:ascii="黑体" w:hAnsi="Times New Roman" w:eastAsia="黑体" w:cs="黑体"/>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573" w:hRule="atLeast"/>
          <w:jc w:val="center"/>
        </w:trPr>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sz w:val="24"/>
                <w:szCs w:val="24"/>
                <w:u w:val="none"/>
                <w:lang w:bidi="ar-SA"/>
              </w:rPr>
            </w:pPr>
            <w:r>
              <w:rPr>
                <w:rFonts w:hint="eastAsia" w:ascii="黑体" w:hAnsi="Times New Roman" w:eastAsia="黑体" w:cs="黑体"/>
                <w:color w:val="000000"/>
                <w:kern w:val="0"/>
                <w:sz w:val="24"/>
                <w:szCs w:val="24"/>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sz w:val="24"/>
                <w:szCs w:val="24"/>
                <w:u w:val="none"/>
                <w:lang w:bidi="ar-SA"/>
              </w:rPr>
            </w:pPr>
            <w:r>
              <w:rPr>
                <w:rFonts w:hint="eastAsia" w:ascii="黑体" w:hAnsi="Times New Roman" w:eastAsia="黑体" w:cs="黑体"/>
                <w:color w:val="000000"/>
                <w:kern w:val="0"/>
                <w:sz w:val="24"/>
                <w:szCs w:val="24"/>
                <w:u w:val="none"/>
                <w:lang w:val="en-US" w:eastAsia="zh-CN" w:bidi="ar"/>
              </w:rPr>
              <w:t>二级指标</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sz w:val="24"/>
                <w:szCs w:val="24"/>
                <w:u w:val="none"/>
                <w:lang w:bidi="ar-SA"/>
              </w:rPr>
            </w:pPr>
            <w:r>
              <w:rPr>
                <w:rFonts w:hint="eastAsia" w:ascii="黑体" w:hAnsi="Times New Roman" w:eastAsia="黑体" w:cs="黑体"/>
                <w:color w:val="000000"/>
                <w:kern w:val="0"/>
                <w:sz w:val="24"/>
                <w:szCs w:val="24"/>
                <w:u w:val="none"/>
                <w:lang w:val="en-US" w:eastAsia="zh-CN" w:bidi="ar"/>
              </w:rPr>
              <w:t>三级指标</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Times New Roman" w:eastAsia="黑体" w:cs="黑体"/>
                <w:color w:val="000000"/>
                <w:sz w:val="24"/>
                <w:szCs w:val="24"/>
                <w:u w:val="none"/>
                <w:lang w:bidi="ar-SA"/>
              </w:rPr>
            </w:pPr>
            <w:r>
              <w:rPr>
                <w:rFonts w:hint="eastAsia" w:ascii="黑体" w:hAnsi="Times New Roman" w:eastAsia="黑体" w:cs="黑体"/>
                <w:color w:val="000000"/>
                <w:kern w:val="0"/>
                <w:sz w:val="24"/>
                <w:szCs w:val="24"/>
                <w:u w:val="none"/>
                <w:lang w:val="en-US" w:eastAsia="zh-CN" w:bidi="ar"/>
              </w:rPr>
              <w:t>指标</w:t>
            </w:r>
            <w:r>
              <w:rPr>
                <w:rFonts w:hint="eastAsia" w:ascii="黑体" w:hAnsi="Times New Roman" w:eastAsia="黑体" w:cs="黑体"/>
                <w:color w:val="000000"/>
                <w:kern w:val="0"/>
                <w:sz w:val="24"/>
                <w:szCs w:val="24"/>
                <w:u w:val="none"/>
                <w:lang w:val="en-US" w:eastAsia="zh-CN" w:bidi="ar"/>
              </w:rPr>
              <w:br w:type="textWrapping"/>
            </w:r>
            <w:r>
              <w:rPr>
                <w:rFonts w:hint="eastAsia" w:ascii="黑体" w:hAnsi="Times New Roman" w:eastAsia="黑体" w:cs="黑体"/>
                <w:color w:val="000000"/>
                <w:kern w:val="0"/>
                <w:sz w:val="24"/>
                <w:szCs w:val="24"/>
                <w:u w:val="none"/>
                <w:lang w:val="en-US" w:eastAsia="zh-CN" w:bidi="ar"/>
              </w:rPr>
              <w:t>分值</w:t>
            </w:r>
          </w:p>
        </w:tc>
        <w:tc>
          <w:tcPr>
            <w:tcW w:w="424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580" w:type="dxa"/>
            <w:vMerge w:val="continue"/>
            <w:tcBorders>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71" w:type="dxa"/>
            <w:vMerge w:val="continue"/>
            <w:tcBorders>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r>
      <w:tr>
        <w:tblPrEx>
          <w:tblCellMar>
            <w:top w:w="0" w:type="dxa"/>
            <w:left w:w="108" w:type="dxa"/>
            <w:bottom w:w="0" w:type="dxa"/>
            <w:right w:w="108" w:type="dxa"/>
          </w:tblCellMar>
        </w:tblPrEx>
        <w:trPr>
          <w:trHeight w:val="311"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通用指标</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（54分）</w:t>
            </w:r>
          </w:p>
        </w:tc>
        <w:tc>
          <w:tcPr>
            <w:tcW w:w="12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项目决策</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（18分）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决策程序</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项目决策程序是否严密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0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规划论证</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项目规划论证是否符合中省要求，项目绩效目标设置是否科学合理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57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资金投向</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项目资金是否与项目总体规划、相关行业事业发展相匹配，是否聚焦重大任务、重点领域、重点环节和重点项目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29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项目管理</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（18分）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制度办法</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2</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项目制度办法是否体系健全、要素完备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2</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2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分配管理</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10</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项目资金分配因素选取、权重设置、区域分布，项目管理、审批是否符合管理要求</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32"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绩效监管</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管资金、项目、政策是否管绩效，项目绩效监管是否按要求开展，对下指导是否有力有效</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355"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项目实施</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（9分）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预算执行</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项目资金财政拨付、单位执行和地方配套到位情况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214"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资金使用</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3</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资金使用拨付、项目实施是否符合规定</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3</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59"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项目结果</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（9分）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目标完成</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项目是否完成预期目标，实施结果是否与绩效目标相匹配，反映目标实现程度</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27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完成时效</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3</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项目实际完成时间与计划完成时间的比较</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3</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355"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专用指标</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（30分）</w:t>
            </w:r>
          </w:p>
        </w:tc>
        <w:tc>
          <w:tcPr>
            <w:tcW w:w="12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产业发展</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（30分）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符合性</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10</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项目实施是否与省委省政府支持重点、产业支持政策符合</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32"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成长性</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10</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项目实施对相关企业（机构）成长性的促进作用，主要反映支持对象创新创造创业能力情况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15"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经济性</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10</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项目实施对相关企业（机构）主营业务收入、净利润、税收、产量等方面增长情况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5</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39" w:hRule="atLeast"/>
          <w:jc w:val="center"/>
        </w:trPr>
        <w:tc>
          <w:tcPr>
            <w:tcW w:w="183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个性指标</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（16分）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销售总额同步增长率</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根据项目个性自行设定部分指标，反映该项指标执行完成情况。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6</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r>
        <w:tblPrEx>
          <w:tblCellMar>
            <w:top w:w="0" w:type="dxa"/>
            <w:left w:w="108" w:type="dxa"/>
            <w:bottom w:w="0" w:type="dxa"/>
            <w:right w:w="108" w:type="dxa"/>
          </w:tblCellMar>
        </w:tblPrEx>
        <w:trPr>
          <w:trHeight w:val="439" w:hRule="atLeast"/>
          <w:jc w:val="center"/>
        </w:trPr>
        <w:tc>
          <w:tcPr>
            <w:tcW w:w="183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土地托管亩次增长率</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6</w:t>
            </w:r>
          </w:p>
        </w:tc>
        <w:tc>
          <w:tcPr>
            <w:tcW w:w="424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Times New Roman" w:eastAsia="宋体" w:cs="宋体"/>
                <w:color w:val="000000"/>
                <w:sz w:val="24"/>
                <w:szCs w:val="24"/>
                <w:u w:val="none"/>
                <w:lang w:val="en-US" w:eastAsia="zh-CN" w:bidi="ar-SA"/>
              </w:rPr>
            </w:pPr>
            <w:r>
              <w:rPr>
                <w:rFonts w:hint="eastAsia" w:ascii="宋体" w:hAnsi="Times New Roman" w:eastAsia="宋体" w:cs="宋体"/>
                <w:color w:val="000000"/>
                <w:sz w:val="24"/>
                <w:szCs w:val="24"/>
                <w:u w:val="none"/>
                <w:lang w:val="en-US" w:eastAsia="zh-CN" w:bidi="ar-SA"/>
              </w:rPr>
              <w:t>0</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Times New Roman" w:eastAsia="宋体" w:cs="宋体"/>
                <w:color w:val="000000"/>
                <w:sz w:val="24"/>
                <w:szCs w:val="24"/>
                <w:u w:val="none"/>
                <w:lang w:bidi="ar-SA"/>
              </w:rPr>
            </w:pPr>
          </w:p>
        </w:tc>
      </w:tr>
      <w:tr>
        <w:tblPrEx>
          <w:tblCellMar>
            <w:top w:w="0" w:type="dxa"/>
            <w:left w:w="108" w:type="dxa"/>
            <w:bottom w:w="0" w:type="dxa"/>
            <w:right w:w="108" w:type="dxa"/>
          </w:tblCellMar>
        </w:tblPrEx>
        <w:trPr>
          <w:trHeight w:val="355" w:hRule="atLeast"/>
          <w:jc w:val="center"/>
        </w:trPr>
        <w:tc>
          <w:tcPr>
            <w:tcW w:w="183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完成省级储备任务</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4</w:t>
            </w:r>
          </w:p>
        </w:tc>
        <w:tc>
          <w:tcPr>
            <w:tcW w:w="424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Times New Roman" w:eastAsia="宋体" w:cs="宋体"/>
                <w:color w:val="000000"/>
                <w:sz w:val="24"/>
                <w:szCs w:val="24"/>
                <w:u w:val="none"/>
                <w:lang w:val="en-US" w:eastAsia="zh-CN" w:bidi="ar-SA"/>
              </w:rPr>
            </w:pPr>
            <w:r>
              <w:rPr>
                <w:rFonts w:hint="eastAsia" w:ascii="宋体" w:hAnsi="Times New Roman" w:eastAsia="宋体" w:cs="宋体"/>
                <w:color w:val="000000"/>
                <w:sz w:val="24"/>
                <w:szCs w:val="24"/>
                <w:u w:val="none"/>
                <w:lang w:val="en-US" w:eastAsia="zh-CN" w:bidi="ar-SA"/>
              </w:rPr>
              <w:t>0</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Times New Roman" w:eastAsia="宋体" w:cs="宋体"/>
                <w:color w:val="000000"/>
                <w:sz w:val="24"/>
                <w:szCs w:val="24"/>
                <w:u w:val="none"/>
                <w:lang w:bidi="ar-SA"/>
              </w:rPr>
            </w:pPr>
          </w:p>
        </w:tc>
      </w:tr>
      <w:tr>
        <w:tblPrEx>
          <w:tblCellMar>
            <w:top w:w="0" w:type="dxa"/>
            <w:left w:w="108" w:type="dxa"/>
            <w:bottom w:w="0" w:type="dxa"/>
            <w:right w:w="108" w:type="dxa"/>
          </w:tblCellMar>
        </w:tblPrEx>
        <w:trPr>
          <w:trHeight w:val="415" w:hRule="atLeast"/>
          <w:jc w:val="center"/>
        </w:trPr>
        <w:tc>
          <w:tcPr>
            <w:tcW w:w="77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Times New Roman" w:eastAsia="宋体" w:cs="宋体"/>
                <w:color w:val="000000"/>
                <w:sz w:val="24"/>
                <w:szCs w:val="24"/>
                <w:u w:val="none"/>
                <w:lang w:eastAsia="zh-CN" w:bidi="ar-SA"/>
              </w:rPr>
            </w:pPr>
            <w:r>
              <w:rPr>
                <w:rFonts w:hint="eastAsia" w:ascii="宋体" w:hAnsi="Times New Roman" w:eastAsia="宋体" w:cs="宋体"/>
                <w:b/>
                <w:bCs/>
                <w:color w:val="000000"/>
                <w:sz w:val="24"/>
                <w:szCs w:val="24"/>
                <w:u w:val="none"/>
                <w:lang w:eastAsia="zh-CN" w:bidi="ar-SA"/>
              </w:rPr>
              <w:t>得分</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宋体" w:hAnsi="Times New Roman" w:eastAsia="宋体" w:cs="宋体"/>
                <w:color w:val="000000"/>
                <w:sz w:val="24"/>
                <w:szCs w:val="24"/>
                <w:u w:val="none"/>
                <w:lang w:val="en-US" w:eastAsia="zh-CN" w:bidi="ar-SA"/>
              </w:rPr>
            </w:pPr>
            <w:r>
              <w:rPr>
                <w:rFonts w:hint="eastAsia" w:ascii="宋体" w:hAnsi="Times New Roman" w:eastAsia="宋体" w:cs="宋体"/>
                <w:color w:val="000000"/>
                <w:sz w:val="24"/>
                <w:szCs w:val="24"/>
                <w:u w:val="none"/>
                <w:lang w:val="en-US" w:eastAsia="zh-CN" w:bidi="ar-SA"/>
              </w:rPr>
              <w:t>85</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Times New Roman" w:eastAsia="宋体" w:cs="宋体"/>
                <w:color w:val="000000"/>
                <w:sz w:val="24"/>
                <w:szCs w:val="24"/>
                <w:u w:val="none"/>
                <w:lang w:bidi="ar-SA"/>
              </w:rPr>
            </w:pPr>
          </w:p>
        </w:tc>
      </w:tr>
      <w:tr>
        <w:tblPrEx>
          <w:tblCellMar>
            <w:top w:w="0" w:type="dxa"/>
            <w:left w:w="108" w:type="dxa"/>
            <w:bottom w:w="0" w:type="dxa"/>
            <w:right w:w="108" w:type="dxa"/>
          </w:tblCellMar>
        </w:tblPrEx>
        <w:trPr>
          <w:trHeight w:val="450" w:hRule="atLeast"/>
          <w:jc w:val="center"/>
        </w:trPr>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b/>
                <w:color w:val="000000"/>
                <w:sz w:val="24"/>
                <w:szCs w:val="24"/>
                <w:u w:val="none"/>
                <w:lang w:bidi="ar-SA"/>
              </w:rPr>
            </w:pPr>
            <w:r>
              <w:rPr>
                <w:rFonts w:hint="eastAsia" w:ascii="宋体" w:hAnsi="Times New Roman" w:eastAsia="宋体" w:cs="宋体"/>
                <w:b/>
                <w:color w:val="000000"/>
                <w:kern w:val="0"/>
                <w:sz w:val="24"/>
                <w:szCs w:val="24"/>
                <w:u w:val="none"/>
                <w:lang w:val="en-US" w:eastAsia="zh-CN" w:bidi="ar"/>
              </w:rPr>
              <w:t>扣分项</w:t>
            </w:r>
            <w:r>
              <w:rPr>
                <w:rFonts w:hint="eastAsia" w:ascii="宋体" w:hAnsi="Times New Roman" w:eastAsia="宋体" w:cs="宋体"/>
                <w:b/>
                <w:color w:val="000000"/>
                <w:kern w:val="0"/>
                <w:sz w:val="24"/>
                <w:szCs w:val="24"/>
                <w:u w:val="none"/>
                <w:lang w:val="en-US" w:eastAsia="zh-CN" w:bidi="ar"/>
              </w:rPr>
              <w:br w:type="textWrapping"/>
            </w:r>
            <w:r>
              <w:rPr>
                <w:rFonts w:hint="eastAsia" w:ascii="宋体" w:hAnsi="Times New Roman" w:eastAsia="宋体" w:cs="宋体"/>
                <w:b/>
                <w:color w:val="000000"/>
                <w:kern w:val="0"/>
                <w:sz w:val="24"/>
                <w:szCs w:val="24"/>
                <w:u w:val="none"/>
                <w:lang w:val="en-US" w:eastAsia="zh-CN" w:bidi="ar"/>
              </w:rPr>
              <w:t>（10分）</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被评价</w:t>
            </w:r>
            <w:r>
              <w:rPr>
                <w:rFonts w:hint="eastAsia" w:ascii="宋体" w:hAnsi="Times New Roman" w:eastAsia="宋体" w:cs="宋体"/>
                <w:color w:val="000000"/>
                <w:kern w:val="0"/>
                <w:sz w:val="24"/>
                <w:szCs w:val="24"/>
                <w:u w:val="none"/>
                <w:lang w:val="en-US" w:eastAsia="zh-CN" w:bidi="ar"/>
              </w:rPr>
              <w:br w:type="textWrapping"/>
            </w:r>
            <w:r>
              <w:rPr>
                <w:rFonts w:hint="eastAsia" w:ascii="宋体" w:hAnsi="Times New Roman" w:eastAsia="宋体" w:cs="宋体"/>
                <w:color w:val="000000"/>
                <w:kern w:val="0"/>
                <w:sz w:val="24"/>
                <w:szCs w:val="24"/>
                <w:u w:val="none"/>
                <w:lang w:val="en-US" w:eastAsia="zh-CN" w:bidi="ar"/>
              </w:rPr>
              <w:t>部门配合度</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w:t>
            </w:r>
          </w:p>
        </w:tc>
        <w:tc>
          <w:tcPr>
            <w:tcW w:w="4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sz w:val="24"/>
                <w:szCs w:val="24"/>
                <w:u w:val="none"/>
                <w:lang w:bidi="ar-SA"/>
              </w:rPr>
            </w:pPr>
            <w:r>
              <w:rPr>
                <w:rFonts w:hint="eastAsia" w:ascii="宋体" w:hAnsi="Times New Roman" w:eastAsia="宋体" w:cs="宋体"/>
                <w:color w:val="000000"/>
                <w:kern w:val="0"/>
                <w:sz w:val="24"/>
                <w:szCs w:val="24"/>
                <w:u w:val="none"/>
                <w:lang w:val="en-US" w:eastAsia="zh-CN" w:bidi="ar"/>
              </w:rPr>
              <w:t>被评价对象工作配合情况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r>
              <w:rPr>
                <w:rFonts w:hint="eastAsia" w:ascii="宋体" w:hAnsi="Times New Roman" w:eastAsia="宋体" w:cs="宋体"/>
                <w:color w:val="000000"/>
                <w:kern w:val="0"/>
                <w:sz w:val="24"/>
                <w:szCs w:val="24"/>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Times New Roman" w:eastAsia="宋体" w:cs="宋体"/>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578" w:lineRule="exact"/>
        <w:textAlignment w:val="auto"/>
        <w:outlineLvl w:val="9"/>
        <w:rPr>
          <w:rFonts w:hint="default" w:ascii="Times New Roman" w:hAnsi="Times New Roman" w:eastAsia="黑体" w:cs="Times New Roman"/>
          <w:color w:val="auto"/>
          <w:kern w:val="0"/>
          <w:sz w:val="32"/>
          <w:szCs w:val="32"/>
          <w:highlight w:val="none"/>
          <w:u w:val="none"/>
          <w:shd w:val="clear" w:color="auto" w:fill="FFFFFF"/>
          <w:lang w:val="en-US" w:eastAsia="zh-CN" w:bidi="ar-SA"/>
        </w:rPr>
      </w:pPr>
      <w:r>
        <w:rPr>
          <w:rFonts w:hint="default" w:ascii="Times New Roman" w:hAnsi="Times New Roman" w:eastAsia="黑体" w:cs="Times New Roman"/>
          <w:color w:val="auto"/>
          <w:kern w:val="0"/>
          <w:sz w:val="32"/>
          <w:szCs w:val="32"/>
          <w:highlight w:val="none"/>
          <w:u w:val="none"/>
          <w:shd w:val="clear" w:color="auto" w:fill="FFFFFF"/>
          <w:lang w:val="zh-CN" w:eastAsia="zh-CN" w:bidi="ar-SA"/>
        </w:rPr>
        <w:br w:type="page"/>
      </w:r>
      <w:r>
        <w:rPr>
          <w:rFonts w:hint="default" w:ascii="Times New Roman" w:hAnsi="Times New Roman" w:eastAsia="黑体" w:cs="Times New Roman"/>
          <w:color w:val="auto"/>
          <w:kern w:val="0"/>
          <w:sz w:val="32"/>
          <w:szCs w:val="32"/>
          <w:highlight w:val="none"/>
          <w:u w:val="none"/>
          <w:shd w:val="clear" w:color="auto" w:fill="FFFFFF"/>
          <w:lang w:val="zh-CN" w:eastAsia="zh-CN" w:bidi="ar-SA"/>
        </w:rPr>
        <w:t>附表</w:t>
      </w:r>
      <w:r>
        <w:rPr>
          <w:rFonts w:hint="eastAsia" w:ascii="Times New Roman" w:hAnsi="Times New Roman" w:eastAsia="黑体" w:cs="Times New Roman"/>
          <w:color w:val="auto"/>
          <w:kern w:val="0"/>
          <w:sz w:val="32"/>
          <w:szCs w:val="32"/>
          <w:highlight w:val="none"/>
          <w:u w:val="none"/>
          <w:shd w:val="clear" w:color="auto" w:fill="FFFFFF"/>
          <w:lang w:val="en-US" w:eastAsia="zh-CN" w:bidi="ar-SA"/>
        </w:rPr>
        <w:t>2</w:t>
      </w:r>
    </w:p>
    <w:tbl>
      <w:tblPr>
        <w:tblStyle w:val="26"/>
        <w:tblW w:w="8600" w:type="dxa"/>
        <w:jc w:val="center"/>
        <w:tblLayout w:type="fixed"/>
        <w:tblCellMar>
          <w:top w:w="15" w:type="dxa"/>
          <w:left w:w="15" w:type="dxa"/>
          <w:bottom w:w="15" w:type="dxa"/>
          <w:right w:w="15" w:type="dxa"/>
        </w:tblCellMar>
      </w:tblPr>
      <w:tblGrid>
        <w:gridCol w:w="547"/>
        <w:gridCol w:w="508"/>
        <w:gridCol w:w="869"/>
        <w:gridCol w:w="2446"/>
        <w:gridCol w:w="566"/>
        <w:gridCol w:w="794"/>
        <w:gridCol w:w="532"/>
        <w:gridCol w:w="787"/>
        <w:gridCol w:w="1551"/>
      </w:tblGrid>
      <w:tr>
        <w:tblPrEx>
          <w:tblCellMar>
            <w:top w:w="15" w:type="dxa"/>
            <w:left w:w="15" w:type="dxa"/>
            <w:bottom w:w="15" w:type="dxa"/>
            <w:right w:w="15" w:type="dxa"/>
          </w:tblCellMar>
        </w:tblPrEx>
        <w:trPr>
          <w:trHeight w:val="617" w:hRule="atLeast"/>
          <w:jc w:val="center"/>
        </w:trPr>
        <w:tc>
          <w:tcPr>
            <w:tcW w:w="8600" w:type="dxa"/>
            <w:gridSpan w:val="9"/>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left="0"/>
              <w:jc w:val="center"/>
              <w:textAlignment w:val="center"/>
              <w:rPr>
                <w:rFonts w:hint="default" w:ascii="Times New Roman" w:hAnsi="Times New Roman" w:eastAsia="黑体" w:cs="Times New Roman"/>
                <w:color w:val="000000"/>
                <w:sz w:val="30"/>
                <w:szCs w:val="30"/>
                <w:u w:val="none"/>
                <w:lang w:bidi="ar-SA"/>
              </w:rPr>
            </w:pPr>
            <w:r>
              <w:rPr>
                <w:rFonts w:hint="default" w:ascii="Times New Roman" w:hAnsi="Times New Roman" w:eastAsia="方正小标宋简体" w:cs="Times New Roman"/>
                <w:color w:val="000000"/>
                <w:kern w:val="0"/>
                <w:sz w:val="40"/>
                <w:szCs w:val="40"/>
                <w:u w:val="none"/>
                <w:lang w:val="en-US" w:eastAsia="zh-CN" w:bidi="ar"/>
              </w:rPr>
              <w:t>专项预算项目绩效目标完成情况自评表</w:t>
            </w:r>
          </w:p>
        </w:tc>
      </w:tr>
      <w:tr>
        <w:tblPrEx>
          <w:tblCellMar>
            <w:top w:w="15" w:type="dxa"/>
            <w:left w:w="15" w:type="dxa"/>
            <w:bottom w:w="15" w:type="dxa"/>
            <w:right w:w="15" w:type="dxa"/>
          </w:tblCellMar>
        </w:tblPrEx>
        <w:trPr>
          <w:trHeight w:val="635" w:hRule="atLeast"/>
          <w:jc w:val="center"/>
        </w:trPr>
        <w:tc>
          <w:tcPr>
            <w:tcW w:w="43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项目名称</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2024年度茂县供销为农服务综合平台试点县建设</w:t>
            </w:r>
          </w:p>
        </w:tc>
      </w:tr>
      <w:tr>
        <w:tblPrEx>
          <w:tblCellMar>
            <w:top w:w="15" w:type="dxa"/>
            <w:left w:w="15" w:type="dxa"/>
            <w:bottom w:w="15" w:type="dxa"/>
            <w:right w:w="15" w:type="dxa"/>
          </w:tblCellMar>
        </w:tblPrEx>
        <w:trPr>
          <w:trHeight w:val="502" w:hRule="atLeast"/>
          <w:jc w:val="center"/>
        </w:trPr>
        <w:tc>
          <w:tcPr>
            <w:tcW w:w="43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预算单位</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茂县供销合作社联合社</w:t>
            </w:r>
          </w:p>
        </w:tc>
      </w:tr>
      <w:tr>
        <w:tblPrEx>
          <w:tblCellMar>
            <w:top w:w="15" w:type="dxa"/>
            <w:left w:w="15" w:type="dxa"/>
            <w:bottom w:w="15" w:type="dxa"/>
            <w:right w:w="15" w:type="dxa"/>
          </w:tblCellMar>
        </w:tblPrEx>
        <w:trPr>
          <w:trHeight w:val="355" w:hRule="atLeast"/>
          <w:jc w:val="center"/>
        </w:trPr>
        <w:tc>
          <w:tcPr>
            <w:tcW w:w="43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项目类型</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ascii="Times New Roman" w:hAnsi="Times New Roman" w:eastAsia="宋体" w:cs="Times New Roman"/>
                <w:color w:val="000000"/>
                <w:kern w:val="0"/>
                <w:sz w:val="24"/>
                <w:szCs w:val="24"/>
                <w:u w:val="none"/>
                <w:lang w:val="en-US" w:eastAsia="zh-CN" w:bidi="ar"/>
              </w:rPr>
              <w:t>改造提升项目</w:t>
            </w:r>
          </w:p>
        </w:tc>
      </w:tr>
      <w:tr>
        <w:tblPrEx>
          <w:tblCellMar>
            <w:top w:w="15" w:type="dxa"/>
            <w:left w:w="15" w:type="dxa"/>
            <w:bottom w:w="15" w:type="dxa"/>
            <w:right w:w="15" w:type="dxa"/>
          </w:tblCellMar>
        </w:tblPrEx>
        <w:trPr>
          <w:trHeight w:val="635"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项目 概况</w:t>
            </w: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中长期规划（名称、文号，仅指</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常年项目）</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r>
      <w:tr>
        <w:tblPrEx>
          <w:tblCellMar>
            <w:top w:w="15" w:type="dxa"/>
            <w:left w:w="15" w:type="dxa"/>
            <w:bottom w:w="15" w:type="dxa"/>
            <w:right w:w="15" w:type="dxa"/>
          </w:tblCellMar>
        </w:tblPrEx>
        <w:trPr>
          <w:trHeight w:val="866"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资金管理办法（名称、文号）</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川财建（2024）248号关于下达2024年第二批省级供销综合改革及发展专项资金预算的通知</w:t>
            </w:r>
          </w:p>
        </w:tc>
      </w:tr>
      <w:tr>
        <w:tblPrEx>
          <w:tblCellMar>
            <w:top w:w="15" w:type="dxa"/>
            <w:left w:w="15" w:type="dxa"/>
            <w:bottom w:w="15" w:type="dxa"/>
            <w:right w:w="15" w:type="dxa"/>
          </w:tblCellMar>
        </w:tblPrEx>
        <w:trPr>
          <w:trHeight w:val="63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绩效分配方式</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£因素法</w:t>
            </w:r>
          </w:p>
        </w:tc>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£项目法</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£据实据效</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£因素法与项目法相结合</w:t>
            </w:r>
          </w:p>
        </w:tc>
      </w:tr>
      <w:tr>
        <w:tblPrEx>
          <w:tblCellMar>
            <w:top w:w="15" w:type="dxa"/>
            <w:left w:w="15" w:type="dxa"/>
            <w:bottom w:w="15" w:type="dxa"/>
            <w:right w:w="15" w:type="dxa"/>
          </w:tblCellMar>
        </w:tblPrEx>
        <w:trPr>
          <w:trHeight w:val="63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立项依据</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川供办〔2023〕91号关于支持实施供销为农服务综合平台试点县建设的通知</w:t>
            </w:r>
          </w:p>
        </w:tc>
      </w:tr>
      <w:tr>
        <w:tblPrEx>
          <w:tblCellMar>
            <w:top w:w="15" w:type="dxa"/>
            <w:left w:w="15" w:type="dxa"/>
            <w:bottom w:w="15" w:type="dxa"/>
            <w:right w:w="15" w:type="dxa"/>
          </w:tblCellMar>
        </w:tblPrEx>
        <w:trPr>
          <w:trHeight w:val="35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使用范围</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第二批省级供销综合改革及发展专项资金</w:t>
            </w:r>
          </w:p>
        </w:tc>
      </w:tr>
      <w:tr>
        <w:tblPrEx>
          <w:tblCellMar>
            <w:top w:w="15" w:type="dxa"/>
            <w:left w:w="15" w:type="dxa"/>
            <w:bottom w:w="15" w:type="dxa"/>
            <w:right w:w="15" w:type="dxa"/>
          </w:tblCellMar>
        </w:tblPrEx>
        <w:trPr>
          <w:trHeight w:val="35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申报（补助）条件</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供销为农服务综合平台试点县建设</w:t>
            </w:r>
          </w:p>
        </w:tc>
      </w:tr>
      <w:tr>
        <w:tblPrEx>
          <w:tblCellMar>
            <w:top w:w="15" w:type="dxa"/>
            <w:left w:w="15" w:type="dxa"/>
            <w:bottom w:w="15" w:type="dxa"/>
            <w:right w:w="15" w:type="dxa"/>
          </w:tblCellMar>
        </w:tblPrEx>
        <w:trPr>
          <w:trHeight w:val="35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8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项目起止年限</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2022年-2024年</w:t>
            </w:r>
          </w:p>
        </w:tc>
      </w:tr>
      <w:tr>
        <w:tblPrEx>
          <w:tblCellMar>
            <w:top w:w="15" w:type="dxa"/>
            <w:left w:w="15" w:type="dxa"/>
            <w:bottom w:w="15" w:type="dxa"/>
            <w:right w:w="15" w:type="dxa"/>
          </w:tblCellMar>
        </w:tblPrEx>
        <w:trPr>
          <w:trHeight w:val="355" w:hRule="atLeast"/>
          <w:jc w:val="center"/>
        </w:trPr>
        <w:tc>
          <w:tcPr>
            <w:tcW w:w="105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项目资金</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（万元）</w:t>
            </w: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年度资金总额：</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700</w:t>
            </w:r>
          </w:p>
        </w:tc>
      </w:tr>
      <w:tr>
        <w:tblPrEx>
          <w:tblCellMar>
            <w:top w:w="15" w:type="dxa"/>
            <w:left w:w="15" w:type="dxa"/>
            <w:bottom w:w="15" w:type="dxa"/>
            <w:right w:w="15" w:type="dxa"/>
          </w:tblCellMar>
        </w:tblPrEx>
        <w:trPr>
          <w:trHeight w:val="355" w:hRule="atLeast"/>
          <w:jc w:val="center"/>
        </w:trPr>
        <w:tc>
          <w:tcPr>
            <w:tcW w:w="10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其中：财政拨款</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167</w:t>
            </w:r>
          </w:p>
        </w:tc>
      </w:tr>
      <w:tr>
        <w:tblPrEx>
          <w:tblCellMar>
            <w:top w:w="15" w:type="dxa"/>
            <w:left w:w="15" w:type="dxa"/>
            <w:bottom w:w="15" w:type="dxa"/>
            <w:right w:w="15" w:type="dxa"/>
          </w:tblCellMar>
        </w:tblPrEx>
        <w:trPr>
          <w:trHeight w:val="355" w:hRule="atLeast"/>
          <w:jc w:val="center"/>
        </w:trPr>
        <w:tc>
          <w:tcPr>
            <w:tcW w:w="10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其他资金</w:t>
            </w:r>
          </w:p>
        </w:tc>
        <w:tc>
          <w:tcPr>
            <w:tcW w:w="42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自筹资金533</w:t>
            </w:r>
          </w:p>
        </w:tc>
      </w:tr>
      <w:tr>
        <w:tblPrEx>
          <w:tblCellMar>
            <w:top w:w="15" w:type="dxa"/>
            <w:left w:w="15" w:type="dxa"/>
            <w:bottom w:w="15" w:type="dxa"/>
            <w:right w:w="15" w:type="dxa"/>
          </w:tblCellMar>
        </w:tblPrEx>
        <w:trPr>
          <w:trHeight w:val="355"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总体 目标</w:t>
            </w:r>
          </w:p>
        </w:tc>
        <w:tc>
          <w:tcPr>
            <w:tcW w:w="805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sz w:val="24"/>
                <w:szCs w:val="24"/>
                <w:u w:val="none"/>
                <w:lang w:bidi="ar-SA"/>
              </w:rPr>
            </w:pPr>
            <w:r>
              <w:rPr>
                <w:rFonts w:hint="default" w:ascii="Times New Roman" w:hAnsi="Times New Roman" w:eastAsia="宋体" w:cs="Times New Roman"/>
                <w:color w:val="000000"/>
                <w:kern w:val="0"/>
                <w:sz w:val="24"/>
                <w:szCs w:val="24"/>
                <w:u w:val="none"/>
                <w:lang w:val="en-US" w:eastAsia="zh-CN" w:bidi="ar"/>
              </w:rPr>
              <w:t>年度目标</w:t>
            </w:r>
          </w:p>
        </w:tc>
      </w:tr>
      <w:tr>
        <w:tblPrEx>
          <w:tblCellMar>
            <w:top w:w="15" w:type="dxa"/>
            <w:left w:w="15" w:type="dxa"/>
            <w:bottom w:w="15" w:type="dxa"/>
            <w:right w:w="15" w:type="dxa"/>
          </w:tblCellMar>
        </w:tblPrEx>
        <w:trPr>
          <w:trHeight w:val="35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805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rPr>
                <w:rFonts w:hint="default" w:ascii="Times New Roman" w:hAnsi="Times New Roman" w:eastAsia="宋体" w:cs="Times New Roman"/>
                <w:color w:val="000000"/>
                <w:sz w:val="24"/>
                <w:szCs w:val="24"/>
                <w:u w:val="none"/>
                <w:lang w:bidi="ar-SA"/>
              </w:rPr>
            </w:pPr>
          </w:p>
        </w:tc>
      </w:tr>
      <w:tr>
        <w:tblPrEx>
          <w:tblCellMar>
            <w:top w:w="15" w:type="dxa"/>
            <w:left w:w="15" w:type="dxa"/>
            <w:bottom w:w="15" w:type="dxa"/>
            <w:right w:w="15" w:type="dxa"/>
          </w:tblCellMar>
        </w:tblPrEx>
        <w:trPr>
          <w:trHeight w:val="635" w:hRule="atLeast"/>
          <w:jc w:val="center"/>
        </w:trPr>
        <w:tc>
          <w:tcPr>
            <w:tcW w:w="547"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绩效 指标</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二级指标</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三级指标</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指标性质</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指标值</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FF0000"/>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度量单位</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权重</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实际完成指标值</w:t>
            </w:r>
          </w:p>
        </w:tc>
      </w:tr>
      <w:tr>
        <w:tblPrEx>
          <w:tblCellMar>
            <w:top w:w="15" w:type="dxa"/>
            <w:left w:w="15" w:type="dxa"/>
            <w:bottom w:w="15" w:type="dxa"/>
            <w:right w:w="15" w:type="dxa"/>
          </w:tblCellMar>
        </w:tblPrEx>
        <w:trPr>
          <w:trHeight w:val="635"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产出指标</w:t>
            </w:r>
          </w:p>
        </w:tc>
        <w:tc>
          <w:tcPr>
            <w:tcW w:w="8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数量指标</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改造提升城市社区经营服务网点</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2</w:t>
            </w:r>
          </w:p>
        </w:tc>
      </w:tr>
      <w:tr>
        <w:tblPrEx>
          <w:tblCellMar>
            <w:top w:w="15" w:type="dxa"/>
            <w:left w:w="15" w:type="dxa"/>
            <w:bottom w:w="15" w:type="dxa"/>
            <w:right w:w="15" w:type="dxa"/>
          </w:tblCellMar>
        </w:tblPrEx>
        <w:trPr>
          <w:trHeight w:val="590"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869" w:type="dxa"/>
            <w:vMerge w:val="continue"/>
            <w:tcBorders>
              <w:left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提升改造区域为农服务中心</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w:t>
            </w:r>
          </w:p>
        </w:tc>
      </w:tr>
      <w:tr>
        <w:tblPrEx>
          <w:tblCellMar>
            <w:top w:w="15" w:type="dxa"/>
            <w:left w:w="15" w:type="dxa"/>
            <w:bottom w:w="15" w:type="dxa"/>
            <w:right w:w="15" w:type="dxa"/>
          </w:tblCellMar>
        </w:tblPrEx>
        <w:trPr>
          <w:trHeight w:val="355"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869" w:type="dxa"/>
            <w:vMerge w:val="continue"/>
            <w:tcBorders>
              <w:left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改造提升冻库</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w:t>
            </w:r>
          </w:p>
        </w:tc>
      </w:tr>
      <w:tr>
        <w:tblPrEx>
          <w:tblCellMar>
            <w:top w:w="15" w:type="dxa"/>
            <w:left w:w="15" w:type="dxa"/>
            <w:bottom w:w="15" w:type="dxa"/>
            <w:right w:w="15" w:type="dxa"/>
          </w:tblCellMar>
        </w:tblPrEx>
        <w:trPr>
          <w:trHeight w:val="590"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869" w:type="dxa"/>
            <w:vMerge w:val="continue"/>
            <w:tcBorders>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改造农产品仓储加工中心</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w:t>
            </w:r>
          </w:p>
        </w:tc>
      </w:tr>
      <w:tr>
        <w:tblPrEx>
          <w:tblCellMar>
            <w:top w:w="15" w:type="dxa"/>
            <w:left w:w="15" w:type="dxa"/>
            <w:bottom w:w="15" w:type="dxa"/>
            <w:right w:w="15" w:type="dxa"/>
          </w:tblCellMar>
        </w:tblPrEx>
        <w:trPr>
          <w:trHeight w:val="691"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质量指标</w:t>
            </w:r>
          </w:p>
        </w:tc>
        <w:tc>
          <w:tcPr>
            <w:tcW w:w="24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县级供销社综合服务功能和为农服务能力</w:t>
            </w:r>
          </w:p>
        </w:tc>
        <w:tc>
          <w:tcPr>
            <w:tcW w:w="56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定性</w:t>
            </w:r>
          </w:p>
        </w:tc>
        <w:tc>
          <w:tcPr>
            <w:tcW w:w="79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有较大提升</w:t>
            </w:r>
          </w:p>
        </w:tc>
        <w:tc>
          <w:tcPr>
            <w:tcW w:w="53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FF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定性</w:t>
            </w:r>
          </w:p>
        </w:tc>
        <w:tc>
          <w:tcPr>
            <w:tcW w:w="78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有较大提升</w:t>
            </w:r>
          </w:p>
        </w:tc>
      </w:tr>
      <w:tr>
        <w:tblPrEx>
          <w:tblCellMar>
            <w:top w:w="15" w:type="dxa"/>
            <w:left w:w="15" w:type="dxa"/>
            <w:bottom w:w="15" w:type="dxa"/>
            <w:right w:w="15" w:type="dxa"/>
          </w:tblCellMar>
        </w:tblPrEx>
        <w:trPr>
          <w:trHeight w:val="590"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Times New Roman"/>
                <w:sz w:val="32"/>
                <w:szCs w:val="32"/>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时效指标</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项目按期完成率</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90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FF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≥90%</w:t>
            </w:r>
          </w:p>
        </w:tc>
      </w:tr>
      <w:tr>
        <w:tblPrEx>
          <w:tblCellMar>
            <w:top w:w="15" w:type="dxa"/>
            <w:left w:w="15" w:type="dxa"/>
            <w:bottom w:w="15" w:type="dxa"/>
            <w:right w:w="15" w:type="dxa"/>
          </w:tblCellMar>
        </w:tblPrEx>
        <w:trPr>
          <w:trHeight w:val="635"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经济效益指标</w:t>
            </w:r>
          </w:p>
        </w:tc>
        <w:tc>
          <w:tcPr>
            <w:tcW w:w="24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销售总额同比增长率（%）</w:t>
            </w:r>
          </w:p>
        </w:tc>
        <w:tc>
          <w:tcPr>
            <w:tcW w:w="56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15</w:t>
            </w:r>
          </w:p>
        </w:tc>
        <w:tc>
          <w:tcPr>
            <w:tcW w:w="53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FF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8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≥15%</w:t>
            </w:r>
          </w:p>
        </w:tc>
      </w:tr>
      <w:tr>
        <w:tblPrEx>
          <w:tblCellMar>
            <w:top w:w="15" w:type="dxa"/>
            <w:left w:w="15" w:type="dxa"/>
            <w:bottom w:w="15" w:type="dxa"/>
            <w:right w:w="15" w:type="dxa"/>
          </w:tblCellMar>
        </w:tblPrEx>
        <w:trPr>
          <w:trHeight w:val="866" w:hRule="atLeast"/>
          <w:jc w:val="center"/>
        </w:trPr>
        <w:tc>
          <w:tcPr>
            <w:tcW w:w="547" w:type="dxa"/>
            <w:vMerge w:val="continue"/>
            <w:tcBorders>
              <w:top w:val="single" w:color="000000" w:sz="4" w:space="0"/>
              <w:left w:val="single" w:color="000000" w:sz="4" w:space="0"/>
              <w:bottom w:val="single" w:color="000000" w:sz="4" w:space="0"/>
            </w:tcBorders>
            <w:noWrap w:val="0"/>
            <w:vAlign w:val="center"/>
          </w:tcPr>
          <w:p>
            <w:pPr>
              <w:rPr>
                <w:rFonts w:ascii="Times New Roman" w:hAnsi="Times New Roman" w:eastAsia="仿宋_GB2312" w:cs="Times New Roman"/>
                <w:sz w:val="32"/>
                <w:szCs w:val="32"/>
              </w:rPr>
            </w:pPr>
          </w:p>
        </w:tc>
        <w:tc>
          <w:tcPr>
            <w:tcW w:w="508" w:type="dxa"/>
            <w:vMerge w:val="continue"/>
            <w:tcBorders>
              <w:top w:val="single" w:color="000000" w:sz="4" w:space="0"/>
              <w:left w:val="single" w:color="000000" w:sz="4" w:space="0"/>
              <w:bottom w:val="single" w:color="auto" w:sz="4" w:space="0"/>
              <w:right w:val="single" w:color="000000" w:sz="4" w:space="0"/>
            </w:tcBorders>
            <w:noWrap w:val="0"/>
            <w:vAlign w:val="center"/>
          </w:tcPr>
          <w:p>
            <w:pPr>
              <w:rPr>
                <w:rFonts w:ascii="Times New Roman" w:hAnsi="Times New Roman" w:eastAsia="仿宋_GB2312" w:cs="Times New Roman"/>
                <w:sz w:val="32"/>
                <w:szCs w:val="32"/>
              </w:rPr>
            </w:pPr>
          </w:p>
        </w:tc>
        <w:tc>
          <w:tcPr>
            <w:tcW w:w="86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指标</w:t>
            </w:r>
          </w:p>
        </w:tc>
        <w:tc>
          <w:tcPr>
            <w:tcW w:w="24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带动当地就业情况(人数)</w:t>
            </w:r>
          </w:p>
        </w:tc>
        <w:tc>
          <w:tcPr>
            <w:tcW w:w="5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30</w:t>
            </w:r>
          </w:p>
        </w:tc>
        <w:tc>
          <w:tcPr>
            <w:tcW w:w="5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ascii="Times New Roman" w:hAnsi="Times New Roman" w:eastAsia="宋体" w:cs="Times New Roman"/>
                <w:color w:val="FF0000"/>
                <w:kern w:val="0"/>
                <w:sz w:val="24"/>
                <w:szCs w:val="24"/>
                <w:u w:val="none"/>
                <w:lang w:val="en-US" w:eastAsia="zh-CN" w:bidi="ar"/>
              </w:rPr>
            </w:pPr>
            <w:r>
              <w:rPr>
                <w:rFonts w:hint="eastAsia" w:ascii="Times New Roman" w:hAnsi="Times New Roman" w:eastAsia="宋体" w:cs="Times New Roman"/>
                <w:color w:val="auto"/>
                <w:kern w:val="0"/>
                <w:sz w:val="24"/>
                <w:szCs w:val="24"/>
                <w:u w:val="none"/>
                <w:lang w:val="en-US" w:eastAsia="zh-CN" w:bidi="ar"/>
              </w:rPr>
              <w:t>人</w:t>
            </w:r>
          </w:p>
        </w:tc>
        <w:tc>
          <w:tcPr>
            <w:tcW w:w="78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≥30</w:t>
            </w:r>
          </w:p>
        </w:tc>
      </w:tr>
      <w:tr>
        <w:tblPrEx>
          <w:tblCellMar>
            <w:top w:w="15" w:type="dxa"/>
            <w:left w:w="15" w:type="dxa"/>
            <w:bottom w:w="15" w:type="dxa"/>
            <w:right w:w="15" w:type="dxa"/>
          </w:tblCellMar>
        </w:tblPrEx>
        <w:trPr>
          <w:trHeight w:val="1152" w:hRule="atLeast"/>
          <w:jc w:val="center"/>
        </w:trPr>
        <w:tc>
          <w:tcPr>
            <w:tcW w:w="547" w:type="dxa"/>
            <w:vMerge w:val="continue"/>
            <w:tcBorders>
              <w:top w:val="single" w:color="000000" w:sz="4" w:space="0"/>
              <w:left w:val="single" w:color="000000" w:sz="4" w:space="0"/>
              <w:bottom w:val="single" w:color="000000" w:sz="4" w:space="0"/>
              <w:right w:val="single" w:color="auto" w:sz="4" w:space="0"/>
            </w:tcBorders>
            <w:noWrap w:val="0"/>
            <w:vAlign w:val="center"/>
          </w:tcPr>
          <w:p>
            <w:pPr>
              <w:rPr>
                <w:rFonts w:ascii="Times New Roman" w:hAnsi="Times New Roman" w:eastAsia="仿宋_GB2312" w:cs="Times New Roman"/>
                <w:sz w:val="32"/>
                <w:szCs w:val="32"/>
              </w:rPr>
            </w:pPr>
          </w:p>
        </w:tc>
        <w:tc>
          <w:tcPr>
            <w:tcW w:w="5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指标</w:t>
            </w:r>
          </w:p>
        </w:tc>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服务对象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default" w:ascii="Times New Roman" w:hAnsi="Times New Roman" w:eastAsia="宋体" w:cs="Times New Roman"/>
                <w:color w:val="000000"/>
                <w:kern w:val="0"/>
                <w:sz w:val="24"/>
                <w:szCs w:val="24"/>
                <w:u w:val="none"/>
                <w:lang w:val="en-US" w:eastAsia="zh-CN" w:bidi="ar"/>
              </w:rPr>
              <w:t>满意度指标</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满意度测评情况</w:t>
            </w:r>
          </w:p>
        </w:tc>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90</w:t>
            </w:r>
          </w:p>
        </w:tc>
        <w:tc>
          <w:tcPr>
            <w:tcW w:w="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FF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w:t>
            </w: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10</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宋体" w:cs="Times New Roman"/>
                <w:color w:val="000000"/>
                <w:kern w:val="0"/>
                <w:sz w:val="24"/>
                <w:szCs w:val="24"/>
                <w:u w:val="none"/>
                <w:lang w:val="en-US" w:eastAsia="zh-CN" w:bidi="ar"/>
              </w:rPr>
            </w:pPr>
            <w:r>
              <w:rPr>
                <w:rFonts w:hint="eastAsia" w:ascii="Times New Roman" w:hAnsi="Times New Roman" w:eastAsia="宋体" w:cs="Times New Roman"/>
                <w:color w:val="000000"/>
                <w:kern w:val="0"/>
                <w:sz w:val="24"/>
                <w:szCs w:val="24"/>
                <w:u w:val="none"/>
                <w:lang w:val="en-US" w:eastAsia="zh-CN" w:bidi="ar"/>
              </w:rPr>
              <w:t>≥90%</w:t>
            </w:r>
          </w:p>
        </w:tc>
      </w:tr>
    </w:tbl>
    <w:p>
      <w:pPr>
        <w:rPr>
          <w:rFonts w:hint="default" w:ascii="Times New Roman" w:hAnsi="Times New Roman" w:eastAsia="仿宋_GB2312" w:cs="Times New Roman"/>
          <w:sz w:val="32"/>
          <w:szCs w:val="32"/>
          <w:lang w:val="en-US" w:eastAsia="zh-CN"/>
        </w:rPr>
      </w:pPr>
    </w:p>
    <w:p>
      <w:pPr>
        <w:pStyle w:val="10"/>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bidi w:val="0"/>
        <w:snapToGrid/>
        <w:spacing w:line="576" w:lineRule="exact"/>
        <w:jc w:val="center"/>
        <w:textAlignment w:val="auto"/>
        <w:outlineLvl w:val="0"/>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bidi w:val="0"/>
        <w:snapToGrid/>
        <w:spacing w:line="576" w:lineRule="exact"/>
        <w:jc w:val="center"/>
        <w:textAlignment w:val="auto"/>
        <w:outlineLvl w:val="0"/>
        <w:rPr>
          <w:rStyle w:val="31"/>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31"/>
          <w:rFonts w:hint="eastAsia" w:ascii="方正小标宋简体" w:hAnsi="方正小标宋简体" w:eastAsia="方正小标宋简体" w:cs="方正小标宋简体"/>
          <w:b w:val="0"/>
        </w:rPr>
        <w:t>五部分 附表</w:t>
      </w:r>
      <w:bookmarkEnd w:id="104"/>
      <w:bookmarkEnd w:id="105"/>
      <w:bookmarkEnd w:id="106"/>
      <w:bookmarkEnd w:id="107"/>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Times New Roman" w:eastAsia="仿宋_GB2312" w:cs="Times New Roman"/>
          <w:color w:val="auto"/>
          <w:kern w:val="2"/>
          <w:sz w:val="32"/>
          <w:szCs w:val="32"/>
          <w:lang w:val="zh-CN"/>
        </w:rPr>
      </w:pPr>
      <w:bookmarkStart w:id="109" w:name="_Toc26370"/>
      <w:bookmarkStart w:id="110" w:name="_Toc12986"/>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r>
        <w:rPr>
          <w:rFonts w:hint="eastAsia" w:ascii="仿宋_GB2312" w:hAnsi="Times New Roman" w:eastAsia="仿宋_GB2312" w:cs="Times New Roman"/>
          <w:color w:val="auto"/>
          <w:kern w:val="2"/>
          <w:sz w:val="32"/>
          <w:szCs w:val="32"/>
          <w:lang w:val="zh-CN"/>
        </w:rPr>
        <w:t>一、收入支出决算总表</w:t>
      </w:r>
      <w:bookmarkEnd w:id="109"/>
      <w:bookmarkEnd w:id="110"/>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1" w:name="_Toc13591"/>
      <w:bookmarkStart w:id="112" w:name="_Toc13062"/>
      <w:r>
        <w:rPr>
          <w:rFonts w:hint="eastAsia" w:ascii="仿宋_GB2312" w:hAnsi="Times New Roman" w:eastAsia="仿宋_GB2312" w:cs="Times New Roman"/>
          <w:color w:val="auto"/>
          <w:kern w:val="2"/>
          <w:sz w:val="32"/>
          <w:szCs w:val="32"/>
          <w:lang w:val="zh-CN"/>
        </w:rPr>
        <w:t>二、收入决算表</w:t>
      </w:r>
      <w:bookmarkEnd w:id="111"/>
      <w:bookmarkEnd w:id="112"/>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3" w:name="_Toc16600"/>
      <w:bookmarkStart w:id="114" w:name="_Toc29688"/>
      <w:r>
        <w:rPr>
          <w:rFonts w:hint="eastAsia" w:ascii="仿宋_GB2312" w:hAnsi="Times New Roman" w:eastAsia="仿宋_GB2312" w:cs="Times New Roman"/>
          <w:color w:val="auto"/>
          <w:kern w:val="2"/>
          <w:sz w:val="32"/>
          <w:szCs w:val="32"/>
          <w:lang w:val="zh-CN"/>
        </w:rPr>
        <w:t>三、支出决算表</w:t>
      </w:r>
      <w:bookmarkEnd w:id="113"/>
      <w:bookmarkEnd w:id="114"/>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5" w:name="_Toc26630"/>
      <w:bookmarkStart w:id="116" w:name="_Toc5964"/>
      <w:r>
        <w:rPr>
          <w:rFonts w:hint="eastAsia" w:ascii="仿宋_GB2312" w:hAnsi="Times New Roman" w:eastAsia="仿宋_GB2312" w:cs="Times New Roman"/>
          <w:color w:val="auto"/>
          <w:kern w:val="2"/>
          <w:sz w:val="32"/>
          <w:szCs w:val="32"/>
          <w:lang w:val="zh-CN"/>
        </w:rPr>
        <w:t>四、财政拨款收入支出决算总表</w:t>
      </w:r>
      <w:bookmarkEnd w:id="115"/>
      <w:bookmarkEnd w:id="116"/>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7" w:name="_Toc14273"/>
      <w:bookmarkStart w:id="118" w:name="_Toc19934"/>
      <w:r>
        <w:rPr>
          <w:rFonts w:hint="eastAsia" w:ascii="仿宋_GB2312" w:hAnsi="Times New Roman" w:eastAsia="仿宋_GB2312" w:cs="Times New Roman"/>
          <w:color w:val="auto"/>
          <w:kern w:val="2"/>
          <w:sz w:val="32"/>
          <w:szCs w:val="32"/>
          <w:lang w:val="zh-CN"/>
        </w:rPr>
        <w:t>五、财政拨款支出决算明细表</w:t>
      </w:r>
      <w:bookmarkEnd w:id="117"/>
      <w:bookmarkEnd w:id="118"/>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19" w:name="_Toc6686"/>
      <w:bookmarkStart w:id="120" w:name="_Toc16449"/>
      <w:r>
        <w:rPr>
          <w:rFonts w:hint="eastAsia" w:ascii="仿宋_GB2312" w:hAnsi="Times New Roman" w:eastAsia="仿宋_GB2312" w:cs="Times New Roman"/>
          <w:color w:val="auto"/>
          <w:kern w:val="2"/>
          <w:sz w:val="32"/>
          <w:szCs w:val="32"/>
          <w:lang w:val="zh-CN"/>
        </w:rPr>
        <w:t>六、一般公共预算财政拨款支出决算表</w:t>
      </w:r>
      <w:bookmarkEnd w:id="119"/>
      <w:bookmarkEnd w:id="120"/>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1" w:name="_Toc3478"/>
      <w:bookmarkStart w:id="122" w:name="_Toc19514"/>
      <w:r>
        <w:rPr>
          <w:rFonts w:hint="eastAsia" w:ascii="仿宋_GB2312" w:hAnsi="Times New Roman" w:eastAsia="仿宋_GB2312" w:cs="Times New Roman"/>
          <w:color w:val="auto"/>
          <w:kern w:val="2"/>
          <w:sz w:val="32"/>
          <w:szCs w:val="32"/>
          <w:lang w:val="zh-CN"/>
        </w:rPr>
        <w:t>七、一般公共预算财政拨款支出决算明细表</w:t>
      </w:r>
      <w:bookmarkEnd w:id="121"/>
      <w:bookmarkEnd w:id="122"/>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3" w:name="_Toc191"/>
      <w:bookmarkStart w:id="124" w:name="_Toc17352"/>
      <w:r>
        <w:rPr>
          <w:rFonts w:hint="eastAsia" w:ascii="仿宋_GB2312" w:hAnsi="Times New Roman" w:eastAsia="仿宋_GB2312" w:cs="Times New Roman"/>
          <w:color w:val="auto"/>
          <w:kern w:val="2"/>
          <w:sz w:val="32"/>
          <w:szCs w:val="32"/>
          <w:lang w:val="zh-CN"/>
        </w:rPr>
        <w:t>八、一般公共预算财政拨款基本支出决算表</w:t>
      </w:r>
      <w:bookmarkEnd w:id="123"/>
      <w:bookmarkEnd w:id="124"/>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5" w:name="_Toc3726"/>
      <w:bookmarkStart w:id="126" w:name="_Toc5204"/>
      <w:r>
        <w:rPr>
          <w:rFonts w:hint="eastAsia" w:ascii="仿宋_GB2312" w:hAnsi="Times New Roman" w:eastAsia="仿宋_GB2312" w:cs="Times New Roman"/>
          <w:color w:val="auto"/>
          <w:kern w:val="2"/>
          <w:sz w:val="32"/>
          <w:szCs w:val="32"/>
          <w:lang w:val="zh-CN"/>
        </w:rPr>
        <w:t>九、一般公共预算财政拨款项目支出决算表</w:t>
      </w:r>
      <w:bookmarkEnd w:id="125"/>
      <w:bookmarkEnd w:id="126"/>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7" w:name="_Toc20056"/>
      <w:bookmarkStart w:id="128" w:name="_Toc20756"/>
      <w:r>
        <w:rPr>
          <w:rFonts w:hint="eastAsia" w:ascii="仿宋_GB2312" w:hAnsi="Times New Roman" w:eastAsia="仿宋_GB2312" w:cs="Times New Roman"/>
          <w:color w:val="auto"/>
          <w:kern w:val="2"/>
          <w:sz w:val="32"/>
          <w:szCs w:val="32"/>
          <w:lang w:val="zh-CN"/>
        </w:rPr>
        <w:t>十、政府性基金预算财政拨款收入支出决算表</w:t>
      </w:r>
      <w:bookmarkEnd w:id="127"/>
      <w:bookmarkEnd w:id="128"/>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29" w:name="_Toc21387"/>
      <w:bookmarkStart w:id="130" w:name="_Toc13849"/>
      <w:r>
        <w:rPr>
          <w:rFonts w:hint="eastAsia" w:ascii="仿宋_GB2312" w:hAnsi="Times New Roman" w:eastAsia="仿宋_GB2312" w:cs="Times New Roman"/>
          <w:color w:val="auto"/>
          <w:kern w:val="2"/>
          <w:sz w:val="32"/>
          <w:szCs w:val="32"/>
          <w:lang w:val="zh-CN"/>
        </w:rPr>
        <w:t>十一、国有资本经营预算财政拨款收入支出决算表</w:t>
      </w:r>
      <w:bookmarkEnd w:id="129"/>
      <w:bookmarkEnd w:id="130"/>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1" w:name="_Toc1140"/>
      <w:bookmarkStart w:id="132" w:name="_Toc13099"/>
      <w:r>
        <w:rPr>
          <w:rFonts w:hint="eastAsia" w:ascii="仿宋_GB2312" w:hAnsi="Times New Roman" w:eastAsia="仿宋_GB2312" w:cs="Times New Roman"/>
          <w:color w:val="auto"/>
          <w:kern w:val="2"/>
          <w:sz w:val="32"/>
          <w:szCs w:val="32"/>
          <w:lang w:val="zh-CN"/>
        </w:rPr>
        <w:t>十二、国有资本经营预算财政拨款支出决算表</w:t>
      </w:r>
      <w:bookmarkEnd w:id="131"/>
      <w:bookmarkEnd w:id="132"/>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bookmarkStart w:id="133" w:name="_Toc24957"/>
      <w:bookmarkStart w:id="134" w:name="_Toc25065"/>
      <w:r>
        <w:rPr>
          <w:rFonts w:hint="eastAsia" w:ascii="仿宋_GB2312" w:hAnsi="Times New Roman" w:eastAsia="仿宋_GB2312" w:cs="Times New Roman"/>
          <w:color w:val="auto"/>
          <w:kern w:val="2"/>
          <w:sz w:val="32"/>
          <w:szCs w:val="32"/>
          <w:lang w:val="zh-CN"/>
        </w:rPr>
        <w:t>十三、财政拨款“三公”经费支出决算表</w:t>
      </w:r>
      <w:bookmarkEnd w:id="133"/>
      <w:bookmarkEnd w:id="134"/>
    </w:p>
    <w:p>
      <w:pPr>
        <w:pStyle w:val="41"/>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Times New Roman" w:eastAsia="仿宋_GB2312" w:cs="Times New Roman"/>
          <w:color w:val="auto"/>
          <w:kern w:val="2"/>
          <w:sz w:val="32"/>
          <w:szCs w:val="32"/>
          <w:lang w:val="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DejaVu Math TeX Gyre"/>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等线">
    <w:altName w:val="仿宋_GB2312"/>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t>42</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F8851"/>
    <w:multiLevelType w:val="singleLevel"/>
    <w:tmpl w:val="866F8851"/>
    <w:lvl w:ilvl="0" w:tentative="0">
      <w:start w:val="1"/>
      <w:numFmt w:val="chineseCounting"/>
      <w:suff w:val="nothing"/>
      <w:lvlText w:val="%1、"/>
      <w:lvlJc w:val="left"/>
      <w:rPr>
        <w:rFonts w:hint="eastAsia"/>
      </w:rPr>
    </w:lvl>
  </w:abstractNum>
  <w:abstractNum w:abstractNumId="1">
    <w:nsid w:val="C292F785"/>
    <w:multiLevelType w:val="singleLevel"/>
    <w:tmpl w:val="C292F785"/>
    <w:lvl w:ilvl="0" w:tentative="0">
      <w:start w:val="5"/>
      <w:numFmt w:val="chineseCounting"/>
      <w:suff w:val="nothing"/>
      <w:lvlText w:val="%1、"/>
      <w:lvlJc w:val="left"/>
      <w:rPr>
        <w:rFonts w:hint="eastAsia"/>
      </w:rPr>
    </w:lvl>
  </w:abstractNum>
  <w:abstractNum w:abstractNumId="2">
    <w:nsid w:val="CE0AA2FF"/>
    <w:multiLevelType w:val="singleLevel"/>
    <w:tmpl w:val="CE0AA2FF"/>
    <w:lvl w:ilvl="0" w:tentative="0">
      <w:start w:val="2"/>
      <w:numFmt w:val="chineseCounting"/>
      <w:suff w:val="nothing"/>
      <w:lvlText w:val="（%1）"/>
      <w:lvlJc w:val="left"/>
      <w:rPr>
        <w:rFonts w:hint="eastAsia"/>
      </w:rPr>
    </w:lvl>
  </w:abstractNum>
  <w:abstractNum w:abstractNumId="3">
    <w:nsid w:val="DB15B7B3"/>
    <w:multiLevelType w:val="singleLevel"/>
    <w:tmpl w:val="DB15B7B3"/>
    <w:lvl w:ilvl="0" w:tentative="0">
      <w:start w:val="2"/>
      <w:numFmt w:val="chineseCounting"/>
      <w:suff w:val="nothing"/>
      <w:lvlText w:val="（%1）"/>
      <w:lvlJc w:val="left"/>
      <w:rPr>
        <w:rFonts w:hint="eastAsia"/>
      </w:rPr>
    </w:lvl>
  </w:abstractNum>
  <w:abstractNum w:abstractNumId="4">
    <w:nsid w:val="E675A7AA"/>
    <w:multiLevelType w:val="singleLevel"/>
    <w:tmpl w:val="E675A7AA"/>
    <w:lvl w:ilvl="0" w:tentative="0">
      <w:start w:val="2"/>
      <w:numFmt w:val="chineseCounting"/>
      <w:suff w:val="nothing"/>
      <w:lvlText w:val="（%1）"/>
      <w:lvlJc w:val="left"/>
      <w:rPr>
        <w:rFonts w:hint="eastAsia"/>
      </w:rPr>
    </w:lvl>
  </w:abstractNum>
  <w:abstractNum w:abstractNumId="5">
    <w:nsid w:val="E8B35A61"/>
    <w:multiLevelType w:val="singleLevel"/>
    <w:tmpl w:val="E8B35A61"/>
    <w:lvl w:ilvl="0" w:tentative="0">
      <w:start w:val="2"/>
      <w:numFmt w:val="chineseCounting"/>
      <w:suff w:val="nothing"/>
      <w:lvlText w:val="（%1）"/>
      <w:lvlJc w:val="left"/>
      <w:rPr>
        <w:rFonts w:hint="eastAsia"/>
      </w:rPr>
    </w:lvl>
  </w:abstractNum>
  <w:abstractNum w:abstractNumId="6">
    <w:nsid w:val="F9F5E808"/>
    <w:multiLevelType w:val="singleLevel"/>
    <w:tmpl w:val="F9F5E808"/>
    <w:lvl w:ilvl="0" w:tentative="0">
      <w:start w:val="2"/>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8">
    <w:nsid w:val="1EAB7229"/>
    <w:multiLevelType w:val="singleLevel"/>
    <w:tmpl w:val="1EAB7229"/>
    <w:lvl w:ilvl="0" w:tentative="0">
      <w:start w:val="2"/>
      <w:numFmt w:val="chineseCounting"/>
      <w:suff w:val="nothing"/>
      <w:lvlText w:val="（%1）"/>
      <w:lvlJc w:val="left"/>
      <w:rPr>
        <w:rFonts w:hint="eastAsia"/>
      </w:rPr>
    </w:lvl>
  </w:abstractNum>
  <w:abstractNum w:abstractNumId="9">
    <w:nsid w:val="302EEA72"/>
    <w:multiLevelType w:val="singleLevel"/>
    <w:tmpl w:val="302EEA72"/>
    <w:lvl w:ilvl="0" w:tentative="0">
      <w:start w:val="2"/>
      <w:numFmt w:val="chineseCounting"/>
      <w:suff w:val="nothing"/>
      <w:lvlText w:val="（%1）"/>
      <w:lvlJc w:val="left"/>
      <w:rPr>
        <w:rFonts w:hint="eastAsia"/>
      </w:rPr>
    </w:lvl>
  </w:abstractNum>
  <w:abstractNum w:abstractNumId="10">
    <w:nsid w:val="4EEF656E"/>
    <w:multiLevelType w:val="singleLevel"/>
    <w:tmpl w:val="4EEF656E"/>
    <w:lvl w:ilvl="0" w:tentative="0">
      <w:start w:val="2"/>
      <w:numFmt w:val="chineseCounting"/>
      <w:suff w:val="nothing"/>
      <w:lvlText w:val="（%1）"/>
      <w:lvlJc w:val="left"/>
      <w:rPr>
        <w:rFonts w:hint="eastAsia"/>
      </w:rPr>
    </w:lvl>
  </w:abstractNum>
  <w:abstractNum w:abstractNumId="11">
    <w:nsid w:val="58178069"/>
    <w:multiLevelType w:val="singleLevel"/>
    <w:tmpl w:val="58178069"/>
    <w:lvl w:ilvl="0" w:tentative="0">
      <w:start w:val="2"/>
      <w:numFmt w:val="chineseCounting"/>
      <w:suff w:val="nothing"/>
      <w:lvlText w:val="（%1）"/>
      <w:lvlJc w:val="left"/>
      <w:rPr>
        <w:rFonts w:hint="eastAsia"/>
      </w:rPr>
    </w:lvl>
  </w:abstractNum>
  <w:abstractNum w:abstractNumId="12">
    <w:nsid w:val="6AF0CC89"/>
    <w:multiLevelType w:val="singleLevel"/>
    <w:tmpl w:val="6AF0CC89"/>
    <w:lvl w:ilvl="0" w:tentative="0">
      <w:start w:val="4"/>
      <w:numFmt w:val="chineseCounting"/>
      <w:suff w:val="nothing"/>
      <w:lvlText w:val="%1、"/>
      <w:lvlJc w:val="left"/>
      <w:rPr>
        <w:rFonts w:hint="eastAsia"/>
      </w:rPr>
    </w:lvl>
  </w:abstractNum>
  <w:num w:numId="1">
    <w:abstractNumId w:val="0"/>
  </w:num>
  <w:num w:numId="2">
    <w:abstractNumId w:val="7"/>
  </w:num>
  <w:num w:numId="3">
    <w:abstractNumId w:val="9"/>
  </w:num>
  <w:num w:numId="4">
    <w:abstractNumId w:val="10"/>
  </w:num>
  <w:num w:numId="5">
    <w:abstractNumId w:val="3"/>
  </w:num>
  <w:num w:numId="6">
    <w:abstractNumId w:val="5"/>
  </w:num>
  <w:num w:numId="7">
    <w:abstractNumId w:val="1"/>
  </w:num>
  <w:num w:numId="8">
    <w:abstractNumId w:val="2"/>
  </w:num>
  <w:num w:numId="9">
    <w:abstractNumId w:val="6"/>
  </w:num>
  <w:num w:numId="10">
    <w:abstractNumId w:val="4"/>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ODVkZDQzMmMwZTY5MDM0NDIxMWYyNDdjYWI4MDEifQ=="/>
  </w:docVars>
  <w:rsids>
    <w:rsidRoot w:val="00F1361C"/>
    <w:rsid w:val="00021DB1"/>
    <w:rsid w:val="000222C6"/>
    <w:rsid w:val="0002549F"/>
    <w:rsid w:val="00027DEB"/>
    <w:rsid w:val="00044C87"/>
    <w:rsid w:val="000468DB"/>
    <w:rsid w:val="00053F64"/>
    <w:rsid w:val="00054949"/>
    <w:rsid w:val="0006487A"/>
    <w:rsid w:val="00065F8F"/>
    <w:rsid w:val="0006617C"/>
    <w:rsid w:val="00070545"/>
    <w:rsid w:val="00070A43"/>
    <w:rsid w:val="000768F2"/>
    <w:rsid w:val="0008563A"/>
    <w:rsid w:val="0009184B"/>
    <w:rsid w:val="00094236"/>
    <w:rsid w:val="0009593C"/>
    <w:rsid w:val="00097322"/>
    <w:rsid w:val="000A6A92"/>
    <w:rsid w:val="000B047F"/>
    <w:rsid w:val="000B5923"/>
    <w:rsid w:val="000B5A48"/>
    <w:rsid w:val="000B6FF3"/>
    <w:rsid w:val="000B7527"/>
    <w:rsid w:val="000C22C0"/>
    <w:rsid w:val="000C3467"/>
    <w:rsid w:val="000C3CA6"/>
    <w:rsid w:val="000D1267"/>
    <w:rsid w:val="000D1D50"/>
    <w:rsid w:val="000D5782"/>
    <w:rsid w:val="000E188B"/>
    <w:rsid w:val="000E6613"/>
    <w:rsid w:val="000E7119"/>
    <w:rsid w:val="000F20FF"/>
    <w:rsid w:val="001006D2"/>
    <w:rsid w:val="00114E9B"/>
    <w:rsid w:val="00115301"/>
    <w:rsid w:val="0012556E"/>
    <w:rsid w:val="0013189E"/>
    <w:rsid w:val="001319E1"/>
    <w:rsid w:val="00142216"/>
    <w:rsid w:val="00143AAE"/>
    <w:rsid w:val="00144D6A"/>
    <w:rsid w:val="0014729F"/>
    <w:rsid w:val="00157BAB"/>
    <w:rsid w:val="001654D1"/>
    <w:rsid w:val="00174518"/>
    <w:rsid w:val="0018106D"/>
    <w:rsid w:val="001877A7"/>
    <w:rsid w:val="00191536"/>
    <w:rsid w:val="001939B7"/>
    <w:rsid w:val="00195548"/>
    <w:rsid w:val="00196687"/>
    <w:rsid w:val="00196750"/>
    <w:rsid w:val="00197E9F"/>
    <w:rsid w:val="001C0962"/>
    <w:rsid w:val="001C2BFE"/>
    <w:rsid w:val="001D7531"/>
    <w:rsid w:val="001E737D"/>
    <w:rsid w:val="001F0592"/>
    <w:rsid w:val="001F7506"/>
    <w:rsid w:val="002006CD"/>
    <w:rsid w:val="00202B36"/>
    <w:rsid w:val="00204B7A"/>
    <w:rsid w:val="00204C46"/>
    <w:rsid w:val="00204CDE"/>
    <w:rsid w:val="0021101A"/>
    <w:rsid w:val="00217AE2"/>
    <w:rsid w:val="00220536"/>
    <w:rsid w:val="00222F69"/>
    <w:rsid w:val="00233F5B"/>
    <w:rsid w:val="00235629"/>
    <w:rsid w:val="00235CF9"/>
    <w:rsid w:val="0024785F"/>
    <w:rsid w:val="00256262"/>
    <w:rsid w:val="00260C38"/>
    <w:rsid w:val="002616C0"/>
    <w:rsid w:val="00265372"/>
    <w:rsid w:val="002662AA"/>
    <w:rsid w:val="0027224D"/>
    <w:rsid w:val="00280496"/>
    <w:rsid w:val="00294DC9"/>
    <w:rsid w:val="00295495"/>
    <w:rsid w:val="002A31DE"/>
    <w:rsid w:val="002B2613"/>
    <w:rsid w:val="002C6857"/>
    <w:rsid w:val="002D6D05"/>
    <w:rsid w:val="002F1818"/>
    <w:rsid w:val="002F567B"/>
    <w:rsid w:val="00306D06"/>
    <w:rsid w:val="00311FB8"/>
    <w:rsid w:val="00321685"/>
    <w:rsid w:val="003216A9"/>
    <w:rsid w:val="00335A74"/>
    <w:rsid w:val="00340765"/>
    <w:rsid w:val="003536E0"/>
    <w:rsid w:val="0036561B"/>
    <w:rsid w:val="0037013F"/>
    <w:rsid w:val="00380C92"/>
    <w:rsid w:val="00391FB4"/>
    <w:rsid w:val="00393C06"/>
    <w:rsid w:val="003A484F"/>
    <w:rsid w:val="003A4883"/>
    <w:rsid w:val="003B0BE0"/>
    <w:rsid w:val="003B0C1B"/>
    <w:rsid w:val="003B482C"/>
    <w:rsid w:val="003B688C"/>
    <w:rsid w:val="003C0291"/>
    <w:rsid w:val="003C39AE"/>
    <w:rsid w:val="003C7B60"/>
    <w:rsid w:val="003D0C0F"/>
    <w:rsid w:val="003D1310"/>
    <w:rsid w:val="003D1FB2"/>
    <w:rsid w:val="003D3783"/>
    <w:rsid w:val="003D66DA"/>
    <w:rsid w:val="003E1310"/>
    <w:rsid w:val="003E6189"/>
    <w:rsid w:val="003E6F55"/>
    <w:rsid w:val="003E6FE4"/>
    <w:rsid w:val="00406254"/>
    <w:rsid w:val="004223DE"/>
    <w:rsid w:val="0042503B"/>
    <w:rsid w:val="00432BDC"/>
    <w:rsid w:val="00434489"/>
    <w:rsid w:val="00437085"/>
    <w:rsid w:val="00443880"/>
    <w:rsid w:val="00445607"/>
    <w:rsid w:val="004464F4"/>
    <w:rsid w:val="0045405F"/>
    <w:rsid w:val="00466E72"/>
    <w:rsid w:val="00471401"/>
    <w:rsid w:val="00473F31"/>
    <w:rsid w:val="0048263A"/>
    <w:rsid w:val="00487E5D"/>
    <w:rsid w:val="00494545"/>
    <w:rsid w:val="0049684D"/>
    <w:rsid w:val="004A711F"/>
    <w:rsid w:val="004B199D"/>
    <w:rsid w:val="004B1A20"/>
    <w:rsid w:val="004B4690"/>
    <w:rsid w:val="004C2E2D"/>
    <w:rsid w:val="004D5479"/>
    <w:rsid w:val="004E0A2D"/>
    <w:rsid w:val="004E206B"/>
    <w:rsid w:val="004E49C5"/>
    <w:rsid w:val="004E6DF7"/>
    <w:rsid w:val="004F0FBD"/>
    <w:rsid w:val="00504E2E"/>
    <w:rsid w:val="00505A47"/>
    <w:rsid w:val="00512FDA"/>
    <w:rsid w:val="0051361B"/>
    <w:rsid w:val="00520DA0"/>
    <w:rsid w:val="005269A7"/>
    <w:rsid w:val="005269D7"/>
    <w:rsid w:val="005508BC"/>
    <w:rsid w:val="005664BB"/>
    <w:rsid w:val="00566FFA"/>
    <w:rsid w:val="0057481D"/>
    <w:rsid w:val="0058486E"/>
    <w:rsid w:val="00585B33"/>
    <w:rsid w:val="00587B68"/>
    <w:rsid w:val="0059014D"/>
    <w:rsid w:val="005A6340"/>
    <w:rsid w:val="005B5C64"/>
    <w:rsid w:val="005C5337"/>
    <w:rsid w:val="005C6BD0"/>
    <w:rsid w:val="005D1C8B"/>
    <w:rsid w:val="005D468D"/>
    <w:rsid w:val="005D5591"/>
    <w:rsid w:val="005D5CED"/>
    <w:rsid w:val="005F1A4C"/>
    <w:rsid w:val="005F34D0"/>
    <w:rsid w:val="006055E2"/>
    <w:rsid w:val="00605688"/>
    <w:rsid w:val="006070AF"/>
    <w:rsid w:val="00607E6C"/>
    <w:rsid w:val="006101B1"/>
    <w:rsid w:val="00614E44"/>
    <w:rsid w:val="006162E5"/>
    <w:rsid w:val="006178BA"/>
    <w:rsid w:val="0062270A"/>
    <w:rsid w:val="00622830"/>
    <w:rsid w:val="00623DA0"/>
    <w:rsid w:val="00627647"/>
    <w:rsid w:val="00627E95"/>
    <w:rsid w:val="006302ED"/>
    <w:rsid w:val="00630AEF"/>
    <w:rsid w:val="006325F8"/>
    <w:rsid w:val="00633463"/>
    <w:rsid w:val="00634C9A"/>
    <w:rsid w:val="00636199"/>
    <w:rsid w:val="006440E4"/>
    <w:rsid w:val="00645F81"/>
    <w:rsid w:val="0064742A"/>
    <w:rsid w:val="0066019E"/>
    <w:rsid w:val="0066343B"/>
    <w:rsid w:val="00664777"/>
    <w:rsid w:val="006748A4"/>
    <w:rsid w:val="00681A31"/>
    <w:rsid w:val="00683E73"/>
    <w:rsid w:val="00691398"/>
    <w:rsid w:val="00696595"/>
    <w:rsid w:val="006A3141"/>
    <w:rsid w:val="006A5E34"/>
    <w:rsid w:val="006B2422"/>
    <w:rsid w:val="006B2B9A"/>
    <w:rsid w:val="006C1937"/>
    <w:rsid w:val="006D157C"/>
    <w:rsid w:val="006E787E"/>
    <w:rsid w:val="006F020C"/>
    <w:rsid w:val="006F2EF2"/>
    <w:rsid w:val="00702B00"/>
    <w:rsid w:val="007127B7"/>
    <w:rsid w:val="0071798E"/>
    <w:rsid w:val="007232C4"/>
    <w:rsid w:val="00734A62"/>
    <w:rsid w:val="0074040A"/>
    <w:rsid w:val="007416B6"/>
    <w:rsid w:val="00746F48"/>
    <w:rsid w:val="0075404D"/>
    <w:rsid w:val="0076182A"/>
    <w:rsid w:val="00767B7E"/>
    <w:rsid w:val="007770C3"/>
    <w:rsid w:val="00784D24"/>
    <w:rsid w:val="00785FBA"/>
    <w:rsid w:val="00786E4A"/>
    <w:rsid w:val="007875EB"/>
    <w:rsid w:val="0079426B"/>
    <w:rsid w:val="007B2D0B"/>
    <w:rsid w:val="007D1682"/>
    <w:rsid w:val="007D312A"/>
    <w:rsid w:val="007D3F19"/>
    <w:rsid w:val="007E23B0"/>
    <w:rsid w:val="007E23E5"/>
    <w:rsid w:val="007F1991"/>
    <w:rsid w:val="007F2C2F"/>
    <w:rsid w:val="007F55FC"/>
    <w:rsid w:val="007F5665"/>
    <w:rsid w:val="00800112"/>
    <w:rsid w:val="00800D80"/>
    <w:rsid w:val="00813348"/>
    <w:rsid w:val="00822762"/>
    <w:rsid w:val="0082285F"/>
    <w:rsid w:val="008253BB"/>
    <w:rsid w:val="00834E0E"/>
    <w:rsid w:val="0083706E"/>
    <w:rsid w:val="008408F6"/>
    <w:rsid w:val="00840C7F"/>
    <w:rsid w:val="008423A5"/>
    <w:rsid w:val="00850625"/>
    <w:rsid w:val="00853718"/>
    <w:rsid w:val="00855221"/>
    <w:rsid w:val="00860645"/>
    <w:rsid w:val="00860647"/>
    <w:rsid w:val="00871F71"/>
    <w:rsid w:val="00872FD8"/>
    <w:rsid w:val="00885AF4"/>
    <w:rsid w:val="00885CA1"/>
    <w:rsid w:val="00892977"/>
    <w:rsid w:val="008939CD"/>
    <w:rsid w:val="008941F3"/>
    <w:rsid w:val="008A2AE7"/>
    <w:rsid w:val="008B17DE"/>
    <w:rsid w:val="008B768C"/>
    <w:rsid w:val="008C4DB1"/>
    <w:rsid w:val="008C4EAF"/>
    <w:rsid w:val="008C5176"/>
    <w:rsid w:val="008C7FD0"/>
    <w:rsid w:val="008D4D53"/>
    <w:rsid w:val="008E1DE7"/>
    <w:rsid w:val="008E707C"/>
    <w:rsid w:val="008F6523"/>
    <w:rsid w:val="008F6611"/>
    <w:rsid w:val="00900B08"/>
    <w:rsid w:val="00902155"/>
    <w:rsid w:val="00902FA3"/>
    <w:rsid w:val="00923564"/>
    <w:rsid w:val="0092392E"/>
    <w:rsid w:val="00927F58"/>
    <w:rsid w:val="009315F9"/>
    <w:rsid w:val="00933499"/>
    <w:rsid w:val="009334D8"/>
    <w:rsid w:val="00935C98"/>
    <w:rsid w:val="0093635C"/>
    <w:rsid w:val="00946945"/>
    <w:rsid w:val="00951248"/>
    <w:rsid w:val="0095152F"/>
    <w:rsid w:val="00954C49"/>
    <w:rsid w:val="00955E37"/>
    <w:rsid w:val="00960F5B"/>
    <w:rsid w:val="00962656"/>
    <w:rsid w:val="0097099F"/>
    <w:rsid w:val="00971997"/>
    <w:rsid w:val="00971FFC"/>
    <w:rsid w:val="0098607C"/>
    <w:rsid w:val="0098660A"/>
    <w:rsid w:val="00987007"/>
    <w:rsid w:val="009931C3"/>
    <w:rsid w:val="009A4458"/>
    <w:rsid w:val="009B2C43"/>
    <w:rsid w:val="009B4EAE"/>
    <w:rsid w:val="009B7573"/>
    <w:rsid w:val="009C22F4"/>
    <w:rsid w:val="009C2A4B"/>
    <w:rsid w:val="009C2E98"/>
    <w:rsid w:val="009D199C"/>
    <w:rsid w:val="009D3447"/>
    <w:rsid w:val="009D3AF1"/>
    <w:rsid w:val="009D4711"/>
    <w:rsid w:val="009D7E53"/>
    <w:rsid w:val="009F1185"/>
    <w:rsid w:val="009F18CD"/>
    <w:rsid w:val="009F2A13"/>
    <w:rsid w:val="009F7527"/>
    <w:rsid w:val="00A04EB0"/>
    <w:rsid w:val="00A130CC"/>
    <w:rsid w:val="00A13CC1"/>
    <w:rsid w:val="00A16847"/>
    <w:rsid w:val="00A20841"/>
    <w:rsid w:val="00A237D8"/>
    <w:rsid w:val="00A268C4"/>
    <w:rsid w:val="00A307CD"/>
    <w:rsid w:val="00A331C8"/>
    <w:rsid w:val="00A370FD"/>
    <w:rsid w:val="00A40A00"/>
    <w:rsid w:val="00A4142F"/>
    <w:rsid w:val="00A422EB"/>
    <w:rsid w:val="00A45BB7"/>
    <w:rsid w:val="00A56DF2"/>
    <w:rsid w:val="00A56E6E"/>
    <w:rsid w:val="00A6787D"/>
    <w:rsid w:val="00A67AB5"/>
    <w:rsid w:val="00A733B2"/>
    <w:rsid w:val="00A741C2"/>
    <w:rsid w:val="00A77616"/>
    <w:rsid w:val="00A91760"/>
    <w:rsid w:val="00A93B00"/>
    <w:rsid w:val="00A93C21"/>
    <w:rsid w:val="00AB262A"/>
    <w:rsid w:val="00AB3015"/>
    <w:rsid w:val="00AB64C9"/>
    <w:rsid w:val="00AB64F0"/>
    <w:rsid w:val="00AC098F"/>
    <w:rsid w:val="00AC3C6A"/>
    <w:rsid w:val="00AC7E5E"/>
    <w:rsid w:val="00AD5620"/>
    <w:rsid w:val="00AD656B"/>
    <w:rsid w:val="00AD7C1B"/>
    <w:rsid w:val="00AE0065"/>
    <w:rsid w:val="00AE16BA"/>
    <w:rsid w:val="00AE1EBE"/>
    <w:rsid w:val="00AF270C"/>
    <w:rsid w:val="00AF4E63"/>
    <w:rsid w:val="00B011E4"/>
    <w:rsid w:val="00B015C8"/>
    <w:rsid w:val="00B03C9D"/>
    <w:rsid w:val="00B060AE"/>
    <w:rsid w:val="00B07AA4"/>
    <w:rsid w:val="00B10517"/>
    <w:rsid w:val="00B11997"/>
    <w:rsid w:val="00B14E76"/>
    <w:rsid w:val="00B161B8"/>
    <w:rsid w:val="00B2048C"/>
    <w:rsid w:val="00B310B9"/>
    <w:rsid w:val="00B35F3F"/>
    <w:rsid w:val="00B36858"/>
    <w:rsid w:val="00B36CBB"/>
    <w:rsid w:val="00B425E0"/>
    <w:rsid w:val="00B440AA"/>
    <w:rsid w:val="00B44B70"/>
    <w:rsid w:val="00B46A0E"/>
    <w:rsid w:val="00B53C56"/>
    <w:rsid w:val="00B57DAF"/>
    <w:rsid w:val="00B63EA4"/>
    <w:rsid w:val="00B77EA6"/>
    <w:rsid w:val="00B81598"/>
    <w:rsid w:val="00B841F1"/>
    <w:rsid w:val="00B856CE"/>
    <w:rsid w:val="00B90E4E"/>
    <w:rsid w:val="00B93C78"/>
    <w:rsid w:val="00B94118"/>
    <w:rsid w:val="00B944D6"/>
    <w:rsid w:val="00B965DC"/>
    <w:rsid w:val="00BB4DF0"/>
    <w:rsid w:val="00BC1A18"/>
    <w:rsid w:val="00BC289F"/>
    <w:rsid w:val="00BC2D50"/>
    <w:rsid w:val="00BC5361"/>
    <w:rsid w:val="00BC5460"/>
    <w:rsid w:val="00BC6B50"/>
    <w:rsid w:val="00BD0E25"/>
    <w:rsid w:val="00BD3E3E"/>
    <w:rsid w:val="00BD418A"/>
    <w:rsid w:val="00BE7501"/>
    <w:rsid w:val="00BF2D94"/>
    <w:rsid w:val="00BF5BD6"/>
    <w:rsid w:val="00C03E31"/>
    <w:rsid w:val="00C273C1"/>
    <w:rsid w:val="00C27E95"/>
    <w:rsid w:val="00C331DE"/>
    <w:rsid w:val="00C33E72"/>
    <w:rsid w:val="00C354B2"/>
    <w:rsid w:val="00C35554"/>
    <w:rsid w:val="00C42709"/>
    <w:rsid w:val="00C533CC"/>
    <w:rsid w:val="00C5751C"/>
    <w:rsid w:val="00C61BFC"/>
    <w:rsid w:val="00C62B85"/>
    <w:rsid w:val="00C65438"/>
    <w:rsid w:val="00C71B53"/>
    <w:rsid w:val="00C7394F"/>
    <w:rsid w:val="00C87FD8"/>
    <w:rsid w:val="00C91381"/>
    <w:rsid w:val="00C91CBB"/>
    <w:rsid w:val="00CB4E70"/>
    <w:rsid w:val="00CB5399"/>
    <w:rsid w:val="00CC09B6"/>
    <w:rsid w:val="00CC666F"/>
    <w:rsid w:val="00CD1E3F"/>
    <w:rsid w:val="00CD4ED8"/>
    <w:rsid w:val="00CD64B4"/>
    <w:rsid w:val="00CE44F6"/>
    <w:rsid w:val="00CE49DA"/>
    <w:rsid w:val="00CE7B61"/>
    <w:rsid w:val="00D00095"/>
    <w:rsid w:val="00D013C8"/>
    <w:rsid w:val="00D114F0"/>
    <w:rsid w:val="00D20596"/>
    <w:rsid w:val="00D20620"/>
    <w:rsid w:val="00D2395F"/>
    <w:rsid w:val="00D254F7"/>
    <w:rsid w:val="00D26091"/>
    <w:rsid w:val="00D2685C"/>
    <w:rsid w:val="00D34E7C"/>
    <w:rsid w:val="00D35489"/>
    <w:rsid w:val="00D36AFE"/>
    <w:rsid w:val="00D51276"/>
    <w:rsid w:val="00D67A8B"/>
    <w:rsid w:val="00D7035F"/>
    <w:rsid w:val="00D81A47"/>
    <w:rsid w:val="00D84004"/>
    <w:rsid w:val="00D9195A"/>
    <w:rsid w:val="00DA634F"/>
    <w:rsid w:val="00DA65AC"/>
    <w:rsid w:val="00DB1913"/>
    <w:rsid w:val="00DB342F"/>
    <w:rsid w:val="00DC410D"/>
    <w:rsid w:val="00DC5A81"/>
    <w:rsid w:val="00DC68CA"/>
    <w:rsid w:val="00DC74B0"/>
    <w:rsid w:val="00DC7CBA"/>
    <w:rsid w:val="00DD35C5"/>
    <w:rsid w:val="00DD65F7"/>
    <w:rsid w:val="00DD73B7"/>
    <w:rsid w:val="00DE279C"/>
    <w:rsid w:val="00DF02CD"/>
    <w:rsid w:val="00DF28BC"/>
    <w:rsid w:val="00DF34B9"/>
    <w:rsid w:val="00DF750A"/>
    <w:rsid w:val="00E01053"/>
    <w:rsid w:val="00E07ACF"/>
    <w:rsid w:val="00E10730"/>
    <w:rsid w:val="00E31804"/>
    <w:rsid w:val="00E32CAD"/>
    <w:rsid w:val="00E331A1"/>
    <w:rsid w:val="00E33202"/>
    <w:rsid w:val="00E336A9"/>
    <w:rsid w:val="00E472B1"/>
    <w:rsid w:val="00E50624"/>
    <w:rsid w:val="00E568DF"/>
    <w:rsid w:val="00E64269"/>
    <w:rsid w:val="00E70975"/>
    <w:rsid w:val="00E82267"/>
    <w:rsid w:val="00E853CE"/>
    <w:rsid w:val="00E867B6"/>
    <w:rsid w:val="00E9002D"/>
    <w:rsid w:val="00EA010F"/>
    <w:rsid w:val="00EA3086"/>
    <w:rsid w:val="00EB64D9"/>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1480"/>
    <w:rsid w:val="00F36D8F"/>
    <w:rsid w:val="00F417B1"/>
    <w:rsid w:val="00F45853"/>
    <w:rsid w:val="00F514E6"/>
    <w:rsid w:val="00F528F3"/>
    <w:rsid w:val="00F53347"/>
    <w:rsid w:val="00F56B97"/>
    <w:rsid w:val="00F602DF"/>
    <w:rsid w:val="00F754A1"/>
    <w:rsid w:val="00F772E5"/>
    <w:rsid w:val="00F81FD9"/>
    <w:rsid w:val="00F841AA"/>
    <w:rsid w:val="00F84A94"/>
    <w:rsid w:val="00F87E96"/>
    <w:rsid w:val="00FA23E8"/>
    <w:rsid w:val="00FC2607"/>
    <w:rsid w:val="00FC286F"/>
    <w:rsid w:val="00FD3CC1"/>
    <w:rsid w:val="00FE4627"/>
    <w:rsid w:val="00FF0F79"/>
    <w:rsid w:val="00FF1E02"/>
    <w:rsid w:val="00FF30B4"/>
    <w:rsid w:val="01011432"/>
    <w:rsid w:val="01170C55"/>
    <w:rsid w:val="02241FDF"/>
    <w:rsid w:val="056D353A"/>
    <w:rsid w:val="06E53B5E"/>
    <w:rsid w:val="08384ACC"/>
    <w:rsid w:val="088C61A1"/>
    <w:rsid w:val="09594501"/>
    <w:rsid w:val="0A2032A3"/>
    <w:rsid w:val="0B226B74"/>
    <w:rsid w:val="0BA80E28"/>
    <w:rsid w:val="0F44355D"/>
    <w:rsid w:val="10C055FF"/>
    <w:rsid w:val="118107EC"/>
    <w:rsid w:val="127D3A51"/>
    <w:rsid w:val="12CF0D01"/>
    <w:rsid w:val="12D313A1"/>
    <w:rsid w:val="16BB723D"/>
    <w:rsid w:val="178070FD"/>
    <w:rsid w:val="183539C6"/>
    <w:rsid w:val="18EA45A0"/>
    <w:rsid w:val="1A4E7CD9"/>
    <w:rsid w:val="1A515655"/>
    <w:rsid w:val="1B355F99"/>
    <w:rsid w:val="1D155CEE"/>
    <w:rsid w:val="1DC13FCB"/>
    <w:rsid w:val="21F568A6"/>
    <w:rsid w:val="223B434C"/>
    <w:rsid w:val="240371BF"/>
    <w:rsid w:val="24C36CD8"/>
    <w:rsid w:val="24D42622"/>
    <w:rsid w:val="2531293C"/>
    <w:rsid w:val="281F026C"/>
    <w:rsid w:val="29FD04D3"/>
    <w:rsid w:val="2AF7727E"/>
    <w:rsid w:val="2B095BA0"/>
    <w:rsid w:val="2B634FBD"/>
    <w:rsid w:val="2E423D71"/>
    <w:rsid w:val="2F05640D"/>
    <w:rsid w:val="319F7F4E"/>
    <w:rsid w:val="36653583"/>
    <w:rsid w:val="368D0A96"/>
    <w:rsid w:val="37060F75"/>
    <w:rsid w:val="39E62997"/>
    <w:rsid w:val="3A5F6FAF"/>
    <w:rsid w:val="3CCD349B"/>
    <w:rsid w:val="3DC70D32"/>
    <w:rsid w:val="3FAC0712"/>
    <w:rsid w:val="41984EBF"/>
    <w:rsid w:val="473D3E13"/>
    <w:rsid w:val="491A265E"/>
    <w:rsid w:val="49995C78"/>
    <w:rsid w:val="4A0A26D2"/>
    <w:rsid w:val="4ACD5375"/>
    <w:rsid w:val="4BD55BDF"/>
    <w:rsid w:val="4D251398"/>
    <w:rsid w:val="4E3C6BD2"/>
    <w:rsid w:val="4E8F13F8"/>
    <w:rsid w:val="4ECE2238"/>
    <w:rsid w:val="4FE2511A"/>
    <w:rsid w:val="53D24869"/>
    <w:rsid w:val="53FF595C"/>
    <w:rsid w:val="5516017D"/>
    <w:rsid w:val="56715961"/>
    <w:rsid w:val="594C028D"/>
    <w:rsid w:val="5B686F98"/>
    <w:rsid w:val="5BD14DFE"/>
    <w:rsid w:val="5BD43888"/>
    <w:rsid w:val="5D333022"/>
    <w:rsid w:val="5F77A4F4"/>
    <w:rsid w:val="60C71747"/>
    <w:rsid w:val="61DF3FED"/>
    <w:rsid w:val="62EE14A0"/>
    <w:rsid w:val="6424383C"/>
    <w:rsid w:val="65087B23"/>
    <w:rsid w:val="67BB5E6B"/>
    <w:rsid w:val="68AB2E7A"/>
    <w:rsid w:val="6905258B"/>
    <w:rsid w:val="69821E2D"/>
    <w:rsid w:val="69DF102E"/>
    <w:rsid w:val="6B2036AC"/>
    <w:rsid w:val="6C4A05C8"/>
    <w:rsid w:val="6F05509A"/>
    <w:rsid w:val="6F173306"/>
    <w:rsid w:val="6F504A21"/>
    <w:rsid w:val="6FA443D3"/>
    <w:rsid w:val="70871AD7"/>
    <w:rsid w:val="72734D90"/>
    <w:rsid w:val="74D477FC"/>
    <w:rsid w:val="75FB71EF"/>
    <w:rsid w:val="77820706"/>
    <w:rsid w:val="7827E0B9"/>
    <w:rsid w:val="7D17F982"/>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Normal Indent"/>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8">
    <w:name w:val="Body Text"/>
    <w:basedOn w:val="1"/>
    <w:link w:val="40"/>
    <w:qFormat/>
    <w:uiPriority w:val="0"/>
    <w:pPr>
      <w:spacing w:beforeLines="30"/>
    </w:pPr>
    <w:rPr>
      <w:rFonts w:ascii="仿宋_GB2312" w:eastAsia="仿宋_GB2312"/>
      <w:kern w:val="0"/>
      <w:sz w:val="24"/>
      <w:szCs w:val="20"/>
      <w:lang w:val="zh-CN"/>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toc 8"/>
    <w:basedOn w:val="1"/>
    <w:next w:val="1"/>
    <w:unhideWhenUsed/>
    <w:qFormat/>
    <w:uiPriority w:val="39"/>
    <w:pPr>
      <w:ind w:left="1470"/>
      <w:jc w:val="left"/>
    </w:pPr>
    <w:rPr>
      <w:rFonts w:asciiTheme="minorHAnsi" w:eastAsiaTheme="minorHAnsi"/>
      <w:sz w:val="18"/>
      <w:szCs w:val="18"/>
    </w:rPr>
  </w:style>
  <w:style w:type="paragraph" w:styleId="14">
    <w:name w:val="Balloon Text"/>
    <w:basedOn w:val="1"/>
    <w:link w:val="35"/>
    <w:semiHidden/>
    <w:unhideWhenUsed/>
    <w:qFormat/>
    <w:uiPriority w:val="99"/>
    <w:rPr>
      <w:sz w:val="18"/>
      <w:szCs w:val="18"/>
    </w:rPr>
  </w:style>
  <w:style w:type="paragraph" w:styleId="15">
    <w:name w:val="footer"/>
    <w:basedOn w:val="1"/>
    <w:link w:val="39"/>
    <w:qFormat/>
    <w:uiPriority w:val="99"/>
    <w:pPr>
      <w:tabs>
        <w:tab w:val="center" w:pos="4153"/>
        <w:tab w:val="right" w:pos="8306"/>
      </w:tabs>
      <w:snapToGrid w:val="0"/>
      <w:jc w:val="left"/>
    </w:pPr>
    <w:rPr>
      <w:rFonts w:ascii="Calibri" w:hAnsi="Calibri"/>
      <w:kern w:val="0"/>
      <w:sz w:val="18"/>
      <w:szCs w:val="20"/>
      <w:lang w:val="zh-CN"/>
    </w:rPr>
  </w:style>
  <w:style w:type="paragraph" w:styleId="16">
    <w:name w:val="header"/>
    <w:basedOn w:val="1"/>
    <w:link w:val="38"/>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footnote text"/>
    <w:basedOn w:val="1"/>
    <w:next w:val="10"/>
    <w:semiHidden/>
    <w:qFormat/>
    <w:uiPriority w:val="0"/>
    <w:pPr>
      <w:snapToGrid w:val="0"/>
      <w:jc w:val="left"/>
    </w:pPr>
    <w:rPr>
      <w:sz w:val="18"/>
      <w:szCs w:val="18"/>
    </w:rPr>
  </w:style>
  <w:style w:type="paragraph" w:styleId="20">
    <w:name w:val="toc 6"/>
    <w:basedOn w:val="1"/>
    <w:next w:val="1"/>
    <w:unhideWhenUsed/>
    <w:qFormat/>
    <w:uiPriority w:val="39"/>
    <w:pPr>
      <w:ind w:left="1050"/>
      <w:jc w:val="left"/>
    </w:pPr>
    <w:rPr>
      <w:rFonts w:asciiTheme="minorHAnsi" w:eastAsiaTheme="minorHAnsi"/>
      <w:sz w:val="18"/>
      <w:szCs w:val="18"/>
    </w:rPr>
  </w:style>
  <w:style w:type="paragraph" w:styleId="21">
    <w:name w:val="table of figures"/>
    <w:basedOn w:val="1"/>
    <w:next w:val="1"/>
    <w:unhideWhenUsed/>
    <w:qFormat/>
    <w:uiPriority w:val="0"/>
    <w:pPr>
      <w:ind w:left="200" w:leftChars="200" w:hanging="200" w:hangingChars="200"/>
    </w:pPr>
    <w:rPr>
      <w:rFonts w:eastAsia="仿宋_GB2312"/>
      <w:sz w:val="32"/>
    </w:rPr>
  </w:style>
  <w:style w:type="paragraph" w:styleId="22">
    <w:name w:val="toc 2"/>
    <w:basedOn w:val="1"/>
    <w:next w:val="1"/>
    <w:unhideWhenUsed/>
    <w:qFormat/>
    <w:uiPriority w:val="39"/>
    <w:pPr>
      <w:ind w:left="210"/>
      <w:jc w:val="left"/>
    </w:pPr>
    <w:rPr>
      <w:rFonts w:asciiTheme="minorHAnsi" w:eastAsiaTheme="minorHAnsi"/>
      <w:smallCaps/>
      <w:sz w:val="20"/>
      <w:szCs w:val="20"/>
    </w:rPr>
  </w:style>
  <w:style w:type="paragraph" w:styleId="23">
    <w:name w:val="toc 9"/>
    <w:basedOn w:val="1"/>
    <w:next w:val="1"/>
    <w:unhideWhenUsed/>
    <w:qFormat/>
    <w:uiPriority w:val="39"/>
    <w:pPr>
      <w:ind w:left="1680"/>
      <w:jc w:val="left"/>
    </w:pPr>
    <w:rPr>
      <w:rFonts w:asciiTheme="minorHAnsi" w:eastAsiaTheme="minorHAnsi"/>
      <w:sz w:val="18"/>
      <w:szCs w:val="18"/>
    </w:rPr>
  </w:style>
  <w:style w:type="paragraph" w:styleId="24">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宋体"/>
      <w:kern w:val="0"/>
      <w:sz w:val="24"/>
      <w:szCs w:val="24"/>
      <w:lang w:val="en-US" w:eastAsia="zh-CN" w:bidi="ar-SA"/>
    </w:rPr>
  </w:style>
  <w:style w:type="paragraph" w:styleId="25">
    <w:name w:val="Normal (Web)"/>
    <w:basedOn w:val="1"/>
    <w:qFormat/>
    <w:uiPriority w:val="0"/>
    <w:pPr>
      <w:spacing w:before="100" w:beforeAutospacing="1" w:after="100" w:afterAutospacing="1"/>
      <w:jc w:val="left"/>
    </w:pPr>
    <w:rPr>
      <w:rFonts w:ascii="Calibri" w:hAnsi="Calibri"/>
      <w:kern w:val="0"/>
      <w:sz w:val="24"/>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rFonts w:cs="Times New Roman"/>
      <w:b/>
    </w:rPr>
  </w:style>
  <w:style w:type="character" w:styleId="30">
    <w:name w:val="Hyperlink"/>
    <w:basedOn w:val="28"/>
    <w:unhideWhenUsed/>
    <w:qFormat/>
    <w:uiPriority w:val="99"/>
    <w:rPr>
      <w:rFonts w:cs="Times New Roman"/>
      <w:color w:val="0000FF"/>
      <w:u w:val="single"/>
    </w:rPr>
  </w:style>
  <w:style w:type="character" w:customStyle="1" w:styleId="31">
    <w:name w:val="标题 1 Char"/>
    <w:basedOn w:val="28"/>
    <w:link w:val="3"/>
    <w:qFormat/>
    <w:locked/>
    <w:uiPriority w:val="9"/>
    <w:rPr>
      <w:rFonts w:ascii="Times New Roman" w:hAnsi="Times New Roman" w:cs="Times New Roman"/>
      <w:b/>
      <w:bCs/>
      <w:kern w:val="44"/>
      <w:sz w:val="44"/>
      <w:szCs w:val="44"/>
    </w:rPr>
  </w:style>
  <w:style w:type="character" w:customStyle="1" w:styleId="32">
    <w:name w:val="标题 2 Char"/>
    <w:basedOn w:val="28"/>
    <w:link w:val="4"/>
    <w:qFormat/>
    <w:locked/>
    <w:uiPriority w:val="9"/>
    <w:rPr>
      <w:rFonts w:ascii="Cambria" w:hAnsi="Cambria" w:eastAsia="宋体" w:cs="Times New Roman"/>
      <w:b/>
      <w:bCs/>
      <w:kern w:val="2"/>
      <w:sz w:val="32"/>
      <w:szCs w:val="32"/>
    </w:rPr>
  </w:style>
  <w:style w:type="character" w:customStyle="1" w:styleId="33">
    <w:name w:val="标题 3 Char"/>
    <w:basedOn w:val="28"/>
    <w:link w:val="5"/>
    <w:qFormat/>
    <w:locked/>
    <w:uiPriority w:val="9"/>
    <w:rPr>
      <w:rFonts w:ascii="Times New Roman" w:hAnsi="Times New Roman" w:cs="Times New Roman"/>
      <w:b/>
      <w:bCs/>
      <w:kern w:val="2"/>
      <w:sz w:val="32"/>
      <w:szCs w:val="32"/>
    </w:rPr>
  </w:style>
  <w:style w:type="character" w:customStyle="1" w:styleId="34">
    <w:name w:val="Body Text Char"/>
    <w:basedOn w:val="28"/>
    <w:semiHidden/>
    <w:qFormat/>
    <w:uiPriority w:val="99"/>
    <w:rPr>
      <w:rFonts w:ascii="Times New Roman" w:hAnsi="Times New Roman" w:cs="Times New Roman"/>
      <w:sz w:val="24"/>
      <w:szCs w:val="24"/>
    </w:rPr>
  </w:style>
  <w:style w:type="character" w:customStyle="1" w:styleId="35">
    <w:name w:val="批注框文本 Char"/>
    <w:basedOn w:val="28"/>
    <w:link w:val="14"/>
    <w:semiHidden/>
    <w:qFormat/>
    <w:locked/>
    <w:uiPriority w:val="99"/>
    <w:rPr>
      <w:rFonts w:ascii="Times New Roman" w:hAnsi="Times New Roman" w:cs="Times New Roman"/>
      <w:kern w:val="2"/>
      <w:sz w:val="18"/>
      <w:szCs w:val="18"/>
    </w:rPr>
  </w:style>
  <w:style w:type="character" w:customStyle="1" w:styleId="36">
    <w:name w:val="Footer Char"/>
    <w:basedOn w:val="28"/>
    <w:semiHidden/>
    <w:qFormat/>
    <w:uiPriority w:val="99"/>
    <w:rPr>
      <w:rFonts w:ascii="Times New Roman" w:hAnsi="Times New Roman" w:cs="Times New Roman"/>
      <w:sz w:val="18"/>
      <w:szCs w:val="18"/>
    </w:rPr>
  </w:style>
  <w:style w:type="character" w:customStyle="1" w:styleId="37">
    <w:name w:val="Header Char"/>
    <w:basedOn w:val="28"/>
    <w:semiHidden/>
    <w:qFormat/>
    <w:uiPriority w:val="99"/>
    <w:rPr>
      <w:rFonts w:ascii="Times New Roman" w:hAnsi="Times New Roman" w:cs="Times New Roman"/>
      <w:sz w:val="18"/>
      <w:szCs w:val="18"/>
    </w:rPr>
  </w:style>
  <w:style w:type="character" w:customStyle="1" w:styleId="38">
    <w:name w:val="页眉 Char"/>
    <w:link w:val="16"/>
    <w:semiHidden/>
    <w:qFormat/>
    <w:locked/>
    <w:uiPriority w:val="99"/>
    <w:rPr>
      <w:sz w:val="18"/>
    </w:rPr>
  </w:style>
  <w:style w:type="character" w:customStyle="1" w:styleId="39">
    <w:name w:val="页脚 Char"/>
    <w:link w:val="15"/>
    <w:qFormat/>
    <w:locked/>
    <w:uiPriority w:val="99"/>
    <w:rPr>
      <w:sz w:val="18"/>
    </w:rPr>
  </w:style>
  <w:style w:type="character" w:customStyle="1" w:styleId="40">
    <w:name w:val="正文文本 Char"/>
    <w:link w:val="8"/>
    <w:qFormat/>
    <w:locked/>
    <w:uiPriority w:val="99"/>
    <w:rPr>
      <w:rFonts w:ascii="仿宋_GB2312" w:hAnsi="Times New Roman" w:eastAsia="仿宋_GB2312"/>
      <w:sz w:val="24"/>
    </w:rPr>
  </w:style>
  <w:style w:type="paragraph" w:customStyle="1" w:styleId="4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2">
    <w:name w:val="列表段落1"/>
    <w:basedOn w:val="1"/>
    <w:qFormat/>
    <w:uiPriority w:val="34"/>
    <w:pPr>
      <w:ind w:firstLine="420" w:firstLineChars="200"/>
    </w:pPr>
  </w:style>
  <w:style w:type="paragraph" w:customStyle="1" w:styleId="4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6">
    <w:name w:val="List Paragraph"/>
    <w:basedOn w:val="1"/>
    <w:qFormat/>
    <w:uiPriority w:val="34"/>
    <w:pPr>
      <w:ind w:firstLine="420" w:firstLineChars="200"/>
    </w:pPr>
  </w:style>
  <w:style w:type="paragraph" w:customStyle="1" w:styleId="47">
    <w:name w:val="四号正文"/>
    <w:qFormat/>
    <w:uiPriority w:val="0"/>
    <w:pPr>
      <w:widowControl w:val="0"/>
      <w:spacing w:line="360" w:lineRule="auto"/>
      <w:jc w:val="both"/>
    </w:pPr>
    <w:rPr>
      <w:rFonts w:ascii="??" w:hAnsi="??" w:eastAsia="宋体" w:cs="Times New Roman"/>
      <w:color w:val="000000"/>
      <w:sz w:val="28"/>
      <w:szCs w:val="21"/>
      <w:lang w:val="zh-CN" w:eastAsia="zh-CN" w:bidi="ar-SA"/>
    </w:rPr>
  </w:style>
  <w:style w:type="paragraph" w:customStyle="1" w:styleId="48">
    <w:name w:val="图表目录1"/>
    <w:basedOn w:val="1"/>
    <w:next w:val="1"/>
    <w:qFormat/>
    <w:uiPriority w:val="0"/>
    <w:pPr>
      <w:ind w:left="4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5&#24180;&#36164;&#26009;\&#32852;&#31038;\&#36130;&#25919;\&#36130;&#21153;&#25253;&#21578;\for%20&#26446;&#23159;&#259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for%20&#26446;&#23159;&#2591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for%20&#26446;&#23159;&#2591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for%20&#26446;&#23159;&#2591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for%20&#26446;&#23159;&#259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serData\My%20Documents\WeChat%20Files\wxid_5746557465412\FileStorage\File\2023-08\for%20&#26446;&#231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李婷改.xlsx]Sheet1'!$B$3:$B$4</c:f>
              <c:numCache>
                <c:formatCode>General</c:formatCode>
                <c:ptCount val="2"/>
                <c:pt idx="0">
                  <c:v>403.99</c:v>
                </c:pt>
                <c:pt idx="1">
                  <c:v>536.21</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李婷改.xlsx]Sheet1'!$C$3:$C$4</c:f>
              <c:numCache>
                <c:formatCode>General</c:formatCode>
                <c:ptCount val="2"/>
                <c:pt idx="0">
                  <c:v>403.99</c:v>
                </c:pt>
                <c:pt idx="1">
                  <c:v>536.21</c:v>
                </c:pt>
              </c:numCache>
            </c:numRef>
          </c:val>
        </c:ser>
        <c:dLbls>
          <c:showLegendKey val="0"/>
          <c:showVal val="1"/>
          <c:showCatName val="0"/>
          <c:showSerName val="0"/>
          <c:showPercent val="0"/>
          <c:showBubbleSize val="0"/>
        </c:dLbls>
        <c:gapWidth val="219"/>
        <c:overlap val="-27"/>
        <c:axId val="156594560"/>
        <c:axId val="156596096"/>
      </c:barChart>
      <c:catAx>
        <c:axId val="1565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6096"/>
        <c:crosses val="autoZero"/>
        <c:auto val="1"/>
        <c:lblAlgn val="ctr"/>
        <c:lblOffset val="100"/>
        <c:noMultiLvlLbl val="0"/>
      </c:catAx>
      <c:valAx>
        <c:axId val="15659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4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年度收入决算结构图</a:t>
            </a:r>
            <a:endParaRPr altLang="en-US"/>
          </a:p>
        </c:rich>
      </c:tx>
      <c:layout/>
      <c:overlay val="0"/>
      <c:spPr>
        <a:noFill/>
        <a:ln>
          <a:noFill/>
        </a:ln>
        <a:effectLst/>
      </c:spPr>
    </c:title>
    <c:autoTitleDeleted val="0"/>
    <c:plotArea>
      <c:layout/>
      <c:pieChart>
        <c:varyColors val="1"/>
        <c:ser>
          <c:idx val="0"/>
          <c:order val="0"/>
          <c:tx>
            <c:strRef>
              <c:f>[工作簿1]Sheet1!$B$10</c:f>
              <c:strCache>
                <c:ptCount val="1"/>
                <c:pt idx="0">
                  <c:v>2019年度收入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2500000000003"/>
          <c:y val="0.13483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李婷改.xlsx]Sheet1'!$A$19:$A$20</c:f>
              <c:strCache>
                <c:ptCount val="2"/>
                <c:pt idx="0">
                  <c:v>基本支出</c:v>
                </c:pt>
                <c:pt idx="1">
                  <c:v>项目支出</c:v>
                </c:pt>
              </c:strCache>
            </c:strRef>
          </c:cat>
          <c:val>
            <c:numRef>
              <c:f>'[for 李婷改.xlsx]Sheet1'!$B$19:$B$20</c:f>
              <c:numCache>
                <c:formatCode>0.00%</c:formatCode>
                <c:ptCount val="2"/>
                <c:pt idx="0">
                  <c:v>0.3883</c:v>
                </c:pt>
                <c:pt idx="1">
                  <c:v>0.6117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李婷改.xlsx]Sheet1'!$B$3:$B$4</c:f>
              <c:numCache>
                <c:formatCode>General</c:formatCode>
                <c:ptCount val="2"/>
                <c:pt idx="0">
                  <c:v>403.99</c:v>
                </c:pt>
                <c:pt idx="1">
                  <c:v>536.21</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2023年</c:v>
                </c:pt>
                <c:pt idx="1">
                  <c:v>2024年</c:v>
                </c:pt>
              </c:strCache>
            </c:strRef>
          </c:cat>
          <c:val>
            <c:numRef>
              <c:f>'[for 李婷改.xlsx]Sheet1'!$C$3:$C$4</c:f>
              <c:numCache>
                <c:formatCode>General</c:formatCode>
                <c:ptCount val="2"/>
                <c:pt idx="0">
                  <c:v>403.99</c:v>
                </c:pt>
                <c:pt idx="1">
                  <c:v>536.21</c:v>
                </c:pt>
              </c:numCache>
            </c:numRef>
          </c:val>
        </c:ser>
        <c:dLbls>
          <c:showLegendKey val="0"/>
          <c:showVal val="1"/>
          <c:showCatName val="0"/>
          <c:showSerName val="0"/>
          <c:showPercent val="0"/>
          <c:showBubbleSize val="0"/>
        </c:dLbls>
        <c:gapWidth val="219"/>
        <c:overlap val="-27"/>
        <c:axId val="156594560"/>
        <c:axId val="156596096"/>
      </c:barChart>
      <c:catAx>
        <c:axId val="1565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6096"/>
        <c:crosses val="autoZero"/>
        <c:auto val="1"/>
        <c:lblAlgn val="ctr"/>
        <c:lblOffset val="100"/>
        <c:noMultiLvlLbl val="0"/>
      </c:catAx>
      <c:valAx>
        <c:axId val="15659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4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李婷改.xlsx]Sheet1'!$A$52:$A$53</c:f>
              <c:strCache>
                <c:ptCount val="2"/>
                <c:pt idx="0">
                  <c:v>2023年</c:v>
                </c:pt>
                <c:pt idx="1">
                  <c:v>2024年</c:v>
                </c:pt>
              </c:strCache>
            </c:strRef>
          </c:cat>
          <c:val>
            <c:numRef>
              <c:f>'[for 李婷改.xlsx]Sheet1'!$B$52:$B$53</c:f>
              <c:numCache>
                <c:formatCode>General</c:formatCode>
                <c:ptCount val="2"/>
                <c:pt idx="0">
                  <c:v>403.99</c:v>
                </c:pt>
                <c:pt idx="1">
                  <c:v>536.21</c:v>
                </c:pt>
              </c:numCache>
            </c:numRef>
          </c:val>
        </c:ser>
        <c:dLbls>
          <c:showLegendKey val="0"/>
          <c:showVal val="1"/>
          <c:showCatName val="0"/>
          <c:showSerName val="0"/>
          <c:showPercent val="0"/>
          <c:showBubbleSize val="0"/>
        </c:dLbls>
        <c:gapWidth val="219"/>
        <c:overlap val="-27"/>
        <c:axId val="156799744"/>
        <c:axId val="156801280"/>
      </c:barChart>
      <c:catAx>
        <c:axId val="1567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801280"/>
        <c:crosses val="autoZero"/>
        <c:auto val="1"/>
        <c:lblAlgn val="ctr"/>
        <c:lblOffset val="100"/>
        <c:noMultiLvlLbl val="0"/>
      </c:catAx>
      <c:valAx>
        <c:axId val="1568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79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李婷改.xlsx]Sheet1'!$A$69:$A$73</c:f>
              <c:strCache>
                <c:ptCount val="5"/>
                <c:pt idx="0">
                  <c:v>社会保障和就业（类）</c:v>
                </c:pt>
                <c:pt idx="1">
                  <c:v>农林水（类）</c:v>
                </c:pt>
                <c:pt idx="2">
                  <c:v>商业服务业等支出（类）</c:v>
                </c:pt>
                <c:pt idx="3">
                  <c:v>住房保障（类）</c:v>
                </c:pt>
                <c:pt idx="4">
                  <c:v>卫生健康（类）</c:v>
                </c:pt>
              </c:strCache>
            </c:strRef>
          </c:cat>
          <c:val>
            <c:numRef>
              <c:f>'[for 李婷改.xlsx]Sheet1'!$B$69:$B$73</c:f>
              <c:numCache>
                <c:formatCode>0.00%</c:formatCode>
                <c:ptCount val="5"/>
                <c:pt idx="0">
                  <c:v>0.047</c:v>
                </c:pt>
                <c:pt idx="1">
                  <c:v>0.3599</c:v>
                </c:pt>
                <c:pt idx="2">
                  <c:v>0.5361</c:v>
                </c:pt>
                <c:pt idx="3">
                  <c:v>0.0297</c:v>
                </c:pt>
                <c:pt idx="4">
                  <c:v>0.0273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“三公”经费财政拨款支出结构</a:t>
            </a:r>
            <a:endParaRPr lang="zh-CN" altLang="en-US"/>
          </a:p>
        </c:rich>
      </c:tx>
      <c:layout>
        <c:manualLayout>
          <c:xMode val="edge"/>
          <c:yMode val="edge"/>
          <c:x val="0.348013724666343"/>
          <c:y val="0.042857142857142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Sheet1!$A$19:$A$21</c:f>
              <c:strCache>
                <c:ptCount val="3"/>
                <c:pt idx="0">
                  <c:v>公务接待费</c:v>
                </c:pt>
                <c:pt idx="1">
                  <c:v>因公出国</c:v>
                </c:pt>
                <c:pt idx="2">
                  <c:v>公务用车购置及运行维护费</c:v>
                </c:pt>
              </c:strCache>
            </c:strRef>
          </c:cat>
          <c:val>
            <c:numRef>
              <c:f>Sheet1!$B$19:$B$21</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59</Pages>
  <Words>6845</Words>
  <Characters>7602</Characters>
  <Lines>136</Lines>
  <Paragraphs>38</Paragraphs>
  <TotalTime>21</TotalTime>
  <ScaleCrop>false</ScaleCrop>
  <LinksUpToDate>false</LinksUpToDate>
  <CharactersWithSpaces>7676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2023-09-07T11:49:00Z</dcterms:created>
  <dc:creator>曹颖</dc:creator>
  <cp:lastModifiedBy>user</cp:lastModifiedBy>
  <cp:lastPrinted>2025-09-18T17:44:00Z</cp:lastPrinted>
  <dcterms:modified xsi:type="dcterms:W3CDTF">2025-09-19T11:03:39Z</dcterms:modified>
  <dc:title>阿坝州部门决算说明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91F00E0D4C20415E89114B94FD6A3B1C_13</vt:lpwstr>
  </property>
  <property fmtid="{D5CDD505-2E9C-101B-9397-08002B2CF9AE}" pid="4" name="KSOTemplateDocerSaveRecord">
    <vt:lpwstr>eyJoZGlkIjoiM2M3ODVkZDQzMmMwZTY5MDM0NDIxMWYyNDdjYWI4MDEiLCJ1c2VySWQiOiI3Nzk4ODAwMzUifQ==</vt:lpwstr>
  </property>
</Properties>
</file>