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hAnsi="宋体" w:eastAsia="方正小标宋简体"/>
          <w:color w:val="000000"/>
          <w:sz w:val="72"/>
          <w:szCs w:val="72"/>
        </w:rPr>
      </w:pPr>
      <w:bookmarkStart w:id="0" w:name="_Toc15306267"/>
    </w:p>
    <w:p>
      <w:pPr>
        <w:jc w:val="center"/>
        <w:rPr>
          <w:rFonts w:ascii="黑体" w:hAnsi="黑体" w:eastAsia="黑体"/>
          <w:sz w:val="72"/>
          <w:szCs w:val="72"/>
        </w:rPr>
      </w:pPr>
      <w:bookmarkStart w:id="1" w:name="_Toc15378441"/>
      <w:bookmarkStart w:id="2" w:name="_Toc15396597"/>
      <w:bookmarkStart w:id="3" w:name="_Toc15377425"/>
      <w:bookmarkStart w:id="4" w:name="_Toc15377193"/>
      <w:bookmarkStart w:id="5" w:name="_Toc15396475"/>
      <w:r>
        <w:rPr>
          <w:rFonts w:hint="eastAsia" w:ascii="方正小标宋简体" w:eastAsia="方正小标宋简体"/>
          <w:sz w:val="72"/>
          <w:szCs w:val="72"/>
        </w:rPr>
        <w:t>202</w:t>
      </w:r>
      <w:r>
        <w:rPr>
          <w:rFonts w:hint="eastAsia" w:ascii="方正小标宋简体" w:eastAsia="方正小标宋简体"/>
          <w:sz w:val="72"/>
          <w:szCs w:val="72"/>
          <w:lang w:val="en-US" w:eastAsia="zh-CN"/>
        </w:rPr>
        <w:t>5</w:t>
      </w:r>
      <w:r>
        <w:rPr>
          <w:rFonts w:hint="eastAsia" w:ascii="方正小标宋简体" w:eastAsia="方正小标宋简体"/>
          <w:sz w:val="72"/>
          <w:szCs w:val="72"/>
        </w:rPr>
        <w:t>年度</w:t>
      </w:r>
      <w:bookmarkEnd w:id="1"/>
      <w:bookmarkEnd w:id="2"/>
      <w:bookmarkEnd w:id="3"/>
      <w:bookmarkEnd w:id="4"/>
      <w:bookmarkEnd w:id="5"/>
      <w:bookmarkStart w:id="6" w:name="_Toc15396598"/>
      <w:bookmarkStart w:id="7" w:name="_Toc15396476"/>
      <w:bookmarkStart w:id="8" w:name="_Toc15378442"/>
      <w:bookmarkStart w:id="9" w:name="_Toc15377194"/>
      <w:bookmarkStart w:id="10" w:name="_Toc15377426"/>
      <w:r>
        <w:rPr>
          <w:rFonts w:hint="eastAsia" w:ascii="方正小标宋简体" w:eastAsia="方正小标宋简体"/>
          <w:sz w:val="72"/>
          <w:szCs w:val="72"/>
          <w:lang w:eastAsia="zh-CN"/>
        </w:rPr>
        <w:t>四川省</w:t>
      </w:r>
      <w:r>
        <w:rPr>
          <w:rFonts w:hint="eastAsia" w:ascii="方正小标宋简体" w:eastAsia="方正小标宋简体"/>
          <w:sz w:val="72"/>
          <w:szCs w:val="72"/>
        </w:rPr>
        <w:t>阿坝州</w:t>
      </w:r>
    </w:p>
    <w:p>
      <w:pPr>
        <w:jc w:val="center"/>
        <w:rPr>
          <w:rFonts w:ascii="方正小标宋简体" w:eastAsia="方正小标宋简体"/>
          <w:sz w:val="72"/>
          <w:szCs w:val="72"/>
        </w:rPr>
      </w:pPr>
      <w:r>
        <w:rPr>
          <w:rFonts w:hint="eastAsia" w:ascii="方正小标宋简体" w:eastAsia="方正小标宋简体"/>
          <w:sz w:val="72"/>
          <w:szCs w:val="72"/>
        </w:rPr>
        <w:t>茂县</w:t>
      </w:r>
      <w:bookmarkEnd w:id="0"/>
      <w:bookmarkStart w:id="11" w:name="_Toc15306268"/>
      <w:r>
        <w:rPr>
          <w:rFonts w:hint="eastAsia" w:ascii="方正小标宋简体" w:eastAsia="方正小标宋简体"/>
          <w:sz w:val="72"/>
          <w:szCs w:val="72"/>
        </w:rPr>
        <w:t>供销合作社联合社</w:t>
      </w:r>
    </w:p>
    <w:p>
      <w:pPr>
        <w:jc w:val="center"/>
        <w:rPr>
          <w:rFonts w:ascii="方正小标宋简体" w:eastAsia="方正小标宋简体"/>
          <w:sz w:val="72"/>
          <w:szCs w:val="72"/>
        </w:rPr>
      </w:pPr>
      <w:r>
        <w:rPr>
          <w:rFonts w:hint="eastAsia" w:ascii="方正小标宋简体" w:eastAsia="方正小标宋简体"/>
          <w:sz w:val="72"/>
          <w:szCs w:val="72"/>
          <w:lang w:val="en-US" w:eastAsia="zh-CN"/>
        </w:rPr>
        <w:t>单位</w:t>
      </w:r>
      <w:r>
        <w:rPr>
          <w:rFonts w:hint="eastAsia" w:ascii="方正小标宋简体" w:eastAsia="方正小标宋简体"/>
          <w:sz w:val="72"/>
          <w:szCs w:val="72"/>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spacing w:line="576" w:lineRule="exact"/>
        <w:ind w:left="420" w:leftChars="200" w:firstLine="320" w:firstLineChars="100"/>
        <w:jc w:val="left"/>
        <w:rPr>
          <w:rFonts w:ascii="宋体" w:cs="仿宋_GB2312"/>
          <w:sz w:val="32"/>
          <w:szCs w:val="32"/>
        </w:rPr>
      </w:pPr>
      <w:r>
        <w:rPr>
          <w:rFonts w:hint="eastAsia" w:ascii="宋体" w:cs="仿宋_GB2312"/>
          <w:sz w:val="32"/>
          <w:szCs w:val="32"/>
        </w:rPr>
        <w:t>已经保密审查、内容审定，同意对外公开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7"/>
        <w:jc w:val="center"/>
        <w:rPr>
          <w:rFonts w:ascii="仿宋_GB2312" w:eastAsia="仿宋_GB2312" w:hAnsiTheme="minorHAnsi"/>
          <w:b w:val="0"/>
          <w:bCs w:val="0"/>
          <w:sz w:val="32"/>
          <w:szCs w:val="32"/>
        </w:rPr>
      </w:pPr>
      <w:r>
        <w:rPr>
          <w:rFonts w:hint="eastAsia" w:ascii="仿宋_GB2312" w:eastAsia="仿宋_GB2312" w:hAnsiTheme="minorHAnsi"/>
          <w:b w:val="0"/>
          <w:bCs w:val="0"/>
          <w:sz w:val="32"/>
          <w:szCs w:val="32"/>
        </w:rPr>
        <w:t>公开时间：202</w:t>
      </w:r>
      <w:r>
        <w:rPr>
          <w:rFonts w:hint="eastAsia" w:ascii="仿宋_GB2312" w:eastAsia="仿宋_GB2312" w:hAnsiTheme="minorHAnsi"/>
          <w:b w:val="0"/>
          <w:bCs w:val="0"/>
          <w:sz w:val="32"/>
          <w:szCs w:val="32"/>
          <w:lang w:val="en-US" w:eastAsia="zh-CN"/>
        </w:rPr>
        <w:t>6</w:t>
      </w:r>
      <w:r>
        <w:rPr>
          <w:rFonts w:hint="eastAsia" w:ascii="仿宋_GB2312" w:eastAsia="仿宋_GB2312" w:hAnsiTheme="minorHAnsi"/>
          <w:b w:val="0"/>
          <w:bCs w:val="0"/>
          <w:sz w:val="32"/>
          <w:szCs w:val="32"/>
        </w:rPr>
        <w:t>年9 月</w:t>
      </w:r>
      <w:r>
        <w:rPr>
          <w:rFonts w:hint="eastAsia" w:ascii="仿宋_GB2312" w:eastAsia="仿宋_GB2312" w:hAnsiTheme="minorHAnsi"/>
          <w:b w:val="0"/>
          <w:bCs w:val="0"/>
          <w:sz w:val="32"/>
          <w:szCs w:val="32"/>
          <w:lang w:val="en-US" w:eastAsia="zh-CN"/>
        </w:rPr>
        <w:t>4</w:t>
      </w:r>
      <w:r>
        <w:rPr>
          <w:rFonts w:hint="eastAsia" w:ascii="仿宋_GB2312" w:eastAsia="仿宋_GB2312" w:hAnsiTheme="minorHAnsi"/>
          <w:b w:val="0"/>
          <w:bCs w:val="0"/>
          <w:sz w:val="32"/>
          <w:szCs w:val="32"/>
        </w:rPr>
        <w:t xml:space="preserve"> 日</w:t>
      </w:r>
    </w:p>
    <w:p>
      <w:pPr>
        <w:pStyle w:val="17"/>
        <w:tabs>
          <w:tab w:val="right" w:leader="dot" w:pos="8296"/>
        </w:tabs>
        <w:rPr>
          <w:rFonts w:hint="eastAsia" w:ascii="仿宋_GB2312" w:hAnsi="仿宋" w:eastAsia="仿宋_GB2312"/>
          <w:b w:val="0"/>
          <w:bCs w:val="0"/>
          <w:caps w:val="0"/>
          <w:smallCaps/>
          <w:sz w:val="32"/>
          <w:szCs w:val="32"/>
          <w:lang w:eastAsia="zh-CN"/>
        </w:rPr>
      </w:pPr>
      <w:r>
        <w:rPr>
          <w:rFonts w:hint="eastAsia" w:ascii="仿宋_GB2312" w:hAnsi="仿宋" w:eastAsia="仿宋_GB2312"/>
          <w:b w:val="0"/>
          <w:bCs w:val="0"/>
          <w:caps w:val="0"/>
          <w:smallCaps/>
          <w:sz w:val="32"/>
          <w:szCs w:val="32"/>
        </w:rPr>
        <w:fldChar w:fldCharType="begin"/>
      </w:r>
      <w:r>
        <w:rPr>
          <w:rFonts w:hint="eastAsia" w:ascii="仿宋_GB2312" w:hAnsi="仿宋" w:eastAsia="仿宋_GB2312"/>
          <w:b w:val="0"/>
          <w:bCs w:val="0"/>
          <w:caps w:val="0"/>
          <w:smallCaps/>
          <w:sz w:val="32"/>
          <w:szCs w:val="32"/>
        </w:rPr>
        <w:instrText xml:space="preserve"> TOC \o \u </w:instrText>
      </w:r>
      <w:r>
        <w:rPr>
          <w:rFonts w:hint="eastAsia" w:ascii="仿宋_GB2312" w:hAnsi="仿宋" w:eastAsia="仿宋_GB2312"/>
          <w:b w:val="0"/>
          <w:bCs w:val="0"/>
          <w:caps w:val="0"/>
          <w:smallCaps/>
          <w:sz w:val="32"/>
          <w:szCs w:val="32"/>
        </w:rPr>
        <w:fldChar w:fldCharType="separate"/>
      </w:r>
      <w:r>
        <w:rPr>
          <w:rFonts w:hint="eastAsia" w:ascii="仿宋_GB2312" w:hAnsi="仿宋" w:eastAsia="仿宋_GB2312"/>
          <w:b w:val="0"/>
          <w:bCs w:val="0"/>
          <w:caps w:val="0"/>
          <w:smallCaps/>
          <w:sz w:val="32"/>
          <w:szCs w:val="32"/>
        </w:rPr>
        <w:t xml:space="preserve">第一部分 </w:t>
      </w:r>
      <w:r>
        <w:rPr>
          <w:rFonts w:hint="eastAsia" w:ascii="仿宋_GB2312" w:hAnsi="仿宋" w:eastAsia="仿宋_GB2312"/>
          <w:b w:val="0"/>
          <w:bCs w:val="0"/>
          <w:caps w:val="0"/>
          <w:smallCaps/>
          <w:sz w:val="32"/>
          <w:szCs w:val="32"/>
          <w:lang w:val="en-US" w:eastAsia="zh-CN"/>
        </w:rPr>
        <w:t>单位</w:t>
      </w:r>
      <w:r>
        <w:rPr>
          <w:rFonts w:hint="eastAsia" w:ascii="仿宋_GB2312" w:hAnsi="仿宋" w:eastAsia="仿宋_GB2312"/>
          <w:b w:val="0"/>
          <w:bCs w:val="0"/>
          <w:caps w:val="0"/>
          <w:smallCaps/>
          <w:sz w:val="32"/>
          <w:szCs w:val="32"/>
        </w:rPr>
        <w:t>概况</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5</w:t>
      </w:r>
    </w:p>
    <w:p>
      <w:pPr>
        <w:pStyle w:val="22"/>
        <w:tabs>
          <w:tab w:val="right" w:leader="dot" w:pos="8296"/>
        </w:tabs>
        <w:rPr>
          <w:rFonts w:hint="eastAsia" w:ascii="仿宋_GB2312" w:hAnsi="仿宋" w:eastAsia="仿宋_GB2312"/>
          <w:sz w:val="32"/>
          <w:szCs w:val="32"/>
          <w:lang w:eastAsia="zh-CN"/>
        </w:rPr>
      </w:pPr>
      <w:r>
        <w:rPr>
          <w:rFonts w:hint="eastAsia" w:ascii="仿宋_GB2312" w:hAnsi="仿宋" w:eastAsia="仿宋_GB2312"/>
          <w:sz w:val="32"/>
          <w:szCs w:val="32"/>
        </w:rPr>
        <w:t>一、</w:t>
      </w:r>
      <w:r>
        <w:rPr>
          <w:rFonts w:hint="eastAsia" w:ascii="仿宋_GB2312" w:hAnsi="仿宋" w:eastAsia="仿宋_GB2312"/>
          <w:sz w:val="32"/>
          <w:szCs w:val="32"/>
          <w:lang w:val="en-US" w:eastAsia="zh-CN"/>
        </w:rPr>
        <w:t>主要</w:t>
      </w:r>
      <w:r>
        <w:rPr>
          <w:rFonts w:hint="eastAsia" w:ascii="仿宋_GB2312" w:hAnsi="仿宋" w:eastAsia="仿宋_GB2312"/>
          <w:sz w:val="32"/>
          <w:szCs w:val="32"/>
          <w:lang w:eastAsia="zh-CN"/>
        </w:rPr>
        <w:t>职责</w:t>
      </w:r>
      <w:r>
        <w:rPr>
          <w:rFonts w:hint="eastAsia" w:ascii="仿宋_GB2312" w:hAnsi="仿宋" w:eastAsia="仿宋_GB2312"/>
          <w:sz w:val="32"/>
          <w:szCs w:val="32"/>
        </w:rPr>
        <w:tab/>
      </w:r>
      <w:r>
        <w:rPr>
          <w:rFonts w:hint="eastAsia" w:ascii="仿宋_GB2312" w:hAnsi="仿宋" w:eastAsia="仿宋_GB2312"/>
          <w:sz w:val="32"/>
          <w:szCs w:val="32"/>
          <w:lang w:val="en-US" w:eastAsia="zh-CN"/>
        </w:rPr>
        <w:t>5</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二、机构设置</w:t>
      </w:r>
      <w:r>
        <w:rPr>
          <w:rFonts w:hint="eastAsia" w:ascii="仿宋_GB2312" w:hAnsi="仿宋" w:eastAsia="仿宋_GB2312"/>
          <w:sz w:val="32"/>
          <w:szCs w:val="32"/>
        </w:rPr>
        <w:tab/>
      </w:r>
      <w:r>
        <w:rPr>
          <w:rFonts w:hint="eastAsia" w:ascii="仿宋_GB2312" w:hAnsi="仿宋" w:eastAsia="仿宋_GB2312"/>
          <w:sz w:val="32"/>
          <w:szCs w:val="32"/>
          <w:lang w:val="en-US" w:eastAsia="zh-CN"/>
        </w:rPr>
        <w:t>6</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第二部分 202</w:t>
      </w:r>
      <w:r>
        <w:rPr>
          <w:rFonts w:hint="eastAsia" w:ascii="仿宋_GB2312" w:hAnsi="仿宋" w:eastAsia="仿宋_GB2312"/>
          <w:b w:val="0"/>
          <w:bCs w:val="0"/>
          <w:caps w:val="0"/>
          <w:smallCaps/>
          <w:sz w:val="32"/>
          <w:szCs w:val="32"/>
          <w:lang w:val="en-US" w:eastAsia="zh-CN"/>
        </w:rPr>
        <w:t>5</w:t>
      </w:r>
      <w:r>
        <w:rPr>
          <w:rFonts w:hint="eastAsia" w:ascii="仿宋_GB2312" w:hAnsi="仿宋" w:eastAsia="仿宋_GB2312"/>
          <w:b w:val="0"/>
          <w:bCs w:val="0"/>
          <w:caps w:val="0"/>
          <w:smallCaps/>
          <w:sz w:val="32"/>
          <w:szCs w:val="32"/>
        </w:rPr>
        <w:t>年度</w:t>
      </w:r>
      <w:r>
        <w:rPr>
          <w:rFonts w:hint="eastAsia" w:ascii="仿宋_GB2312" w:hAnsi="仿宋" w:eastAsia="仿宋_GB2312"/>
          <w:b w:val="0"/>
          <w:bCs w:val="0"/>
          <w:caps w:val="0"/>
          <w:smallCaps/>
          <w:sz w:val="32"/>
          <w:szCs w:val="32"/>
          <w:lang w:val="en-US" w:eastAsia="zh-CN"/>
        </w:rPr>
        <w:t>单位</w:t>
      </w:r>
      <w:r>
        <w:rPr>
          <w:rFonts w:hint="eastAsia" w:ascii="仿宋_GB2312" w:hAnsi="仿宋" w:eastAsia="仿宋_GB2312"/>
          <w:b w:val="0"/>
          <w:bCs w:val="0"/>
          <w:caps w:val="0"/>
          <w:smallCaps/>
          <w:sz w:val="32"/>
          <w:szCs w:val="32"/>
        </w:rPr>
        <w:t>决算情况说明</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.7</w:t>
      </w:r>
    </w:p>
    <w:p>
      <w:pPr>
        <w:pStyle w:val="22"/>
        <w:tabs>
          <w:tab w:val="left" w:pos="840"/>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一、收入支出决算总体情况说明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7</w:t>
      </w:r>
    </w:p>
    <w:p>
      <w:pPr>
        <w:pStyle w:val="22"/>
        <w:tabs>
          <w:tab w:val="left" w:pos="840"/>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二、收入决算情况说明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7</w:t>
      </w:r>
    </w:p>
    <w:p>
      <w:pPr>
        <w:pStyle w:val="22"/>
        <w:tabs>
          <w:tab w:val="left" w:pos="840"/>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三、支出决算情况说明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8</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四、财政拨款收入支出决算总体情况说明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9</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五、一般公共预算财政拨款支出决算情况说明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9</w:t>
      </w:r>
    </w:p>
    <w:p>
      <w:pPr>
        <w:pStyle w:val="12"/>
        <w:tabs>
          <w:tab w:val="right" w:leader="dot" w:pos="8296"/>
        </w:tabs>
        <w:rPr>
          <w:rFonts w:hint="default"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（一）一般公共预算财政拨款支出决算总体情况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lang w:val="en-US" w:eastAsia="zh-CN"/>
        </w:rPr>
        <w:t>10</w:t>
      </w:r>
    </w:p>
    <w:p>
      <w:pPr>
        <w:pStyle w:val="12"/>
        <w:tabs>
          <w:tab w:val="right" w:leader="dot" w:pos="8296"/>
        </w:tabs>
        <w:rPr>
          <w:rFonts w:hint="default"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（二）一般公共预算财政拨款支出决算结构情况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lang w:val="en-US" w:eastAsia="zh-CN"/>
        </w:rPr>
        <w:t>10</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（三）一般公共预算财政拨款支出决算具体情况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1</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六、一般公共预算财政拨款基本支出决算情况说明</w:t>
      </w:r>
      <w:r>
        <w:rPr>
          <w:rFonts w:hint="eastAsia" w:ascii="仿宋_GB2312" w:hAnsi="仿宋" w:eastAsia="仿宋_GB2312"/>
          <w:sz w:val="32"/>
          <w:szCs w:val="32"/>
        </w:rPr>
        <w:tab/>
      </w:r>
      <w:r>
        <w:rPr>
          <w:rFonts w:hint="eastAsia" w:ascii="仿宋_GB2312" w:hAnsi="仿宋" w:eastAsia="仿宋_GB2312"/>
          <w:sz w:val="32"/>
          <w:szCs w:val="32"/>
        </w:rPr>
        <w:t>1</w:t>
      </w:r>
      <w:r>
        <w:rPr>
          <w:rFonts w:hint="eastAsia" w:ascii="仿宋_GB2312" w:hAnsi="仿宋" w:eastAsia="仿宋_GB2312"/>
          <w:sz w:val="32"/>
          <w:szCs w:val="32"/>
          <w:lang w:val="en-US" w:eastAsia="zh-CN"/>
        </w:rPr>
        <w:t>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七、</w:t>
      </w:r>
      <w:r>
        <w:rPr>
          <w:rFonts w:hint="eastAsia" w:ascii="仿宋_GB2312" w:hAnsi="仿宋" w:eastAsia="仿宋_GB2312"/>
          <w:sz w:val="32"/>
          <w:szCs w:val="32"/>
          <w:lang w:eastAsia="zh-CN"/>
        </w:rPr>
        <w:t>财政拨款</w:t>
      </w:r>
      <w:r>
        <w:rPr>
          <w:rFonts w:hint="eastAsia" w:ascii="仿宋_GB2312" w:hAnsi="仿宋" w:eastAsia="仿宋_GB2312"/>
          <w:sz w:val="32"/>
          <w:szCs w:val="32"/>
        </w:rPr>
        <w:t>“三公”经费支出决算情况说明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12</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（一）“三公”经费财政拨款支出决算总体情况说明</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2</w:t>
      </w:r>
    </w:p>
    <w:p>
      <w:pPr>
        <w:pStyle w:val="12"/>
        <w:tabs>
          <w:tab w:val="right" w:leader="dot" w:pos="8296"/>
        </w:tabs>
        <w:rPr>
          <w:rFonts w:hint="default"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（二）“三公”经费财政拨款支出决算具体情况说明</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lang w:val="en-US" w:eastAsia="zh-CN"/>
        </w:rPr>
        <w:t>12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八、政府性基金预算支出决算情况说明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13</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九、 国有资本经营预算支出决算情况说明</w:t>
      </w:r>
      <w:r>
        <w:rPr>
          <w:rFonts w:hint="eastAsia" w:ascii="仿宋_GB2312" w:hAnsi="仿宋" w:eastAsia="仿宋_GB2312"/>
          <w:sz w:val="32"/>
          <w:szCs w:val="32"/>
        </w:rPr>
        <w:tab/>
      </w:r>
      <w:r>
        <w:rPr>
          <w:rFonts w:hint="eastAsia" w:ascii="仿宋_GB2312" w:hAnsi="仿宋" w:eastAsia="仿宋_GB2312"/>
          <w:sz w:val="32"/>
          <w:szCs w:val="32"/>
        </w:rPr>
        <w:t>1</w:t>
      </w:r>
      <w:r>
        <w:rPr>
          <w:rFonts w:hint="eastAsia" w:ascii="仿宋_GB2312" w:hAnsi="仿宋" w:eastAsia="仿宋_GB2312"/>
          <w:sz w:val="32"/>
          <w:szCs w:val="32"/>
          <w:lang w:val="en-US" w:eastAsia="zh-CN"/>
        </w:rPr>
        <w:t>4</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十、其他重要事项的情况说明</w:t>
      </w:r>
      <w:r>
        <w:rPr>
          <w:rFonts w:hint="eastAsia" w:ascii="仿宋_GB2312" w:hAnsi="仿宋" w:eastAsia="仿宋_GB2312"/>
          <w:sz w:val="32"/>
          <w:szCs w:val="32"/>
        </w:rPr>
        <w:tab/>
      </w:r>
      <w:r>
        <w:rPr>
          <w:rFonts w:hint="eastAsia" w:ascii="仿宋_GB2312" w:hAnsi="仿宋" w:eastAsia="仿宋_GB2312"/>
          <w:sz w:val="32"/>
          <w:szCs w:val="32"/>
        </w:rPr>
        <w:t>1</w:t>
      </w:r>
      <w:r>
        <w:rPr>
          <w:rFonts w:hint="eastAsia" w:ascii="仿宋_GB2312" w:hAnsi="仿宋" w:eastAsia="仿宋_GB2312"/>
          <w:sz w:val="32"/>
          <w:szCs w:val="32"/>
          <w:lang w:val="en-US" w:eastAsia="zh-CN"/>
        </w:rPr>
        <w:t>4</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（一）机关运行经费支出情况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4</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（二）政府采购支出情况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4</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（三）国有资产占有使用情况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4</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（四）预算绩效管理情况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4</w:t>
      </w:r>
    </w:p>
    <w:p>
      <w:pPr>
        <w:pStyle w:val="17"/>
        <w:tabs>
          <w:tab w:val="right" w:leader="dot" w:pos="8296"/>
        </w:tabs>
        <w:rPr>
          <w:rFonts w:hint="eastAsia"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第三部分 名词解释</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rPr>
        <w:t>1</w:t>
      </w:r>
      <w:r>
        <w:rPr>
          <w:rFonts w:hint="eastAsia" w:ascii="仿宋_GB2312" w:hAnsi="仿宋" w:eastAsia="仿宋_GB2312"/>
          <w:b w:val="0"/>
          <w:bCs w:val="0"/>
          <w:caps w:val="0"/>
          <w:smallCaps/>
          <w:sz w:val="32"/>
          <w:szCs w:val="32"/>
          <w:lang w:val="en-US" w:eastAsia="zh-CN"/>
        </w:rPr>
        <w:t>5</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第四部分 附件</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18</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附件1</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18</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cs="Times New Roman"/>
          <w:b w:val="0"/>
          <w:bCs w:val="0"/>
          <w:caps w:val="0"/>
          <w:smallCaps/>
          <w:sz w:val="32"/>
          <w:szCs w:val="32"/>
          <w:lang w:val="en-US" w:eastAsia="zh-CN"/>
        </w:rPr>
        <w:t>2025年度州级农资价格及储备补贴资金</w:t>
      </w:r>
      <w:r>
        <w:rPr>
          <w:rFonts w:hint="eastAsia" w:ascii="仿宋_GB2312" w:hAnsi="仿宋" w:eastAsia="仿宋_GB2312"/>
          <w:b w:val="0"/>
          <w:bCs w:val="0"/>
          <w:caps w:val="0"/>
          <w:smallCaps/>
          <w:sz w:val="32"/>
          <w:szCs w:val="32"/>
          <w:lang w:eastAsia="zh-CN"/>
        </w:rPr>
        <w:t>项目绩效评价</w:t>
      </w:r>
      <w:r>
        <w:rPr>
          <w:rFonts w:hint="eastAsia" w:ascii="仿宋_GB2312" w:hAnsi="仿宋" w:eastAsia="仿宋_GB2312"/>
          <w:b w:val="0"/>
          <w:bCs w:val="0"/>
          <w:caps w:val="0"/>
          <w:smallCaps/>
          <w:sz w:val="32"/>
          <w:szCs w:val="32"/>
          <w:lang w:val="en-US" w:eastAsia="zh-CN"/>
        </w:rPr>
        <w:t>表</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18</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附件2</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19</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茂县供销合作社联合社</w:t>
      </w:r>
      <w:r>
        <w:rPr>
          <w:rFonts w:hint="eastAsia" w:ascii="仿宋_GB2312" w:hAnsi="仿宋" w:eastAsia="仿宋_GB2312" w:cs="Times New Roman"/>
          <w:b w:val="0"/>
          <w:bCs w:val="0"/>
          <w:caps w:val="0"/>
          <w:smallCaps/>
          <w:sz w:val="32"/>
          <w:szCs w:val="32"/>
          <w:lang w:val="en-US" w:eastAsia="zh-CN"/>
        </w:rPr>
        <w:t>2025年度交流交往交往</w:t>
      </w:r>
      <w:r>
        <w:rPr>
          <w:rFonts w:hint="eastAsia" w:ascii="仿宋_GB2312" w:hAnsi="仿宋" w:eastAsia="仿宋_GB2312"/>
          <w:b w:val="0"/>
          <w:bCs w:val="0"/>
          <w:caps w:val="0"/>
          <w:smallCaps/>
          <w:sz w:val="32"/>
          <w:szCs w:val="32"/>
          <w:lang w:eastAsia="zh-CN"/>
        </w:rPr>
        <w:t>项目（</w:t>
      </w:r>
      <w:r>
        <w:rPr>
          <w:rFonts w:hint="eastAsia" w:ascii="仿宋_GB2312" w:hAnsi="仿宋" w:eastAsia="仿宋_GB2312"/>
          <w:b w:val="0"/>
          <w:bCs w:val="0"/>
          <w:caps w:val="0"/>
          <w:smallCaps/>
          <w:sz w:val="32"/>
          <w:szCs w:val="32"/>
          <w:lang w:val="en-US" w:eastAsia="zh-CN"/>
        </w:rPr>
        <w:t>1</w:t>
      </w:r>
      <w:r>
        <w:rPr>
          <w:rFonts w:hint="eastAsia" w:ascii="仿宋_GB2312" w:hAnsi="仿宋" w:eastAsia="仿宋_GB2312"/>
          <w:b w:val="0"/>
          <w:bCs w:val="0"/>
          <w:caps w:val="0"/>
          <w:smallCaps/>
          <w:sz w:val="32"/>
          <w:szCs w:val="32"/>
          <w:lang w:eastAsia="zh-CN"/>
        </w:rPr>
        <w:t>）绩效</w:t>
      </w:r>
      <w:r>
        <w:rPr>
          <w:rFonts w:hint="eastAsia" w:ascii="仿宋_GB2312" w:hAnsi="仿宋" w:eastAsia="仿宋_GB2312"/>
          <w:b w:val="0"/>
          <w:bCs w:val="0"/>
          <w:caps w:val="0"/>
          <w:smallCaps/>
          <w:sz w:val="32"/>
          <w:szCs w:val="32"/>
          <w:lang w:val="en-US" w:eastAsia="zh-CN"/>
        </w:rPr>
        <w:t>表</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19</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附件3</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20</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茂县供销合作社联合社</w:t>
      </w:r>
      <w:r>
        <w:rPr>
          <w:rFonts w:hint="eastAsia" w:ascii="仿宋_GB2312" w:hAnsi="仿宋" w:eastAsia="仿宋_GB2312" w:cs="Times New Roman"/>
          <w:b w:val="0"/>
          <w:bCs w:val="0"/>
          <w:caps w:val="0"/>
          <w:smallCaps/>
          <w:sz w:val="32"/>
          <w:szCs w:val="32"/>
          <w:lang w:val="en-US" w:eastAsia="zh-CN"/>
        </w:rPr>
        <w:t>2025年度交流交往交往</w:t>
      </w:r>
      <w:r>
        <w:rPr>
          <w:rFonts w:hint="eastAsia" w:ascii="仿宋_GB2312" w:hAnsi="仿宋" w:eastAsia="仿宋_GB2312"/>
          <w:b w:val="0"/>
          <w:bCs w:val="0"/>
          <w:caps w:val="0"/>
          <w:smallCaps/>
          <w:sz w:val="32"/>
          <w:szCs w:val="32"/>
          <w:lang w:eastAsia="zh-CN"/>
        </w:rPr>
        <w:t>项目（</w:t>
      </w:r>
      <w:r>
        <w:rPr>
          <w:rFonts w:hint="eastAsia" w:ascii="仿宋_GB2312" w:hAnsi="仿宋" w:eastAsia="仿宋_GB2312"/>
          <w:b w:val="0"/>
          <w:bCs w:val="0"/>
          <w:caps w:val="0"/>
          <w:smallCaps/>
          <w:sz w:val="32"/>
          <w:szCs w:val="32"/>
          <w:lang w:val="en-US" w:eastAsia="zh-CN"/>
        </w:rPr>
        <w:t>2</w:t>
      </w:r>
      <w:r>
        <w:rPr>
          <w:rFonts w:hint="eastAsia" w:ascii="仿宋_GB2312" w:hAnsi="仿宋" w:eastAsia="仿宋_GB2312"/>
          <w:b w:val="0"/>
          <w:bCs w:val="0"/>
          <w:caps w:val="0"/>
          <w:smallCaps/>
          <w:sz w:val="32"/>
          <w:szCs w:val="32"/>
          <w:lang w:eastAsia="zh-CN"/>
        </w:rPr>
        <w:t>）绩效</w:t>
      </w:r>
      <w:r>
        <w:rPr>
          <w:rFonts w:hint="eastAsia" w:ascii="仿宋_GB2312" w:hAnsi="仿宋" w:eastAsia="仿宋_GB2312"/>
          <w:b w:val="0"/>
          <w:bCs w:val="0"/>
          <w:caps w:val="0"/>
          <w:smallCaps/>
          <w:sz w:val="32"/>
          <w:szCs w:val="32"/>
          <w:lang w:val="en-US" w:eastAsia="zh-CN"/>
        </w:rPr>
        <w:t>表</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20</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附件4</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21</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茂县供销合作社联合社</w:t>
      </w:r>
      <w:r>
        <w:rPr>
          <w:rFonts w:hint="eastAsia" w:ascii="仿宋_GB2312" w:hAnsi="仿宋" w:eastAsia="仿宋_GB2312" w:cs="Times New Roman"/>
          <w:b w:val="0"/>
          <w:bCs w:val="0"/>
          <w:caps w:val="0"/>
          <w:smallCaps/>
          <w:sz w:val="32"/>
          <w:szCs w:val="32"/>
          <w:lang w:val="en-US" w:eastAsia="zh-CN"/>
        </w:rPr>
        <w:t>第四次社员代表大会项目</w:t>
      </w:r>
      <w:r>
        <w:rPr>
          <w:rFonts w:hint="eastAsia" w:ascii="仿宋_GB2312" w:hAnsi="仿宋" w:eastAsia="仿宋_GB2312"/>
          <w:b w:val="0"/>
          <w:bCs w:val="0"/>
          <w:caps w:val="0"/>
          <w:smallCaps/>
          <w:sz w:val="32"/>
          <w:szCs w:val="32"/>
          <w:lang w:eastAsia="zh-CN"/>
        </w:rPr>
        <w:t>绩效</w:t>
      </w:r>
      <w:r>
        <w:rPr>
          <w:rFonts w:hint="eastAsia" w:ascii="仿宋_GB2312" w:hAnsi="仿宋" w:eastAsia="仿宋_GB2312"/>
          <w:b w:val="0"/>
          <w:bCs w:val="0"/>
          <w:caps w:val="0"/>
          <w:smallCaps/>
          <w:sz w:val="32"/>
          <w:szCs w:val="32"/>
          <w:lang w:val="en-US" w:eastAsia="zh-CN"/>
        </w:rPr>
        <w:t>表</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21</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第五部分 附表</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21</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一、收入支出决算总表</w:t>
      </w:r>
      <w:r>
        <w:rPr>
          <w:rFonts w:hint="eastAsia" w:ascii="仿宋_GB2312" w:hAnsi="仿宋" w:eastAsia="仿宋_GB2312"/>
          <w:sz w:val="32"/>
          <w:szCs w:val="32"/>
        </w:rPr>
        <w:tab/>
      </w:r>
      <w:r>
        <w:rPr>
          <w:rFonts w:hint="eastAsia" w:ascii="仿宋_GB2312" w:hAnsi="仿宋" w:eastAsia="仿宋_GB2312"/>
          <w:sz w:val="32"/>
          <w:szCs w:val="32"/>
          <w:lang w:val="en-US" w:eastAsia="zh-CN"/>
        </w:rPr>
        <w:t>21</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二、收入决算表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21</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三、支出决算表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21</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四、财政拨款收入支出决算总表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五、财政拨款支出决算明细表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六、一般公共预算财政拨款支出决算表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七、一般公共预算财政拨款支出决算明细表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八、一般公共预算财政拨款基本支出决算表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九、一般公共预算财政拨款项目支出决算表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十、政府性基金预算财政拨款收入支出决算表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十</w:t>
      </w:r>
      <w:r>
        <w:rPr>
          <w:rFonts w:hint="eastAsia" w:ascii="仿宋_GB2312" w:hAnsi="仿宋" w:eastAsia="仿宋_GB2312"/>
          <w:sz w:val="32"/>
          <w:szCs w:val="32"/>
          <w:lang w:eastAsia="zh-CN"/>
        </w:rPr>
        <w:t>一</w:t>
      </w:r>
      <w:r>
        <w:rPr>
          <w:rFonts w:hint="eastAsia" w:ascii="仿宋_GB2312" w:hAnsi="仿宋" w:eastAsia="仿宋_GB2312"/>
          <w:sz w:val="32"/>
          <w:szCs w:val="32"/>
        </w:rPr>
        <w:t>、国有资本经营预算财政拨款</w:t>
      </w:r>
      <w:r>
        <w:rPr>
          <w:rFonts w:hint="eastAsia" w:ascii="仿宋_GB2312" w:hAnsi="仿宋" w:eastAsia="仿宋_GB2312"/>
          <w:sz w:val="32"/>
          <w:szCs w:val="32"/>
          <w:lang w:eastAsia="zh-CN"/>
        </w:rPr>
        <w:t>收入</w:t>
      </w:r>
      <w:r>
        <w:rPr>
          <w:rFonts w:hint="eastAsia" w:ascii="仿宋_GB2312" w:hAnsi="仿宋" w:eastAsia="仿宋_GB2312"/>
          <w:sz w:val="32"/>
          <w:szCs w:val="32"/>
        </w:rPr>
        <w:t>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十</w:t>
      </w:r>
      <w:r>
        <w:rPr>
          <w:rFonts w:hint="eastAsia" w:ascii="仿宋_GB2312" w:hAnsi="仿宋" w:eastAsia="仿宋_GB2312"/>
          <w:sz w:val="32"/>
          <w:szCs w:val="32"/>
          <w:lang w:eastAsia="zh-CN"/>
        </w:rPr>
        <w:t>二</w:t>
      </w:r>
      <w:r>
        <w:rPr>
          <w:rFonts w:hint="eastAsia" w:ascii="仿宋_GB2312" w:hAnsi="仿宋" w:eastAsia="仿宋_GB2312"/>
          <w:sz w:val="32"/>
          <w:szCs w:val="32"/>
        </w:rPr>
        <w:t>、国有资本经营预算财政拨款支出决算表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mallCaps/>
          <w:sz w:val="32"/>
          <w:szCs w:val="32"/>
        </w:rPr>
        <w:fldChar w:fldCharType="end"/>
      </w:r>
      <w:bookmarkStart w:id="12" w:name="_Toc15377196"/>
      <w:bookmarkStart w:id="13" w:name="_Toc15396599"/>
      <w:r>
        <w:rPr>
          <w:rFonts w:hint="eastAsia" w:ascii="仿宋_GB2312" w:hAnsi="仿宋" w:eastAsia="仿宋_GB2312"/>
          <w:sz w:val="32"/>
          <w:szCs w:val="32"/>
        </w:rPr>
        <w:t>十</w:t>
      </w:r>
      <w:r>
        <w:rPr>
          <w:rFonts w:hint="eastAsia" w:ascii="仿宋_GB2312" w:hAnsi="仿宋" w:eastAsia="仿宋_GB2312"/>
          <w:sz w:val="32"/>
          <w:szCs w:val="32"/>
          <w:lang w:eastAsia="zh-CN"/>
        </w:rPr>
        <w:t>三</w:t>
      </w:r>
      <w:r>
        <w:rPr>
          <w:rFonts w:hint="eastAsia" w:ascii="仿宋_GB2312" w:hAnsi="仿宋" w:eastAsia="仿宋_GB2312"/>
          <w:sz w:val="32"/>
          <w:szCs w:val="32"/>
        </w:rPr>
        <w:t>、</w:t>
      </w:r>
      <w:r>
        <w:rPr>
          <w:rFonts w:hint="eastAsia" w:ascii="仿宋_GB2312" w:hAnsi="仿宋" w:eastAsia="仿宋_GB2312"/>
          <w:sz w:val="32"/>
          <w:szCs w:val="32"/>
          <w:lang w:eastAsia="zh-CN"/>
        </w:rPr>
        <w:t>财政拨款“三公”经费</w:t>
      </w:r>
      <w:r>
        <w:rPr>
          <w:rFonts w:hint="eastAsia" w:ascii="仿宋_GB2312" w:hAnsi="仿宋" w:eastAsia="仿宋_GB2312"/>
          <w:sz w:val="32"/>
          <w:szCs w:val="32"/>
        </w:rPr>
        <w:t>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22</w:t>
      </w:r>
    </w:p>
    <w:p>
      <w:pPr>
        <w:widowControl/>
        <w:spacing w:line="440" w:lineRule="exact"/>
        <w:jc w:val="left"/>
        <w:rPr>
          <w:rFonts w:ascii="仿宋_GB2312" w:hAnsi="仿宋" w:eastAsia="仿宋_GB2312"/>
          <w:smallCaps/>
          <w:sz w:val="20"/>
          <w:szCs w:val="20"/>
        </w:rPr>
      </w:pPr>
    </w:p>
    <w:p>
      <w:pPr>
        <w:widowControl/>
        <w:spacing w:line="440" w:lineRule="exact"/>
        <w:jc w:val="left"/>
        <w:rPr>
          <w:rFonts w:ascii="仿宋_GB2312" w:hAnsi="仿宋" w:eastAsia="仿宋_GB2312"/>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pStyle w:val="31"/>
      </w:pPr>
    </w:p>
    <w:p>
      <w:pPr>
        <w:pStyle w:val="10"/>
        <w:ind w:left="0" w:leftChars="0" w:firstLine="0" w:firstLineChars="0"/>
      </w:pPr>
      <w:bookmarkStart w:id="14" w:name="_Toc79163851"/>
      <w:bookmarkStart w:id="15" w:name="_Toc79163601"/>
    </w:p>
    <w:p>
      <w:pPr>
        <w:jc w:val="center"/>
        <w:rPr>
          <w:rFonts w:ascii="黑体" w:hAnsi="黑体" w:eastAsia="黑体" w:cs="黑体"/>
          <w:sz w:val="32"/>
          <w:szCs w:val="32"/>
        </w:rPr>
      </w:pPr>
      <w:r>
        <w:rPr>
          <w:rFonts w:hint="eastAsia" w:ascii="方正小标宋简体" w:hAnsi="方正小标宋简体" w:eastAsia="方正小标宋简体" w:cs="方正小标宋简体"/>
          <w:sz w:val="44"/>
          <w:szCs w:val="44"/>
        </w:rPr>
        <w:t>第一部分</w:t>
      </w:r>
      <w:r>
        <w:rPr>
          <w:rFonts w:hint="eastAsia" w:ascii="方正小标宋简体" w:hAnsi="方正小标宋简体" w:eastAsia="方正小标宋简体" w:cs="方正小标宋简体"/>
          <w:sz w:val="44"/>
          <w:szCs w:val="44"/>
          <w:lang w:val="en-US" w:eastAsia="zh-CN"/>
        </w:rPr>
        <w:t>单位</w:t>
      </w:r>
      <w:r>
        <w:rPr>
          <w:rFonts w:hint="eastAsia" w:ascii="方正小标宋简体" w:hAnsi="方正小标宋简体" w:eastAsia="方正小标宋简体" w:cs="方正小标宋简体"/>
          <w:sz w:val="44"/>
          <w:szCs w:val="44"/>
        </w:rPr>
        <w:t>概况</w:t>
      </w:r>
      <w:bookmarkEnd w:id="12"/>
      <w:bookmarkEnd w:id="13"/>
      <w:bookmarkEnd w:id="14"/>
      <w:bookmarkEnd w:id="15"/>
      <w:bookmarkStart w:id="16" w:name="_Toc79163602"/>
      <w:bookmarkStart w:id="17" w:name="_Toc79163852"/>
      <w:bookmarkStart w:id="18" w:name="_Toc15377197"/>
      <w:bookmarkStart w:id="19" w:name="_Toc1539660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p>
    <w:bookmarkEnd w:id="16"/>
    <w:bookmarkEnd w:id="17"/>
    <w:bookmarkEnd w:id="18"/>
    <w:bookmarkEnd w:id="19"/>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主要</w:t>
      </w:r>
      <w:r>
        <w:rPr>
          <w:rFonts w:hint="eastAsia" w:ascii="黑体" w:hAnsi="黑体" w:eastAsia="黑体" w:cs="黑体"/>
          <w:sz w:val="32"/>
          <w:szCs w:val="32"/>
          <w:lang w:eastAsia="zh-CN"/>
        </w:rPr>
        <w:t>职责</w:t>
      </w:r>
    </w:p>
    <w:p>
      <w:pPr>
        <w:spacing w:line="576" w:lineRule="exact"/>
        <w:ind w:firstLine="640" w:firstLineChars="200"/>
        <w:rPr>
          <w:rFonts w:ascii="仿宋_GB2312" w:hAnsi="仿宋_GB2312" w:eastAsia="仿宋_GB2312" w:cs="仿宋_GB2312"/>
          <w:sz w:val="32"/>
          <w:szCs w:val="32"/>
        </w:rPr>
      </w:pPr>
      <w:bookmarkStart w:id="20" w:name="_Toc79163855"/>
      <w:bookmarkStart w:id="21" w:name="_Toc15396601"/>
      <w:bookmarkStart w:id="22" w:name="_Toc79163605"/>
      <w:bookmarkStart w:id="23" w:name="_Toc15377200"/>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宣传贯彻中央“三农”工作方针政策和州委、州政府及县委、县政府有关决策部署，指导全县供销合作事业发展。</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负责研究和制定全县供销合作社发展规划并组织实施，指导服务全县供销合作社系统改革发展</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履行社有资产运营指导和监督管理职责，发展社有企业，确保社有企业为农服务方向，落实社有资产保值增值和安全责任</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根据授权对重要生产生活资料的经营、储备进行组织、协调和管理，指导全县供销合作社承担政府委托的公益性服务和其他任务</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指导全县供销合作社开展农业生产经营服务、城乡消费品流通服务、再生资源回收利用服务和生产、供销、信用“三位一体”综合合作等业务活动</w:t>
      </w:r>
      <w:r>
        <w:rPr>
          <w:rFonts w:hint="eastAsia" w:ascii="仿宋_GB2312" w:hAnsi="仿宋_GB2312" w:eastAsia="仿宋_GB2312" w:cs="仿宋_GB2312"/>
          <w:sz w:val="32"/>
          <w:szCs w:val="32"/>
          <w:lang w:eastAsia="zh-CN"/>
        </w:rPr>
        <w:t>。</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参与公益性农产品市场建设，参与国有控股的农产品批发市场的建设、运营和管护。</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领办创办农民专业合作社，发展基层供销合作社，更好履行为农服务职责；推进供销合作社法治建设，研究提出促进农村经济社会和行业发展的政策法规建议，维护全县供销合作社的合法权益。</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指导全县供销合作社开展教育培训工作。</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负责职责范围内的安全生产、公共机构节能减排、生态环境保护等工作。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eastAsia="zh-CN"/>
        </w:rPr>
        <w:t>（十）</w:t>
      </w:r>
      <w:r>
        <w:rPr>
          <w:rFonts w:hint="eastAsia" w:ascii="仿宋_GB2312" w:hAnsi="仿宋_GB2312" w:eastAsia="仿宋_GB2312" w:cs="仿宋_GB2312"/>
          <w:sz w:val="32"/>
          <w:szCs w:val="32"/>
        </w:rPr>
        <w:t>完成县委、县政府交办的其他任务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二、机构设置</w:t>
      </w:r>
      <w:bookmarkEnd w:id="20"/>
      <w:bookmarkEnd w:id="21"/>
      <w:bookmarkEnd w:id="22"/>
      <w:bookmarkEnd w:id="2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bookmarkStart w:id="24" w:name="_Toc79163609"/>
      <w:bookmarkStart w:id="25" w:name="_Toc79163859"/>
      <w:bookmarkStart w:id="26" w:name="_Toc15377204"/>
      <w:bookmarkStart w:id="27" w:name="_Toc15396602"/>
      <w:r>
        <w:rPr>
          <w:rFonts w:hint="eastAsia" w:ascii="仿宋_GB2312" w:hAnsi="仿宋_GB2312" w:eastAsia="仿宋_GB2312" w:cs="仿宋_GB2312"/>
          <w:sz w:val="32"/>
          <w:szCs w:val="32"/>
        </w:rPr>
        <w:t>茂县供销</w:t>
      </w:r>
      <w:r>
        <w:rPr>
          <w:rFonts w:hint="eastAsia" w:ascii="仿宋_GB2312" w:hAnsi="仿宋_GB2312" w:eastAsia="仿宋_GB2312" w:cs="仿宋_GB2312"/>
          <w:sz w:val="32"/>
          <w:szCs w:val="32"/>
          <w:lang w:eastAsia="zh-CN"/>
        </w:rPr>
        <w:t>合作社联合</w:t>
      </w:r>
      <w:r>
        <w:rPr>
          <w:rFonts w:hint="eastAsia" w:ascii="仿宋_GB2312" w:hAnsi="仿宋_GB2312" w:eastAsia="仿宋_GB2312" w:cs="仿宋_GB2312"/>
          <w:sz w:val="32"/>
          <w:szCs w:val="32"/>
        </w:rPr>
        <w:t>社下属二级</w:t>
      </w:r>
      <w:r>
        <w:rPr>
          <w:rFonts w:hint="eastAsia"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rPr>
        <w:t>单位0个，其中行政单位0个，参照公务员法管理的事业单位0个，其他事业单位0个。</w:t>
      </w:r>
    </w:p>
    <w:p>
      <w:pPr>
        <w:jc w:val="both"/>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pStyle w:val="31"/>
        <w:rPr>
          <w:rFonts w:hint="eastAsia"/>
        </w:rPr>
      </w:pPr>
    </w:p>
    <w:p>
      <w:pPr>
        <w:rPr>
          <w:rFonts w:hint="eastAsia"/>
        </w:rPr>
      </w:pPr>
    </w:p>
    <w:p>
      <w:pPr>
        <w:pStyle w:val="31"/>
        <w:rPr>
          <w:rFonts w:hint="eastAsia"/>
        </w:rPr>
      </w:pPr>
    </w:p>
    <w:p>
      <w:pPr>
        <w:rPr>
          <w:rFonts w:hint="eastAsia"/>
        </w:rPr>
      </w:pPr>
    </w:p>
    <w:p>
      <w:pPr>
        <w:pStyle w:val="31"/>
        <w:rPr>
          <w:rFonts w:hint="eastAsia"/>
        </w:rPr>
      </w:pPr>
    </w:p>
    <w:p>
      <w:pPr>
        <w:rPr>
          <w:rFonts w:hint="eastAsia"/>
        </w:rPr>
      </w:pPr>
    </w:p>
    <w:p>
      <w:pPr>
        <w:rPr>
          <w:rFonts w:hint="eastAsia"/>
        </w:rPr>
      </w:pPr>
    </w:p>
    <w:p>
      <w:pPr>
        <w:rPr>
          <w:rFonts w:hint="eastAsia"/>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单位</w:t>
      </w:r>
      <w:r>
        <w:rPr>
          <w:rFonts w:hint="eastAsia" w:ascii="方正小标宋简体" w:hAnsi="方正小标宋简体" w:eastAsia="方正小标宋简体" w:cs="方正小标宋简体"/>
          <w:sz w:val="44"/>
          <w:szCs w:val="44"/>
        </w:rPr>
        <w:t>决算情况说明</w:t>
      </w:r>
      <w:bookmarkEnd w:id="24"/>
      <w:bookmarkEnd w:id="25"/>
      <w:bookmarkEnd w:id="26"/>
      <w:bookmarkEnd w:id="27"/>
    </w:p>
    <w:p>
      <w:pPr>
        <w:jc w:val="center"/>
      </w:pPr>
    </w:p>
    <w:p>
      <w:pPr>
        <w:pStyle w:val="43"/>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Chars="0"/>
        <w:textAlignment w:val="auto"/>
        <w:outlineLvl w:val="1"/>
        <w:rPr>
          <w:rStyle w:val="33"/>
          <w:rFonts w:ascii="黑体" w:hAnsi="黑体" w:eastAsia="黑体"/>
          <w:b w:val="0"/>
        </w:rPr>
      </w:pPr>
      <w:bookmarkStart w:id="28" w:name="_Toc79163860"/>
      <w:bookmarkStart w:id="29" w:name="_Toc79163610"/>
      <w:bookmarkStart w:id="30" w:name="_Toc15377205"/>
      <w:bookmarkStart w:id="31" w:name="_Toc15396603"/>
      <w:r>
        <w:rPr>
          <w:rFonts w:hint="eastAsia" w:ascii="黑体" w:hAnsi="黑体" w:eastAsia="黑体"/>
          <w:color w:val="000000"/>
          <w:sz w:val="32"/>
          <w:szCs w:val="32"/>
        </w:rPr>
        <w:t>收</w:t>
      </w:r>
      <w:r>
        <w:rPr>
          <w:rStyle w:val="33"/>
          <w:rFonts w:hint="eastAsia" w:ascii="黑体" w:hAnsi="黑体" w:eastAsia="黑体"/>
          <w:b w:val="0"/>
        </w:rPr>
        <w:t>入支出决算总体情况说明</w:t>
      </w:r>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年度</w:t>
      </w:r>
      <w:r>
        <w:rPr>
          <w:rFonts w:hint="eastAsia" w:ascii="仿宋_GB2312" w:eastAsia="仿宋_GB2312" w:cs="仿宋_GB2312"/>
          <w:sz w:val="32"/>
          <w:szCs w:val="32"/>
          <w:lang w:val="en-US" w:eastAsia="zh-CN"/>
        </w:rPr>
        <w:t>收</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支</w:t>
      </w:r>
      <w:r>
        <w:rPr>
          <w:rFonts w:hint="eastAsia" w:ascii="仿宋_GB2312" w:eastAsia="仿宋_GB2312" w:cs="仿宋_GB2312"/>
          <w:sz w:val="32"/>
          <w:szCs w:val="32"/>
        </w:rPr>
        <w:t>总计</w:t>
      </w:r>
      <w:r>
        <w:rPr>
          <w:rFonts w:hint="eastAsia" w:ascii="仿宋_GB2312" w:eastAsia="仿宋_GB2312" w:cs="仿宋_GB2312"/>
          <w:sz w:val="32"/>
          <w:szCs w:val="32"/>
          <w:lang w:val="en-US" w:eastAsia="zh-CN"/>
        </w:rPr>
        <w:t>均为301.62</w:t>
      </w:r>
      <w:r>
        <w:rPr>
          <w:rFonts w:hint="eastAsia" w:ascii="仿宋_GB2312" w:eastAsia="仿宋_GB2312" w:cs="仿宋_GB2312"/>
          <w:sz w:val="32"/>
          <w:szCs w:val="32"/>
        </w:rPr>
        <w:t>万元。与</w:t>
      </w:r>
      <w:r>
        <w:rPr>
          <w:rFonts w:hint="eastAsia" w:ascii="仿宋_GB2312" w:eastAsia="仿宋_GB2312" w:cs="仿宋_GB2312"/>
          <w:sz w:val="32"/>
          <w:szCs w:val="32"/>
          <w:lang w:val="en-US" w:eastAsia="zh-CN"/>
        </w:rPr>
        <w:t>2024年度</w:t>
      </w:r>
      <w:r>
        <w:rPr>
          <w:rFonts w:hint="eastAsia" w:ascii="仿宋_GB2312" w:eastAsia="仿宋_GB2312" w:cs="仿宋_GB2312"/>
          <w:sz w:val="32"/>
          <w:szCs w:val="32"/>
        </w:rPr>
        <w:t>相比，</w:t>
      </w:r>
      <w:r>
        <w:rPr>
          <w:rFonts w:hint="eastAsia" w:ascii="仿宋_GB2312" w:eastAsia="仿宋_GB2312" w:cs="仿宋_GB2312"/>
          <w:sz w:val="32"/>
          <w:szCs w:val="32"/>
          <w:lang w:val="en-US" w:eastAsia="zh-CN"/>
        </w:rPr>
        <w:t>收</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支</w:t>
      </w:r>
      <w:r>
        <w:rPr>
          <w:rFonts w:hint="eastAsia" w:ascii="仿宋_GB2312" w:eastAsia="仿宋_GB2312" w:cs="仿宋_GB2312"/>
          <w:sz w:val="32"/>
          <w:szCs w:val="32"/>
        </w:rPr>
        <w:t>总计各</w:t>
      </w:r>
      <w:r>
        <w:rPr>
          <w:rFonts w:hint="eastAsia" w:ascii="仿宋_GB2312" w:eastAsia="仿宋_GB2312" w:cs="仿宋_GB2312"/>
          <w:sz w:val="32"/>
          <w:szCs w:val="32"/>
          <w:lang w:val="en-US" w:eastAsia="zh-CN"/>
        </w:rPr>
        <w:t>减少234.59</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下降43.7</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:2025年项目资金减少</w:t>
      </w:r>
      <w:r>
        <w:rPr>
          <w:rFonts w:hint="eastAsia" w:ascii="仿宋_GB2312" w:eastAsia="仿宋_GB2312" w:cs="仿宋_GB2312"/>
          <w:sz w:val="32"/>
          <w:szCs w:val="32"/>
        </w:rPr>
        <w:t>。</w:t>
      </w:r>
    </w:p>
    <w:p>
      <w:pPr>
        <w:ind w:firstLine="420" w:firstLineChars="200"/>
        <w:rPr>
          <w:rFonts w:ascii="仿宋_GB2312" w:eastAsia="仿宋_GB2312"/>
          <w:color w:val="000000"/>
          <w:sz w:val="32"/>
          <w:szCs w:val="32"/>
        </w:rPr>
      </w:pPr>
      <w:r>
        <w:drawing>
          <wp:inline distT="0" distB="0" distL="114300" distR="114300">
            <wp:extent cx="4572000" cy="2743200"/>
            <wp:effectExtent l="4445" t="4445" r="1460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3"/>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33"/>
          <w:rFonts w:ascii="黑体" w:hAnsi="黑体" w:eastAsia="黑体"/>
          <w:b w:val="0"/>
        </w:rPr>
      </w:pPr>
      <w:bookmarkStart w:id="32" w:name="_Toc15396604"/>
      <w:bookmarkStart w:id="33" w:name="_Toc15377206"/>
      <w:bookmarkStart w:id="34" w:name="_Toc79163611"/>
      <w:bookmarkStart w:id="35" w:name="_Toc79163861"/>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33"/>
          <w:rFonts w:hint="eastAsia" w:ascii="黑体" w:hAnsi="黑体" w:eastAsia="黑体"/>
          <w:b w:val="0"/>
        </w:rPr>
        <w:t>入决算情况说明</w:t>
      </w:r>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eastAsia="仿宋_GB2312" w:cs="仿宋_GB2312"/>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本年收入合计</w:t>
      </w:r>
      <w:r>
        <w:rPr>
          <w:rFonts w:hint="eastAsia" w:ascii="仿宋_GB2312" w:eastAsia="仿宋_GB2312" w:cs="仿宋_GB2312"/>
          <w:sz w:val="32"/>
          <w:szCs w:val="32"/>
          <w:lang w:val="en-US" w:eastAsia="zh-CN"/>
        </w:rPr>
        <w:t>301.62</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301.62</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p>
    <w:p>
      <w:pPr>
        <w:pStyle w:val="43"/>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Fonts w:hint="eastAsia" w:ascii="黑体" w:hAnsi="黑体" w:eastAsia="黑体"/>
          <w:color w:val="000000"/>
          <w:sz w:val="32"/>
          <w:szCs w:val="32"/>
          <w:lang w:eastAsia="zh-CN"/>
        </w:rPr>
      </w:pPr>
      <w:bookmarkStart w:id="36" w:name="_Toc79163863"/>
      <w:bookmarkStart w:id="37" w:name="_Toc15377208"/>
      <w:bookmarkStart w:id="38" w:name="_Toc79163613"/>
      <w:bookmarkStart w:id="39" w:name="_Toc15396606"/>
      <w:r>
        <w:rPr>
          <w:rFonts w:asci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347345</wp:posOffset>
            </wp:positionH>
            <wp:positionV relativeFrom="paragraph">
              <wp:posOffset>133985</wp:posOffset>
            </wp:positionV>
            <wp:extent cx="3991610" cy="2086610"/>
            <wp:effectExtent l="5080" t="4445" r="22860" b="23495"/>
            <wp:wrapTopAndBottom/>
            <wp:docPr id="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43"/>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33"/>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33"/>
          <w:rFonts w:hint="eastAsia" w:ascii="黑体" w:hAnsi="黑体" w:eastAsia="黑体"/>
          <w:b w:val="0"/>
        </w:rPr>
        <w:t>出决算情况说明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eastAsia="仿宋_GB2312" w:cs="仿宋_GB2312"/>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本年支出合计</w:t>
      </w:r>
      <w:r>
        <w:rPr>
          <w:rFonts w:hint="eastAsia" w:ascii="仿宋_GB2312" w:eastAsia="仿宋_GB2312" w:cs="仿宋_GB2312"/>
          <w:sz w:val="32"/>
          <w:szCs w:val="32"/>
          <w:lang w:val="en-US" w:eastAsia="zh-CN"/>
        </w:rPr>
        <w:t>301.62</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239.07</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79.2</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62.55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20.8</w:t>
      </w:r>
      <w:r>
        <w:rPr>
          <w:rFonts w:hint="eastAsia" w:ascii="仿宋_GB2312" w:eastAsia="仿宋_GB2312" w:cs="仿宋_GB2312"/>
          <w:sz w:val="32"/>
          <w:szCs w:val="32"/>
        </w:rPr>
        <w:t>%。</w:t>
      </w:r>
    </w:p>
    <w:p>
      <w:pPr>
        <w:ind w:firstLine="420" w:firstLineChars="200"/>
      </w:pPr>
      <w:r>
        <w:drawing>
          <wp:inline distT="0" distB="0" distL="114300" distR="114300">
            <wp:extent cx="4595495" cy="2809875"/>
            <wp:effectExtent l="4445" t="4445" r="10160" b="508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1"/>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3"/>
          <w:rFonts w:ascii="黑体" w:hAnsi="黑体" w:eastAsia="黑体"/>
          <w:b w:val="0"/>
        </w:rPr>
      </w:pPr>
      <w:r>
        <w:rPr>
          <w:rFonts w:hint="eastAsia" w:ascii="黑体" w:hAnsi="黑体" w:eastAsia="黑体"/>
          <w:color w:val="000000"/>
          <w:sz w:val="32"/>
          <w:szCs w:val="32"/>
        </w:rPr>
        <w:t>四、财</w:t>
      </w:r>
      <w:r>
        <w:rPr>
          <w:rStyle w:val="33"/>
          <w:rFonts w:hint="eastAsia" w:ascii="黑体" w:hAnsi="黑体" w:eastAsia="黑体"/>
          <w:b w:val="0"/>
        </w:rPr>
        <w:t>政拨款收入支出决算总体情况说明</w:t>
      </w:r>
      <w:bookmarkEnd w:id="36"/>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eastAsia="仿宋_GB2312" w:cs="仿宋_GB2312"/>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财政拨款</w:t>
      </w:r>
      <w:r>
        <w:rPr>
          <w:rFonts w:hint="eastAsia" w:ascii="仿宋_GB2312" w:eastAsia="仿宋_GB2312" w:cs="仿宋_GB2312"/>
          <w:sz w:val="32"/>
          <w:szCs w:val="32"/>
          <w:lang w:val="en-US" w:eastAsia="zh-CN"/>
        </w:rPr>
        <w:t>收</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支</w:t>
      </w:r>
      <w:r>
        <w:rPr>
          <w:rFonts w:hint="eastAsia" w:ascii="仿宋_GB2312" w:eastAsia="仿宋_GB2312" w:cs="仿宋_GB2312"/>
          <w:sz w:val="32"/>
          <w:szCs w:val="32"/>
        </w:rPr>
        <w:t>总计</w:t>
      </w:r>
      <w:r>
        <w:rPr>
          <w:rFonts w:hint="eastAsia" w:ascii="仿宋_GB2312" w:eastAsia="仿宋_GB2312" w:cs="仿宋_GB2312"/>
          <w:sz w:val="32"/>
          <w:szCs w:val="32"/>
          <w:lang w:eastAsia="zh-CN"/>
        </w:rPr>
        <w:t>均为</w:t>
      </w:r>
      <w:r>
        <w:rPr>
          <w:rFonts w:hint="eastAsia" w:ascii="仿宋_GB2312" w:eastAsia="仿宋_GB2312" w:cs="仿宋_GB2312"/>
          <w:sz w:val="32"/>
          <w:szCs w:val="32"/>
          <w:lang w:val="en-US" w:eastAsia="zh-CN"/>
        </w:rPr>
        <w:t>301.62</w:t>
      </w:r>
      <w:r>
        <w:rPr>
          <w:rFonts w:hint="eastAsia" w:ascii="仿宋_GB2312" w:eastAsia="仿宋_GB2312" w:cs="仿宋_GB2312"/>
          <w:sz w:val="32"/>
          <w:szCs w:val="32"/>
        </w:rPr>
        <w:t>万元。与</w:t>
      </w:r>
      <w:r>
        <w:rPr>
          <w:rFonts w:hint="eastAsia" w:ascii="仿宋_GB2312" w:eastAsia="仿宋_GB2312" w:cs="仿宋_GB2312"/>
          <w:sz w:val="32"/>
          <w:szCs w:val="32"/>
          <w:lang w:val="en-US" w:eastAsia="zh-CN"/>
        </w:rPr>
        <w:t>2024年度</w:t>
      </w:r>
      <w:r>
        <w:rPr>
          <w:rFonts w:hint="eastAsia" w:ascii="仿宋_GB2312" w:eastAsia="仿宋_GB2312" w:cs="仿宋_GB2312"/>
          <w:sz w:val="32"/>
          <w:szCs w:val="32"/>
        </w:rPr>
        <w:t>相比，财政拨款</w:t>
      </w:r>
      <w:r>
        <w:rPr>
          <w:rFonts w:hint="eastAsia" w:ascii="仿宋_GB2312" w:eastAsia="仿宋_GB2312" w:cs="仿宋_GB2312"/>
          <w:sz w:val="32"/>
          <w:szCs w:val="32"/>
          <w:lang w:val="en-US" w:eastAsia="zh-CN"/>
        </w:rPr>
        <w:t>收</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支</w:t>
      </w:r>
      <w:r>
        <w:rPr>
          <w:rFonts w:hint="eastAsia" w:ascii="仿宋_GB2312" w:eastAsia="仿宋_GB2312" w:cs="仿宋_GB2312"/>
          <w:sz w:val="32"/>
          <w:szCs w:val="32"/>
        </w:rPr>
        <w:t>总计各</w:t>
      </w:r>
      <w:r>
        <w:rPr>
          <w:rFonts w:hint="eastAsia" w:ascii="仿宋_GB2312" w:eastAsia="仿宋_GB2312" w:cs="仿宋_GB2312"/>
          <w:sz w:val="32"/>
          <w:szCs w:val="32"/>
          <w:lang w:val="en-US" w:eastAsia="zh-CN"/>
        </w:rPr>
        <w:t>减少234.59</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下降43.7</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:2025年项目资金减少</w:t>
      </w:r>
      <w:r>
        <w:rPr>
          <w:rFonts w:hint="eastAsia" w:ascii="仿宋_GB2312" w:eastAsia="仿宋_GB2312" w:cs="仿宋_GB2312"/>
          <w:sz w:val="32"/>
          <w:szCs w:val="32"/>
        </w:rPr>
        <w:t>。</w:t>
      </w:r>
    </w:p>
    <w:p>
      <w:pPr>
        <w:ind w:firstLine="420" w:firstLineChars="200"/>
        <w:rPr>
          <w:rFonts w:ascii="仿宋" w:hAnsi="仿宋" w:eastAsia="仿宋"/>
          <w:b/>
          <w:color w:val="00B050"/>
          <w:sz w:val="32"/>
          <w:szCs w:val="32"/>
        </w:rPr>
      </w:pPr>
      <w:r>
        <w:drawing>
          <wp:inline distT="0" distB="0" distL="114300" distR="114300">
            <wp:extent cx="4572000" cy="2743200"/>
            <wp:effectExtent l="4445" t="4445" r="1460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643" w:firstLineChars="200"/>
        <w:rPr>
          <w:rFonts w:ascii="仿宋" w:hAnsi="仿宋" w:eastAsia="仿宋"/>
          <w:b/>
          <w:color w:val="00B05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3"/>
          <w:rFonts w:ascii="黑体" w:hAnsi="黑体" w:eastAsia="黑体"/>
          <w:b w:val="0"/>
        </w:rPr>
      </w:pPr>
      <w:bookmarkStart w:id="40" w:name="_Toc15396607"/>
      <w:bookmarkStart w:id="41" w:name="_Toc79163864"/>
      <w:bookmarkStart w:id="42" w:name="_Toc15377209"/>
      <w:bookmarkStart w:id="43"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3"/>
          <w:rFonts w:hint="eastAsia" w:ascii="黑体" w:hAnsi="黑体" w:eastAsia="黑体"/>
          <w:b w:val="0"/>
        </w:rPr>
        <w:t>般公共预算财政拨款支出决算情况说明</w:t>
      </w:r>
      <w:bookmarkEnd w:id="40"/>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44" w:name="_Toc15377210"/>
      <w:bookmarkStart w:id="45" w:name="_Toc79163615"/>
      <w:bookmarkStart w:id="46" w:name="_Toc79163865"/>
      <w:r>
        <w:rPr>
          <w:rFonts w:hint="eastAsia" w:ascii="楷体_GB2312" w:hAnsi="楷体_GB2312" w:eastAsia="楷体_GB2312" w:cs="楷体_GB2312"/>
          <w:b/>
          <w:bCs/>
          <w:sz w:val="32"/>
          <w:szCs w:val="32"/>
        </w:rPr>
        <w:t>（一）一般公共预算财政拨款支出决算总体情况</w:t>
      </w:r>
      <w:bookmarkEnd w:id="44"/>
      <w:bookmarkEnd w:id="45"/>
      <w:bookmarkEnd w:id="4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5年度</w:t>
      </w:r>
      <w:r>
        <w:rPr>
          <w:rFonts w:hint="eastAsia" w:ascii="仿宋_GB2312" w:eastAsia="仿宋_GB2312" w:cs="仿宋_GB2312"/>
          <w:sz w:val="32"/>
          <w:szCs w:val="32"/>
        </w:rPr>
        <w:t>一般公共预算财政拨款</w:t>
      </w:r>
      <w:r>
        <w:rPr>
          <w:rFonts w:hint="eastAsia" w:ascii="仿宋_GB2312" w:eastAsia="仿宋_GB2312" w:cs="仿宋_GB2312"/>
          <w:sz w:val="32"/>
          <w:szCs w:val="32"/>
          <w:lang w:val="en-US" w:eastAsia="zh-CN"/>
        </w:rPr>
        <w:t>支出301.62</w:t>
      </w:r>
      <w:r>
        <w:rPr>
          <w:rFonts w:hint="eastAsia" w:ascii="仿宋_GB2312" w:eastAsia="仿宋_GB2312" w:cs="仿宋_GB2312"/>
          <w:sz w:val="32"/>
          <w:szCs w:val="32"/>
        </w:rPr>
        <w:t>万元，占本年支出合计的100%。与</w:t>
      </w:r>
      <w:r>
        <w:rPr>
          <w:rFonts w:hint="eastAsia" w:ascii="仿宋_GB2312" w:eastAsia="仿宋_GB2312" w:cs="仿宋_GB2312"/>
          <w:sz w:val="32"/>
          <w:szCs w:val="32"/>
          <w:lang w:val="en-US" w:eastAsia="zh-CN"/>
        </w:rPr>
        <w:t>2024年度</w:t>
      </w:r>
      <w:r>
        <w:rPr>
          <w:rFonts w:hint="eastAsia" w:ascii="仿宋_GB2312" w:eastAsia="仿宋_GB2312" w:cs="仿宋_GB2312"/>
          <w:sz w:val="32"/>
          <w:szCs w:val="32"/>
        </w:rPr>
        <w:t>相比，一般公共预算财政拨款</w:t>
      </w:r>
      <w:r>
        <w:rPr>
          <w:rFonts w:hint="eastAsia" w:ascii="仿宋_GB2312" w:eastAsia="仿宋_GB2312" w:cs="仿宋_GB2312"/>
          <w:sz w:val="32"/>
          <w:szCs w:val="32"/>
          <w:lang w:val="en-US" w:eastAsia="zh-CN"/>
        </w:rPr>
        <w:t>支出减少234.59</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下降43.7</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:2025年项目资金减少</w:t>
      </w:r>
      <w:r>
        <w:rPr>
          <w:rFonts w:hint="eastAsia" w:ascii="仿宋_GB2312" w:eastAsia="仿宋_GB2312" w:cs="仿宋_GB2312"/>
          <w:sz w:val="32"/>
          <w:szCs w:val="32"/>
        </w:rPr>
        <w:t>。</w:t>
      </w:r>
    </w:p>
    <w:p>
      <w:pPr>
        <w:ind w:firstLine="420" w:firstLineChars="200"/>
        <w:rPr>
          <w:rFonts w:ascii="仿宋" w:hAnsi="仿宋" w:eastAsia="仿宋"/>
          <w:color w:val="000000"/>
          <w:sz w:val="32"/>
          <w:szCs w:val="32"/>
        </w:rPr>
      </w:pP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47" w:name="_Toc79163866"/>
      <w:bookmarkStart w:id="48" w:name="_Toc15377211"/>
      <w:bookmarkStart w:id="49" w:name="_Toc79163616"/>
      <w:r>
        <w:rPr>
          <w:rFonts w:hint="eastAsia" w:ascii="楷体_GB2312" w:hAnsi="楷体_GB2312" w:eastAsia="楷体_GB2312" w:cs="楷体_GB2312"/>
          <w:b/>
          <w:bCs/>
          <w:sz w:val="32"/>
          <w:szCs w:val="32"/>
        </w:rPr>
        <w:t>（二）一般公共预算财政拨款支出决算结构情况</w:t>
      </w:r>
      <w:bookmarkEnd w:id="47"/>
      <w:bookmarkEnd w:id="48"/>
      <w:bookmarkEnd w:id="4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5年度</w:t>
      </w:r>
      <w:r>
        <w:rPr>
          <w:rFonts w:hint="eastAsia" w:ascii="仿宋_GB2312" w:hAnsi="仿宋_GB2312" w:eastAsia="仿宋_GB2312" w:cs="仿宋_GB2312"/>
          <w:sz w:val="32"/>
          <w:szCs w:val="32"/>
        </w:rPr>
        <w:t>一般公共预算财政拨款支出</w:t>
      </w:r>
      <w:r>
        <w:rPr>
          <w:rFonts w:hint="eastAsia" w:ascii="仿宋_GB2312" w:hAnsi="仿宋_GB2312" w:eastAsia="仿宋_GB2312" w:cs="仿宋_GB2312"/>
          <w:sz w:val="32"/>
          <w:szCs w:val="32"/>
          <w:lang w:val="en-US" w:eastAsia="zh-CN"/>
        </w:rPr>
        <w:t>301.62</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sz w:val="32"/>
          <w:szCs w:val="32"/>
          <w:lang w:val="en-US" w:eastAsia="zh-CN"/>
        </w:rPr>
        <w:t>37.3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14.67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sz w:val="32"/>
          <w:szCs w:val="32"/>
          <w:lang w:val="en-US" w:eastAsia="zh-CN"/>
        </w:rPr>
        <w:t>21.97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商业服务业等支出</w:t>
      </w:r>
      <w:r>
        <w:rPr>
          <w:rFonts w:hint="eastAsia" w:ascii="仿宋_GB2312" w:hAnsi="仿宋_GB2312" w:eastAsia="仿宋_GB2312" w:cs="仿宋_GB2312"/>
          <w:sz w:val="32"/>
          <w:szCs w:val="32"/>
          <w:lang w:val="en-US" w:eastAsia="zh-CN"/>
        </w:rPr>
        <w:t>211.73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70.2</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15.95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5.3</w:t>
      </w:r>
      <w:r>
        <w:rPr>
          <w:rFonts w:hint="eastAsia" w:ascii="仿宋_GB2312" w:eastAsia="仿宋_GB2312" w:cs="仿宋_GB2312"/>
          <w:sz w:val="32"/>
          <w:szCs w:val="32"/>
        </w:rPr>
        <w:t>%。</w:t>
      </w:r>
    </w:p>
    <w:p>
      <w:pPr>
        <w:ind w:firstLine="420" w:firstLineChars="200"/>
        <w:rPr>
          <w:rFonts w:ascii="仿宋" w:hAnsi="仿宋" w:eastAsia="仿宋"/>
          <w:color w:val="000000"/>
          <w:sz w:val="32"/>
          <w:szCs w:val="32"/>
        </w:rPr>
      </w:pPr>
      <w:r>
        <w:drawing>
          <wp:inline distT="0" distB="0" distL="114300" distR="114300">
            <wp:extent cx="4667250" cy="2800350"/>
            <wp:effectExtent l="4445" t="5080" r="14605" b="13970"/>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50" w:name="_Toc15377212"/>
      <w:bookmarkStart w:id="51" w:name="_Toc79163617"/>
      <w:bookmarkStart w:id="52" w:name="_Toc79163867"/>
      <w:r>
        <w:rPr>
          <w:rFonts w:hint="eastAsia" w:ascii="楷体_GB2312" w:hAnsi="楷体_GB2312" w:eastAsia="楷体_GB2312" w:cs="楷体_GB2312"/>
          <w:b/>
          <w:bCs/>
          <w:sz w:val="32"/>
          <w:szCs w:val="32"/>
        </w:rPr>
        <w:t>（三）一般公共预算财政拨款支出决算具体情况</w:t>
      </w:r>
      <w:bookmarkEnd w:id="50"/>
      <w:bookmarkEnd w:id="51"/>
      <w:bookmarkEnd w:id="5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val="0"/>
          <w:bCs w:val="0"/>
          <w:sz w:val="32"/>
          <w:szCs w:val="32"/>
        </w:rPr>
      </w:pPr>
      <w:bookmarkStart w:id="53" w:name="_Toc15378460"/>
      <w:bookmarkStart w:id="54" w:name="_Toc15377444"/>
      <w:bookmarkStart w:id="55" w:name="_Toc15377213"/>
      <w:bookmarkStart w:id="56" w:name="_Toc15377214"/>
      <w:bookmarkStart w:id="57" w:name="_Toc15396608"/>
      <w:bookmarkStart w:id="58" w:name="_Toc79163618"/>
      <w:bookmarkStart w:id="59" w:name="_Toc79163868"/>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5年度</w:t>
      </w:r>
      <w:r>
        <w:rPr>
          <w:rFonts w:hint="eastAsia" w:ascii="仿宋_GB2312" w:hAnsi="仿宋_GB2312" w:eastAsia="仿宋_GB2312" w:cs="仿宋_GB2312"/>
          <w:b w:val="0"/>
          <w:bCs w:val="0"/>
          <w:sz w:val="32"/>
          <w:szCs w:val="32"/>
        </w:rPr>
        <w:t>一般公共预算支出决算数</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301.62</w:t>
      </w:r>
      <w:r>
        <w:rPr>
          <w:rFonts w:hint="eastAsia" w:ascii="仿宋_GB2312" w:hAnsi="仿宋_GB2312" w:eastAsia="仿宋_GB2312" w:cs="仿宋_GB2312"/>
          <w:b w:val="0"/>
          <w:bCs w:val="0"/>
          <w:sz w:val="32"/>
          <w:szCs w:val="32"/>
        </w:rPr>
        <w:t>万元，完成预算100%。其中：</w:t>
      </w:r>
      <w:bookmarkEnd w:id="53"/>
      <w:bookmarkEnd w:id="54"/>
      <w:bookmarkEnd w:id="55"/>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9"/>
          <w:rFonts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rPr>
        <w:t>1.社会保障和就业支出（</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）行政事业单位养老支出（</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）机关事业单位基本养老保险支出（</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24.87</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9"/>
          <w:rFonts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highlight w:val="none"/>
        </w:rPr>
        <w:t>2.社会保障和就业支出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）行政事业单位养老支出（</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）机关事业单位职业年金缴费支出（</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12.43</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color w:val="000000"/>
          <w:sz w:val="32"/>
          <w:szCs w:val="32"/>
        </w:rPr>
        <w:t>卫生健康支出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）行政事业单位医疗（</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）行政单位医疗（</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14.67</w:t>
      </w:r>
      <w:r>
        <w:rPr>
          <w:rStyle w:val="29"/>
          <w:rFonts w:hint="eastAsia" w:ascii="仿宋_GB2312" w:hAnsi="仿宋_GB2312" w:eastAsia="仿宋_GB2312" w:cs="仿宋_GB2312"/>
          <w:b w:val="0"/>
          <w:bCs/>
          <w:color w:val="000000"/>
          <w:sz w:val="32"/>
          <w:szCs w:val="32"/>
        </w:rPr>
        <w:t>万元，完成预算100%</w:t>
      </w:r>
      <w:r>
        <w:rPr>
          <w:rStyle w:val="29"/>
          <w:rFonts w:hint="eastAsia" w:ascii="仿宋_GB2312" w:hAnsi="仿宋_GB2312" w:eastAsia="仿宋_GB2312" w:cs="仿宋_GB2312"/>
          <w:b w:val="0"/>
          <w:bCs/>
          <w:color w:val="000000"/>
          <w:sz w:val="32"/>
          <w:szCs w:val="32"/>
          <w:lang w:eastAsia="zh-CN"/>
        </w:rPr>
        <w:t>，</w:t>
      </w:r>
      <w:r>
        <w:rPr>
          <w:rStyle w:val="29"/>
          <w:rFonts w:hint="eastAsia" w:ascii="仿宋_GB2312" w:hAnsi="仿宋_GB2312" w:eastAsia="仿宋_GB2312" w:cs="仿宋_GB2312"/>
          <w:b w:val="0"/>
          <w:bCs/>
          <w:color w:val="000000"/>
          <w:sz w:val="32"/>
          <w:szCs w:val="32"/>
        </w:rPr>
        <w:t>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lang w:val="en-US" w:eastAsia="zh-CN"/>
        </w:rPr>
        <w:t>4</w:t>
      </w:r>
      <w:r>
        <w:rPr>
          <w:rStyle w:val="29"/>
          <w:rFonts w:hint="eastAsia" w:ascii="仿宋_GB2312" w:hAnsi="仿宋_GB2312" w:eastAsia="仿宋_GB2312" w:cs="仿宋_GB2312"/>
          <w:bCs/>
          <w:color w:val="000000"/>
          <w:sz w:val="32"/>
          <w:szCs w:val="32"/>
        </w:rPr>
        <w:t>.农林水支出（</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）巩固脱贫衔接乡村振兴（</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）其他巩固脱贫攻坚衔接乡村振兴支出（</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 xml:space="preserve"> 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21.97</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9"/>
          <w:rFonts w:hint="eastAsia"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lang w:val="en-US" w:eastAsia="zh-CN"/>
        </w:rPr>
        <w:t>5</w:t>
      </w:r>
      <w:r>
        <w:rPr>
          <w:rStyle w:val="29"/>
          <w:rFonts w:hint="eastAsia" w:ascii="仿宋_GB2312" w:hAnsi="仿宋_GB2312" w:eastAsia="仿宋_GB2312" w:cs="仿宋_GB2312"/>
          <w:bCs/>
          <w:color w:val="000000"/>
          <w:sz w:val="32"/>
          <w:szCs w:val="32"/>
        </w:rPr>
        <w:t>.商业服务业等支出（</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）商业流通事务（</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）行政运行（</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171.15</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eastAsia="仿宋_GB2312"/>
          <w:lang w:val="en-US" w:eastAsia="zh-CN"/>
        </w:rPr>
      </w:pPr>
      <w:r>
        <w:rPr>
          <w:rStyle w:val="29"/>
          <w:rFonts w:hint="eastAsia" w:ascii="仿宋_GB2312" w:hAnsi="仿宋_GB2312" w:eastAsia="仿宋_GB2312" w:cs="仿宋_GB2312"/>
          <w:bCs/>
          <w:color w:val="000000"/>
          <w:sz w:val="32"/>
          <w:szCs w:val="32"/>
          <w:lang w:val="en-US" w:eastAsia="zh-CN"/>
        </w:rPr>
        <w:t>6</w:t>
      </w:r>
      <w:r>
        <w:rPr>
          <w:rStyle w:val="29"/>
          <w:rFonts w:hint="eastAsia" w:ascii="仿宋_GB2312" w:hAnsi="仿宋_GB2312" w:eastAsia="仿宋_GB2312" w:cs="仿宋_GB2312"/>
          <w:bCs/>
          <w:color w:val="000000"/>
          <w:sz w:val="32"/>
          <w:szCs w:val="32"/>
        </w:rPr>
        <w:t>.商业服务业等支出（</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）商业流通事务（</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eastAsia="zh-CN"/>
        </w:rPr>
        <w:t>其他商业流通事务支出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40.58</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lang w:val="en-US" w:eastAsia="zh-CN"/>
        </w:rPr>
        <w:t>7</w:t>
      </w:r>
      <w:r>
        <w:rPr>
          <w:rStyle w:val="2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）住房改革支出（</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）住房公积金（</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15.95</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33"/>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3"/>
          <w:rFonts w:hint="eastAsia" w:ascii="黑体" w:hAnsi="黑体" w:eastAsia="黑体"/>
          <w:b w:val="0"/>
        </w:rPr>
        <w:t>般公共预算财政拨款基本支出决算情况说明</w:t>
      </w:r>
      <w:bookmarkEnd w:id="56"/>
      <w:bookmarkEnd w:id="57"/>
      <w:bookmarkEnd w:id="58"/>
      <w:bookmarkEnd w:id="59"/>
      <w:r>
        <w:rPr>
          <w:rStyle w:val="33"/>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szCs w:val="32"/>
          <w:lang w:val="en-US" w:eastAsia="zh-CN"/>
        </w:rPr>
        <w:t>239.07</w:t>
      </w:r>
      <w:r>
        <w:rPr>
          <w:rFonts w:hint="eastAsia" w:ascii="仿宋_GB2312" w:hAnsi="仿宋_GB2312" w:eastAsia="仿宋_GB2312" w:cs="仿宋_GB2312"/>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229.84</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51.97</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39.11</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51.6</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24.87</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12.43</w:t>
      </w:r>
      <w:r>
        <w:rPr>
          <w:rFonts w:hint="eastAsia" w:ascii="仿宋_GB2312" w:hAnsi="仿宋_GB2312" w:eastAsia="仿宋_GB2312" w:cs="仿宋_GB2312"/>
          <w:sz w:val="32"/>
          <w:szCs w:val="32"/>
        </w:rPr>
        <w:t>万元、职工基本医疗保险缴费</w:t>
      </w:r>
      <w:r>
        <w:rPr>
          <w:rFonts w:hint="eastAsia" w:ascii="仿宋_GB2312" w:hAnsi="仿宋_GB2312" w:eastAsia="仿宋_GB2312" w:cs="仿宋_GB2312"/>
          <w:sz w:val="32"/>
          <w:szCs w:val="32"/>
          <w:lang w:val="en-US" w:eastAsia="zh-CN"/>
        </w:rPr>
        <w:t>14.67</w:t>
      </w:r>
      <w:r>
        <w:rPr>
          <w:rFonts w:hint="eastAsia" w:ascii="仿宋_GB2312" w:hAnsi="仿宋_GB2312" w:eastAsia="仿宋_GB2312" w:cs="仿宋_GB2312"/>
          <w:sz w:val="32"/>
          <w:szCs w:val="32"/>
        </w:rPr>
        <w:t>万元、其他社会保障缴</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医疗费3.27万元、</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val="en-US" w:eastAsia="zh-CN"/>
        </w:rPr>
        <w:t>15.95</w:t>
      </w:r>
      <w:r>
        <w:rPr>
          <w:rFonts w:hint="eastAsia" w:ascii="仿宋_GB2312" w:hAnsi="仿宋_GB2312" w:eastAsia="仿宋_GB2312" w:cs="仿宋_GB2312"/>
          <w:sz w:val="32"/>
          <w:szCs w:val="32"/>
        </w:rPr>
        <w:t>万元、生活补助</w:t>
      </w:r>
      <w:r>
        <w:rPr>
          <w:rFonts w:hint="eastAsia" w:ascii="仿宋_GB2312" w:hAnsi="仿宋_GB2312" w:eastAsia="仿宋_GB2312" w:cs="仿宋_GB2312"/>
          <w:sz w:val="32"/>
          <w:szCs w:val="32"/>
          <w:lang w:val="en-US" w:eastAsia="zh-CN"/>
        </w:rPr>
        <w:t>15.56</w:t>
      </w:r>
      <w:r>
        <w:rPr>
          <w:rFonts w:hint="eastAsia" w:ascii="仿宋_GB2312" w:hAnsi="仿宋_GB2312" w:eastAsia="仿宋_GB2312" w:cs="仿宋_GB2312"/>
          <w:sz w:val="32"/>
          <w:szCs w:val="32"/>
        </w:rPr>
        <w:t>万元、奖励金0.01万元。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9.23</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4.43万元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其他商品和服务支出1.18万元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3"/>
          <w:rFonts w:ascii="黑体" w:hAnsi="黑体" w:eastAsia="黑体"/>
          <w:b w:val="0"/>
        </w:rPr>
      </w:pPr>
      <w:bookmarkStart w:id="60" w:name="_Toc79163619"/>
      <w:bookmarkStart w:id="61" w:name="_Toc15396609"/>
      <w:bookmarkStart w:id="62" w:name="_Toc15377215"/>
      <w:bookmarkStart w:id="63" w:name="_Toc79163869"/>
      <w:r>
        <w:rPr>
          <w:rStyle w:val="33"/>
          <w:rFonts w:hint="eastAsia" w:ascii="黑体" w:hAnsi="黑体" w:eastAsia="黑体"/>
          <w:b w:val="0"/>
          <w:bCs w:val="0"/>
          <w:lang w:eastAsia="zh-CN"/>
        </w:rPr>
        <w:t>七、</w:t>
      </w:r>
      <w:r>
        <w:rPr>
          <w:rStyle w:val="33"/>
          <w:rFonts w:hint="eastAsia" w:ascii="黑体" w:hAnsi="黑体" w:eastAsia="黑体"/>
        </w:rPr>
        <w:t>“</w:t>
      </w:r>
      <w:r>
        <w:rPr>
          <w:rStyle w:val="33"/>
          <w:rFonts w:hint="eastAsia" w:ascii="黑体" w:hAnsi="黑体" w:eastAsia="黑体"/>
          <w:b w:val="0"/>
        </w:rPr>
        <w:t>三公”经费财政拨款支出决算情况说明</w:t>
      </w:r>
      <w:bookmarkEnd w:id="60"/>
      <w:bookmarkEnd w:id="61"/>
      <w:bookmarkEnd w:id="62"/>
      <w:bookmarkEnd w:id="63"/>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64" w:name="_Toc15377216"/>
      <w:bookmarkStart w:id="65" w:name="_Toc79163870"/>
      <w:bookmarkStart w:id="66" w:name="_Toc79163620"/>
      <w:r>
        <w:rPr>
          <w:rFonts w:hint="eastAsia" w:ascii="楷体_GB2312" w:hAnsi="楷体_GB2312" w:eastAsia="楷体_GB2312" w:cs="楷体_GB2312"/>
          <w:b/>
          <w:bCs/>
          <w:sz w:val="32"/>
          <w:szCs w:val="32"/>
        </w:rPr>
        <w:t>（一）财政拨款“三公”经费支出决算总体情况说明</w:t>
      </w:r>
      <w:bookmarkEnd w:id="64"/>
      <w:bookmarkEnd w:id="65"/>
      <w:bookmarkEnd w:id="6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lang w:val="en-US" w:eastAsia="zh-CN"/>
        </w:rPr>
        <w:t>财政拨款</w:t>
      </w:r>
      <w:r>
        <w:rPr>
          <w:rFonts w:hint="eastAsia" w:ascii="仿宋_GB2312" w:hAnsi="仿宋_GB2312" w:eastAsia="仿宋_GB2312" w:cs="仿宋_GB2312"/>
          <w:sz w:val="32"/>
          <w:szCs w:val="32"/>
        </w:rPr>
        <w:t>“三公”经费支出决算为</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与2024</w:t>
      </w:r>
      <w:r>
        <w:rPr>
          <w:rFonts w:hint="eastAsia" w:ascii="仿宋_GB2312" w:hAnsi="仿宋_GB2312" w:eastAsia="仿宋_GB2312" w:cs="仿宋_GB2312"/>
          <w:sz w:val="32"/>
          <w:szCs w:val="32"/>
          <w:lang w:eastAsia="zh-CN"/>
        </w:rPr>
        <w:t>年度</w:t>
      </w:r>
      <w:r>
        <w:rPr>
          <w:rFonts w:hint="eastAsia" w:ascii="仿宋_GB2312" w:hAnsi="仿宋_GB2312" w:eastAsia="仿宋_GB2312" w:cs="仿宋_GB2312"/>
          <w:sz w:val="32"/>
          <w:szCs w:val="32"/>
          <w:lang w:val="en-US" w:eastAsia="zh-CN"/>
        </w:rPr>
        <w:t>相比增加0.01万元，增长9.1%，主要原因是:公务接待费增加，</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预算数持平。</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67" w:name="_Toc15377217"/>
      <w:bookmarkStart w:id="68" w:name="_Toc79163871"/>
      <w:bookmarkStart w:id="69" w:name="_Toc79163621"/>
      <w:r>
        <w:rPr>
          <w:rFonts w:hint="eastAsia" w:ascii="楷体_GB2312" w:hAnsi="楷体_GB2312" w:eastAsia="楷体_GB2312" w:cs="楷体_GB2312"/>
          <w:b/>
          <w:bCs/>
          <w:sz w:val="32"/>
          <w:szCs w:val="32"/>
        </w:rPr>
        <w:t>（二）财政拨款“三公”经费支出决算具体情况说明</w:t>
      </w:r>
      <w:bookmarkEnd w:id="67"/>
      <w:bookmarkEnd w:id="68"/>
      <w:bookmarkEnd w:id="6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bookmarkStart w:id="70" w:name="_Toc79163622"/>
      <w:bookmarkStart w:id="71" w:name="_Toc15396610"/>
      <w:bookmarkStart w:id="72" w:name="_Toc15377218"/>
      <w:bookmarkStart w:id="73" w:name="_Toc79163872"/>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财政拨款“三公”经费支出决算中，因公出国（境）费支出决算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具体情况如下：</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4595495" cy="2838450"/>
            <wp:effectExtent l="4445" t="4445" r="10160" b="14605"/>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1.因公出国（境）经费支出</w:t>
      </w:r>
      <w:r>
        <w:rPr>
          <w:rFonts w:hint="eastAsia" w:ascii="仿宋_GB2312" w:hAnsi="仿宋_GB2312" w:eastAsia="仿宋_GB2312" w:cs="仿宋_GB2312"/>
          <w:color w:val="000000"/>
          <w:sz w:val="32"/>
          <w:szCs w:val="32"/>
          <w:highlight w:val="none"/>
        </w:rPr>
        <w:t>0万元，全年安排因公出国（境）团组0次，出国（境）0人</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eastAsia="仿宋_GB2312"/>
          <w:color w:val="auto"/>
          <w:sz w:val="32"/>
          <w:szCs w:val="32"/>
          <w:highlight w:val="none"/>
          <w:lang w:eastAsia="zh-CN"/>
        </w:rPr>
      </w:pPr>
      <w:r>
        <w:rPr>
          <w:rFonts w:hint="eastAsia" w:ascii="仿宋_GB2312" w:hAnsi="仿宋_GB2312" w:eastAsia="仿宋_GB2312" w:cs="仿宋_GB2312"/>
          <w:b/>
          <w:bCs/>
          <w:color w:val="000000"/>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公务用车购置</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lang w:val="en-US" w:eastAsia="zh-CN"/>
        </w:rPr>
        <w:t>0万元；</w:t>
      </w:r>
      <w:r>
        <w:rPr>
          <w:rFonts w:hint="eastAsia" w:ascii="仿宋_GB2312" w:hAnsi="仿宋_GB2312" w:eastAsia="仿宋_GB2312" w:cs="仿宋_GB2312"/>
          <w:b/>
          <w:bCs/>
          <w:color w:val="000000"/>
          <w:sz w:val="32"/>
          <w:szCs w:val="32"/>
          <w:highlight w:val="none"/>
          <w:lang w:val="en-US" w:eastAsia="zh-CN"/>
        </w:rPr>
        <w:t>公务用车</w:t>
      </w:r>
      <w:r>
        <w:rPr>
          <w:rFonts w:hint="eastAsia" w:ascii="仿宋_GB2312" w:hAnsi="仿宋_GB2312" w:eastAsia="仿宋_GB2312" w:cs="仿宋_GB2312"/>
          <w:b/>
          <w:bCs/>
          <w:color w:val="000000"/>
          <w:sz w:val="32"/>
          <w:szCs w:val="32"/>
          <w:highlight w:val="none"/>
        </w:rPr>
        <w:t>运行</w:t>
      </w:r>
      <w:r>
        <w:rPr>
          <w:rFonts w:hint="eastAsia" w:ascii="仿宋_GB2312" w:hAnsi="仿宋_GB2312" w:eastAsia="仿宋_GB2312" w:cs="仿宋_GB2312"/>
          <w:b/>
          <w:bCs/>
          <w:color w:val="000000"/>
          <w:sz w:val="32"/>
          <w:szCs w:val="32"/>
          <w:highlight w:val="none"/>
          <w:lang w:val="en-US" w:eastAsia="zh-CN"/>
        </w:rPr>
        <w:t>维护</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rPr>
        <w:t>0万元</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default"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
          <w:bCs/>
          <w:color w:val="000000"/>
          <w:sz w:val="32"/>
          <w:szCs w:val="32"/>
          <w:highlight w:val="none"/>
        </w:rPr>
        <w:t>3.公务接待费支出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万元，完成预算100%。公务接待费支出决算</w:t>
      </w:r>
      <w:r>
        <w:rPr>
          <w:rFonts w:hint="eastAsia" w:ascii="仿宋_GB2312" w:hAnsi="仿宋_GB2312" w:eastAsia="仿宋_GB2312" w:cs="仿宋_GB2312"/>
          <w:color w:val="000000"/>
          <w:sz w:val="32"/>
          <w:szCs w:val="32"/>
          <w:highlight w:val="none"/>
          <w:lang w:val="en-US" w:eastAsia="zh-CN"/>
        </w:rPr>
        <w:t>数与</w:t>
      </w:r>
      <w:r>
        <w:rPr>
          <w:rFonts w:hint="eastAsia" w:ascii="仿宋_GB2312" w:hAnsi="仿宋_GB2312" w:eastAsia="仿宋_GB2312" w:cs="仿宋_GB2312"/>
          <w:color w:val="000000"/>
          <w:sz w:val="32"/>
          <w:szCs w:val="32"/>
          <w:highlight w:val="none"/>
        </w:rPr>
        <w:t>20</w:t>
      </w:r>
      <w:r>
        <w:rPr>
          <w:rFonts w:hint="eastAsia" w:ascii="仿宋_GB2312" w:hAnsi="仿宋_GB2312" w:eastAsia="仿宋_GB2312" w:cs="仿宋_GB2312"/>
          <w:color w:val="000000"/>
          <w:sz w:val="32"/>
          <w:szCs w:val="32"/>
          <w:highlight w:val="none"/>
          <w:lang w:val="en-US" w:eastAsia="zh-CN"/>
        </w:rPr>
        <w:t>24年度相比增加0.01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增长9.1</w:t>
      </w:r>
      <w:r>
        <w:rPr>
          <w:rFonts w:hint="eastAsia" w:ascii="仿宋_GB2312" w:hAnsi="仿宋_GB2312" w:eastAsia="仿宋_GB2312" w:cs="仿宋_GB2312"/>
          <w:color w:val="000000"/>
          <w:sz w:val="32"/>
          <w:szCs w:val="32"/>
          <w:highlight w:val="none"/>
        </w:rPr>
        <w:t>%，</w:t>
      </w:r>
      <w:bookmarkStart w:id="130" w:name="_GoBack"/>
      <w:bookmarkEnd w:id="130"/>
      <w:r>
        <w:rPr>
          <w:rFonts w:hint="eastAsia" w:ascii="仿宋_GB2312" w:hAnsi="仿宋_GB2312" w:eastAsia="仿宋_GB2312" w:cs="仿宋_GB2312"/>
          <w:color w:val="000000"/>
          <w:sz w:val="32"/>
          <w:szCs w:val="32"/>
          <w:highlight w:val="none"/>
        </w:rPr>
        <w:t>主要原因</w:t>
      </w:r>
      <w:r>
        <w:rPr>
          <w:rFonts w:hint="eastAsia" w:ascii="仿宋_GB2312" w:hAnsi="仿宋_GB2312" w:eastAsia="仿宋_GB2312" w:cs="仿宋_GB2312"/>
          <w:color w:val="000000"/>
          <w:sz w:val="32"/>
          <w:szCs w:val="32"/>
          <w:highlight w:val="none"/>
          <w:lang w:eastAsia="zh-CN"/>
        </w:rPr>
        <w:t>是</w:t>
      </w:r>
      <w:r>
        <w:rPr>
          <w:rFonts w:hint="eastAsia" w:ascii="仿宋_GB2312" w:hAnsi="仿宋_GB2312" w:eastAsia="仿宋_GB2312" w:cs="仿宋_GB2312"/>
          <w:color w:val="000000"/>
          <w:sz w:val="32"/>
          <w:szCs w:val="32"/>
          <w:highlight w:val="none"/>
          <w:lang w:val="en-US" w:eastAsia="zh-CN"/>
        </w:rPr>
        <w:t>:接待人数不变，接待金额增加。</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国内公务接待支出</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lang w:val="en-US" w:eastAsia="zh-CN"/>
        </w:rPr>
        <w:t>12</w:t>
      </w:r>
      <w:r>
        <w:rPr>
          <w:rFonts w:hint="eastAsia" w:ascii="仿宋_GB2312" w:hAnsi="仿宋_GB2312" w:eastAsia="仿宋_GB2312" w:cs="仿宋_GB2312"/>
          <w:color w:val="000000"/>
          <w:sz w:val="32"/>
          <w:szCs w:val="32"/>
          <w:highlight w:val="none"/>
        </w:rPr>
        <w:t>万元，主要用于</w:t>
      </w:r>
      <w:r>
        <w:rPr>
          <w:rFonts w:hint="eastAsia" w:ascii="仿宋_GB2312" w:hAnsi="仿宋_GB2312" w:eastAsia="仿宋_GB2312" w:cs="仿宋_GB2312"/>
          <w:color w:val="000000"/>
          <w:sz w:val="32"/>
          <w:szCs w:val="32"/>
          <w:highlight w:val="none"/>
          <w:lang w:val="en-US" w:eastAsia="zh-CN"/>
        </w:rPr>
        <w:t>公务</w:t>
      </w:r>
      <w:r>
        <w:rPr>
          <w:rFonts w:hint="eastAsia" w:ascii="仿宋_GB2312" w:hAnsi="仿宋_GB2312" w:eastAsia="仿宋_GB2312" w:cs="仿宋_GB2312"/>
          <w:color w:val="000000"/>
          <w:sz w:val="32"/>
          <w:szCs w:val="32"/>
          <w:highlight w:val="none"/>
        </w:rPr>
        <w:t>接待的用餐费。国内公务接待</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批次，</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人次（不包括陪同人员），共计支出0.1</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具体内容包括：</w:t>
      </w:r>
      <w:r>
        <w:rPr>
          <w:rFonts w:hint="eastAsia" w:ascii="仿宋_GB2312" w:hAnsi="仿宋_GB2312" w:eastAsia="仿宋_GB2312" w:cs="仿宋_GB2312"/>
          <w:sz w:val="32"/>
          <w:szCs w:val="32"/>
          <w:highlight w:val="none"/>
          <w:lang w:val="en-US" w:eastAsia="zh-CN"/>
        </w:rPr>
        <w:t>接待省社及州社一行共7人赴我社开展基层组织体系建设及供销合作社深化综合改革调研工作，</w:t>
      </w:r>
      <w:r>
        <w:rPr>
          <w:rFonts w:hint="eastAsia" w:ascii="仿宋_GB2312" w:hAnsi="仿宋_GB2312" w:eastAsia="仿宋_GB2312" w:cs="仿宋_GB2312"/>
          <w:sz w:val="32"/>
          <w:szCs w:val="32"/>
          <w:highlight w:val="none"/>
          <w:lang w:eastAsia="zh-CN"/>
        </w:rPr>
        <w:t>接待金额</w:t>
      </w:r>
      <w:r>
        <w:rPr>
          <w:rFonts w:hint="eastAsia" w:ascii="仿宋_GB2312" w:hAnsi="仿宋_GB2312" w:eastAsia="仿宋_GB2312" w:cs="仿宋_GB2312"/>
          <w:sz w:val="32"/>
          <w:szCs w:val="32"/>
          <w:highlight w:val="none"/>
          <w:lang w:val="en-US" w:eastAsia="zh-CN"/>
        </w:rPr>
        <w:t>0.12万元。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color w:val="FF0000"/>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3"/>
          <w:rFonts w:ascii="黑体" w:hAnsi="黑体" w:eastAsia="黑体"/>
          <w:highlight w:val="none"/>
        </w:rPr>
      </w:pPr>
      <w:r>
        <w:rPr>
          <w:rFonts w:hint="eastAsia" w:ascii="黑体" w:eastAsia="黑体"/>
          <w:color w:val="000000"/>
          <w:sz w:val="32"/>
          <w:szCs w:val="32"/>
          <w:highlight w:val="none"/>
        </w:rPr>
        <w:t>八、</w:t>
      </w:r>
      <w:r>
        <w:rPr>
          <w:rStyle w:val="33"/>
          <w:rFonts w:hint="eastAsia" w:ascii="黑体" w:hAnsi="黑体" w:eastAsia="黑体"/>
          <w:b w:val="0"/>
          <w:highlight w:val="none"/>
        </w:rPr>
        <w:t>政府性基金预算支出决算情况说明</w:t>
      </w:r>
      <w:bookmarkEnd w:id="70"/>
      <w:bookmarkEnd w:id="71"/>
      <w:bookmarkEnd w:id="72"/>
      <w:bookmarkEnd w:id="7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bookmarkStart w:id="74" w:name="_Toc15396611"/>
      <w:bookmarkStart w:id="75" w:name="_Toc79163623"/>
      <w:bookmarkStart w:id="76" w:name="_Toc15377219"/>
      <w:bookmarkStart w:id="77" w:name="_Toc79163873"/>
      <w:r>
        <w:rPr>
          <w:rFonts w:hint="eastAsia" w:ascii="仿宋_GB2312" w:hAnsi="仿宋_GB2312" w:eastAsia="仿宋_GB2312" w:cs="仿宋_GB2312"/>
          <w:sz w:val="32"/>
          <w:szCs w:val="32"/>
          <w:highlight w:val="none"/>
          <w:lang w:val="en-US" w:eastAsia="zh-CN"/>
        </w:rPr>
        <w:t>2025年度</w:t>
      </w:r>
      <w:r>
        <w:rPr>
          <w:rFonts w:hint="eastAsia" w:ascii="仿宋_GB2312" w:hAnsi="仿宋_GB2312" w:eastAsia="仿宋_GB2312" w:cs="仿宋_GB2312"/>
          <w:sz w:val="32"/>
          <w:szCs w:val="32"/>
          <w:highlight w:val="none"/>
        </w:rPr>
        <w:t>政府性基金</w:t>
      </w:r>
      <w:r>
        <w:rPr>
          <w:rFonts w:hint="eastAsia" w:ascii="仿宋_GB2312" w:hAnsi="仿宋_GB2312" w:eastAsia="仿宋_GB2312" w:cs="仿宋_GB2312"/>
          <w:sz w:val="32"/>
          <w:szCs w:val="32"/>
          <w:highlight w:val="none"/>
          <w:lang w:eastAsia="zh-CN"/>
        </w:rPr>
        <w:t>预算</w:t>
      </w:r>
      <w:r>
        <w:rPr>
          <w:rFonts w:hint="eastAsia" w:ascii="仿宋_GB2312" w:hAnsi="仿宋_GB2312" w:eastAsia="仿宋_GB2312" w:cs="仿宋_GB2312"/>
          <w:sz w:val="32"/>
          <w:szCs w:val="32"/>
          <w:highlight w:val="none"/>
          <w:lang w:val="en-US" w:eastAsia="zh-CN"/>
        </w:rPr>
        <w:t>财政拨款</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0万元</w:t>
      </w:r>
      <w:r>
        <w:rPr>
          <w:rFonts w:hint="eastAsia" w:ascii="仿宋_GB2312" w:hAnsi="仿宋_GB2312" w:eastAsia="仿宋_GB2312" w:cs="仿宋_GB2312"/>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3"/>
          <w:rFonts w:ascii="黑体" w:hAnsi="黑体" w:eastAsia="黑体"/>
          <w:b w:val="0"/>
          <w:highlight w:val="none"/>
        </w:rPr>
      </w:pPr>
      <w:r>
        <w:rPr>
          <w:rStyle w:val="33"/>
          <w:rFonts w:hint="eastAsia" w:ascii="黑体" w:hAnsi="黑体" w:eastAsia="黑体"/>
          <w:b w:val="0"/>
          <w:highlight w:val="none"/>
          <w:lang w:eastAsia="zh-CN"/>
        </w:rPr>
        <w:t>九、</w:t>
      </w:r>
      <w:r>
        <w:rPr>
          <w:rStyle w:val="33"/>
          <w:rFonts w:hint="eastAsia" w:ascii="黑体" w:hAnsi="黑体" w:eastAsia="黑体"/>
          <w:b w:val="0"/>
          <w:highlight w:val="none"/>
        </w:rPr>
        <w:t>国有资本经营预算支出决算情况说明</w:t>
      </w:r>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2025年的</w:t>
      </w:r>
      <w:r>
        <w:rPr>
          <w:rFonts w:hint="eastAsia" w:ascii="仿宋_GB2312" w:hAnsi="仿宋_GB2312" w:eastAsia="仿宋_GB2312" w:cs="仿宋_GB2312"/>
          <w:sz w:val="32"/>
          <w:szCs w:val="32"/>
          <w:highlight w:val="none"/>
          <w:lang w:eastAsia="zh-CN"/>
        </w:rPr>
        <w:t>国有资本经营</w:t>
      </w:r>
      <w:r>
        <w:rPr>
          <w:rFonts w:hint="eastAsia" w:ascii="仿宋_GB2312" w:hAnsi="仿宋_GB2312" w:eastAsia="仿宋_GB2312" w:cs="仿宋_GB2312"/>
          <w:sz w:val="32"/>
          <w:szCs w:val="32"/>
          <w:highlight w:val="none"/>
          <w:lang w:val="en-US" w:eastAsia="zh-CN"/>
        </w:rPr>
        <w:t>预算财政拨款</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0万元</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3"/>
          <w:rFonts w:ascii="黑体" w:hAnsi="黑体" w:eastAsia="黑体"/>
        </w:rPr>
      </w:pPr>
      <w:bookmarkStart w:id="78" w:name="_Toc79163624"/>
      <w:bookmarkStart w:id="79" w:name="_Toc79163874"/>
      <w:bookmarkStart w:id="80" w:name="_Toc15396612"/>
      <w:bookmarkStart w:id="81" w:name="_Toc15377221"/>
      <w:r>
        <w:rPr>
          <w:rFonts w:hint="eastAsia" w:ascii="黑体" w:hAnsi="黑体" w:eastAsia="黑体"/>
          <w:color w:val="000000"/>
          <w:sz w:val="32"/>
          <w:szCs w:val="32"/>
        </w:rPr>
        <w:t>十</w:t>
      </w:r>
      <w:r>
        <w:rPr>
          <w:rStyle w:val="33"/>
          <w:rFonts w:hint="eastAsia" w:ascii="黑体" w:hAnsi="黑体" w:eastAsia="黑体"/>
        </w:rPr>
        <w:t>、</w:t>
      </w:r>
      <w:r>
        <w:rPr>
          <w:rStyle w:val="33"/>
          <w:rFonts w:hint="eastAsia" w:ascii="黑体" w:hAnsi="黑体" w:eastAsia="黑体"/>
          <w:b w:val="0"/>
        </w:rPr>
        <w:t>其他重要事项的情况说明</w:t>
      </w:r>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82" w:name="_Toc15377222"/>
      <w:bookmarkStart w:id="83" w:name="_Toc79163875"/>
      <w:bookmarkStart w:id="84" w:name="_Toc79163625"/>
      <w:r>
        <w:rPr>
          <w:rFonts w:hint="eastAsia" w:ascii="楷体_GB2312" w:hAnsi="楷体_GB2312" w:eastAsia="楷体_GB2312" w:cs="楷体_GB2312"/>
          <w:b/>
          <w:bCs/>
          <w:sz w:val="32"/>
          <w:szCs w:val="32"/>
        </w:rPr>
        <w:t>（一）机关运行经费支出情况</w:t>
      </w:r>
      <w:bookmarkEnd w:id="82"/>
      <w:bookmarkEnd w:id="83"/>
      <w:bookmarkEnd w:id="8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bookmarkStart w:id="85" w:name="_Toc79163876"/>
      <w:bookmarkStart w:id="86" w:name="_Toc15377223"/>
      <w:bookmarkStart w:id="87" w:name="_Toc79163626"/>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5年度</w:t>
      </w:r>
      <w:r>
        <w:rPr>
          <w:rFonts w:hint="eastAsia" w:ascii="仿宋_GB2312" w:hAnsi="仿宋_GB2312" w:eastAsia="仿宋_GB2312" w:cs="仿宋_GB2312"/>
          <w:sz w:val="32"/>
          <w:szCs w:val="32"/>
          <w:highlight w:val="none"/>
          <w:lang w:eastAsia="zh-CN"/>
        </w:rPr>
        <w:t>，茂县供销</w:t>
      </w:r>
      <w:r>
        <w:rPr>
          <w:rFonts w:hint="eastAsia" w:ascii="仿宋_GB2312" w:hAnsi="仿宋_GB2312" w:eastAsia="仿宋_GB2312" w:cs="仿宋_GB2312"/>
          <w:sz w:val="32"/>
          <w:szCs w:val="32"/>
          <w:highlight w:val="none"/>
          <w:lang w:val="en-US" w:eastAsia="zh-CN"/>
        </w:rPr>
        <w:t>合作</w:t>
      </w:r>
      <w:r>
        <w:rPr>
          <w:rFonts w:hint="eastAsia" w:ascii="仿宋_GB2312" w:hAnsi="仿宋_GB2312" w:eastAsia="仿宋_GB2312" w:cs="仿宋_GB2312"/>
          <w:sz w:val="32"/>
          <w:szCs w:val="32"/>
          <w:highlight w:val="none"/>
          <w:lang w:eastAsia="zh-CN"/>
        </w:rPr>
        <w:t>社</w:t>
      </w:r>
      <w:r>
        <w:rPr>
          <w:rFonts w:hint="eastAsia" w:ascii="仿宋_GB2312" w:hAnsi="仿宋_GB2312" w:eastAsia="仿宋_GB2312" w:cs="仿宋_GB2312"/>
          <w:sz w:val="32"/>
          <w:szCs w:val="32"/>
          <w:highlight w:val="none"/>
          <w:lang w:val="en-US" w:eastAsia="zh-CN"/>
        </w:rPr>
        <w:t>联合社</w:t>
      </w:r>
      <w:r>
        <w:rPr>
          <w:rFonts w:hint="eastAsia" w:ascii="仿宋_GB2312" w:hAnsi="仿宋_GB2312" w:eastAsia="仿宋_GB2312" w:cs="仿宋_GB2312"/>
          <w:sz w:val="32"/>
          <w:szCs w:val="32"/>
          <w:highlight w:val="none"/>
          <w:lang w:eastAsia="zh-CN"/>
        </w:rPr>
        <w:t>机关运行经费支出</w:t>
      </w:r>
      <w:r>
        <w:rPr>
          <w:rFonts w:hint="eastAsia" w:ascii="仿宋_GB2312" w:hAnsi="仿宋_GB2312" w:eastAsia="仿宋_GB2312" w:cs="仿宋_GB2312"/>
          <w:sz w:val="32"/>
          <w:szCs w:val="32"/>
          <w:highlight w:val="none"/>
          <w:lang w:val="en-US" w:eastAsia="zh-CN"/>
        </w:rPr>
        <w:t>9.23</w:t>
      </w:r>
      <w:r>
        <w:rPr>
          <w:rFonts w:hint="eastAsia" w:ascii="仿宋_GB2312" w:hAnsi="仿宋_GB2312" w:eastAsia="仿宋_GB2312" w:cs="仿宋_GB2312"/>
          <w:sz w:val="32"/>
          <w:szCs w:val="32"/>
          <w:highlight w:val="none"/>
          <w:lang w:eastAsia="zh-CN"/>
        </w:rPr>
        <w:t>万元，比</w:t>
      </w:r>
      <w:r>
        <w:rPr>
          <w:rFonts w:hint="eastAsia" w:ascii="仿宋_GB2312" w:hAnsi="仿宋_GB2312" w:eastAsia="仿宋_GB2312" w:cs="仿宋_GB2312"/>
          <w:sz w:val="32"/>
          <w:szCs w:val="32"/>
          <w:highlight w:val="none"/>
          <w:lang w:val="en-US" w:eastAsia="zh-CN"/>
        </w:rPr>
        <w:t>上年度增加3.63</w:t>
      </w:r>
      <w:r>
        <w:rPr>
          <w:rFonts w:hint="eastAsia" w:ascii="仿宋_GB2312" w:hAnsi="仿宋_GB2312" w:eastAsia="仿宋_GB2312" w:cs="仿宋_GB2312"/>
          <w:sz w:val="32"/>
          <w:szCs w:val="32"/>
          <w:highlight w:val="none"/>
          <w:lang w:eastAsia="zh-CN"/>
        </w:rPr>
        <w:t>万元，</w:t>
      </w:r>
      <w:r>
        <w:rPr>
          <w:rFonts w:hint="eastAsia" w:ascii="仿宋_GB2312" w:hAnsi="仿宋_GB2312" w:eastAsia="仿宋_GB2312" w:cs="仿宋_GB2312"/>
          <w:sz w:val="32"/>
          <w:szCs w:val="32"/>
          <w:highlight w:val="none"/>
          <w:lang w:val="en-US" w:eastAsia="zh-CN"/>
        </w:rPr>
        <w:t>增长64.8</w:t>
      </w:r>
      <w:r>
        <w:rPr>
          <w:rFonts w:hint="eastAsia" w:ascii="仿宋_GB2312" w:hAnsi="仿宋_GB2312" w:eastAsia="仿宋_GB2312" w:cs="仿宋_GB2312"/>
          <w:sz w:val="32"/>
          <w:szCs w:val="32"/>
          <w:highlight w:val="none"/>
          <w:lang w:eastAsia="zh-CN"/>
        </w:rPr>
        <w:t>%。主要原因是：人员增加</w:t>
      </w:r>
      <w:r>
        <w:rPr>
          <w:rFonts w:hint="eastAsia" w:ascii="仿宋_GB2312" w:hAnsi="仿宋_GB2312" w:eastAsia="仿宋_GB2312" w:cs="仿宋_GB2312"/>
          <w:sz w:val="32"/>
          <w:szCs w:val="32"/>
          <w:highlight w:val="none"/>
          <w:lang w:val="en-US" w:eastAsia="zh-CN"/>
        </w:rPr>
        <w:t>,公用经费增加</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（二）政府采购支出情况</w:t>
      </w:r>
      <w:bookmarkEnd w:id="85"/>
      <w:bookmarkEnd w:id="86"/>
      <w:bookmarkEnd w:id="8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bookmarkStart w:id="88" w:name="_Toc15377224"/>
      <w:bookmarkStart w:id="89" w:name="_Toc79163877"/>
      <w:bookmarkStart w:id="90" w:name="_Toc79163627"/>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5年度</w:t>
      </w:r>
      <w:r>
        <w:rPr>
          <w:rFonts w:hint="eastAsia" w:ascii="仿宋_GB2312" w:hAnsi="仿宋_GB2312" w:eastAsia="仿宋_GB2312" w:cs="仿宋_GB2312"/>
          <w:sz w:val="32"/>
          <w:szCs w:val="32"/>
          <w:highlight w:val="none"/>
        </w:rPr>
        <w:t>，政府采购支出总额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万元、政府采购工程支出0万元、政府采购服务支出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bookmarkEnd w:id="88"/>
      <w:bookmarkEnd w:id="89"/>
      <w:bookmarkEnd w:id="9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年12月31日，茂县供销合作社联合社共有车辆0辆。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bookmarkStart w:id="91" w:name="_Toc79163628"/>
      <w:bookmarkStart w:id="92" w:name="_Toc79163878"/>
      <w:r>
        <w:rPr>
          <w:rFonts w:hint="eastAsia" w:ascii="楷体_GB2312" w:hAnsi="楷体_GB2312" w:eastAsia="楷体_GB2312" w:cs="楷体_GB2312"/>
          <w:b/>
          <w:bCs/>
          <w:sz w:val="32"/>
          <w:szCs w:val="32"/>
          <w:highlight w:val="none"/>
        </w:rPr>
        <w:t>（四）预算绩效管理情况</w:t>
      </w:r>
      <w:bookmarkEnd w:id="91"/>
      <w:bookmarkEnd w:id="9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根据预算绩效管理要求，</w:t>
      </w: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highlight w:val="none"/>
          <w:lang w:val="en-US" w:eastAsia="zh-CN"/>
        </w:rPr>
        <w:t>在2025年度预算编制阶段，组织对州级农资价格及储备补贴资金项目、2025年度交流交往交融项目（1）、2025年度交流交往交融项目（2）、第四次社员代表大会等</w:t>
      </w:r>
      <w:r>
        <w:rPr>
          <w:rFonts w:hint="eastAsia" w:ascii="仿宋_GB2312" w:hAnsi="仿宋_GB2312" w:eastAsia="仿宋_GB2312" w:cs="仿宋_GB2312"/>
          <w:sz w:val="32"/>
          <w:szCs w:val="32"/>
          <w:highlight w:val="none"/>
          <w:lang w:eastAsia="zh-CN"/>
        </w:rPr>
        <w:t>4个项目</w:t>
      </w:r>
      <w:r>
        <w:rPr>
          <w:rFonts w:hint="eastAsia" w:ascii="仿宋_GB2312" w:hAnsi="仿宋_GB2312" w:eastAsia="仿宋_GB2312" w:cs="仿宋_GB2312"/>
          <w:sz w:val="32"/>
          <w:szCs w:val="32"/>
          <w:highlight w:val="none"/>
          <w:lang w:val="en-US" w:eastAsia="zh-CN"/>
        </w:rPr>
        <w:t>开展了预算事</w:t>
      </w:r>
      <w:r>
        <w:rPr>
          <w:rFonts w:hint="eastAsia" w:ascii="仿宋_GB2312" w:hAnsi="仿宋_GB2312" w:eastAsia="仿宋_GB2312" w:cs="仿宋_GB2312"/>
          <w:sz w:val="32"/>
          <w:szCs w:val="32"/>
          <w:highlight w:val="none"/>
          <w:lang w:eastAsia="zh-CN"/>
        </w:rPr>
        <w:t>前绩效评估，编制了绩效目标，预算执行过程中，选取了</w:t>
      </w:r>
      <w:r>
        <w:rPr>
          <w:rFonts w:hint="eastAsia" w:ascii="仿宋_GB2312" w:hAnsi="仿宋_GB2312" w:eastAsia="仿宋_GB2312" w:cs="仿宋_GB2312"/>
          <w:sz w:val="32"/>
          <w:szCs w:val="32"/>
          <w:highlight w:val="none"/>
          <w:lang w:val="en-US" w:eastAsia="zh-CN"/>
        </w:rPr>
        <w:t>4个</w:t>
      </w:r>
      <w:r>
        <w:rPr>
          <w:rFonts w:hint="eastAsia" w:ascii="仿宋_GB2312" w:hAnsi="仿宋_GB2312" w:eastAsia="仿宋_GB2312" w:cs="仿宋_GB2312"/>
          <w:sz w:val="32"/>
          <w:szCs w:val="32"/>
          <w:highlight w:val="none"/>
          <w:lang w:eastAsia="zh-CN"/>
        </w:rPr>
        <w:t>项目开展绩效监控，</w:t>
      </w:r>
      <w:r>
        <w:rPr>
          <w:rFonts w:hint="eastAsia" w:ascii="仿宋_GB2312" w:hAnsi="仿宋_GB2312" w:eastAsia="仿宋_GB2312" w:cs="仿宋_GB2312"/>
          <w:sz w:val="32"/>
          <w:szCs w:val="32"/>
          <w:highlight w:val="none"/>
          <w:lang w:val="en-US" w:eastAsia="zh-CN"/>
        </w:rPr>
        <w:t>组织对2025年度4个项目开展绩效自评，绩效自评表详见附件。</w:t>
      </w:r>
    </w:p>
    <w:p>
      <w:pPr>
        <w:pStyle w:val="2"/>
        <w:rPr>
          <w:rFonts w:hint="eastAsia" w:ascii="仿宋_GB2312" w:hAnsi="仿宋_GB2312" w:eastAsia="仿宋_GB2312" w:cs="仿宋_GB2312"/>
          <w:sz w:val="32"/>
          <w:szCs w:val="32"/>
          <w:highlight w:val="none"/>
          <w:lang w:val="en-US" w:eastAsia="zh-CN"/>
        </w:rPr>
      </w:pPr>
    </w:p>
    <w:p>
      <w:pPr>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rPr>
          <w:rFonts w:hint="eastAsia" w:ascii="仿宋_GB2312" w:hAnsi="仿宋_GB2312" w:eastAsia="仿宋_GB2312" w:cs="仿宋_GB2312"/>
          <w:sz w:val="32"/>
          <w:szCs w:val="32"/>
          <w:highlight w:val="none"/>
          <w:lang w:val="en-US" w:eastAsia="zh-CN"/>
        </w:rPr>
      </w:pPr>
    </w:p>
    <w:p>
      <w:pPr>
        <w:pStyle w:val="2"/>
        <w:rPr>
          <w:rFonts w:hint="eastAsia"/>
          <w:lang w:val="en-US" w:eastAsia="zh-CN"/>
        </w:rPr>
      </w:pPr>
    </w:p>
    <w:p>
      <w:pPr>
        <w:pStyle w:val="2"/>
        <w:rPr>
          <w:rFonts w:hint="eastAsia" w:ascii="仿宋_GB2312" w:hAnsi="仿宋_GB2312" w:eastAsia="仿宋_GB2312" w:cs="仿宋_GB2312"/>
          <w:sz w:val="32"/>
          <w:szCs w:val="32"/>
          <w:highlight w:val="none"/>
          <w:lang w:val="en-US" w:eastAsia="zh-CN"/>
        </w:rPr>
      </w:pPr>
    </w:p>
    <w:p/>
    <w:p>
      <w:pPr>
        <w:numPr>
          <w:ilvl w:val="0"/>
          <w:numId w:val="0"/>
        </w:numPr>
        <w:spacing w:line="600" w:lineRule="exact"/>
        <w:ind w:left="2730" w:leftChars="0"/>
        <w:outlineLvl w:val="0"/>
        <w:rPr>
          <w:rStyle w:val="32"/>
          <w:rFonts w:hint="eastAsia" w:ascii="方正小标宋简体" w:hAnsi="方正小标宋简体" w:eastAsia="方正小标宋简体" w:cs="方正小标宋简体"/>
          <w:b w:val="0"/>
        </w:rPr>
      </w:pPr>
      <w:bookmarkStart w:id="93" w:name="_Toc15396613"/>
      <w:bookmarkStart w:id="94" w:name="_Toc15377225"/>
      <w:bookmarkStart w:id="95" w:name="_Toc79163629"/>
      <w:bookmarkStart w:id="96" w:name="_Toc79163879"/>
      <w:r>
        <w:rPr>
          <w:rFonts w:hint="eastAsia" w:ascii="方正小标宋简体" w:hAnsi="方正小标宋简体" w:eastAsia="方正小标宋简体" w:cs="方正小标宋简体"/>
          <w:color w:val="000000"/>
          <w:sz w:val="44"/>
          <w:szCs w:val="44"/>
          <w:lang w:eastAsia="zh-CN"/>
        </w:rPr>
        <w:t>第三部分</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名</w:t>
      </w:r>
      <w:r>
        <w:rPr>
          <w:rStyle w:val="32"/>
          <w:rFonts w:hint="eastAsia" w:ascii="方正小标宋简体" w:hAnsi="方正小标宋简体" w:eastAsia="方正小标宋简体" w:cs="方正小标宋简体"/>
          <w:b w:val="0"/>
        </w:rPr>
        <w:t>词解释</w:t>
      </w:r>
      <w:bookmarkEnd w:id="93"/>
      <w:bookmarkEnd w:id="94"/>
      <w:bookmarkEnd w:id="95"/>
      <w:bookmarkEnd w:id="96"/>
    </w:p>
    <w:p>
      <w:pPr>
        <w:spacing w:line="600" w:lineRule="exact"/>
        <w:jc w:val="left"/>
        <w:rPr>
          <w:rFonts w:ascii="宋体"/>
          <w:b/>
          <w:color w:val="000000"/>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使用非财政拨款结余：指事业单位使用以前年度积累的非财政拨款结余弥补当年收支差额的金额。</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9.一般公共服务商业服务业（类）商业流通事务（款）行政运行（项）：指</w:t>
      </w:r>
      <w:r>
        <w:rPr>
          <w:rFonts w:ascii="仿宋_GB2312" w:hAnsi="仿宋_GB2312" w:eastAsia="仿宋_GB2312" w:cs="仿宋_GB2312"/>
          <w:sz w:val="32"/>
          <w:szCs w:val="32"/>
        </w:rPr>
        <w:t>用于保障机构正常运行、开展日常工作</w:t>
      </w:r>
      <w:r>
        <w:rPr>
          <w:rFonts w:hint="eastAsia" w:ascii="仿宋_GB2312" w:hAnsi="仿宋_GB2312" w:eastAsia="仿宋_GB2312" w:cs="仿宋_GB2312"/>
          <w:sz w:val="32"/>
          <w:szCs w:val="32"/>
        </w:rPr>
        <w:t>的基本支出。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10.一般公共服务商业服务业（类）商业流通事务（款）其他商业流通事务（项）：指其他用于商业流通事务方面的支出。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11.一般公共服务商业服务业（类）商业流通事务（款）民贸民品贷款贴息（项）：指对从事民贸民品生产销售企业贷款贴息。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12.社会保障和就业（类）行政事业单位离退休（款）机关事业单位基本养老保险缴费（项）：指部门实施养老保险制度由单位缴纳的养老保险费的支出。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13.社会保障和就业（类）行政事业单位离退休（款）机关事业单位职业年金缴费（项）：指部门实施养老保险制度由单位缴纳的职业年金的支出。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14.医疗卫生与计划生育（类）行政事业单位医疗（款）行政单位医疗（项）：指厅机关及参公管理事业单位用于缴纳单位基本医疗保险支出。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15.住房保障支出（类）住房公积金（款）住房公积金（项）：指行政事业单位按规定为职工缴纳的住房公积金。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16.住房保障支出（类）住房改革支出（款）住房公积金住房改革支出（款）购房补贴（项）：指行政事业单位按规定为职工支付的购房补贴。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17.农林水支出（类）农业（款）农业生产支持补贴（项）：指反映对种粮农民直接补贴，对农业生产资料补贴、技术物化补贴，推广先进适用农机农艺技术等方面支出。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18.农林水支出（类）农业（款）其他农业支出（项）：指反映其他用于农业方面的支出。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项目支出：指在基本支出之外为完成特定行政任务和事业发展目标所发生的支出。</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000000"/>
          <w:sz w:val="44"/>
          <w:szCs w:val="44"/>
        </w:rPr>
      </w:pPr>
      <w:r>
        <w:rPr>
          <w:rFonts w:hint="eastAsia" w:ascii="仿宋_GB2312" w:hAnsi="仿宋_GB2312" w:eastAsia="仿宋_GB2312" w:cs="仿宋_GB2312"/>
          <w:sz w:val="32"/>
          <w:szCs w:val="32"/>
        </w:rPr>
        <w:t>23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97" w:name="_Toc79163630"/>
      <w:bookmarkStart w:id="98" w:name="_Toc15396614"/>
      <w:bookmarkStart w:id="99" w:name="_Toc79163880"/>
      <w:bookmarkStart w:id="100" w:name="_Toc15377226"/>
    </w:p>
    <w:p>
      <w:pPr>
        <w:spacing w:line="576" w:lineRule="exact"/>
        <w:rPr>
          <w:rFonts w:ascii="黑体" w:hAnsi="黑体" w:eastAsia="黑体"/>
          <w:color w:val="000000"/>
          <w:sz w:val="44"/>
          <w:szCs w:val="44"/>
        </w:rPr>
      </w:pPr>
    </w:p>
    <w:p>
      <w:pPr>
        <w:pStyle w:val="21"/>
        <w:rPr>
          <w:rFonts w:ascii="黑体" w:hAnsi="黑体" w:eastAsia="黑体"/>
          <w:color w:val="000000"/>
          <w:sz w:val="44"/>
          <w:szCs w:val="44"/>
        </w:rPr>
      </w:pPr>
    </w:p>
    <w:p>
      <w:pPr>
        <w:rPr>
          <w:rFonts w:ascii="黑体" w:hAnsi="黑体" w:eastAsia="黑体"/>
          <w:color w:val="000000"/>
          <w:sz w:val="44"/>
          <w:szCs w:val="44"/>
        </w:rPr>
      </w:pPr>
    </w:p>
    <w:p>
      <w:pPr>
        <w:pStyle w:val="21"/>
        <w:rPr>
          <w:rFonts w:ascii="黑体" w:hAnsi="黑体" w:eastAsia="黑体"/>
          <w:color w:val="000000"/>
          <w:sz w:val="44"/>
          <w:szCs w:val="44"/>
        </w:rPr>
      </w:pPr>
    </w:p>
    <w:p>
      <w:pPr>
        <w:pStyle w:val="21"/>
        <w:ind w:left="0" w:leftChars="0" w:firstLine="0" w:firstLineChars="0"/>
        <w:rPr>
          <w:rFonts w:ascii="黑体" w:hAnsi="黑体" w:eastAsia="黑体"/>
          <w:color w:val="000000"/>
          <w:sz w:val="44"/>
          <w:szCs w:val="44"/>
        </w:rPr>
      </w:pPr>
    </w:p>
    <w:p/>
    <w:p/>
    <w:p>
      <w:pPr>
        <w:spacing w:line="600" w:lineRule="exact"/>
        <w:jc w:val="center"/>
        <w:outlineLvl w:val="0"/>
        <w:rPr>
          <w:rStyle w:val="32"/>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32"/>
          <w:rFonts w:hint="eastAsia" w:ascii="方正小标宋简体" w:hAnsi="方正小标宋简体" w:eastAsia="方正小标宋简体" w:cs="方正小标宋简体"/>
          <w:b w:val="0"/>
        </w:rPr>
        <w:t>四部分 附件</w:t>
      </w:r>
      <w:bookmarkEnd w:id="97"/>
      <w:bookmarkEnd w:id="98"/>
      <w:bookmarkEnd w:id="99"/>
    </w:p>
    <w:p>
      <w:pPr>
        <w:spacing w:line="600" w:lineRule="exact"/>
        <w:jc w:val="left"/>
        <w:outlineLvl w:val="0"/>
        <w:rPr>
          <w:rFonts w:hint="eastAsia" w:ascii="黑体" w:hAnsi="黑体" w:eastAsia="黑体" w:cs="黑体"/>
          <w:color w:val="000000"/>
          <w:sz w:val="32"/>
          <w:szCs w:val="32"/>
        </w:rPr>
      </w:pPr>
      <w:bookmarkStart w:id="101" w:name="_Toc79163885"/>
      <w:bookmarkStart w:id="102" w:name="_Toc79163635"/>
      <w:bookmarkStart w:id="103" w:name="_Toc15396618"/>
      <w:r>
        <w:rPr>
          <w:rFonts w:hint="eastAsia" w:ascii="黑体" w:hAnsi="黑体" w:eastAsia="黑体" w:cs="黑体"/>
          <w:color w:val="000000"/>
          <w:sz w:val="32"/>
          <w:szCs w:val="32"/>
        </w:rPr>
        <w:t>附件1</w:t>
      </w:r>
    </w:p>
    <w:p>
      <w:pPr>
        <w:widowControl/>
        <w:spacing w:line="578" w:lineRule="exact"/>
        <w:contextualSpacing/>
        <w:rPr>
          <w:rFonts w:ascii="Times New Roman" w:hAnsi="Times New Roman" w:eastAsia="宋体" w:cs="Times New Roman"/>
          <w:b/>
          <w:sz w:val="44"/>
          <w:szCs w:val="44"/>
          <w:shd w:val="clear" w:color="auto" w:fill="FFFFFF"/>
        </w:rPr>
      </w:pPr>
    </w:p>
    <w:tbl>
      <w:tblPr>
        <w:tblStyle w:val="26"/>
        <w:tblW w:w="10233" w:type="dxa"/>
        <w:jc w:val="center"/>
        <w:tblLayout w:type="fixed"/>
        <w:tblCellMar>
          <w:top w:w="15" w:type="dxa"/>
          <w:left w:w="15" w:type="dxa"/>
          <w:bottom w:w="15" w:type="dxa"/>
          <w:right w:w="15" w:type="dxa"/>
        </w:tblCellMar>
      </w:tblPr>
      <w:tblGrid>
        <w:gridCol w:w="501"/>
        <w:gridCol w:w="1000"/>
        <w:gridCol w:w="1016"/>
        <w:gridCol w:w="2791"/>
        <w:gridCol w:w="859"/>
        <w:gridCol w:w="967"/>
        <w:gridCol w:w="1000"/>
        <w:gridCol w:w="633"/>
        <w:gridCol w:w="1466"/>
      </w:tblGrid>
      <w:tr>
        <w:tblPrEx>
          <w:tblCellMar>
            <w:top w:w="15" w:type="dxa"/>
            <w:left w:w="15" w:type="dxa"/>
            <w:bottom w:w="15" w:type="dxa"/>
            <w:right w:w="15" w:type="dxa"/>
          </w:tblCellMar>
        </w:tblPrEx>
        <w:trPr>
          <w:trHeight w:val="576" w:hRule="atLeast"/>
          <w:jc w:val="center"/>
        </w:trPr>
        <w:tc>
          <w:tcPr>
            <w:tcW w:w="10233" w:type="dxa"/>
            <w:gridSpan w:val="9"/>
            <w:noWrap w:val="0"/>
            <w:vAlign w:val="center"/>
          </w:tcPr>
          <w:p>
            <w:pPr>
              <w:widowControl/>
              <w:spacing w:line="600" w:lineRule="exact"/>
              <w:jc w:val="center"/>
              <w:textAlignment w:val="center"/>
              <w:rPr>
                <w:rFonts w:ascii="Times New Roman" w:hAnsi="Times New Roman" w:eastAsia="黑体" w:cs="Times New Roman"/>
                <w:color w:val="000000"/>
                <w:sz w:val="30"/>
                <w:szCs w:val="30"/>
              </w:rPr>
            </w:pPr>
            <w:r>
              <w:rPr>
                <w:rFonts w:hint="eastAsia" w:ascii="仿宋_GB2312" w:hAnsi="仿宋_GB2312" w:eastAsia="仿宋_GB2312" w:cs="仿宋_GB2312"/>
                <w:b/>
                <w:bCs/>
                <w:sz w:val="32"/>
                <w:szCs w:val="32"/>
                <w:lang w:val="en-US" w:eastAsia="zh-CN"/>
              </w:rPr>
              <w:t>2025年州级农资价格及储备补贴资金项目支出绩效</w:t>
            </w:r>
            <w:r>
              <w:rPr>
                <w:rFonts w:hint="eastAsia" w:ascii="仿宋_GB2312" w:hAnsi="仿宋_GB2312" w:eastAsia="仿宋_GB2312" w:cs="仿宋_GB2312"/>
                <w:b/>
                <w:bCs/>
                <w:sz w:val="32"/>
                <w:szCs w:val="32"/>
              </w:rPr>
              <w:t>自评表</w:t>
            </w:r>
          </w:p>
        </w:tc>
      </w:tr>
      <w:tr>
        <w:tblPrEx>
          <w:tblCellMar>
            <w:top w:w="15" w:type="dxa"/>
            <w:left w:w="15" w:type="dxa"/>
            <w:bottom w:w="15" w:type="dxa"/>
            <w:right w:w="15" w:type="dxa"/>
          </w:tblCellMar>
        </w:tblPrEx>
        <w:trPr>
          <w:trHeight w:val="23" w:hRule="atLeast"/>
          <w:jc w:val="center"/>
        </w:trPr>
        <w:tc>
          <w:tcPr>
            <w:tcW w:w="5308"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项目名称</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2025年州级农资价格及储备补贴资金</w:t>
            </w:r>
          </w:p>
        </w:tc>
      </w:tr>
      <w:tr>
        <w:tblPrEx>
          <w:tblCellMar>
            <w:top w:w="15" w:type="dxa"/>
            <w:left w:w="15" w:type="dxa"/>
            <w:bottom w:w="15" w:type="dxa"/>
            <w:right w:w="15" w:type="dxa"/>
          </w:tblCellMar>
        </w:tblPrEx>
        <w:trPr>
          <w:trHeight w:val="458" w:hRule="atLeast"/>
          <w:jc w:val="center"/>
        </w:trPr>
        <w:tc>
          <w:tcPr>
            <w:tcW w:w="5308"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预算单位</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茂县供销合作社联合社</w:t>
            </w:r>
          </w:p>
        </w:tc>
      </w:tr>
      <w:tr>
        <w:tblPrEx>
          <w:tblCellMar>
            <w:top w:w="15" w:type="dxa"/>
            <w:left w:w="15" w:type="dxa"/>
            <w:bottom w:w="15" w:type="dxa"/>
            <w:right w:w="15" w:type="dxa"/>
          </w:tblCellMar>
        </w:tblPrEx>
        <w:trPr>
          <w:trHeight w:val="23" w:hRule="atLeast"/>
          <w:jc w:val="center"/>
        </w:trPr>
        <w:tc>
          <w:tcPr>
            <w:tcW w:w="5308"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项目类型</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23" w:hRule="atLeast"/>
          <w:jc w:val="center"/>
        </w:trPr>
        <w:tc>
          <w:tcPr>
            <w:tcW w:w="50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 概况</w:t>
            </w:r>
          </w:p>
        </w:tc>
        <w:tc>
          <w:tcPr>
            <w:tcW w:w="480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中长期规划（名称、文号，仅指</w:t>
            </w:r>
          </w:p>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常年项目）</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zh-CN" w:eastAsia="zh-CN" w:bidi="ar"/>
              </w:rPr>
              <w:t>《阿坝州财政局关于下达2025年州级农资价格及储备补贴资金的通知》（阿州财</w:t>
            </w:r>
            <w:r>
              <w:rPr>
                <w:rFonts w:hint="eastAsia" w:ascii="Times New Roman" w:hAnsi="Times New Roman" w:eastAsia="宋体" w:cs="Times New Roman"/>
                <w:color w:val="000000"/>
                <w:kern w:val="0"/>
                <w:sz w:val="18"/>
                <w:szCs w:val="18"/>
                <w:lang w:val="en-US" w:eastAsia="zh-CN" w:bidi="ar"/>
              </w:rPr>
              <w:t>建</w:t>
            </w:r>
            <w:r>
              <w:rPr>
                <w:rFonts w:hint="eastAsia" w:ascii="Times New Roman" w:hAnsi="Times New Roman" w:eastAsia="宋体" w:cs="Times New Roman"/>
                <w:color w:val="000000"/>
                <w:kern w:val="0"/>
                <w:sz w:val="18"/>
                <w:szCs w:val="18"/>
                <w:lang w:val="zh-CN" w:eastAsia="zh-CN" w:bidi="ar"/>
              </w:rPr>
              <w:t>〔2025〕</w:t>
            </w:r>
            <w:r>
              <w:rPr>
                <w:rFonts w:hint="eastAsia" w:ascii="Times New Roman" w:hAnsi="Times New Roman" w:eastAsia="宋体" w:cs="Times New Roman"/>
                <w:color w:val="000000"/>
                <w:kern w:val="0"/>
                <w:sz w:val="18"/>
                <w:szCs w:val="18"/>
                <w:lang w:val="en-US" w:eastAsia="zh-CN" w:bidi="ar"/>
              </w:rPr>
              <w:t>68</w:t>
            </w:r>
            <w:r>
              <w:rPr>
                <w:rFonts w:hint="eastAsia" w:ascii="Times New Roman" w:hAnsi="Times New Roman" w:eastAsia="宋体" w:cs="Times New Roman"/>
                <w:color w:val="000000"/>
                <w:kern w:val="0"/>
                <w:sz w:val="18"/>
                <w:szCs w:val="18"/>
                <w:lang w:val="zh-CN" w:eastAsia="zh-CN" w:bidi="ar"/>
              </w:rPr>
              <w:t>号）</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80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资金管理办法（名称、文号）</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90"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80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绩效分配方式</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£因素法</w:t>
            </w:r>
          </w:p>
        </w:tc>
        <w:tc>
          <w:tcPr>
            <w:tcW w:w="196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£项目法</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£据实据效</w:t>
            </w:r>
          </w:p>
        </w:tc>
        <w:tc>
          <w:tcPr>
            <w:tcW w:w="1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£因素法与项目法相结合</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80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立项依据</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80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使用范围</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eastAsia="zh-CN" w:bidi="ar"/>
              </w:rPr>
            </w:pPr>
            <w:r>
              <w:rPr>
                <w:rFonts w:hint="eastAsia" w:ascii="Times New Roman" w:hAnsi="Times New Roman" w:eastAsia="宋体" w:cs="Times New Roman"/>
                <w:color w:val="000000"/>
                <w:kern w:val="0"/>
                <w:sz w:val="18"/>
                <w:szCs w:val="18"/>
                <w:lang w:eastAsia="zh-CN" w:bidi="ar"/>
              </w:rPr>
              <w:t>茂县</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80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申报（补助）条件</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要以户建立销售台帐，记载购买人姓名、所在村组、购买时间、购买品种、购买数量、销售价格、购买人签字并盖手印。</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80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项目起止年限</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2025年</w:t>
            </w:r>
          </w:p>
        </w:tc>
      </w:tr>
      <w:tr>
        <w:tblPrEx>
          <w:tblCellMar>
            <w:top w:w="15" w:type="dxa"/>
            <w:left w:w="15" w:type="dxa"/>
            <w:bottom w:w="15" w:type="dxa"/>
            <w:right w:w="15" w:type="dxa"/>
          </w:tblCellMar>
        </w:tblPrEx>
        <w:trPr>
          <w:trHeight w:val="23" w:hRule="atLeast"/>
          <w:jc w:val="center"/>
        </w:trPr>
        <w:tc>
          <w:tcPr>
            <w:tcW w:w="15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项目资金</w:t>
            </w:r>
          </w:p>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（万元）</w:t>
            </w:r>
          </w:p>
        </w:tc>
        <w:tc>
          <w:tcPr>
            <w:tcW w:w="380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 xml:space="preserve">  年度资金总额：</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39</w:t>
            </w:r>
          </w:p>
        </w:tc>
      </w:tr>
      <w:tr>
        <w:tblPrEx>
          <w:tblCellMar>
            <w:top w:w="15" w:type="dxa"/>
            <w:left w:w="15" w:type="dxa"/>
            <w:bottom w:w="15" w:type="dxa"/>
            <w:right w:w="15" w:type="dxa"/>
          </w:tblCellMar>
        </w:tblPrEx>
        <w:trPr>
          <w:trHeight w:val="23" w:hRule="atLeast"/>
          <w:jc w:val="center"/>
        </w:trPr>
        <w:tc>
          <w:tcPr>
            <w:tcW w:w="15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380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 xml:space="preserve">      其中：财政拨款</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39</w:t>
            </w:r>
          </w:p>
        </w:tc>
      </w:tr>
      <w:tr>
        <w:tblPrEx>
          <w:tblCellMar>
            <w:top w:w="15" w:type="dxa"/>
            <w:left w:w="15" w:type="dxa"/>
            <w:bottom w:w="15" w:type="dxa"/>
            <w:right w:w="15" w:type="dxa"/>
          </w:tblCellMar>
        </w:tblPrEx>
        <w:trPr>
          <w:trHeight w:val="23" w:hRule="atLeast"/>
          <w:jc w:val="center"/>
        </w:trPr>
        <w:tc>
          <w:tcPr>
            <w:tcW w:w="15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380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            其他资金</w:t>
            </w:r>
          </w:p>
        </w:tc>
        <w:tc>
          <w:tcPr>
            <w:tcW w:w="4925"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right"/>
              <w:rPr>
                <w:rFonts w:ascii="Times New Roman" w:hAnsi="Times New Roman" w:eastAsia="宋体" w:cs="Times New Roman"/>
                <w:color w:val="000000"/>
                <w:sz w:val="18"/>
                <w:szCs w:val="18"/>
              </w:rPr>
            </w:pPr>
          </w:p>
        </w:tc>
      </w:tr>
      <w:tr>
        <w:tblPrEx>
          <w:tblCellMar>
            <w:top w:w="15" w:type="dxa"/>
            <w:left w:w="15" w:type="dxa"/>
            <w:bottom w:w="15" w:type="dxa"/>
            <w:right w:w="15" w:type="dxa"/>
          </w:tblCellMar>
        </w:tblPrEx>
        <w:trPr>
          <w:trHeight w:val="23" w:hRule="atLeast"/>
          <w:jc w:val="center"/>
        </w:trPr>
        <w:tc>
          <w:tcPr>
            <w:tcW w:w="50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总体 目标</w:t>
            </w:r>
          </w:p>
        </w:tc>
        <w:tc>
          <w:tcPr>
            <w:tcW w:w="9732"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年度目标</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9732"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申报项目预算金额为39万元                                                             一、价格补贴资金28万根据本县实际情况，在茂县供销合作社联合社社属企业及基层网点购买化肥每满100元享受5元现场直补并登记销售台账，做到让利于民、惠及于民。                                                                              二、储备补贴资金11万用于资金占用利息，农资储备补贴资金用于农资仓储租赁费用补贴、资金占用利息补贴和弥补价差损失。</w:t>
            </w:r>
          </w:p>
        </w:tc>
      </w:tr>
      <w:tr>
        <w:tblPrEx>
          <w:tblCellMar>
            <w:top w:w="15" w:type="dxa"/>
            <w:left w:w="15" w:type="dxa"/>
            <w:bottom w:w="15" w:type="dxa"/>
            <w:right w:w="15" w:type="dxa"/>
          </w:tblCellMar>
        </w:tblPrEx>
        <w:trPr>
          <w:trHeight w:val="23" w:hRule="atLeast"/>
          <w:jc w:val="center"/>
        </w:trPr>
        <w:tc>
          <w:tcPr>
            <w:tcW w:w="501" w:type="dxa"/>
            <w:vMerge w:val="restart"/>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绩效 指标</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一级指标</w:t>
            </w:r>
          </w:p>
        </w:tc>
        <w:tc>
          <w:tcPr>
            <w:tcW w:w="1016"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二级指标</w:t>
            </w:r>
          </w:p>
        </w:tc>
        <w:tc>
          <w:tcPr>
            <w:tcW w:w="27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三级指标</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指标性质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指标值</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度量单位</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权重</w:t>
            </w:r>
          </w:p>
        </w:tc>
        <w:tc>
          <w:tcPr>
            <w:tcW w:w="1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实际完成指标值</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restar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产出指标</w:t>
            </w:r>
          </w:p>
        </w:tc>
        <w:tc>
          <w:tcPr>
            <w:tcW w:w="10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数量指标</w:t>
            </w:r>
          </w:p>
        </w:tc>
        <w:tc>
          <w:tcPr>
            <w:tcW w:w="279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农资储备数量</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1500</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吨</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≥1500吨</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279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补贴化肥种类</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2</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种</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≥2种</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时效指标</w:t>
            </w:r>
          </w:p>
        </w:tc>
        <w:tc>
          <w:tcPr>
            <w:tcW w:w="279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项目完成时限</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225"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效益指标</w:t>
            </w:r>
          </w:p>
        </w:tc>
        <w:tc>
          <w:tcPr>
            <w:tcW w:w="1016" w:type="dxa"/>
            <w:tcBorders>
              <w:top w:val="single" w:color="auto"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经济效益指标</w:t>
            </w:r>
          </w:p>
        </w:tc>
        <w:tc>
          <w:tcPr>
            <w:tcW w:w="2791"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在理论销售价格的基础上扣减财政补贴，降低农户的购买价格</w:t>
            </w:r>
          </w:p>
        </w:tc>
        <w:tc>
          <w:tcPr>
            <w:tcW w:w="859"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定性</w:t>
            </w:r>
          </w:p>
        </w:tc>
        <w:tc>
          <w:tcPr>
            <w:tcW w:w="96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有较大提升</w:t>
            </w:r>
          </w:p>
        </w:tc>
        <w:tc>
          <w:tcPr>
            <w:tcW w:w="1000" w:type="dxa"/>
            <w:tcBorders>
              <w:top w:val="single" w:color="000000" w:sz="4" w:space="0"/>
              <w:left w:val="single" w:color="000000" w:sz="4" w:space="0"/>
              <w:right w:val="single" w:color="000000" w:sz="4" w:space="0"/>
            </w:tcBorders>
            <w:noWrap w:val="0"/>
            <w:vAlign w:val="center"/>
          </w:tcPr>
          <w:p>
            <w:pPr>
              <w:jc w:val="center"/>
              <w:rPr>
                <w:rFonts w:hint="default" w:ascii="Times New Roman" w:hAnsi="Times New Roman" w:eastAsia="宋体" w:cs="Times New Roman"/>
                <w:color w:val="000000"/>
                <w:kern w:val="0"/>
                <w:sz w:val="18"/>
                <w:szCs w:val="18"/>
                <w:lang w:val="en-US" w:eastAsia="zh-CN" w:bidi="ar"/>
              </w:rPr>
            </w:pPr>
          </w:p>
        </w:tc>
        <w:tc>
          <w:tcPr>
            <w:tcW w:w="633"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(定性)有较大提升</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1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279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通过降低化肥销售价格让农牧民直接享受补贴，从而降低生产成本</w:t>
            </w:r>
          </w:p>
        </w:tc>
        <w:tc>
          <w:tcPr>
            <w:tcW w:w="85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96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5</w:t>
            </w:r>
          </w:p>
        </w:tc>
        <w:tc>
          <w:tcPr>
            <w:tcW w:w="100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tblPrEx>
          <w:tblCellMar>
            <w:top w:w="15" w:type="dxa"/>
            <w:left w:w="15" w:type="dxa"/>
            <w:bottom w:w="15" w:type="dxa"/>
            <w:right w:w="15" w:type="dxa"/>
          </w:tblCellMar>
        </w:tblPrEx>
        <w:trPr>
          <w:trHeight w:val="740" w:hRule="atLeast"/>
          <w:jc w:val="center"/>
        </w:trPr>
        <w:tc>
          <w:tcPr>
            <w:tcW w:w="501"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生态效益指标</w:t>
            </w:r>
          </w:p>
        </w:tc>
        <w:tc>
          <w:tcPr>
            <w:tcW w:w="27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引导我县农民群众使用配方肥和有机肥，降低土地面源污染，推动我县绿色生态农业发展</w:t>
            </w:r>
          </w:p>
        </w:tc>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定性</w:t>
            </w:r>
          </w:p>
        </w:tc>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有较大提升</w:t>
            </w:r>
          </w:p>
        </w:tc>
        <w:tc>
          <w:tcPr>
            <w:tcW w:w="10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6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1466"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(定性)有较大提升</w:t>
            </w:r>
          </w:p>
        </w:tc>
      </w:tr>
      <w:tr>
        <w:tblPrEx>
          <w:tblCellMar>
            <w:top w:w="15" w:type="dxa"/>
            <w:left w:w="15" w:type="dxa"/>
            <w:bottom w:w="15" w:type="dxa"/>
            <w:right w:w="15" w:type="dxa"/>
          </w:tblCellMar>
        </w:tblPrEx>
        <w:trPr>
          <w:trHeight w:val="635" w:hRule="atLeast"/>
          <w:jc w:val="center"/>
        </w:trPr>
        <w:tc>
          <w:tcPr>
            <w:tcW w:w="501"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服务对象满意度指标</w:t>
            </w:r>
          </w:p>
        </w:tc>
        <w:tc>
          <w:tcPr>
            <w:tcW w:w="27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农户、受益群众对该项目的满意度</w:t>
            </w:r>
          </w:p>
        </w:tc>
        <w:tc>
          <w:tcPr>
            <w:tcW w:w="8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90</w:t>
            </w:r>
          </w:p>
        </w:tc>
        <w:tc>
          <w:tcPr>
            <w:tcW w:w="10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1466"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r>
    </w:tbl>
    <w:p>
      <w:pPr>
        <w:spacing w:line="600" w:lineRule="exact"/>
        <w:jc w:val="left"/>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2</w:t>
      </w:r>
    </w:p>
    <w:p>
      <w:pPr>
        <w:pStyle w:val="2"/>
        <w:rPr>
          <w:rFonts w:hint="eastAsia"/>
          <w:lang w:val="en-US" w:eastAsia="zh-CN"/>
        </w:rPr>
      </w:pPr>
    </w:p>
    <w:tbl>
      <w:tblPr>
        <w:tblStyle w:val="26"/>
        <w:tblW w:w="10233" w:type="dxa"/>
        <w:jc w:val="center"/>
        <w:tblLayout w:type="fixed"/>
        <w:tblCellMar>
          <w:top w:w="15" w:type="dxa"/>
          <w:left w:w="15" w:type="dxa"/>
          <w:bottom w:w="15" w:type="dxa"/>
          <w:right w:w="15" w:type="dxa"/>
        </w:tblCellMar>
      </w:tblPr>
      <w:tblGrid>
        <w:gridCol w:w="652"/>
        <w:gridCol w:w="749"/>
        <w:gridCol w:w="1183"/>
        <w:gridCol w:w="1867"/>
        <w:gridCol w:w="971"/>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noWrap w:val="0"/>
            <w:vAlign w:val="center"/>
          </w:tcPr>
          <w:p>
            <w:pPr>
              <w:widowControl/>
              <w:spacing w:line="600" w:lineRule="exact"/>
              <w:jc w:val="center"/>
              <w:textAlignment w:val="center"/>
              <w:rPr>
                <w:rFonts w:eastAsia="黑体" w:cs="宋体"/>
                <w:color w:val="000000"/>
                <w:kern w:val="0"/>
                <w:sz w:val="30"/>
                <w:szCs w:val="30"/>
              </w:rPr>
            </w:pPr>
            <w:r>
              <w:rPr>
                <w:rFonts w:hint="eastAsia" w:ascii="仿宋_GB2312" w:hAnsi="仿宋_GB2312" w:eastAsia="仿宋_GB2312" w:cs="仿宋_GB2312"/>
                <w:b/>
                <w:bCs/>
                <w:sz w:val="32"/>
                <w:szCs w:val="32"/>
                <w:lang w:val="en-US" w:eastAsia="zh-CN"/>
              </w:rPr>
              <w:t>2025年度茂县供销合作社联合社交流交往交融项目（1）绩效自评表</w:t>
            </w:r>
          </w:p>
        </w:tc>
      </w:tr>
      <w:tr>
        <w:tblPrEx>
          <w:tblCellMar>
            <w:top w:w="15" w:type="dxa"/>
            <w:left w:w="15" w:type="dxa"/>
            <w:bottom w:w="15" w:type="dxa"/>
            <w:right w:w="15" w:type="dxa"/>
          </w:tblCellMar>
        </w:tblPrEx>
        <w:trPr>
          <w:trHeight w:val="23" w:hRule="atLeast"/>
          <w:jc w:val="center"/>
        </w:trPr>
        <w:tc>
          <w:tcPr>
            <w:tcW w:w="4451"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项目名称</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bidi="ar"/>
              </w:rPr>
            </w:pPr>
            <w:r>
              <w:rPr>
                <w:rFonts w:hint="eastAsia" w:cs="Times New Roman"/>
                <w:color w:val="000000"/>
                <w:kern w:val="0"/>
                <w:sz w:val="18"/>
                <w:szCs w:val="18"/>
                <w:lang w:val="en-US" w:eastAsia="zh-CN" w:bidi="ar"/>
              </w:rPr>
              <w:t>025年茂县供销合作社联合社交流交往交融项目1</w:t>
            </w:r>
          </w:p>
        </w:tc>
      </w:tr>
      <w:tr>
        <w:tblPrEx>
          <w:tblCellMar>
            <w:top w:w="15" w:type="dxa"/>
            <w:left w:w="15" w:type="dxa"/>
            <w:bottom w:w="15" w:type="dxa"/>
            <w:right w:w="15" w:type="dxa"/>
          </w:tblCellMar>
        </w:tblPrEx>
        <w:trPr>
          <w:trHeight w:val="458" w:hRule="atLeast"/>
          <w:jc w:val="center"/>
        </w:trPr>
        <w:tc>
          <w:tcPr>
            <w:tcW w:w="4451"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预算单位</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茂县供销合作社联合社</w:t>
            </w:r>
          </w:p>
        </w:tc>
      </w:tr>
      <w:tr>
        <w:tblPrEx>
          <w:tblCellMar>
            <w:top w:w="15" w:type="dxa"/>
            <w:left w:w="15" w:type="dxa"/>
            <w:bottom w:w="15" w:type="dxa"/>
            <w:right w:w="15" w:type="dxa"/>
          </w:tblCellMar>
        </w:tblPrEx>
        <w:trPr>
          <w:trHeight w:val="23" w:hRule="atLeast"/>
          <w:jc w:val="center"/>
        </w:trPr>
        <w:tc>
          <w:tcPr>
            <w:tcW w:w="4451"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项目类型</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文化交流</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18"/>
                <w:szCs w:val="18"/>
              </w:rPr>
            </w:pPr>
            <w:r>
              <w:rPr>
                <w:rFonts w:eastAsia="宋体" w:cs="宋体"/>
                <w:color w:val="000000"/>
                <w:kern w:val="0"/>
                <w:sz w:val="18"/>
                <w:szCs w:val="18"/>
                <w:lang w:bidi="ar"/>
              </w:rPr>
              <w:t>项目 概况</w:t>
            </w:r>
          </w:p>
        </w:tc>
        <w:tc>
          <w:tcPr>
            <w:tcW w:w="379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lang w:bidi="ar"/>
              </w:rPr>
            </w:pPr>
            <w:r>
              <w:rPr>
                <w:rFonts w:eastAsia="宋体" w:cs="宋体"/>
                <w:color w:val="000000"/>
                <w:kern w:val="0"/>
                <w:sz w:val="18"/>
                <w:szCs w:val="18"/>
                <w:lang w:bidi="ar"/>
              </w:rPr>
              <w:t>中长期规划（名称、文号，仅指</w:t>
            </w:r>
          </w:p>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常年项目）</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eastAsia="宋体" w:cs="宋体"/>
                <w:color w:val="000000"/>
                <w:kern w:val="0"/>
                <w:sz w:val="18"/>
                <w:szCs w:val="18"/>
                <w:lang w:bidi="ar"/>
              </w:rPr>
              <w:t>《</w:t>
            </w:r>
            <w:r>
              <w:rPr>
                <w:rFonts w:hint="eastAsia" w:eastAsia="宋体" w:cs="宋体"/>
                <w:color w:val="000000"/>
                <w:kern w:val="0"/>
                <w:sz w:val="18"/>
                <w:szCs w:val="18"/>
                <w:lang w:val="en-US" w:eastAsia="zh-CN" w:bidi="ar"/>
              </w:rPr>
              <w:t>茂县</w:t>
            </w:r>
            <w:r>
              <w:rPr>
                <w:rFonts w:hint="eastAsia" w:cs="宋体"/>
                <w:color w:val="000000"/>
                <w:kern w:val="0"/>
                <w:sz w:val="18"/>
                <w:szCs w:val="18"/>
                <w:lang w:val="en-US" w:eastAsia="zh-CN" w:bidi="ar"/>
              </w:rPr>
              <w:t>2025</w:t>
            </w:r>
            <w:r>
              <w:rPr>
                <w:rFonts w:hint="eastAsia" w:eastAsia="宋体" w:cs="宋体"/>
                <w:color w:val="000000"/>
                <w:kern w:val="0"/>
                <w:sz w:val="18"/>
                <w:szCs w:val="18"/>
                <w:lang w:val="en-US" w:eastAsia="zh-CN" w:bidi="ar"/>
              </w:rPr>
              <w:t>年对口支援交流交往交融项目实施方案</w:t>
            </w:r>
            <w:r>
              <w:rPr>
                <w:rFonts w:hint="eastAsia" w:eastAsia="宋体" w:cs="宋体"/>
                <w:color w:val="000000"/>
                <w:kern w:val="0"/>
                <w:sz w:val="18"/>
                <w:szCs w:val="18"/>
                <w:lang w:bidi="ar"/>
              </w:rPr>
              <w:t>》</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79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资金管理办法（名称、文号）</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79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绩效分配方式</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79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立项依据</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79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使用范围</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79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申报（补助）条件</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该项目依据充分，绩效目标明确，具备实施条件，具有公共性，符合对口援建资金支持方向。</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79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项目起止年限</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2025</w:t>
            </w:r>
            <w:r>
              <w:rPr>
                <w:rFonts w:hint="eastAsia" w:ascii="Times New Roman" w:hAnsi="Times New Roman" w:eastAsia="宋体" w:cs="Times New Roman"/>
                <w:color w:val="000000"/>
                <w:kern w:val="0"/>
                <w:sz w:val="18"/>
                <w:szCs w:val="18"/>
                <w:lang w:val="en-US" w:eastAsia="zh-CN" w:bidi="ar"/>
              </w:rPr>
              <w:t>年</w:t>
            </w:r>
          </w:p>
        </w:tc>
      </w:tr>
      <w:tr>
        <w:tblPrEx>
          <w:tblCellMar>
            <w:top w:w="15" w:type="dxa"/>
            <w:left w:w="15" w:type="dxa"/>
            <w:bottom w:w="15" w:type="dxa"/>
            <w:right w:w="15" w:type="dxa"/>
          </w:tblCellMar>
        </w:tblPrEx>
        <w:trPr>
          <w:trHeight w:val="23" w:hRule="atLeast"/>
          <w:jc w:val="center"/>
        </w:trPr>
        <w:tc>
          <w:tcPr>
            <w:tcW w:w="14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18"/>
                <w:szCs w:val="18"/>
                <w:lang w:bidi="ar"/>
              </w:rPr>
            </w:pPr>
            <w:r>
              <w:rPr>
                <w:rFonts w:eastAsia="宋体" w:cs="宋体"/>
                <w:color w:val="000000"/>
                <w:kern w:val="0"/>
                <w:sz w:val="18"/>
                <w:szCs w:val="18"/>
                <w:lang w:bidi="ar"/>
              </w:rPr>
              <w:t>项目资金</w:t>
            </w:r>
          </w:p>
          <w:p>
            <w:pPr>
              <w:widowControl/>
              <w:spacing w:line="300" w:lineRule="exact"/>
              <w:jc w:val="center"/>
              <w:textAlignment w:val="center"/>
              <w:rPr>
                <w:rFonts w:eastAsia="宋体" w:cs="宋体"/>
                <w:color w:val="000000"/>
                <w:kern w:val="0"/>
                <w:sz w:val="18"/>
                <w:szCs w:val="18"/>
              </w:rPr>
            </w:pPr>
            <w:r>
              <w:rPr>
                <w:rFonts w:eastAsia="宋体" w:cs="宋体"/>
                <w:color w:val="000000"/>
                <w:kern w:val="0"/>
                <w:sz w:val="18"/>
                <w:szCs w:val="18"/>
                <w:lang w:bidi="ar"/>
              </w:rPr>
              <w:t>（万元）</w:t>
            </w:r>
          </w:p>
        </w:tc>
        <w:tc>
          <w:tcPr>
            <w:tcW w:w="30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 xml:space="preserve">  年度资金总额：</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w:t>
            </w:r>
          </w:p>
        </w:tc>
      </w:tr>
      <w:tr>
        <w:tblPrEx>
          <w:tblCellMar>
            <w:top w:w="15" w:type="dxa"/>
            <w:left w:w="15" w:type="dxa"/>
            <w:bottom w:w="15" w:type="dxa"/>
            <w:right w:w="15" w:type="dxa"/>
          </w:tblCellMar>
        </w:tblPrEx>
        <w:trPr>
          <w:trHeight w:val="23" w:hRule="atLeast"/>
          <w:jc w:val="center"/>
        </w:trPr>
        <w:tc>
          <w:tcPr>
            <w:tcW w:w="14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0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 xml:space="preserve">      其中：财政拨款</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w:t>
            </w:r>
          </w:p>
        </w:tc>
      </w:tr>
      <w:tr>
        <w:tblPrEx>
          <w:tblCellMar>
            <w:top w:w="15" w:type="dxa"/>
            <w:left w:w="15" w:type="dxa"/>
            <w:bottom w:w="15" w:type="dxa"/>
            <w:right w:w="15" w:type="dxa"/>
          </w:tblCellMar>
        </w:tblPrEx>
        <w:trPr>
          <w:trHeight w:val="23" w:hRule="atLeast"/>
          <w:jc w:val="center"/>
        </w:trPr>
        <w:tc>
          <w:tcPr>
            <w:tcW w:w="14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0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 xml:space="preserve">            其他资金</w:t>
            </w:r>
          </w:p>
        </w:tc>
        <w:tc>
          <w:tcPr>
            <w:tcW w:w="5782"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18"/>
                <w:szCs w:val="18"/>
              </w:rPr>
            </w:pPr>
            <w:r>
              <w:rPr>
                <w:rFonts w:eastAsia="宋体" w:cs="宋体"/>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18"/>
                <w:szCs w:val="18"/>
              </w:rPr>
            </w:pPr>
            <w:r>
              <w:rPr>
                <w:rFonts w:eastAsia="宋体" w:cs="宋体"/>
                <w:color w:val="000000"/>
                <w:kern w:val="0"/>
                <w:sz w:val="18"/>
                <w:szCs w:val="18"/>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为持续推进茂县农产品的品质和拓宽销售渠道，助推乡村振兴，在结对助农、服务资源共享、农业品牌共推、数字转型共谋等方面深化协作。</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绩效 指标</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一级指标</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二级指标</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三级指标</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749" w:type="dxa"/>
            <w:vMerge w:val="restart"/>
            <w:tcBorders>
              <w:top w:val="single" w:color="000000" w:sz="4" w:space="0"/>
              <w:left w:val="single" w:color="auto" w:sz="4" w:space="0"/>
              <w:bottom w:val="single" w:color="000000" w:sz="4" w:space="0"/>
              <w:right w:val="single" w:color="000000"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eastAsia="zh-CN" w:bidi="ar"/>
              </w:rPr>
              <w:t>产出</w:t>
            </w:r>
            <w:r>
              <w:rPr>
                <w:rFonts w:hint="eastAsia" w:eastAsia="宋体" w:cs="宋体"/>
                <w:color w:val="000000"/>
                <w:kern w:val="0"/>
                <w:sz w:val="18"/>
                <w:szCs w:val="18"/>
                <w:lang w:bidi="ar"/>
              </w:rPr>
              <w:t>指标</w:t>
            </w:r>
          </w:p>
        </w:tc>
        <w:tc>
          <w:tcPr>
            <w:tcW w:w="1183" w:type="dxa"/>
            <w:vMerge w:val="restart"/>
            <w:tcBorders>
              <w:top w:val="single" w:color="000000" w:sz="4" w:space="0"/>
              <w:left w:val="single" w:color="000000" w:sz="4" w:space="0"/>
              <w:right w:val="single" w:color="000000"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数量指标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茂县农产品走进嘉兴展示</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cs="宋体"/>
                <w:color w:val="000000"/>
                <w:kern w:val="0"/>
                <w:sz w:val="18"/>
                <w:szCs w:val="18"/>
                <w:lang w:val="en-US" w:eastAsia="zh-CN" w:bidi="ar"/>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cs="宋体"/>
                <w:color w:val="000000"/>
                <w:kern w:val="0"/>
                <w:sz w:val="18"/>
                <w:szCs w:val="18"/>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lang w:val="en-US" w:eastAsia="zh-CN"/>
              </w:rPr>
              <w:t>=2年</w:t>
            </w:r>
          </w:p>
        </w:tc>
      </w:tr>
      <w:tr>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749" w:type="dxa"/>
            <w:vMerge w:val="continue"/>
            <w:tcBorders>
              <w:top w:val="single" w:color="000000" w:sz="4" w:space="0"/>
              <w:left w:val="single" w:color="auto" w:sz="4" w:space="0"/>
              <w:bottom w:val="single" w:color="000000" w:sz="4" w:space="0"/>
              <w:right w:val="single" w:color="000000"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p>
        </w:tc>
        <w:tc>
          <w:tcPr>
            <w:tcW w:w="1183" w:type="dxa"/>
            <w:vMerge w:val="continue"/>
            <w:tcBorders>
              <w:left w:val="single" w:color="000000" w:sz="4" w:space="0"/>
              <w:right w:val="single" w:color="000000"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茂县特色农产品品牌推广</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cs="宋体"/>
                <w:color w:val="000000"/>
                <w:kern w:val="0"/>
                <w:sz w:val="18"/>
                <w:szCs w:val="18"/>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lang w:val="en-US" w:eastAsia="zh-CN"/>
              </w:rPr>
              <w:t>≥1个</w:t>
            </w:r>
          </w:p>
        </w:tc>
      </w:tr>
      <w:tr>
        <w:tblPrEx>
          <w:tblCellMar>
            <w:top w:w="15" w:type="dxa"/>
            <w:left w:w="15" w:type="dxa"/>
            <w:bottom w:w="15" w:type="dxa"/>
            <w:right w:w="15" w:type="dxa"/>
          </w:tblCellMar>
        </w:tblPrEx>
        <w:trPr>
          <w:trHeight w:val="90" w:hRule="atLeast"/>
          <w:jc w:val="center"/>
        </w:trPr>
        <w:tc>
          <w:tcPr>
            <w:tcW w:w="652" w:type="dxa"/>
            <w:vMerge w:val="continue"/>
            <w:tcBorders>
              <w:lef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749" w:type="dxa"/>
            <w:vMerge w:val="continue"/>
            <w:tcBorders>
              <w:top w:val="single" w:color="000000" w:sz="4" w:space="0"/>
              <w:left w:val="single" w:color="auto" w:sz="4" w:space="0"/>
              <w:bottom w:val="single" w:color="000000" w:sz="4" w:space="0"/>
              <w:right w:val="single" w:color="000000"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p>
        </w:tc>
        <w:tc>
          <w:tcPr>
            <w:tcW w:w="1183" w:type="dxa"/>
            <w:vMerge w:val="continue"/>
            <w:tcBorders>
              <w:left w:val="single" w:color="000000" w:sz="4" w:space="0"/>
              <w:right w:val="single" w:color="000000"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p>
        </w:tc>
        <w:tc>
          <w:tcPr>
            <w:tcW w:w="1867" w:type="dxa"/>
            <w:tcBorders>
              <w:top w:val="single" w:color="000000" w:sz="4" w:space="0"/>
              <w:left w:val="single" w:color="000000" w:sz="4" w:space="0"/>
              <w:right w:val="single" w:color="000000" w:sz="4" w:space="0"/>
            </w:tcBorders>
            <w:shd w:val="clear" w:color="auto" w:fill="auto"/>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资金使用率</w:t>
            </w:r>
          </w:p>
        </w:tc>
        <w:tc>
          <w:tcPr>
            <w:tcW w:w="971"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w:t>
            </w:r>
          </w:p>
        </w:tc>
        <w:tc>
          <w:tcPr>
            <w:tcW w:w="971"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100</w:t>
            </w:r>
          </w:p>
        </w:tc>
        <w:tc>
          <w:tcPr>
            <w:tcW w:w="1061"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cs="宋体"/>
                <w:color w:val="000000"/>
                <w:kern w:val="0"/>
                <w:sz w:val="18"/>
                <w:szCs w:val="18"/>
                <w:lang w:val="en-US" w:eastAsia="zh-CN" w:bidi="ar"/>
              </w:rPr>
              <w:t>%</w:t>
            </w:r>
          </w:p>
        </w:tc>
        <w:tc>
          <w:tcPr>
            <w:tcW w:w="938"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lang w:val="en-US" w:eastAsia="zh-CN"/>
              </w:rPr>
              <w:t>=100%</w:t>
            </w:r>
          </w:p>
        </w:tc>
      </w:tr>
      <w:tr>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749" w:type="dxa"/>
            <w:vMerge w:val="continue"/>
            <w:tcBorders>
              <w:top w:val="single" w:color="000000" w:sz="4" w:space="0"/>
              <w:left w:val="single" w:color="auto" w:sz="4" w:space="0"/>
              <w:bottom w:val="single" w:color="auto" w:sz="4" w:space="0"/>
              <w:right w:val="single" w:color="000000"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p>
        </w:tc>
        <w:tc>
          <w:tcPr>
            <w:tcW w:w="1183" w:type="dxa"/>
            <w:vMerge w:val="continue"/>
            <w:tcBorders>
              <w:top w:val="single" w:color="000000" w:sz="4" w:space="0"/>
              <w:left w:val="single" w:color="000000" w:sz="4" w:space="0"/>
              <w:bottom w:val="single" w:color="auto" w:sz="4" w:space="0"/>
              <w:right w:val="single" w:color="000000"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p>
        </w:tc>
        <w:tc>
          <w:tcPr>
            <w:tcW w:w="1867"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打造茂县特色农产品专柜</w:t>
            </w:r>
          </w:p>
        </w:tc>
        <w:tc>
          <w:tcPr>
            <w:tcW w:w="97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cs="宋体"/>
                <w:color w:val="000000"/>
                <w:kern w:val="0"/>
                <w:sz w:val="18"/>
                <w:szCs w:val="18"/>
                <w:lang w:val="en-US" w:eastAsia="zh-CN" w:bidi="ar"/>
              </w:rPr>
              <w:t>个</w:t>
            </w:r>
          </w:p>
        </w:tc>
        <w:tc>
          <w:tcPr>
            <w:tcW w:w="93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10</w:t>
            </w:r>
          </w:p>
        </w:tc>
        <w:tc>
          <w:tcPr>
            <w:tcW w:w="1841"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lang w:val="en-US" w:eastAsia="zh-CN"/>
              </w:rPr>
              <w:t>=1个</w:t>
            </w:r>
          </w:p>
        </w:tc>
      </w:tr>
      <w:tr>
        <w:tblPrEx>
          <w:tblCellMar>
            <w:top w:w="15" w:type="dxa"/>
            <w:left w:w="15" w:type="dxa"/>
            <w:bottom w:w="15" w:type="dxa"/>
            <w:right w:w="15" w:type="dxa"/>
          </w:tblCellMar>
        </w:tblPrEx>
        <w:trPr>
          <w:trHeight w:val="670" w:hRule="atLeast"/>
          <w:jc w:val="center"/>
        </w:trPr>
        <w:tc>
          <w:tcPr>
            <w:tcW w:w="652" w:type="dxa"/>
            <w:vMerge w:val="continue"/>
            <w:tcBorders>
              <w:lef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749" w:type="dxa"/>
            <w:vMerge w:val="continue"/>
            <w:tcBorders>
              <w:top w:val="single" w:color="auto" w:sz="4" w:space="0"/>
              <w:left w:val="single" w:color="auto" w:sz="4" w:space="0"/>
              <w:bottom w:val="single" w:color="auto" w:sz="4" w:space="0"/>
              <w:right w:val="single" w:color="auto"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p>
        </w:tc>
        <w:tc>
          <w:tcPr>
            <w:tcW w:w="1183" w:type="dxa"/>
            <w:tcBorders>
              <w:top w:val="single" w:color="auto" w:sz="4" w:space="0"/>
              <w:left w:val="single" w:color="auto" w:sz="4" w:space="0"/>
              <w:bottom w:val="single" w:color="auto" w:sz="4" w:space="0"/>
              <w:right w:val="single" w:color="auto"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时效指标</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按时完成交流交往项目</w:t>
            </w:r>
          </w:p>
        </w:tc>
        <w:tc>
          <w:tcPr>
            <w:tcW w:w="9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w:t>
            </w:r>
          </w:p>
        </w:tc>
        <w:tc>
          <w:tcPr>
            <w:tcW w:w="9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90</w:t>
            </w:r>
          </w:p>
        </w:tc>
        <w:tc>
          <w:tcPr>
            <w:tcW w:w="106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cs="宋体"/>
                <w:color w:val="000000"/>
                <w:kern w:val="0"/>
                <w:sz w:val="18"/>
                <w:szCs w:val="18"/>
                <w:lang w:val="en-US" w:eastAsia="zh-CN" w:bidi="ar"/>
              </w:rPr>
              <w:t>%</w:t>
            </w:r>
          </w:p>
        </w:tc>
        <w:tc>
          <w:tcPr>
            <w:tcW w:w="93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10</w:t>
            </w:r>
          </w:p>
        </w:tc>
        <w:tc>
          <w:tcPr>
            <w:tcW w:w="1841"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lang w:val="en-US" w:eastAsia="zh-CN"/>
              </w:rPr>
              <w:t>≥90%</w:t>
            </w:r>
          </w:p>
        </w:tc>
      </w:tr>
      <w:tr>
        <w:tblPrEx>
          <w:tblCellMar>
            <w:top w:w="15" w:type="dxa"/>
            <w:left w:w="15" w:type="dxa"/>
            <w:bottom w:w="15" w:type="dxa"/>
            <w:right w:w="15" w:type="dxa"/>
          </w:tblCellMar>
        </w:tblPrEx>
        <w:trPr>
          <w:trHeight w:val="96" w:hRule="atLeast"/>
          <w:jc w:val="center"/>
        </w:trPr>
        <w:tc>
          <w:tcPr>
            <w:tcW w:w="652" w:type="dxa"/>
            <w:vMerge w:val="continue"/>
            <w:tcBorders>
              <w:lef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749" w:type="dxa"/>
            <w:tcBorders>
              <w:top w:val="single" w:color="auto" w:sz="4" w:space="0"/>
              <w:left w:val="single" w:color="auto" w:sz="4" w:space="0"/>
              <w:bottom w:val="single" w:color="auto" w:sz="4" w:space="0"/>
              <w:right w:val="single" w:color="auto"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bidi="ar"/>
              </w:rPr>
              <w:t>效益指标</w:t>
            </w:r>
          </w:p>
        </w:tc>
        <w:tc>
          <w:tcPr>
            <w:tcW w:w="1183" w:type="dxa"/>
            <w:tcBorders>
              <w:top w:val="single" w:color="auto" w:sz="4" w:space="0"/>
              <w:left w:val="single" w:color="auto" w:sz="4" w:space="0"/>
              <w:bottom w:val="single" w:color="auto" w:sz="4" w:space="0"/>
              <w:right w:val="single" w:color="auto" w:sz="4" w:space="0"/>
            </w:tcBorders>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bidi="ar"/>
              </w:rPr>
              <w:t>社会效益指标</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bidi="ar"/>
              </w:rPr>
              <w:t>展示展销茂县农特产品</w:t>
            </w:r>
          </w:p>
        </w:tc>
        <w:tc>
          <w:tcPr>
            <w:tcW w:w="9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w:t>
            </w:r>
          </w:p>
        </w:tc>
        <w:tc>
          <w:tcPr>
            <w:tcW w:w="9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12</w:t>
            </w:r>
          </w:p>
        </w:tc>
        <w:tc>
          <w:tcPr>
            <w:tcW w:w="106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cs="宋体"/>
                <w:color w:val="000000"/>
                <w:kern w:val="0"/>
                <w:sz w:val="18"/>
                <w:szCs w:val="18"/>
                <w:lang w:val="en-US" w:eastAsia="zh-CN" w:bidi="ar"/>
              </w:rPr>
              <w:t>种</w:t>
            </w:r>
          </w:p>
        </w:tc>
        <w:tc>
          <w:tcPr>
            <w:tcW w:w="93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20</w:t>
            </w:r>
          </w:p>
        </w:tc>
        <w:tc>
          <w:tcPr>
            <w:tcW w:w="1841"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lang w:eastAsia="zh-CN"/>
              </w:rPr>
              <w:t>≥</w:t>
            </w:r>
            <w:r>
              <w:rPr>
                <w:rFonts w:hint="eastAsia" w:ascii="仿宋_GB2312" w:hAnsi="仿宋_GB2312" w:eastAsia="仿宋_GB2312" w:cs="仿宋_GB2312"/>
                <w:kern w:val="0"/>
                <w:sz w:val="18"/>
                <w:szCs w:val="18"/>
                <w:lang w:val="en-US" w:eastAsia="zh-CN"/>
              </w:rPr>
              <w:t>12种</w:t>
            </w:r>
          </w:p>
        </w:tc>
      </w:tr>
      <w:tr>
        <w:tblPrEx>
          <w:tblCellMar>
            <w:top w:w="15" w:type="dxa"/>
            <w:left w:w="15" w:type="dxa"/>
            <w:bottom w:w="15" w:type="dxa"/>
            <w:right w:w="15" w:type="dxa"/>
          </w:tblCellMar>
        </w:tblPrEx>
        <w:trPr>
          <w:trHeight w:val="96" w:hRule="atLeast"/>
          <w:jc w:val="center"/>
        </w:trPr>
        <w:tc>
          <w:tcPr>
            <w:tcW w:w="652" w:type="dxa"/>
            <w:vMerge w:val="continue"/>
            <w:tcBorders>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749" w:type="dxa"/>
            <w:tcBorders>
              <w:top w:val="single" w:color="auto" w:sz="4" w:space="0"/>
              <w:left w:val="single" w:color="auto" w:sz="4" w:space="0"/>
              <w:bottom w:val="single" w:color="auto" w:sz="4" w:space="0"/>
              <w:right w:val="single" w:color="auto" w:sz="4" w:space="0"/>
            </w:tcBorders>
            <w:noWrap w:val="0"/>
            <w:vAlign w:val="top"/>
          </w:tcPr>
          <w:p>
            <w:pPr>
              <w:widowControl/>
              <w:spacing w:line="300" w:lineRule="exact"/>
              <w:jc w:val="center"/>
              <w:textAlignment w:val="center"/>
              <w:rPr>
                <w:rFonts w:hint="eastAsia" w:eastAsia="宋体" w:cs="宋体"/>
                <w:color w:val="000000"/>
                <w:kern w:val="0"/>
                <w:sz w:val="18"/>
                <w:szCs w:val="18"/>
                <w:lang w:bidi="ar"/>
              </w:rPr>
            </w:pPr>
            <w:r>
              <w:rPr>
                <w:rFonts w:hint="eastAsia" w:eastAsia="宋体" w:cs="宋体"/>
                <w:color w:val="000000"/>
                <w:kern w:val="0"/>
                <w:sz w:val="18"/>
                <w:szCs w:val="18"/>
                <w:lang w:bidi="ar"/>
              </w:rPr>
              <w:t>满意度指标</w:t>
            </w:r>
          </w:p>
        </w:tc>
        <w:tc>
          <w:tcPr>
            <w:tcW w:w="1183" w:type="dxa"/>
            <w:tcBorders>
              <w:top w:val="single" w:color="auto" w:sz="4" w:space="0"/>
              <w:left w:val="single" w:color="auto" w:sz="4" w:space="0"/>
              <w:bottom w:val="single" w:color="auto" w:sz="4" w:space="0"/>
              <w:right w:val="single" w:color="auto" w:sz="4" w:space="0"/>
            </w:tcBorders>
            <w:noWrap w:val="0"/>
            <w:vAlign w:val="top"/>
          </w:tcPr>
          <w:p>
            <w:pPr>
              <w:widowControl/>
              <w:spacing w:line="300" w:lineRule="exact"/>
              <w:jc w:val="center"/>
              <w:textAlignment w:val="center"/>
              <w:rPr>
                <w:rFonts w:hint="eastAsia" w:eastAsia="宋体" w:cs="宋体"/>
                <w:color w:val="000000"/>
                <w:kern w:val="0"/>
                <w:sz w:val="18"/>
                <w:szCs w:val="18"/>
                <w:lang w:bidi="ar"/>
              </w:rPr>
            </w:pPr>
            <w:r>
              <w:rPr>
                <w:rFonts w:hint="eastAsia" w:eastAsia="宋体" w:cs="宋体"/>
                <w:color w:val="000000"/>
                <w:kern w:val="0"/>
                <w:sz w:val="18"/>
                <w:szCs w:val="18"/>
                <w:lang w:bidi="ar"/>
              </w:rPr>
              <w:t>象满意度指标</w:t>
            </w:r>
          </w:p>
        </w:tc>
        <w:tc>
          <w:tcPr>
            <w:tcW w:w="1867"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300" w:lineRule="exact"/>
              <w:jc w:val="center"/>
              <w:textAlignment w:val="center"/>
              <w:rPr>
                <w:rFonts w:hint="eastAsia" w:eastAsia="宋体" w:cs="宋体"/>
                <w:color w:val="000000"/>
                <w:kern w:val="0"/>
                <w:sz w:val="18"/>
                <w:szCs w:val="18"/>
                <w:lang w:bidi="ar"/>
              </w:rPr>
            </w:pPr>
            <w:r>
              <w:rPr>
                <w:rFonts w:hint="eastAsia" w:eastAsia="宋体" w:cs="宋体"/>
                <w:color w:val="000000"/>
                <w:kern w:val="0"/>
                <w:sz w:val="18"/>
                <w:szCs w:val="18"/>
                <w:lang w:bidi="ar"/>
              </w:rPr>
              <w:t>农户、受益群众的满意度</w:t>
            </w:r>
          </w:p>
        </w:tc>
        <w:tc>
          <w:tcPr>
            <w:tcW w:w="9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eastAsia="宋体" w:cs="宋体"/>
                <w:color w:val="000000"/>
                <w:kern w:val="0"/>
                <w:sz w:val="18"/>
                <w:szCs w:val="18"/>
                <w:lang w:val="en-US" w:eastAsia="zh-CN" w:bidi="ar"/>
              </w:rPr>
            </w:pPr>
            <w:r>
              <w:rPr>
                <w:rFonts w:hint="eastAsia" w:eastAsia="宋体" w:cs="宋体"/>
                <w:color w:val="000000"/>
                <w:kern w:val="0"/>
                <w:sz w:val="18"/>
                <w:szCs w:val="18"/>
                <w:lang w:val="en-US" w:eastAsia="zh-CN" w:bidi="ar"/>
              </w:rPr>
              <w:t>≥</w:t>
            </w:r>
          </w:p>
        </w:tc>
        <w:tc>
          <w:tcPr>
            <w:tcW w:w="9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90</w:t>
            </w:r>
          </w:p>
        </w:tc>
        <w:tc>
          <w:tcPr>
            <w:tcW w:w="106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w:t>
            </w:r>
          </w:p>
        </w:tc>
        <w:tc>
          <w:tcPr>
            <w:tcW w:w="93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default" w:eastAsia="宋体" w:cs="宋体"/>
                <w:color w:val="000000"/>
                <w:kern w:val="0"/>
                <w:sz w:val="18"/>
                <w:szCs w:val="18"/>
                <w:lang w:val="en-US" w:eastAsia="zh-CN" w:bidi="ar"/>
              </w:rPr>
            </w:pPr>
            <w:r>
              <w:rPr>
                <w:rFonts w:hint="eastAsia" w:cs="宋体"/>
                <w:color w:val="000000"/>
                <w:kern w:val="0"/>
                <w:sz w:val="18"/>
                <w:szCs w:val="18"/>
                <w:lang w:val="en-US" w:eastAsia="zh-CN" w:bidi="ar"/>
              </w:rPr>
              <w:t>20</w:t>
            </w:r>
          </w:p>
        </w:tc>
        <w:tc>
          <w:tcPr>
            <w:tcW w:w="1841"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rPr>
              <w:t>≥9</w:t>
            </w:r>
            <w:r>
              <w:rPr>
                <w:rFonts w:hint="eastAsia" w:ascii="仿宋_GB2312" w:hAnsi="仿宋_GB2312" w:eastAsia="仿宋_GB2312" w:cs="仿宋_GB2312"/>
                <w:kern w:val="0"/>
                <w:sz w:val="18"/>
                <w:szCs w:val="18"/>
                <w:lang w:val="en-US" w:eastAsia="zh-CN"/>
              </w:rPr>
              <w:t>0</w:t>
            </w:r>
            <w:r>
              <w:rPr>
                <w:rFonts w:hint="eastAsia" w:ascii="仿宋_GB2312" w:hAnsi="仿宋_GB2312" w:eastAsia="仿宋_GB2312" w:cs="仿宋_GB2312"/>
                <w:kern w:val="0"/>
                <w:sz w:val="18"/>
                <w:szCs w:val="18"/>
              </w:rPr>
              <w:t>%</w:t>
            </w:r>
          </w:p>
        </w:tc>
      </w:tr>
    </w:tbl>
    <w:p>
      <w:pPr>
        <w:spacing w:line="600" w:lineRule="exact"/>
        <w:jc w:val="left"/>
        <w:outlineLvl w:val="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3</w:t>
      </w:r>
    </w:p>
    <w:p>
      <w:pPr>
        <w:pStyle w:val="2"/>
        <w:rPr>
          <w:rFonts w:hint="eastAsia"/>
          <w:lang w:val="en-US" w:eastAsia="zh-CN"/>
        </w:rPr>
      </w:pPr>
    </w:p>
    <w:tbl>
      <w:tblPr>
        <w:tblStyle w:val="26"/>
        <w:tblW w:w="10240" w:type="dxa"/>
        <w:jc w:val="center"/>
        <w:tblLayout w:type="fixed"/>
        <w:tblCellMar>
          <w:top w:w="15" w:type="dxa"/>
          <w:left w:w="15" w:type="dxa"/>
          <w:bottom w:w="15" w:type="dxa"/>
          <w:right w:w="15" w:type="dxa"/>
        </w:tblCellMar>
      </w:tblPr>
      <w:tblGrid>
        <w:gridCol w:w="652"/>
        <w:gridCol w:w="1082"/>
        <w:gridCol w:w="1001"/>
        <w:gridCol w:w="2585"/>
        <w:gridCol w:w="585"/>
        <w:gridCol w:w="665"/>
        <w:gridCol w:w="1101"/>
        <w:gridCol w:w="725"/>
        <w:gridCol w:w="1844"/>
      </w:tblGrid>
      <w:tr>
        <w:tblPrEx>
          <w:tblCellMar>
            <w:top w:w="15" w:type="dxa"/>
            <w:left w:w="15" w:type="dxa"/>
            <w:bottom w:w="15" w:type="dxa"/>
            <w:right w:w="15" w:type="dxa"/>
          </w:tblCellMar>
        </w:tblPrEx>
        <w:trPr>
          <w:trHeight w:val="90" w:hRule="atLeast"/>
          <w:jc w:val="center"/>
        </w:trPr>
        <w:tc>
          <w:tcPr>
            <w:tcW w:w="10240" w:type="dxa"/>
            <w:gridSpan w:val="9"/>
            <w:noWrap w:val="0"/>
            <w:vAlign w:val="center"/>
          </w:tcPr>
          <w:p>
            <w:pPr>
              <w:widowControl/>
              <w:spacing w:line="600" w:lineRule="exact"/>
              <w:jc w:val="center"/>
              <w:textAlignment w:val="center"/>
              <w:rPr>
                <w:rFonts w:eastAsia="黑体" w:cs="宋体"/>
                <w:color w:val="000000"/>
                <w:kern w:val="0"/>
                <w:sz w:val="30"/>
                <w:szCs w:val="30"/>
              </w:rPr>
            </w:pPr>
            <w:r>
              <w:rPr>
                <w:rFonts w:hint="eastAsia" w:ascii="仿宋_GB2312" w:hAnsi="仿宋_GB2312" w:eastAsia="仿宋_GB2312" w:cs="仿宋_GB2312"/>
                <w:b/>
                <w:bCs/>
                <w:sz w:val="32"/>
                <w:szCs w:val="32"/>
                <w:lang w:val="en-US" w:eastAsia="zh-CN"/>
              </w:rPr>
              <w:t>2025年度茂县供销合作社联合社交流交往交融项目（2）绩效自评表</w:t>
            </w:r>
          </w:p>
        </w:tc>
      </w:tr>
      <w:tr>
        <w:tblPrEx>
          <w:tblCellMar>
            <w:top w:w="15" w:type="dxa"/>
            <w:left w:w="15" w:type="dxa"/>
            <w:bottom w:w="15" w:type="dxa"/>
            <w:right w:w="15" w:type="dxa"/>
          </w:tblCellMar>
        </w:tblPrEx>
        <w:trPr>
          <w:trHeight w:val="90" w:hRule="atLeast"/>
          <w:jc w:val="center"/>
        </w:trPr>
        <w:tc>
          <w:tcPr>
            <w:tcW w:w="532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项目名称</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bidi="ar"/>
              </w:rPr>
            </w:pPr>
            <w:r>
              <w:rPr>
                <w:rFonts w:hint="eastAsia" w:cs="Times New Roman"/>
                <w:color w:val="000000"/>
                <w:kern w:val="0"/>
                <w:sz w:val="18"/>
                <w:szCs w:val="18"/>
                <w:lang w:val="en-US" w:eastAsia="zh-CN" w:bidi="ar"/>
              </w:rPr>
              <w:t>2025年茂县供销合作社联合社交流交往交融项目2</w:t>
            </w:r>
          </w:p>
        </w:tc>
      </w:tr>
      <w:tr>
        <w:tblPrEx>
          <w:tblCellMar>
            <w:top w:w="15" w:type="dxa"/>
            <w:left w:w="15" w:type="dxa"/>
            <w:bottom w:w="15" w:type="dxa"/>
            <w:right w:w="15" w:type="dxa"/>
          </w:tblCellMar>
        </w:tblPrEx>
        <w:trPr>
          <w:trHeight w:val="90" w:hRule="atLeast"/>
          <w:jc w:val="center"/>
        </w:trPr>
        <w:tc>
          <w:tcPr>
            <w:tcW w:w="532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预算单位</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茂县供销合作社联合社</w:t>
            </w:r>
          </w:p>
        </w:tc>
      </w:tr>
      <w:tr>
        <w:tblPrEx>
          <w:tblCellMar>
            <w:top w:w="15" w:type="dxa"/>
            <w:left w:w="15" w:type="dxa"/>
            <w:bottom w:w="15" w:type="dxa"/>
            <w:right w:w="15" w:type="dxa"/>
          </w:tblCellMar>
        </w:tblPrEx>
        <w:trPr>
          <w:trHeight w:val="90" w:hRule="atLeast"/>
          <w:jc w:val="center"/>
        </w:trPr>
        <w:tc>
          <w:tcPr>
            <w:tcW w:w="532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项目类型</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文化交流</w:t>
            </w:r>
          </w:p>
        </w:tc>
      </w:tr>
      <w:tr>
        <w:tblPrEx>
          <w:tblCellMar>
            <w:top w:w="15" w:type="dxa"/>
            <w:left w:w="15" w:type="dxa"/>
            <w:bottom w:w="15" w:type="dxa"/>
            <w:right w:w="15" w:type="dxa"/>
          </w:tblCellMar>
        </w:tblPrEx>
        <w:trPr>
          <w:trHeight w:val="90"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18"/>
                <w:szCs w:val="18"/>
              </w:rPr>
            </w:pPr>
            <w:r>
              <w:rPr>
                <w:rFonts w:eastAsia="宋体" w:cs="宋体"/>
                <w:color w:val="000000"/>
                <w:kern w:val="0"/>
                <w:sz w:val="18"/>
                <w:szCs w:val="18"/>
                <w:lang w:bidi="ar"/>
              </w:rPr>
              <w:t>项目 概况</w:t>
            </w:r>
          </w:p>
        </w:tc>
        <w:tc>
          <w:tcPr>
            <w:tcW w:w="46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lang w:bidi="ar"/>
              </w:rPr>
            </w:pPr>
            <w:r>
              <w:rPr>
                <w:rFonts w:eastAsia="宋体" w:cs="宋体"/>
                <w:color w:val="000000"/>
                <w:kern w:val="0"/>
                <w:sz w:val="18"/>
                <w:szCs w:val="18"/>
                <w:lang w:bidi="ar"/>
              </w:rPr>
              <w:t>中长期规划（名称、文号，仅指</w:t>
            </w:r>
          </w:p>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常年项目）</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eastAsia="宋体" w:cs="宋体"/>
                <w:color w:val="000000"/>
                <w:kern w:val="0"/>
                <w:sz w:val="18"/>
                <w:szCs w:val="18"/>
                <w:lang w:bidi="ar"/>
              </w:rPr>
              <w:t>《</w:t>
            </w:r>
            <w:r>
              <w:rPr>
                <w:rFonts w:hint="eastAsia" w:eastAsia="宋体" w:cs="宋体"/>
                <w:color w:val="000000"/>
                <w:kern w:val="0"/>
                <w:sz w:val="18"/>
                <w:szCs w:val="18"/>
                <w:lang w:val="en-US" w:eastAsia="zh-CN" w:bidi="ar"/>
              </w:rPr>
              <w:t>茂县2025年对口支援交流交往交融项目实施方案</w:t>
            </w:r>
            <w:r>
              <w:rPr>
                <w:rFonts w:hint="eastAsia" w:eastAsia="宋体" w:cs="宋体"/>
                <w:color w:val="000000"/>
                <w:kern w:val="0"/>
                <w:sz w:val="18"/>
                <w:szCs w:val="18"/>
                <w:lang w:bidi="ar"/>
              </w:rPr>
              <w:t>》</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46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资金管理办法（名称、文号）</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46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绩效分配方式</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£因素法</w:t>
            </w:r>
          </w:p>
        </w:tc>
        <w:tc>
          <w:tcPr>
            <w:tcW w:w="176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£项目法</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£据实据效</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£因素法与项目法相结合</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46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立项依据</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46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使用范围</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46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申报（补助）条件</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该项目依据充分，绩效目标明确，具备实施条件，具有公共性，符合对口援建资金支持方向。</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46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项目起止年限</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2025</w:t>
            </w:r>
            <w:r>
              <w:rPr>
                <w:rFonts w:hint="eastAsia" w:ascii="Times New Roman" w:hAnsi="Times New Roman" w:eastAsia="宋体" w:cs="Times New Roman"/>
                <w:color w:val="000000"/>
                <w:kern w:val="0"/>
                <w:sz w:val="18"/>
                <w:szCs w:val="18"/>
                <w:lang w:val="en-US" w:eastAsia="zh-CN" w:bidi="ar"/>
              </w:rPr>
              <w:t>年</w:t>
            </w:r>
          </w:p>
        </w:tc>
      </w:tr>
      <w:tr>
        <w:tblPrEx>
          <w:tblCellMar>
            <w:top w:w="15" w:type="dxa"/>
            <w:left w:w="15" w:type="dxa"/>
            <w:bottom w:w="15" w:type="dxa"/>
            <w:right w:w="15" w:type="dxa"/>
          </w:tblCellMar>
        </w:tblPrEx>
        <w:trPr>
          <w:trHeight w:val="90" w:hRule="atLeast"/>
          <w:jc w:val="center"/>
        </w:trPr>
        <w:tc>
          <w:tcPr>
            <w:tcW w:w="173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18"/>
                <w:szCs w:val="18"/>
                <w:lang w:bidi="ar"/>
              </w:rPr>
            </w:pPr>
            <w:r>
              <w:rPr>
                <w:rFonts w:eastAsia="宋体" w:cs="宋体"/>
                <w:color w:val="000000"/>
                <w:kern w:val="0"/>
                <w:sz w:val="18"/>
                <w:szCs w:val="18"/>
                <w:lang w:bidi="ar"/>
              </w:rPr>
              <w:t>项目资金</w:t>
            </w:r>
          </w:p>
          <w:p>
            <w:pPr>
              <w:widowControl/>
              <w:spacing w:line="300" w:lineRule="exact"/>
              <w:jc w:val="center"/>
              <w:textAlignment w:val="center"/>
              <w:rPr>
                <w:rFonts w:eastAsia="宋体" w:cs="宋体"/>
                <w:color w:val="000000"/>
                <w:kern w:val="0"/>
                <w:sz w:val="18"/>
                <w:szCs w:val="18"/>
              </w:rPr>
            </w:pPr>
            <w:r>
              <w:rPr>
                <w:rFonts w:eastAsia="宋体" w:cs="宋体"/>
                <w:color w:val="000000"/>
                <w:kern w:val="0"/>
                <w:sz w:val="18"/>
                <w:szCs w:val="18"/>
                <w:lang w:bidi="ar"/>
              </w:rPr>
              <w:t>（万元）</w:t>
            </w:r>
          </w:p>
        </w:tc>
        <w:tc>
          <w:tcPr>
            <w:tcW w:w="358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 xml:space="preserve">  年度资金总额：</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20</w:t>
            </w:r>
          </w:p>
        </w:tc>
      </w:tr>
      <w:tr>
        <w:tblPrEx>
          <w:tblCellMar>
            <w:top w:w="15" w:type="dxa"/>
            <w:left w:w="15" w:type="dxa"/>
            <w:bottom w:w="15" w:type="dxa"/>
            <w:right w:w="15" w:type="dxa"/>
          </w:tblCellMar>
        </w:tblPrEx>
        <w:trPr>
          <w:trHeight w:val="90" w:hRule="atLeast"/>
          <w:jc w:val="center"/>
        </w:trPr>
        <w:tc>
          <w:tcPr>
            <w:tcW w:w="173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58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 xml:space="preserve">      其中：财政拨款</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18"/>
                <w:szCs w:val="18"/>
                <w:lang w:val="en-US" w:eastAsia="zh-CN" w:bidi="ar"/>
              </w:rPr>
              <w:t>20</w:t>
            </w:r>
          </w:p>
        </w:tc>
      </w:tr>
      <w:tr>
        <w:tblPrEx>
          <w:tblCellMar>
            <w:top w:w="15" w:type="dxa"/>
            <w:left w:w="15" w:type="dxa"/>
            <w:bottom w:w="15" w:type="dxa"/>
            <w:right w:w="15" w:type="dxa"/>
          </w:tblCellMar>
        </w:tblPrEx>
        <w:trPr>
          <w:trHeight w:val="90" w:hRule="atLeast"/>
          <w:jc w:val="center"/>
        </w:trPr>
        <w:tc>
          <w:tcPr>
            <w:tcW w:w="173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358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s="宋体"/>
                <w:color w:val="000000"/>
                <w:kern w:val="0"/>
                <w:sz w:val="18"/>
                <w:szCs w:val="18"/>
              </w:rPr>
            </w:pPr>
            <w:r>
              <w:rPr>
                <w:rFonts w:eastAsia="宋体" w:cs="宋体"/>
                <w:color w:val="000000"/>
                <w:kern w:val="0"/>
                <w:sz w:val="18"/>
                <w:szCs w:val="18"/>
                <w:lang w:bidi="ar"/>
              </w:rPr>
              <w:t xml:space="preserve">            其他资金</w:t>
            </w:r>
          </w:p>
        </w:tc>
        <w:tc>
          <w:tcPr>
            <w:tcW w:w="492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90"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18"/>
                <w:szCs w:val="18"/>
              </w:rPr>
            </w:pPr>
            <w:r>
              <w:rPr>
                <w:rFonts w:eastAsia="宋体" w:cs="宋体"/>
                <w:color w:val="000000"/>
                <w:kern w:val="0"/>
                <w:sz w:val="18"/>
                <w:szCs w:val="18"/>
                <w:lang w:bidi="ar"/>
              </w:rPr>
              <w:t>总体 目标</w:t>
            </w:r>
          </w:p>
        </w:tc>
        <w:tc>
          <w:tcPr>
            <w:tcW w:w="9588"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s="宋体"/>
                <w:color w:val="000000"/>
                <w:kern w:val="0"/>
                <w:sz w:val="18"/>
                <w:szCs w:val="18"/>
              </w:rPr>
            </w:pPr>
            <w:r>
              <w:rPr>
                <w:rFonts w:eastAsia="宋体" w:cs="宋体"/>
                <w:color w:val="000000"/>
                <w:kern w:val="0"/>
                <w:sz w:val="18"/>
                <w:szCs w:val="18"/>
                <w:lang w:bidi="ar"/>
              </w:rPr>
              <w:t>年度目标</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s="宋体"/>
                <w:color w:val="000000"/>
                <w:kern w:val="0"/>
                <w:sz w:val="18"/>
                <w:szCs w:val="18"/>
              </w:rPr>
            </w:pPr>
          </w:p>
        </w:tc>
        <w:tc>
          <w:tcPr>
            <w:tcW w:w="9588"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为持续推进茂县农产品的品质和拓宽销售渠道，助推乡村振兴，在结对助农、服务资源共享、农业品牌共推、数字转型共谋等方面深化协作。</w:t>
            </w:r>
          </w:p>
        </w:tc>
      </w:tr>
      <w:tr>
        <w:tblPrEx>
          <w:tblCellMar>
            <w:top w:w="15" w:type="dxa"/>
            <w:left w:w="15" w:type="dxa"/>
            <w:bottom w:w="15" w:type="dxa"/>
            <w:right w:w="15" w:type="dxa"/>
          </w:tblCellMar>
        </w:tblPrEx>
        <w:trPr>
          <w:trHeight w:val="90"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绩效 指标</w:t>
            </w:r>
          </w:p>
        </w:tc>
        <w:tc>
          <w:tcPr>
            <w:tcW w:w="108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一级指标</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二级指标</w:t>
            </w:r>
          </w:p>
        </w:tc>
        <w:tc>
          <w:tcPr>
            <w:tcW w:w="25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三级指标</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指标性质</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指标值</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度量单位</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权重</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实际完成指标值</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82" w:type="dxa"/>
            <w:vMerge w:val="restart"/>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产出指标</w:t>
            </w:r>
          </w:p>
        </w:tc>
        <w:tc>
          <w:tcPr>
            <w:tcW w:w="100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数量指标</w:t>
            </w:r>
          </w:p>
        </w:tc>
        <w:tc>
          <w:tcPr>
            <w:tcW w:w="25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参加浙江平湖市农特产品推介会</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次</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kern w:val="0"/>
                <w:sz w:val="18"/>
                <w:szCs w:val="18"/>
                <w:lang w:val="en-US" w:eastAsia="zh-CN" w:bidi="ar"/>
              </w:rPr>
            </w:pPr>
            <w:r>
              <w:rPr>
                <w:rFonts w:hint="eastAsia" w:ascii="仿宋_GB2312" w:hAnsi="仿宋_GB2312" w:eastAsia="仿宋_GB2312" w:cs="仿宋_GB2312"/>
                <w:kern w:val="0"/>
                <w:sz w:val="18"/>
                <w:szCs w:val="18"/>
                <w:lang w:val="en-US" w:eastAsia="zh-CN"/>
              </w:rPr>
              <w:t>=1次</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82" w:type="dxa"/>
            <w:vMerge w:val="continue"/>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01" w:type="dxa"/>
            <w:vMerge w:val="continue"/>
            <w:tcBorders>
              <w:left w:val="single" w:color="000000" w:sz="4" w:space="0"/>
              <w:right w:val="single" w:color="000000"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25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参加浙广东农特产品推介会</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次</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宋体" w:cs="Times New Roman"/>
                <w:color w:val="000000"/>
                <w:kern w:val="0"/>
                <w:sz w:val="18"/>
                <w:szCs w:val="18"/>
                <w:lang w:val="en-US" w:eastAsia="zh-CN" w:bidi="ar"/>
              </w:rPr>
            </w:pPr>
            <w:r>
              <w:rPr>
                <w:rFonts w:hint="eastAsia" w:ascii="仿宋_GB2312" w:hAnsi="仿宋_GB2312" w:eastAsia="仿宋_GB2312" w:cs="仿宋_GB2312"/>
                <w:kern w:val="0"/>
                <w:sz w:val="18"/>
                <w:szCs w:val="18"/>
                <w:lang w:val="en-US" w:eastAsia="zh-CN"/>
              </w:rPr>
              <w:t>=1次</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82" w:type="dxa"/>
            <w:vMerge w:val="continue"/>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01" w:type="dxa"/>
            <w:vMerge w:val="continue"/>
            <w:tcBorders>
              <w:left w:val="single" w:color="000000" w:sz="4" w:space="0"/>
              <w:right w:val="single" w:color="000000"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2585"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平湖市“新仓经验”考察学习活动，探索“新仓经验”茂县模式</w:t>
            </w:r>
          </w:p>
        </w:tc>
        <w:tc>
          <w:tcPr>
            <w:tcW w:w="58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6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w:t>
            </w:r>
          </w:p>
        </w:tc>
        <w:tc>
          <w:tcPr>
            <w:tcW w:w="110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次</w:t>
            </w:r>
          </w:p>
        </w:tc>
        <w:tc>
          <w:tcPr>
            <w:tcW w:w="72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宋体" w:cs="Times New Roman"/>
                <w:color w:val="000000"/>
                <w:kern w:val="0"/>
                <w:sz w:val="18"/>
                <w:szCs w:val="18"/>
                <w:lang w:val="en-US" w:eastAsia="zh-CN" w:bidi="ar"/>
              </w:rPr>
            </w:pPr>
            <w:r>
              <w:rPr>
                <w:rFonts w:hint="eastAsia" w:ascii="仿宋_GB2312" w:hAnsi="仿宋_GB2312" w:eastAsia="仿宋_GB2312" w:cs="仿宋_GB2312"/>
                <w:kern w:val="0"/>
                <w:sz w:val="18"/>
                <w:szCs w:val="18"/>
                <w:lang w:val="en-US" w:eastAsia="zh-CN"/>
              </w:rPr>
              <w:t>=1次</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82" w:type="dxa"/>
            <w:vMerge w:val="continue"/>
            <w:tcBorders>
              <w:top w:val="single" w:color="000000" w:sz="4" w:space="0"/>
              <w:left w:val="single" w:color="auto" w:sz="4" w:space="0"/>
              <w:bottom w:val="single" w:color="auto" w:sz="4" w:space="0"/>
              <w:right w:val="single" w:color="000000"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0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质量指标</w:t>
            </w:r>
          </w:p>
        </w:tc>
        <w:tc>
          <w:tcPr>
            <w:tcW w:w="2585"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推介会媒体曝光量</w:t>
            </w:r>
          </w:p>
        </w:tc>
        <w:tc>
          <w:tcPr>
            <w:tcW w:w="58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6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w:t>
            </w:r>
          </w:p>
        </w:tc>
        <w:tc>
          <w:tcPr>
            <w:tcW w:w="110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次</w:t>
            </w:r>
          </w:p>
        </w:tc>
        <w:tc>
          <w:tcPr>
            <w:tcW w:w="72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5</w:t>
            </w:r>
          </w:p>
        </w:tc>
        <w:tc>
          <w:tcPr>
            <w:tcW w:w="1844"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宋体" w:cs="Times New Roman"/>
                <w:color w:val="000000"/>
                <w:kern w:val="0"/>
                <w:sz w:val="18"/>
                <w:szCs w:val="18"/>
                <w:lang w:val="en-US" w:eastAsia="zh-CN" w:bidi="ar"/>
              </w:rPr>
            </w:pPr>
            <w:r>
              <w:rPr>
                <w:rFonts w:hint="eastAsia" w:ascii="仿宋_GB2312" w:hAnsi="仿宋_GB2312" w:eastAsia="仿宋_GB2312" w:cs="仿宋_GB2312"/>
                <w:kern w:val="0"/>
                <w:sz w:val="18"/>
                <w:szCs w:val="18"/>
                <w:lang w:val="en-US" w:eastAsia="zh-CN"/>
              </w:rPr>
              <w:t>=1次</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0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时效指标</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项目所有活动在2025年12月31日之前完成率</w:t>
            </w:r>
          </w:p>
        </w:tc>
        <w:tc>
          <w:tcPr>
            <w:tcW w:w="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100</w:t>
            </w:r>
          </w:p>
        </w:tc>
        <w:tc>
          <w:tcPr>
            <w:tcW w:w="11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1844"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宋体" w:cs="Times New Roman"/>
                <w:color w:val="000000"/>
                <w:kern w:val="0"/>
                <w:sz w:val="18"/>
                <w:szCs w:val="18"/>
                <w:lang w:val="en-US" w:eastAsia="zh-CN" w:bidi="ar"/>
              </w:rPr>
            </w:pPr>
            <w:r>
              <w:rPr>
                <w:rFonts w:hint="eastAsia" w:ascii="仿宋_GB2312" w:hAnsi="仿宋_GB2312" w:eastAsia="仿宋_GB2312" w:cs="仿宋_GB2312"/>
                <w:kern w:val="0"/>
                <w:sz w:val="18"/>
                <w:szCs w:val="18"/>
                <w:lang w:eastAsia="zh-CN"/>
              </w:rPr>
              <w:t>≥</w:t>
            </w:r>
            <w:r>
              <w:rPr>
                <w:rFonts w:hint="eastAsia" w:ascii="仿宋_GB2312" w:hAnsi="仿宋_GB2312" w:eastAsia="仿宋_GB2312" w:cs="仿宋_GB2312"/>
                <w:kern w:val="0"/>
                <w:sz w:val="18"/>
                <w:szCs w:val="18"/>
                <w:lang w:val="en-US" w:eastAsia="zh-CN"/>
              </w:rPr>
              <w:t>100</w:t>
            </w:r>
            <w:r>
              <w:rPr>
                <w:rFonts w:hint="eastAsia" w:ascii="仿宋_GB2312" w:hAnsi="仿宋_GB2312" w:eastAsia="仿宋_GB2312" w:cs="仿宋_GB2312"/>
                <w:kern w:val="0"/>
                <w:sz w:val="18"/>
                <w:szCs w:val="18"/>
              </w:rPr>
              <w:t>%</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82"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01"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25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按时完成交流交往项目</w:t>
            </w:r>
          </w:p>
        </w:tc>
        <w:tc>
          <w:tcPr>
            <w:tcW w:w="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90</w:t>
            </w:r>
          </w:p>
        </w:tc>
        <w:tc>
          <w:tcPr>
            <w:tcW w:w="11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5</w:t>
            </w:r>
          </w:p>
        </w:tc>
        <w:tc>
          <w:tcPr>
            <w:tcW w:w="1844"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宋体" w:cs="Times New Roman"/>
                <w:color w:val="000000"/>
                <w:kern w:val="0"/>
                <w:sz w:val="18"/>
                <w:szCs w:val="18"/>
                <w:lang w:val="en-US" w:eastAsia="zh-CN" w:bidi="ar"/>
              </w:rPr>
            </w:pPr>
            <w:r>
              <w:rPr>
                <w:rFonts w:hint="eastAsia" w:ascii="仿宋_GB2312" w:hAnsi="仿宋_GB2312" w:eastAsia="仿宋_GB2312" w:cs="仿宋_GB2312"/>
                <w:kern w:val="0"/>
                <w:sz w:val="18"/>
                <w:szCs w:val="18"/>
              </w:rPr>
              <w:t>≥9</w:t>
            </w:r>
            <w:r>
              <w:rPr>
                <w:rFonts w:hint="eastAsia" w:ascii="仿宋_GB2312" w:hAnsi="仿宋_GB2312" w:eastAsia="仿宋_GB2312" w:cs="仿宋_GB2312"/>
                <w:kern w:val="0"/>
                <w:sz w:val="18"/>
                <w:szCs w:val="18"/>
                <w:lang w:val="en-US" w:eastAsia="zh-CN"/>
              </w:rPr>
              <w:t>0</w:t>
            </w:r>
            <w:r>
              <w:rPr>
                <w:rFonts w:hint="eastAsia" w:ascii="仿宋_GB2312" w:hAnsi="仿宋_GB2312" w:eastAsia="仿宋_GB2312" w:cs="仿宋_GB2312"/>
                <w:kern w:val="0"/>
                <w:sz w:val="18"/>
                <w:szCs w:val="18"/>
              </w:rPr>
              <w:t>%</w:t>
            </w:r>
          </w:p>
        </w:tc>
      </w:tr>
      <w:tr>
        <w:tblPrEx>
          <w:tblCellMar>
            <w:top w:w="15" w:type="dxa"/>
            <w:left w:w="15" w:type="dxa"/>
            <w:bottom w:w="15" w:type="dxa"/>
            <w:right w:w="15" w:type="dxa"/>
          </w:tblCellMar>
        </w:tblPrEx>
        <w:trPr>
          <w:trHeight w:val="90" w:hRule="atLeast"/>
          <w:jc w:val="center"/>
        </w:trPr>
        <w:tc>
          <w:tcPr>
            <w:tcW w:w="652" w:type="dxa"/>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效益指标</w:t>
            </w:r>
          </w:p>
        </w:tc>
        <w:tc>
          <w:tcPr>
            <w:tcW w:w="10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展示展销茂县农特产品</w:t>
            </w:r>
          </w:p>
        </w:tc>
        <w:tc>
          <w:tcPr>
            <w:tcW w:w="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3</w:t>
            </w:r>
          </w:p>
        </w:tc>
        <w:tc>
          <w:tcPr>
            <w:tcW w:w="11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种</w:t>
            </w:r>
          </w:p>
        </w:tc>
        <w:tc>
          <w:tcPr>
            <w:tcW w:w="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20</w:t>
            </w:r>
          </w:p>
        </w:tc>
        <w:tc>
          <w:tcPr>
            <w:tcW w:w="1844"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宋体" w:cs="Times New Roman"/>
                <w:color w:val="000000"/>
                <w:kern w:val="0"/>
                <w:sz w:val="18"/>
                <w:szCs w:val="18"/>
                <w:lang w:val="en-US" w:eastAsia="zh-CN" w:bidi="ar"/>
              </w:rPr>
            </w:pPr>
            <w:r>
              <w:rPr>
                <w:rFonts w:hint="eastAsia" w:ascii="仿宋_GB2312" w:hAnsi="仿宋_GB2312" w:eastAsia="仿宋_GB2312" w:cs="仿宋_GB2312"/>
                <w:kern w:val="0"/>
                <w:sz w:val="18"/>
                <w:szCs w:val="18"/>
              </w:rPr>
              <w:t>≥</w:t>
            </w:r>
            <w:r>
              <w:rPr>
                <w:rFonts w:hint="eastAsia" w:ascii="仿宋_GB2312" w:hAnsi="仿宋_GB2312" w:eastAsia="仿宋_GB2312" w:cs="仿宋_GB2312"/>
                <w:kern w:val="0"/>
                <w:sz w:val="18"/>
                <w:szCs w:val="18"/>
                <w:lang w:val="en-US" w:eastAsia="zh-CN"/>
              </w:rPr>
              <w:t>3种</w:t>
            </w:r>
          </w:p>
        </w:tc>
      </w:tr>
      <w:tr>
        <w:tblPrEx>
          <w:tblCellMar>
            <w:top w:w="15" w:type="dxa"/>
            <w:left w:w="15" w:type="dxa"/>
            <w:bottom w:w="15" w:type="dxa"/>
            <w:right w:w="15" w:type="dxa"/>
          </w:tblCellMar>
        </w:tblPrEx>
        <w:trPr>
          <w:trHeight w:val="90" w:hRule="atLeast"/>
          <w:jc w:val="center"/>
        </w:trPr>
        <w:tc>
          <w:tcPr>
            <w:tcW w:w="652" w:type="dxa"/>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10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农户、收益群众的满意度</w:t>
            </w:r>
          </w:p>
        </w:tc>
        <w:tc>
          <w:tcPr>
            <w:tcW w:w="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90</w:t>
            </w:r>
          </w:p>
        </w:tc>
        <w:tc>
          <w:tcPr>
            <w:tcW w:w="11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72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844"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宋体" w:cs="Times New Roman"/>
                <w:color w:val="000000"/>
                <w:kern w:val="0"/>
                <w:sz w:val="18"/>
                <w:szCs w:val="18"/>
                <w:lang w:val="en-US" w:eastAsia="zh-CN" w:bidi="ar"/>
              </w:rPr>
            </w:pPr>
            <w:r>
              <w:rPr>
                <w:rFonts w:hint="eastAsia" w:ascii="仿宋_GB2312" w:hAnsi="仿宋_GB2312" w:eastAsia="仿宋_GB2312" w:cs="仿宋_GB2312"/>
                <w:kern w:val="0"/>
                <w:sz w:val="18"/>
                <w:szCs w:val="18"/>
              </w:rPr>
              <w:t>≥9</w:t>
            </w:r>
            <w:r>
              <w:rPr>
                <w:rFonts w:hint="eastAsia" w:ascii="仿宋_GB2312" w:hAnsi="仿宋_GB2312" w:eastAsia="仿宋_GB2312" w:cs="仿宋_GB2312"/>
                <w:kern w:val="0"/>
                <w:sz w:val="18"/>
                <w:szCs w:val="18"/>
                <w:lang w:val="en-US" w:eastAsia="zh-CN"/>
              </w:rPr>
              <w:t>0</w:t>
            </w:r>
            <w:r>
              <w:rPr>
                <w:rFonts w:hint="eastAsia" w:ascii="仿宋_GB2312" w:hAnsi="仿宋_GB2312" w:eastAsia="仿宋_GB2312" w:cs="仿宋_GB2312"/>
                <w:kern w:val="0"/>
                <w:sz w:val="18"/>
                <w:szCs w:val="18"/>
              </w:rPr>
              <w:t>%</w:t>
            </w:r>
          </w:p>
        </w:tc>
      </w:tr>
    </w:tbl>
    <w:p>
      <w:pPr>
        <w:snapToGrid w:val="0"/>
        <w:spacing w:line="578" w:lineRule="exact"/>
        <w:rPr>
          <w:rFonts w:hint="eastAsia" w:eastAsia="黑体" w:cs="Times New Roman"/>
          <w:kern w:val="0"/>
          <w:sz w:val="32"/>
          <w:szCs w:val="32"/>
          <w:shd w:val="clear" w:color="auto" w:fill="FFFFFF"/>
          <w:lang w:val="en-US" w:eastAsia="zh-CN"/>
        </w:rPr>
      </w:pPr>
      <w:r>
        <w:rPr>
          <w:rFonts w:hint="eastAsia" w:eastAsia="黑体" w:cs="Times New Roman"/>
          <w:kern w:val="0"/>
          <w:sz w:val="32"/>
          <w:szCs w:val="32"/>
          <w:shd w:val="clear" w:color="auto" w:fill="FFFFFF"/>
          <w:lang w:val="en-US" w:eastAsia="zh-CN"/>
        </w:rPr>
        <w:t>附件4</w:t>
      </w:r>
    </w:p>
    <w:p>
      <w:pPr>
        <w:pStyle w:val="2"/>
        <w:rPr>
          <w:rFonts w:hint="default"/>
          <w:lang w:val="en-US" w:eastAsia="zh-CN"/>
        </w:rPr>
      </w:pPr>
    </w:p>
    <w:tbl>
      <w:tblPr>
        <w:tblStyle w:val="26"/>
        <w:tblW w:w="10233" w:type="dxa"/>
        <w:jc w:val="center"/>
        <w:tblLayout w:type="fixed"/>
        <w:tblCellMar>
          <w:top w:w="15" w:type="dxa"/>
          <w:left w:w="15" w:type="dxa"/>
          <w:bottom w:w="15" w:type="dxa"/>
          <w:right w:w="15" w:type="dxa"/>
        </w:tblCellMar>
      </w:tblPr>
      <w:tblGrid>
        <w:gridCol w:w="652"/>
        <w:gridCol w:w="1081"/>
        <w:gridCol w:w="1250"/>
        <w:gridCol w:w="2299"/>
        <w:gridCol w:w="840"/>
        <w:gridCol w:w="570"/>
        <w:gridCol w:w="762"/>
        <w:gridCol w:w="938"/>
        <w:gridCol w:w="1841"/>
      </w:tblGrid>
      <w:tr>
        <w:tblPrEx>
          <w:tblCellMar>
            <w:top w:w="15" w:type="dxa"/>
            <w:left w:w="15" w:type="dxa"/>
            <w:bottom w:w="15" w:type="dxa"/>
            <w:right w:w="15" w:type="dxa"/>
          </w:tblCellMar>
        </w:tblPrEx>
        <w:trPr>
          <w:trHeight w:val="576" w:hRule="atLeast"/>
          <w:jc w:val="center"/>
        </w:trPr>
        <w:tc>
          <w:tcPr>
            <w:tcW w:w="10233" w:type="dxa"/>
            <w:gridSpan w:val="9"/>
            <w:noWrap w:val="0"/>
            <w:vAlign w:val="center"/>
          </w:tcPr>
          <w:p>
            <w:pPr>
              <w:widowControl/>
              <w:spacing w:line="600" w:lineRule="exact"/>
              <w:jc w:val="center"/>
              <w:textAlignment w:val="center"/>
              <w:rPr>
                <w:rFonts w:ascii="Times New Roman" w:hAnsi="Times New Roman" w:eastAsia="黑体" w:cs="Times New Roman"/>
                <w:color w:val="000000"/>
                <w:sz w:val="30"/>
                <w:szCs w:val="30"/>
              </w:rPr>
            </w:pPr>
            <w:r>
              <w:rPr>
                <w:rFonts w:hint="eastAsia" w:ascii="仿宋_GB2312" w:hAnsi="仿宋_GB2312" w:eastAsia="仿宋_GB2312" w:cs="仿宋_GB2312"/>
                <w:b/>
                <w:bCs/>
                <w:sz w:val="32"/>
                <w:szCs w:val="32"/>
                <w:lang w:val="en-US" w:eastAsia="zh-CN"/>
              </w:rPr>
              <w:t>茂县供销合作社第四次社员代表大会项目绩效自评表</w:t>
            </w:r>
          </w:p>
        </w:tc>
      </w:tr>
      <w:tr>
        <w:tblPrEx>
          <w:tblCellMar>
            <w:top w:w="15" w:type="dxa"/>
            <w:left w:w="15" w:type="dxa"/>
            <w:bottom w:w="15" w:type="dxa"/>
            <w:right w:w="15" w:type="dxa"/>
          </w:tblCellMar>
        </w:tblPrEx>
        <w:trPr>
          <w:trHeight w:val="23" w:hRule="atLeast"/>
          <w:jc w:val="center"/>
        </w:trPr>
        <w:tc>
          <w:tcPr>
            <w:tcW w:w="528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项目名称</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茂县供销合作社第四次社员代表大会</w:t>
            </w:r>
          </w:p>
        </w:tc>
      </w:tr>
      <w:tr>
        <w:tblPrEx>
          <w:tblCellMar>
            <w:top w:w="15" w:type="dxa"/>
            <w:left w:w="15" w:type="dxa"/>
            <w:bottom w:w="15" w:type="dxa"/>
            <w:right w:w="15" w:type="dxa"/>
          </w:tblCellMar>
        </w:tblPrEx>
        <w:trPr>
          <w:trHeight w:val="458" w:hRule="atLeast"/>
          <w:jc w:val="center"/>
        </w:trPr>
        <w:tc>
          <w:tcPr>
            <w:tcW w:w="528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预算单位</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茂县供销合作社联合社</w:t>
            </w:r>
          </w:p>
        </w:tc>
      </w:tr>
      <w:tr>
        <w:tblPrEx>
          <w:tblCellMar>
            <w:top w:w="15" w:type="dxa"/>
            <w:left w:w="15" w:type="dxa"/>
            <w:bottom w:w="15" w:type="dxa"/>
            <w:right w:w="15" w:type="dxa"/>
          </w:tblCellMar>
        </w:tblPrEx>
        <w:trPr>
          <w:trHeight w:val="23" w:hRule="atLeast"/>
          <w:jc w:val="center"/>
        </w:trPr>
        <w:tc>
          <w:tcPr>
            <w:tcW w:w="528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项目类型</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二类会议</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 概况</w:t>
            </w:r>
          </w:p>
        </w:tc>
        <w:tc>
          <w:tcPr>
            <w:tcW w:w="463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中长期规划（名称、文号，仅指</w:t>
            </w:r>
          </w:p>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常年项目）</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ascii="Times New Roman" w:hAnsi="Times New Roman" w:eastAsia="宋体" w:cs="Times New Roman"/>
                <w:color w:val="000000"/>
                <w:sz w:val="18"/>
                <w:szCs w:val="18"/>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63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资金管理办法（名称、文号）</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《茂县财政局关于印发&lt;茂县行政事业单位会议费管理办法&gt;的通知》（茂财发〔2020〕46号）</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63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绩效分配方式</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Wingdings 2" w:cs="Times New Roman"/>
                <w:color w:val="000000"/>
                <w:sz w:val="18"/>
                <w:szCs w:val="18"/>
              </w:rPr>
            </w:pPr>
            <w:r>
              <w:rPr>
                <w:rFonts w:ascii="Times New Roman" w:hAnsi="Times New Roman" w:eastAsia="Wingdings 2" w:cs="Times New Roman"/>
                <w:color w:val="000000"/>
                <w:kern w:val="0"/>
                <w:sz w:val="18"/>
                <w:szCs w:val="18"/>
                <w:lang w:bidi="ar"/>
              </w:rPr>
              <w:t>£</w:t>
            </w:r>
            <w:r>
              <w:rPr>
                <w:rFonts w:ascii="Times New Roman" w:hAnsi="Times New Roman" w:eastAsia="宋体" w:cs="Times New Roman"/>
                <w:color w:val="000000"/>
                <w:kern w:val="0"/>
                <w:sz w:val="18"/>
                <w:szCs w:val="18"/>
                <w:lang w:bidi="ar"/>
              </w:rPr>
              <w:t>因素法</w:t>
            </w:r>
          </w:p>
        </w:tc>
        <w:tc>
          <w:tcPr>
            <w:tcW w:w="133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Wingdings 2" w:cs="Times New Roman"/>
                <w:color w:val="000000"/>
                <w:sz w:val="18"/>
                <w:szCs w:val="18"/>
              </w:rPr>
            </w:pPr>
            <w:r>
              <w:rPr>
                <w:rFonts w:ascii="Times New Roman" w:hAnsi="Times New Roman" w:eastAsia="Wingdings 2" w:cs="Times New Roman"/>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Wingdings 2" w:cs="Times New Roman"/>
                <w:color w:val="000000"/>
                <w:sz w:val="18"/>
                <w:szCs w:val="18"/>
              </w:rPr>
            </w:pPr>
            <w:r>
              <w:rPr>
                <w:rFonts w:ascii="Times New Roman" w:hAnsi="Times New Roman" w:eastAsia="Wingdings 2" w:cs="Times New Roman"/>
                <w:color w:val="000000"/>
                <w:kern w:val="0"/>
                <w:sz w:val="18"/>
                <w:szCs w:val="18"/>
                <w:lang w:bidi="ar"/>
              </w:rPr>
              <w:t>£</w:t>
            </w:r>
            <w:r>
              <w:rPr>
                <w:rFonts w:ascii="Times New Roman" w:hAnsi="Times New Roman" w:eastAsia="宋体" w:cs="Times New Roman"/>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Wingdings 2" w:cs="Times New Roman"/>
                <w:color w:val="000000"/>
                <w:sz w:val="18"/>
                <w:szCs w:val="18"/>
              </w:rPr>
            </w:pPr>
            <w:r>
              <w:rPr>
                <w:rFonts w:ascii="Times New Roman" w:hAnsi="Times New Roman" w:eastAsia="Wingdings 2" w:cs="Times New Roman"/>
                <w:color w:val="000000"/>
                <w:kern w:val="0"/>
                <w:sz w:val="18"/>
                <w:szCs w:val="18"/>
                <w:lang w:bidi="ar"/>
              </w:rPr>
              <w:t>£</w:t>
            </w:r>
            <w:r>
              <w:rPr>
                <w:rFonts w:ascii="Times New Roman" w:hAnsi="Times New Roman" w:eastAsia="宋体" w:cs="Times New Roman"/>
                <w:color w:val="000000"/>
                <w:kern w:val="0"/>
                <w:sz w:val="18"/>
                <w:szCs w:val="18"/>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63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立项依据</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ascii="Times New Roman" w:hAnsi="Times New Roman" w:eastAsia="宋体" w:cs="Times New Roman"/>
                <w:color w:val="000000"/>
                <w:sz w:val="18"/>
                <w:szCs w:val="18"/>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63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使用范围</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茂县</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63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申报（补助）条件</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ascii="Times New Roman" w:hAnsi="Times New Roman" w:eastAsia="宋体" w:cs="Times New Roman"/>
                <w:color w:val="000000"/>
                <w:sz w:val="18"/>
                <w:szCs w:val="18"/>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63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项目起止年限</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2025年</w:t>
            </w: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项目资金</w:t>
            </w:r>
          </w:p>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（万元）</w:t>
            </w:r>
          </w:p>
        </w:tc>
        <w:tc>
          <w:tcPr>
            <w:tcW w:w="354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  年度资金总额：</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tabs>
                <w:tab w:val="left" w:pos="297"/>
              </w:tabs>
              <w:spacing w:line="300" w:lineRule="exact"/>
              <w:jc w:val="left"/>
              <w:rPr>
                <w:rFonts w:hint="default" w:ascii="Times New Roman" w:hAnsi="Times New Roman" w:eastAsia="宋体" w:cs="Times New Roman"/>
                <w:color w:val="000000"/>
                <w:sz w:val="18"/>
                <w:szCs w:val="18"/>
                <w:lang w:val="en-US" w:eastAsia="zh-CN"/>
              </w:rPr>
            </w:pPr>
            <w:r>
              <w:rPr>
                <w:rFonts w:hint="eastAsia" w:ascii="Times New Roman" w:hAnsi="Times New Roman" w:cs="Times New Roman"/>
                <w:color w:val="000000"/>
                <w:sz w:val="18"/>
                <w:szCs w:val="18"/>
                <w:lang w:val="en-US" w:eastAsia="zh-CN"/>
              </w:rPr>
              <w:t>1.58</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354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      其中：财政拨款</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both"/>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w:t>
            </w:r>
            <w:r>
              <w:rPr>
                <w:rFonts w:hint="eastAsia" w:ascii="Times New Roman" w:hAnsi="Times New Roman" w:cs="Times New Roman"/>
                <w:color w:val="000000"/>
                <w:sz w:val="18"/>
                <w:szCs w:val="18"/>
                <w:lang w:val="en-US" w:eastAsia="zh-CN"/>
              </w:rPr>
              <w:t>.58</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354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            其他资金</w:t>
            </w:r>
          </w:p>
        </w:tc>
        <w:tc>
          <w:tcPr>
            <w:tcW w:w="4951"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right"/>
              <w:rPr>
                <w:rFonts w:ascii="Times New Roman" w:hAnsi="Times New Roman" w:eastAsia="宋体" w:cs="Times New Roman"/>
                <w:color w:val="000000"/>
                <w:sz w:val="18"/>
                <w:szCs w:val="18"/>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auto"/>
                <w:kern w:val="0"/>
                <w:sz w:val="18"/>
                <w:szCs w:val="18"/>
                <w:highlight w:val="none"/>
                <w:lang w:bidi="ar"/>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val="zh-CN" w:bidi="ar"/>
              </w:rPr>
              <w:t>按照《茂县财政局关于印发&lt;茂县行政事业单位会议费管理办法&gt;的通知》（茂财发〔2020〕46号）分类标准，经费主要用于会议场地布置、参会人员食宿、会议资料印制、会务服务及交通保障等相关支出。</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二级指标</w:t>
            </w:r>
          </w:p>
        </w:tc>
        <w:tc>
          <w:tcPr>
            <w:tcW w:w="22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三级指标</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指标性质</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指标值</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数量指标</w:t>
            </w:r>
          </w:p>
        </w:tc>
        <w:tc>
          <w:tcPr>
            <w:tcW w:w="2299"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参加供销合作社第四次社员代表大会人数</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tabs>
                <w:tab w:val="left" w:pos="342"/>
              </w:tabs>
              <w:spacing w:line="300" w:lineRule="exact"/>
              <w:jc w:val="left"/>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sz w:val="18"/>
                <w:szCs w:val="18"/>
                <w:lang w:eastAsia="zh-CN"/>
              </w:rPr>
              <w:tab/>
            </w:r>
            <w:r>
              <w:rPr>
                <w:rFonts w:hint="eastAsia" w:ascii="Times New Roman" w:hAnsi="Times New Roman" w:eastAsia="宋体" w:cs="Times New Roman"/>
                <w:color w:val="000000"/>
                <w:sz w:val="18"/>
                <w:szCs w:val="18"/>
                <w:lang w:eastAsia="zh-CN"/>
              </w:rPr>
              <w:t>≥</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68</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2299"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组织供销合作社第四次社员代表大会次数</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lang w:eastAsia="zh-CN"/>
              </w:rPr>
              <w:t>≥</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次</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时效指标</w:t>
            </w:r>
          </w:p>
        </w:tc>
        <w:tc>
          <w:tcPr>
            <w:tcW w:w="2299"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按时完成各项会议工作</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firstLine="360" w:firstLineChars="200"/>
              <w:jc w:val="both"/>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lang w:eastAsia="zh-CN"/>
              </w:rPr>
              <w:t>≥</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效益指标</w:t>
            </w:r>
          </w:p>
        </w:tc>
        <w:tc>
          <w:tcPr>
            <w:tcW w:w="1250" w:type="dxa"/>
            <w:tcBorders>
              <w:top w:val="single" w:color="000000" w:sz="4" w:space="0"/>
              <w:left w:val="single" w:color="000000" w:sz="4" w:space="0"/>
              <w:right w:val="single" w:color="000000" w:sz="4" w:space="0"/>
            </w:tcBorders>
            <w:noWrap w:val="0"/>
            <w:vAlign w:val="center"/>
          </w:tcPr>
          <w:p>
            <w:pPr>
              <w:widowControl/>
              <w:spacing w:line="300" w:lineRule="exact"/>
              <w:jc w:val="both"/>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社会效益</w:t>
            </w:r>
          </w:p>
          <w:p>
            <w:pPr>
              <w:widowControl/>
              <w:tabs>
                <w:tab w:val="left" w:pos="429"/>
              </w:tabs>
              <w:spacing w:line="300" w:lineRule="exact"/>
              <w:jc w:val="left"/>
              <w:textAlignment w:val="center"/>
              <w:rPr>
                <w:rFonts w:hint="eastAsia" w:ascii="Times New Roman" w:hAnsi="Times New Roman" w:eastAsia="宋体" w:cs="Times New Roman"/>
                <w:color w:val="000000"/>
                <w:kern w:val="0"/>
                <w:sz w:val="18"/>
                <w:szCs w:val="18"/>
                <w:lang w:eastAsia="zh-CN" w:bidi="ar"/>
              </w:rPr>
            </w:pPr>
            <w:r>
              <w:rPr>
                <w:rFonts w:ascii="Times New Roman" w:hAnsi="Times New Roman" w:eastAsia="宋体" w:cs="Times New Roman"/>
                <w:color w:val="000000"/>
                <w:kern w:val="0"/>
                <w:sz w:val="18"/>
                <w:szCs w:val="18"/>
                <w:lang w:bidi="ar"/>
              </w:rPr>
              <w:t>指标</w:t>
            </w:r>
          </w:p>
        </w:tc>
        <w:tc>
          <w:tcPr>
            <w:tcW w:w="2299"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更好的促进供销综合改革，让全县人民了解茂县供销社工作开展情况</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sz w:val="18"/>
                <w:szCs w:val="18"/>
                <w:lang w:eastAsia="zh-CN"/>
              </w:rPr>
              <w:t>≥</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90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15</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满意度</w:t>
            </w:r>
          </w:p>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指标</w:t>
            </w:r>
          </w:p>
        </w:tc>
        <w:tc>
          <w:tcPr>
            <w:tcW w:w="1250"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服务对象</w:t>
            </w:r>
          </w:p>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满意度指标</w:t>
            </w:r>
          </w:p>
        </w:tc>
        <w:tc>
          <w:tcPr>
            <w:tcW w:w="2299"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茂县供销合作社社员代表大会人员对该次会议服务满意度</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lang w:eastAsia="zh-CN"/>
              </w:rPr>
              <w:t>≥</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90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经济成本</w:t>
            </w:r>
          </w:p>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指标</w:t>
            </w:r>
          </w:p>
        </w:tc>
        <w:tc>
          <w:tcPr>
            <w:tcW w:w="2299" w:type="dxa"/>
            <w:tcBorders>
              <w:top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参会人员会议费标准</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260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元/人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15</w:t>
            </w:r>
          </w:p>
        </w:tc>
      </w:tr>
    </w:tbl>
    <w:p>
      <w:pPr>
        <w:keepNext w:val="0"/>
        <w:keepLines w:val="0"/>
        <w:pageBreakBefore w:val="0"/>
        <w:widowControl w:val="0"/>
        <w:kinsoku/>
        <w:wordWrap/>
        <w:overflowPunct/>
        <w:topLinePunct w:val="0"/>
        <w:bidi w:val="0"/>
        <w:snapToGrid/>
        <w:spacing w:line="576" w:lineRule="exact"/>
        <w:jc w:val="both"/>
        <w:textAlignment w:val="auto"/>
        <w:outlineLvl w:val="0"/>
        <w:rPr>
          <w:rFonts w:hint="eastAsia" w:ascii="方正小标宋简体" w:hAnsi="方正小标宋简体" w:eastAsia="方正小标宋简体" w:cs="方正小标宋简体"/>
          <w:color w:val="000000"/>
          <w:sz w:val="18"/>
          <w:szCs w:val="18"/>
        </w:rPr>
      </w:pPr>
    </w:p>
    <w:p>
      <w:pPr>
        <w:keepNext w:val="0"/>
        <w:keepLines w:val="0"/>
        <w:pageBreakBefore w:val="0"/>
        <w:widowControl w:val="0"/>
        <w:kinsoku/>
        <w:wordWrap/>
        <w:overflowPunct/>
        <w:topLinePunct w:val="0"/>
        <w:bidi w:val="0"/>
        <w:snapToGrid/>
        <w:spacing w:line="576" w:lineRule="exact"/>
        <w:ind w:firstLine="1320" w:firstLineChars="300"/>
        <w:jc w:val="center"/>
        <w:textAlignment w:val="auto"/>
        <w:outlineLvl w:val="0"/>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bidi w:val="0"/>
        <w:snapToGrid/>
        <w:spacing w:line="576" w:lineRule="exact"/>
        <w:ind w:firstLine="1320" w:firstLineChars="300"/>
        <w:jc w:val="center"/>
        <w:textAlignment w:val="auto"/>
        <w:outlineLvl w:val="0"/>
        <w:rPr>
          <w:rStyle w:val="32"/>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32"/>
          <w:rFonts w:hint="eastAsia" w:ascii="方正小标宋简体" w:hAnsi="方正小标宋简体" w:eastAsia="方正小标宋简体" w:cs="方正小标宋简体"/>
          <w:b w:val="0"/>
        </w:rPr>
        <w:t>五部分 附表</w:t>
      </w:r>
      <w:bookmarkEnd w:id="100"/>
      <w:bookmarkEnd w:id="101"/>
      <w:bookmarkEnd w:id="102"/>
      <w:bookmarkEnd w:id="103"/>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Times New Roman" w:eastAsia="仿宋_GB2312" w:cs="Times New Roman"/>
          <w:color w:val="auto"/>
          <w:kern w:val="2"/>
          <w:sz w:val="32"/>
          <w:szCs w:val="32"/>
          <w:lang w:val="zh-CN"/>
        </w:rPr>
      </w:pPr>
      <w:bookmarkStart w:id="104" w:name="_Toc12986"/>
      <w:bookmarkStart w:id="105" w:name="_Toc26370"/>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r>
        <w:rPr>
          <w:rFonts w:hint="eastAsia" w:ascii="仿宋_GB2312" w:hAnsi="Times New Roman" w:eastAsia="仿宋_GB2312" w:cs="Times New Roman"/>
          <w:color w:val="auto"/>
          <w:kern w:val="2"/>
          <w:sz w:val="32"/>
          <w:szCs w:val="32"/>
          <w:lang w:val="zh-CN"/>
        </w:rPr>
        <w:t>一、收入支出决算总表</w:t>
      </w:r>
      <w:bookmarkEnd w:id="104"/>
      <w:bookmarkEnd w:id="105"/>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06" w:name="_Toc13591"/>
      <w:bookmarkStart w:id="107" w:name="_Toc13062"/>
      <w:r>
        <w:rPr>
          <w:rFonts w:hint="eastAsia" w:ascii="仿宋_GB2312" w:hAnsi="Times New Roman" w:eastAsia="仿宋_GB2312" w:cs="Times New Roman"/>
          <w:color w:val="auto"/>
          <w:kern w:val="2"/>
          <w:sz w:val="32"/>
          <w:szCs w:val="32"/>
          <w:lang w:val="zh-CN"/>
        </w:rPr>
        <w:t>二、收入决算表</w:t>
      </w:r>
      <w:bookmarkEnd w:id="106"/>
      <w:bookmarkEnd w:id="107"/>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08" w:name="_Toc29688"/>
      <w:bookmarkStart w:id="109" w:name="_Toc16600"/>
      <w:r>
        <w:rPr>
          <w:rFonts w:hint="eastAsia" w:ascii="仿宋_GB2312" w:hAnsi="Times New Roman" w:eastAsia="仿宋_GB2312" w:cs="Times New Roman"/>
          <w:color w:val="auto"/>
          <w:kern w:val="2"/>
          <w:sz w:val="32"/>
          <w:szCs w:val="32"/>
          <w:lang w:val="zh-CN"/>
        </w:rPr>
        <w:t>三、支出决算表</w:t>
      </w:r>
      <w:bookmarkEnd w:id="108"/>
      <w:bookmarkEnd w:id="109"/>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0" w:name="_Toc5964"/>
      <w:bookmarkStart w:id="111" w:name="_Toc26630"/>
      <w:r>
        <w:rPr>
          <w:rFonts w:hint="eastAsia" w:ascii="仿宋_GB2312" w:hAnsi="Times New Roman" w:eastAsia="仿宋_GB2312" w:cs="Times New Roman"/>
          <w:color w:val="auto"/>
          <w:kern w:val="2"/>
          <w:sz w:val="32"/>
          <w:szCs w:val="32"/>
          <w:lang w:val="zh-CN"/>
        </w:rPr>
        <w:t>四、财政拨款收入支出决算总表</w:t>
      </w:r>
      <w:bookmarkEnd w:id="110"/>
      <w:bookmarkEnd w:id="111"/>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2" w:name="_Toc19934"/>
      <w:bookmarkStart w:id="113" w:name="_Toc14273"/>
      <w:r>
        <w:rPr>
          <w:rFonts w:hint="eastAsia" w:ascii="仿宋_GB2312" w:hAnsi="Times New Roman" w:eastAsia="仿宋_GB2312" w:cs="Times New Roman"/>
          <w:color w:val="auto"/>
          <w:kern w:val="2"/>
          <w:sz w:val="32"/>
          <w:szCs w:val="32"/>
          <w:lang w:val="zh-CN"/>
        </w:rPr>
        <w:t>五、财政拨款支出决算明细表</w:t>
      </w:r>
      <w:bookmarkEnd w:id="112"/>
      <w:bookmarkEnd w:id="113"/>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4" w:name="_Toc16449"/>
      <w:bookmarkStart w:id="115" w:name="_Toc6686"/>
      <w:r>
        <w:rPr>
          <w:rFonts w:hint="eastAsia" w:ascii="仿宋_GB2312" w:hAnsi="Times New Roman" w:eastAsia="仿宋_GB2312" w:cs="Times New Roman"/>
          <w:color w:val="auto"/>
          <w:kern w:val="2"/>
          <w:sz w:val="32"/>
          <w:szCs w:val="32"/>
          <w:lang w:val="zh-CN"/>
        </w:rPr>
        <w:t>六、一般公共预算财政拨款支出决算表</w:t>
      </w:r>
      <w:bookmarkEnd w:id="114"/>
      <w:bookmarkEnd w:id="115"/>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6" w:name="_Toc19514"/>
      <w:bookmarkStart w:id="117" w:name="_Toc3478"/>
      <w:r>
        <w:rPr>
          <w:rFonts w:hint="eastAsia" w:ascii="仿宋_GB2312" w:hAnsi="Times New Roman" w:eastAsia="仿宋_GB2312" w:cs="Times New Roman"/>
          <w:color w:val="auto"/>
          <w:kern w:val="2"/>
          <w:sz w:val="32"/>
          <w:szCs w:val="32"/>
          <w:lang w:val="zh-CN"/>
        </w:rPr>
        <w:t>七、一般公共预算财政拨款支出决算明细表</w:t>
      </w:r>
      <w:bookmarkEnd w:id="116"/>
      <w:bookmarkEnd w:id="117"/>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8" w:name="_Toc191"/>
      <w:bookmarkStart w:id="119" w:name="_Toc17352"/>
      <w:r>
        <w:rPr>
          <w:rFonts w:hint="eastAsia" w:ascii="仿宋_GB2312" w:hAnsi="Times New Roman" w:eastAsia="仿宋_GB2312" w:cs="Times New Roman"/>
          <w:color w:val="auto"/>
          <w:kern w:val="2"/>
          <w:sz w:val="32"/>
          <w:szCs w:val="32"/>
          <w:lang w:val="zh-CN"/>
        </w:rPr>
        <w:t>八、一般公共预算财政拨款基本支出决算表</w:t>
      </w:r>
      <w:bookmarkEnd w:id="118"/>
      <w:bookmarkEnd w:id="119"/>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0" w:name="_Toc5204"/>
      <w:bookmarkStart w:id="121" w:name="_Toc3726"/>
      <w:r>
        <w:rPr>
          <w:rFonts w:hint="eastAsia" w:ascii="仿宋_GB2312" w:hAnsi="Times New Roman" w:eastAsia="仿宋_GB2312" w:cs="Times New Roman"/>
          <w:color w:val="auto"/>
          <w:kern w:val="2"/>
          <w:sz w:val="32"/>
          <w:szCs w:val="32"/>
          <w:lang w:val="zh-CN"/>
        </w:rPr>
        <w:t>九、一般公共预算财政拨款项目支出决算表</w:t>
      </w:r>
      <w:bookmarkEnd w:id="120"/>
      <w:bookmarkEnd w:id="121"/>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2" w:name="_Toc20756"/>
      <w:bookmarkStart w:id="123" w:name="_Toc20056"/>
      <w:r>
        <w:rPr>
          <w:rFonts w:hint="eastAsia" w:ascii="仿宋_GB2312" w:hAnsi="Times New Roman" w:eastAsia="仿宋_GB2312" w:cs="Times New Roman"/>
          <w:color w:val="auto"/>
          <w:kern w:val="2"/>
          <w:sz w:val="32"/>
          <w:szCs w:val="32"/>
          <w:lang w:val="zh-CN"/>
        </w:rPr>
        <w:t>十、政府性基金预算财政拨款收入支出决算表</w:t>
      </w:r>
      <w:bookmarkEnd w:id="122"/>
      <w:bookmarkEnd w:id="123"/>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4" w:name="_Toc21387"/>
      <w:bookmarkStart w:id="125" w:name="_Toc13849"/>
      <w:r>
        <w:rPr>
          <w:rFonts w:hint="eastAsia" w:ascii="仿宋_GB2312" w:hAnsi="Times New Roman" w:eastAsia="仿宋_GB2312" w:cs="Times New Roman"/>
          <w:color w:val="auto"/>
          <w:kern w:val="2"/>
          <w:sz w:val="32"/>
          <w:szCs w:val="32"/>
          <w:lang w:val="zh-CN"/>
        </w:rPr>
        <w:t>十一、国有资本经营预算财政拨款收入支出决算表</w:t>
      </w:r>
      <w:bookmarkEnd w:id="124"/>
      <w:bookmarkEnd w:id="125"/>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6" w:name="_Toc13099"/>
      <w:bookmarkStart w:id="127" w:name="_Toc1140"/>
      <w:r>
        <w:rPr>
          <w:rFonts w:hint="eastAsia" w:ascii="仿宋_GB2312" w:hAnsi="Times New Roman" w:eastAsia="仿宋_GB2312" w:cs="Times New Roman"/>
          <w:color w:val="auto"/>
          <w:kern w:val="2"/>
          <w:sz w:val="32"/>
          <w:szCs w:val="32"/>
          <w:lang w:val="zh-CN"/>
        </w:rPr>
        <w:t>十二、国有资本经营预算财政拨款支出决算表</w:t>
      </w:r>
      <w:bookmarkEnd w:id="126"/>
      <w:bookmarkEnd w:id="127"/>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8" w:name="_Toc25065"/>
      <w:bookmarkStart w:id="129" w:name="_Toc24957"/>
      <w:r>
        <w:rPr>
          <w:rFonts w:hint="eastAsia" w:ascii="仿宋_GB2312" w:hAnsi="Times New Roman" w:eastAsia="仿宋_GB2312" w:cs="Times New Roman"/>
          <w:color w:val="auto"/>
          <w:kern w:val="2"/>
          <w:sz w:val="32"/>
          <w:szCs w:val="32"/>
          <w:lang w:val="zh-CN"/>
        </w:rPr>
        <w:t>十三、财政拨款“三公”经费支出决算表</w:t>
      </w:r>
      <w:bookmarkEnd w:id="128"/>
      <w:bookmarkEnd w:id="129"/>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t>42</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6F8851"/>
    <w:multiLevelType w:val="singleLevel"/>
    <w:tmpl w:val="866F8851"/>
    <w:lvl w:ilvl="0" w:tentative="0">
      <w:start w:val="1"/>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3ODVkZDQzMmMwZTY5MDM0NDIxMWYyNDdjYWI4MDEifQ=="/>
  </w:docVars>
  <w:rsids>
    <w:rsidRoot w:val="00F1361C"/>
    <w:rsid w:val="00021DB1"/>
    <w:rsid w:val="000222C6"/>
    <w:rsid w:val="0002549F"/>
    <w:rsid w:val="00027DEB"/>
    <w:rsid w:val="00044C87"/>
    <w:rsid w:val="000468DB"/>
    <w:rsid w:val="00053F64"/>
    <w:rsid w:val="00054949"/>
    <w:rsid w:val="0006487A"/>
    <w:rsid w:val="00065F8F"/>
    <w:rsid w:val="0006617C"/>
    <w:rsid w:val="00070545"/>
    <w:rsid w:val="00070A43"/>
    <w:rsid w:val="000768F2"/>
    <w:rsid w:val="0008563A"/>
    <w:rsid w:val="0009184B"/>
    <w:rsid w:val="00094236"/>
    <w:rsid w:val="0009593C"/>
    <w:rsid w:val="00097322"/>
    <w:rsid w:val="000A6A92"/>
    <w:rsid w:val="000B047F"/>
    <w:rsid w:val="000B5923"/>
    <w:rsid w:val="000B5A48"/>
    <w:rsid w:val="000B6FF3"/>
    <w:rsid w:val="000B7527"/>
    <w:rsid w:val="000C22C0"/>
    <w:rsid w:val="000C3467"/>
    <w:rsid w:val="000C3CA6"/>
    <w:rsid w:val="000D1267"/>
    <w:rsid w:val="000D1D50"/>
    <w:rsid w:val="000D5782"/>
    <w:rsid w:val="000E188B"/>
    <w:rsid w:val="000E6613"/>
    <w:rsid w:val="000E7119"/>
    <w:rsid w:val="000F20FF"/>
    <w:rsid w:val="001006D2"/>
    <w:rsid w:val="00114E9B"/>
    <w:rsid w:val="00115301"/>
    <w:rsid w:val="0012556E"/>
    <w:rsid w:val="0013189E"/>
    <w:rsid w:val="001319E1"/>
    <w:rsid w:val="00142216"/>
    <w:rsid w:val="00143AAE"/>
    <w:rsid w:val="00144D6A"/>
    <w:rsid w:val="0014729F"/>
    <w:rsid w:val="00157BAB"/>
    <w:rsid w:val="001654D1"/>
    <w:rsid w:val="00174518"/>
    <w:rsid w:val="0018106D"/>
    <w:rsid w:val="001877A7"/>
    <w:rsid w:val="00191536"/>
    <w:rsid w:val="001939B7"/>
    <w:rsid w:val="00195548"/>
    <w:rsid w:val="00196687"/>
    <w:rsid w:val="00196750"/>
    <w:rsid w:val="00197E9F"/>
    <w:rsid w:val="001C0962"/>
    <w:rsid w:val="001C2BFE"/>
    <w:rsid w:val="001D7531"/>
    <w:rsid w:val="001E737D"/>
    <w:rsid w:val="001F0592"/>
    <w:rsid w:val="001F7506"/>
    <w:rsid w:val="002006CD"/>
    <w:rsid w:val="00202B36"/>
    <w:rsid w:val="00204B7A"/>
    <w:rsid w:val="00204C46"/>
    <w:rsid w:val="00204CDE"/>
    <w:rsid w:val="0021101A"/>
    <w:rsid w:val="00217AE2"/>
    <w:rsid w:val="00220536"/>
    <w:rsid w:val="00222F69"/>
    <w:rsid w:val="00233F5B"/>
    <w:rsid w:val="00235629"/>
    <w:rsid w:val="00235CF9"/>
    <w:rsid w:val="0024785F"/>
    <w:rsid w:val="00256262"/>
    <w:rsid w:val="00260C38"/>
    <w:rsid w:val="002616C0"/>
    <w:rsid w:val="00265372"/>
    <w:rsid w:val="002662AA"/>
    <w:rsid w:val="0027224D"/>
    <w:rsid w:val="00280496"/>
    <w:rsid w:val="00294DC9"/>
    <w:rsid w:val="00295495"/>
    <w:rsid w:val="002A31DE"/>
    <w:rsid w:val="002B2613"/>
    <w:rsid w:val="002C6857"/>
    <w:rsid w:val="002D6D05"/>
    <w:rsid w:val="002F1818"/>
    <w:rsid w:val="002F567B"/>
    <w:rsid w:val="00306D06"/>
    <w:rsid w:val="00311FB8"/>
    <w:rsid w:val="00321685"/>
    <w:rsid w:val="003216A9"/>
    <w:rsid w:val="00335A74"/>
    <w:rsid w:val="00340765"/>
    <w:rsid w:val="003536E0"/>
    <w:rsid w:val="0036561B"/>
    <w:rsid w:val="0037013F"/>
    <w:rsid w:val="00380C92"/>
    <w:rsid w:val="00391FB4"/>
    <w:rsid w:val="00393C06"/>
    <w:rsid w:val="003A484F"/>
    <w:rsid w:val="003A4883"/>
    <w:rsid w:val="003B0BE0"/>
    <w:rsid w:val="003B0C1B"/>
    <w:rsid w:val="003B482C"/>
    <w:rsid w:val="003B688C"/>
    <w:rsid w:val="003C0291"/>
    <w:rsid w:val="003C39AE"/>
    <w:rsid w:val="003C7B60"/>
    <w:rsid w:val="003D0C0F"/>
    <w:rsid w:val="003D1310"/>
    <w:rsid w:val="003D1FB2"/>
    <w:rsid w:val="003D3783"/>
    <w:rsid w:val="003D66DA"/>
    <w:rsid w:val="003E1310"/>
    <w:rsid w:val="003E6189"/>
    <w:rsid w:val="003E6F55"/>
    <w:rsid w:val="003E6FE4"/>
    <w:rsid w:val="00406254"/>
    <w:rsid w:val="004223DE"/>
    <w:rsid w:val="0042503B"/>
    <w:rsid w:val="00431654"/>
    <w:rsid w:val="00432BDC"/>
    <w:rsid w:val="00434489"/>
    <w:rsid w:val="00437085"/>
    <w:rsid w:val="00443880"/>
    <w:rsid w:val="00445607"/>
    <w:rsid w:val="004464F4"/>
    <w:rsid w:val="0045405F"/>
    <w:rsid w:val="00466E72"/>
    <w:rsid w:val="00471401"/>
    <w:rsid w:val="00473F31"/>
    <w:rsid w:val="0048263A"/>
    <w:rsid w:val="00487E5D"/>
    <w:rsid w:val="00494545"/>
    <w:rsid w:val="0049684D"/>
    <w:rsid w:val="004A711F"/>
    <w:rsid w:val="004B199D"/>
    <w:rsid w:val="004B1A20"/>
    <w:rsid w:val="004B4690"/>
    <w:rsid w:val="004C2E2D"/>
    <w:rsid w:val="004D5479"/>
    <w:rsid w:val="004E0A2D"/>
    <w:rsid w:val="004E206B"/>
    <w:rsid w:val="004E49C5"/>
    <w:rsid w:val="004E6DF7"/>
    <w:rsid w:val="004F0FBD"/>
    <w:rsid w:val="00504E2E"/>
    <w:rsid w:val="00505A47"/>
    <w:rsid w:val="00512FDA"/>
    <w:rsid w:val="0051361B"/>
    <w:rsid w:val="00520DA0"/>
    <w:rsid w:val="005269A7"/>
    <w:rsid w:val="005269D7"/>
    <w:rsid w:val="005508BC"/>
    <w:rsid w:val="005664BB"/>
    <w:rsid w:val="00566FFA"/>
    <w:rsid w:val="0057481D"/>
    <w:rsid w:val="0058486E"/>
    <w:rsid w:val="00585B33"/>
    <w:rsid w:val="00587B68"/>
    <w:rsid w:val="0059014D"/>
    <w:rsid w:val="005A6340"/>
    <w:rsid w:val="005B5C64"/>
    <w:rsid w:val="005C5337"/>
    <w:rsid w:val="005C6BD0"/>
    <w:rsid w:val="005D1C8B"/>
    <w:rsid w:val="005D468D"/>
    <w:rsid w:val="005D5591"/>
    <w:rsid w:val="005D5CED"/>
    <w:rsid w:val="005F1A4C"/>
    <w:rsid w:val="005F34D0"/>
    <w:rsid w:val="006055E2"/>
    <w:rsid w:val="00605688"/>
    <w:rsid w:val="006070AF"/>
    <w:rsid w:val="00607E6C"/>
    <w:rsid w:val="006101B1"/>
    <w:rsid w:val="00614E44"/>
    <w:rsid w:val="006162E5"/>
    <w:rsid w:val="006178BA"/>
    <w:rsid w:val="0062270A"/>
    <w:rsid w:val="00622830"/>
    <w:rsid w:val="00623DA0"/>
    <w:rsid w:val="00627647"/>
    <w:rsid w:val="00627E95"/>
    <w:rsid w:val="006302ED"/>
    <w:rsid w:val="00630AEF"/>
    <w:rsid w:val="006325F8"/>
    <w:rsid w:val="00633463"/>
    <w:rsid w:val="00634C9A"/>
    <w:rsid w:val="00636199"/>
    <w:rsid w:val="006440E4"/>
    <w:rsid w:val="00645F81"/>
    <w:rsid w:val="0064742A"/>
    <w:rsid w:val="0066019E"/>
    <w:rsid w:val="0066343B"/>
    <w:rsid w:val="00664777"/>
    <w:rsid w:val="006748A4"/>
    <w:rsid w:val="00681A31"/>
    <w:rsid w:val="00683E73"/>
    <w:rsid w:val="00691398"/>
    <w:rsid w:val="00696595"/>
    <w:rsid w:val="006A3141"/>
    <w:rsid w:val="006A5E34"/>
    <w:rsid w:val="006B2422"/>
    <w:rsid w:val="006B2B9A"/>
    <w:rsid w:val="006C1937"/>
    <w:rsid w:val="006D157C"/>
    <w:rsid w:val="006E787E"/>
    <w:rsid w:val="006F020C"/>
    <w:rsid w:val="006F2EF2"/>
    <w:rsid w:val="00702B00"/>
    <w:rsid w:val="007127B7"/>
    <w:rsid w:val="0071798E"/>
    <w:rsid w:val="007232C4"/>
    <w:rsid w:val="00734A62"/>
    <w:rsid w:val="0074040A"/>
    <w:rsid w:val="007416B6"/>
    <w:rsid w:val="00746F48"/>
    <w:rsid w:val="0075404D"/>
    <w:rsid w:val="0076182A"/>
    <w:rsid w:val="00767B7E"/>
    <w:rsid w:val="007770C3"/>
    <w:rsid w:val="00784D24"/>
    <w:rsid w:val="00785FBA"/>
    <w:rsid w:val="00786E4A"/>
    <w:rsid w:val="007875EB"/>
    <w:rsid w:val="0079426B"/>
    <w:rsid w:val="007B2D0B"/>
    <w:rsid w:val="007D1682"/>
    <w:rsid w:val="007D312A"/>
    <w:rsid w:val="007D3F19"/>
    <w:rsid w:val="007E23B0"/>
    <w:rsid w:val="007E23E5"/>
    <w:rsid w:val="007F1991"/>
    <w:rsid w:val="007F2C2F"/>
    <w:rsid w:val="007F55FC"/>
    <w:rsid w:val="007F5665"/>
    <w:rsid w:val="00800112"/>
    <w:rsid w:val="00800D80"/>
    <w:rsid w:val="00813348"/>
    <w:rsid w:val="00822762"/>
    <w:rsid w:val="0082285F"/>
    <w:rsid w:val="008253BB"/>
    <w:rsid w:val="00834E0E"/>
    <w:rsid w:val="0083706E"/>
    <w:rsid w:val="008408F6"/>
    <w:rsid w:val="00840C7F"/>
    <w:rsid w:val="008423A5"/>
    <w:rsid w:val="00850625"/>
    <w:rsid w:val="00853718"/>
    <w:rsid w:val="00855221"/>
    <w:rsid w:val="00860645"/>
    <w:rsid w:val="00860647"/>
    <w:rsid w:val="00871F71"/>
    <w:rsid w:val="00872FD8"/>
    <w:rsid w:val="00885AF4"/>
    <w:rsid w:val="00885CA1"/>
    <w:rsid w:val="00892977"/>
    <w:rsid w:val="008939CD"/>
    <w:rsid w:val="008941F3"/>
    <w:rsid w:val="008A2AE7"/>
    <w:rsid w:val="008B17DE"/>
    <w:rsid w:val="008B768C"/>
    <w:rsid w:val="008C4DB1"/>
    <w:rsid w:val="008C4EAF"/>
    <w:rsid w:val="008C5176"/>
    <w:rsid w:val="008C7FD0"/>
    <w:rsid w:val="008D4D53"/>
    <w:rsid w:val="008E1DE7"/>
    <w:rsid w:val="008E707C"/>
    <w:rsid w:val="008F6523"/>
    <w:rsid w:val="008F6611"/>
    <w:rsid w:val="00900B08"/>
    <w:rsid w:val="00902155"/>
    <w:rsid w:val="00902FA3"/>
    <w:rsid w:val="00923564"/>
    <w:rsid w:val="0092392E"/>
    <w:rsid w:val="00927F58"/>
    <w:rsid w:val="009315F9"/>
    <w:rsid w:val="00933499"/>
    <w:rsid w:val="009334D8"/>
    <w:rsid w:val="00935C98"/>
    <w:rsid w:val="0093635C"/>
    <w:rsid w:val="00946945"/>
    <w:rsid w:val="00951248"/>
    <w:rsid w:val="0095152F"/>
    <w:rsid w:val="00954C49"/>
    <w:rsid w:val="00955E37"/>
    <w:rsid w:val="00960F5B"/>
    <w:rsid w:val="00962656"/>
    <w:rsid w:val="0097099F"/>
    <w:rsid w:val="00971997"/>
    <w:rsid w:val="00971FFC"/>
    <w:rsid w:val="0098607C"/>
    <w:rsid w:val="0098660A"/>
    <w:rsid w:val="00987007"/>
    <w:rsid w:val="009931C3"/>
    <w:rsid w:val="009A4458"/>
    <w:rsid w:val="009B2C43"/>
    <w:rsid w:val="009B4EAE"/>
    <w:rsid w:val="009B7573"/>
    <w:rsid w:val="009C22F4"/>
    <w:rsid w:val="009C2A4B"/>
    <w:rsid w:val="009C2E98"/>
    <w:rsid w:val="009D199C"/>
    <w:rsid w:val="009D3447"/>
    <w:rsid w:val="009D3AF1"/>
    <w:rsid w:val="009D4711"/>
    <w:rsid w:val="009D7E53"/>
    <w:rsid w:val="009F1185"/>
    <w:rsid w:val="009F18CD"/>
    <w:rsid w:val="009F2A13"/>
    <w:rsid w:val="009F7527"/>
    <w:rsid w:val="00A04EB0"/>
    <w:rsid w:val="00A130CC"/>
    <w:rsid w:val="00A13CC1"/>
    <w:rsid w:val="00A16847"/>
    <w:rsid w:val="00A20841"/>
    <w:rsid w:val="00A237D8"/>
    <w:rsid w:val="00A268C4"/>
    <w:rsid w:val="00A307CD"/>
    <w:rsid w:val="00A331C8"/>
    <w:rsid w:val="00A370FD"/>
    <w:rsid w:val="00A40A00"/>
    <w:rsid w:val="00A4142F"/>
    <w:rsid w:val="00A422EB"/>
    <w:rsid w:val="00A45BB7"/>
    <w:rsid w:val="00A56DF2"/>
    <w:rsid w:val="00A56E6E"/>
    <w:rsid w:val="00A6787D"/>
    <w:rsid w:val="00A67AB5"/>
    <w:rsid w:val="00A733B2"/>
    <w:rsid w:val="00A741C2"/>
    <w:rsid w:val="00A77616"/>
    <w:rsid w:val="00A91760"/>
    <w:rsid w:val="00A93B00"/>
    <w:rsid w:val="00A93C21"/>
    <w:rsid w:val="00AB262A"/>
    <w:rsid w:val="00AB3015"/>
    <w:rsid w:val="00AB64C9"/>
    <w:rsid w:val="00AB64F0"/>
    <w:rsid w:val="00AC098F"/>
    <w:rsid w:val="00AC3C6A"/>
    <w:rsid w:val="00AC7E5E"/>
    <w:rsid w:val="00AD5620"/>
    <w:rsid w:val="00AD656B"/>
    <w:rsid w:val="00AD7C1B"/>
    <w:rsid w:val="00AE0065"/>
    <w:rsid w:val="00AE16BA"/>
    <w:rsid w:val="00AE1EBE"/>
    <w:rsid w:val="00AF270C"/>
    <w:rsid w:val="00AF4E63"/>
    <w:rsid w:val="00B011E4"/>
    <w:rsid w:val="00B015C8"/>
    <w:rsid w:val="00B03C9D"/>
    <w:rsid w:val="00B060AE"/>
    <w:rsid w:val="00B07AA4"/>
    <w:rsid w:val="00B10517"/>
    <w:rsid w:val="00B11997"/>
    <w:rsid w:val="00B14E76"/>
    <w:rsid w:val="00B161B8"/>
    <w:rsid w:val="00B2048C"/>
    <w:rsid w:val="00B310B9"/>
    <w:rsid w:val="00B35F3F"/>
    <w:rsid w:val="00B36858"/>
    <w:rsid w:val="00B36CBB"/>
    <w:rsid w:val="00B425E0"/>
    <w:rsid w:val="00B440AA"/>
    <w:rsid w:val="00B44B70"/>
    <w:rsid w:val="00B46A0E"/>
    <w:rsid w:val="00B53C56"/>
    <w:rsid w:val="00B57DAF"/>
    <w:rsid w:val="00B63EA4"/>
    <w:rsid w:val="00B77EA6"/>
    <w:rsid w:val="00B81598"/>
    <w:rsid w:val="00B841F1"/>
    <w:rsid w:val="00B856CE"/>
    <w:rsid w:val="00B90E4E"/>
    <w:rsid w:val="00B93C78"/>
    <w:rsid w:val="00B94118"/>
    <w:rsid w:val="00B944D6"/>
    <w:rsid w:val="00B965DC"/>
    <w:rsid w:val="00BB4DF0"/>
    <w:rsid w:val="00BC1A18"/>
    <w:rsid w:val="00BC289F"/>
    <w:rsid w:val="00BC2D50"/>
    <w:rsid w:val="00BC5361"/>
    <w:rsid w:val="00BC5460"/>
    <w:rsid w:val="00BC6B50"/>
    <w:rsid w:val="00BD0E25"/>
    <w:rsid w:val="00BD3E3E"/>
    <w:rsid w:val="00BD418A"/>
    <w:rsid w:val="00BE7501"/>
    <w:rsid w:val="00BF2D94"/>
    <w:rsid w:val="00BF5BD6"/>
    <w:rsid w:val="00C03E31"/>
    <w:rsid w:val="00C273C1"/>
    <w:rsid w:val="00C27E95"/>
    <w:rsid w:val="00C331DE"/>
    <w:rsid w:val="00C33E72"/>
    <w:rsid w:val="00C354B2"/>
    <w:rsid w:val="00C35554"/>
    <w:rsid w:val="00C42709"/>
    <w:rsid w:val="00C533CC"/>
    <w:rsid w:val="00C5751C"/>
    <w:rsid w:val="00C61BFC"/>
    <w:rsid w:val="00C62B85"/>
    <w:rsid w:val="00C65438"/>
    <w:rsid w:val="00C71B53"/>
    <w:rsid w:val="00C7394F"/>
    <w:rsid w:val="00C87FD8"/>
    <w:rsid w:val="00C91381"/>
    <w:rsid w:val="00C91CBB"/>
    <w:rsid w:val="00CB4E70"/>
    <w:rsid w:val="00CB5399"/>
    <w:rsid w:val="00CC09B6"/>
    <w:rsid w:val="00CC666F"/>
    <w:rsid w:val="00CD1E3F"/>
    <w:rsid w:val="00CD4ED8"/>
    <w:rsid w:val="00CD64B4"/>
    <w:rsid w:val="00CE44F6"/>
    <w:rsid w:val="00CE49DA"/>
    <w:rsid w:val="00CE7B61"/>
    <w:rsid w:val="00D00095"/>
    <w:rsid w:val="00D013C8"/>
    <w:rsid w:val="00D114F0"/>
    <w:rsid w:val="00D20596"/>
    <w:rsid w:val="00D20620"/>
    <w:rsid w:val="00D2395F"/>
    <w:rsid w:val="00D254F7"/>
    <w:rsid w:val="00D26091"/>
    <w:rsid w:val="00D2685C"/>
    <w:rsid w:val="00D34E7C"/>
    <w:rsid w:val="00D35489"/>
    <w:rsid w:val="00D36AFE"/>
    <w:rsid w:val="00D51276"/>
    <w:rsid w:val="00D67A8B"/>
    <w:rsid w:val="00D7035F"/>
    <w:rsid w:val="00D81A47"/>
    <w:rsid w:val="00D84004"/>
    <w:rsid w:val="00D9195A"/>
    <w:rsid w:val="00DA634F"/>
    <w:rsid w:val="00DA65AC"/>
    <w:rsid w:val="00DB1913"/>
    <w:rsid w:val="00DB342F"/>
    <w:rsid w:val="00DC410D"/>
    <w:rsid w:val="00DC5A81"/>
    <w:rsid w:val="00DC68CA"/>
    <w:rsid w:val="00DC74B0"/>
    <w:rsid w:val="00DC7CBA"/>
    <w:rsid w:val="00DD35C5"/>
    <w:rsid w:val="00DD65F7"/>
    <w:rsid w:val="00DD73B7"/>
    <w:rsid w:val="00DE279C"/>
    <w:rsid w:val="00DF02CD"/>
    <w:rsid w:val="00DF28BC"/>
    <w:rsid w:val="00DF34B9"/>
    <w:rsid w:val="00DF750A"/>
    <w:rsid w:val="00E01053"/>
    <w:rsid w:val="00E07ACF"/>
    <w:rsid w:val="00E10730"/>
    <w:rsid w:val="00E31804"/>
    <w:rsid w:val="00E32CAD"/>
    <w:rsid w:val="00E331A1"/>
    <w:rsid w:val="00E33202"/>
    <w:rsid w:val="00E336A9"/>
    <w:rsid w:val="00E472B1"/>
    <w:rsid w:val="00E50624"/>
    <w:rsid w:val="00E568DF"/>
    <w:rsid w:val="00E64269"/>
    <w:rsid w:val="00E70975"/>
    <w:rsid w:val="00E82267"/>
    <w:rsid w:val="00E853CE"/>
    <w:rsid w:val="00E867B6"/>
    <w:rsid w:val="00E9002D"/>
    <w:rsid w:val="00EA010F"/>
    <w:rsid w:val="00EA3086"/>
    <w:rsid w:val="00EB64D9"/>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1480"/>
    <w:rsid w:val="00F36D8F"/>
    <w:rsid w:val="00F417B1"/>
    <w:rsid w:val="00F45853"/>
    <w:rsid w:val="00F514E6"/>
    <w:rsid w:val="00F528F3"/>
    <w:rsid w:val="00F53347"/>
    <w:rsid w:val="00F56B97"/>
    <w:rsid w:val="00F602DF"/>
    <w:rsid w:val="00F754A1"/>
    <w:rsid w:val="00F772E5"/>
    <w:rsid w:val="00F81FD9"/>
    <w:rsid w:val="00F841AA"/>
    <w:rsid w:val="00F84A94"/>
    <w:rsid w:val="00F87E96"/>
    <w:rsid w:val="00FA23E8"/>
    <w:rsid w:val="00FC2607"/>
    <w:rsid w:val="00FC286F"/>
    <w:rsid w:val="00FD3CC1"/>
    <w:rsid w:val="00FE4627"/>
    <w:rsid w:val="00FF0F79"/>
    <w:rsid w:val="00FF1E02"/>
    <w:rsid w:val="00FF30B4"/>
    <w:rsid w:val="01011432"/>
    <w:rsid w:val="01170C55"/>
    <w:rsid w:val="015069B8"/>
    <w:rsid w:val="02241FDF"/>
    <w:rsid w:val="056D353A"/>
    <w:rsid w:val="06E53B5E"/>
    <w:rsid w:val="08384ACC"/>
    <w:rsid w:val="088C61A1"/>
    <w:rsid w:val="09594501"/>
    <w:rsid w:val="0A2032A3"/>
    <w:rsid w:val="0B226B74"/>
    <w:rsid w:val="0BA80E28"/>
    <w:rsid w:val="0C1C3825"/>
    <w:rsid w:val="0CE1147B"/>
    <w:rsid w:val="0E567AED"/>
    <w:rsid w:val="0F1C44AC"/>
    <w:rsid w:val="0F44355D"/>
    <w:rsid w:val="10C055FF"/>
    <w:rsid w:val="118107EC"/>
    <w:rsid w:val="127D3A51"/>
    <w:rsid w:val="12CF0D01"/>
    <w:rsid w:val="12D313A1"/>
    <w:rsid w:val="16BB723D"/>
    <w:rsid w:val="178070FD"/>
    <w:rsid w:val="183539C6"/>
    <w:rsid w:val="18EA45A0"/>
    <w:rsid w:val="1A4E7CD9"/>
    <w:rsid w:val="1A515655"/>
    <w:rsid w:val="1B355F99"/>
    <w:rsid w:val="1B80416E"/>
    <w:rsid w:val="1D155CEE"/>
    <w:rsid w:val="1D7B6FB2"/>
    <w:rsid w:val="1DC13FCB"/>
    <w:rsid w:val="21F568A6"/>
    <w:rsid w:val="223B434C"/>
    <w:rsid w:val="23D92D85"/>
    <w:rsid w:val="240371BF"/>
    <w:rsid w:val="24C36CD8"/>
    <w:rsid w:val="24D42622"/>
    <w:rsid w:val="2531293C"/>
    <w:rsid w:val="254B5170"/>
    <w:rsid w:val="281F026C"/>
    <w:rsid w:val="29FD04D3"/>
    <w:rsid w:val="2AF7727E"/>
    <w:rsid w:val="2B095BA0"/>
    <w:rsid w:val="2B634FBD"/>
    <w:rsid w:val="2DBB5BCC"/>
    <w:rsid w:val="2E423D71"/>
    <w:rsid w:val="2F05640D"/>
    <w:rsid w:val="2FB00A4B"/>
    <w:rsid w:val="319F7F4E"/>
    <w:rsid w:val="36653583"/>
    <w:rsid w:val="368D0A96"/>
    <w:rsid w:val="37060F75"/>
    <w:rsid w:val="39E62997"/>
    <w:rsid w:val="3A5F6FAF"/>
    <w:rsid w:val="3CCD349B"/>
    <w:rsid w:val="3DC70D32"/>
    <w:rsid w:val="3FAC0712"/>
    <w:rsid w:val="41984EBF"/>
    <w:rsid w:val="41E12F6E"/>
    <w:rsid w:val="42796857"/>
    <w:rsid w:val="44780010"/>
    <w:rsid w:val="473D3E13"/>
    <w:rsid w:val="491A265E"/>
    <w:rsid w:val="49887FE7"/>
    <w:rsid w:val="49995C78"/>
    <w:rsid w:val="4A0A26D2"/>
    <w:rsid w:val="4ACD5375"/>
    <w:rsid w:val="4BD55BDF"/>
    <w:rsid w:val="4D251398"/>
    <w:rsid w:val="4E3C6BD2"/>
    <w:rsid w:val="4E8F13F8"/>
    <w:rsid w:val="4ECE2238"/>
    <w:rsid w:val="4FE2511A"/>
    <w:rsid w:val="53D24869"/>
    <w:rsid w:val="53FF595C"/>
    <w:rsid w:val="5516017D"/>
    <w:rsid w:val="55346B1F"/>
    <w:rsid w:val="56452285"/>
    <w:rsid w:val="56715961"/>
    <w:rsid w:val="594C028D"/>
    <w:rsid w:val="5B686F98"/>
    <w:rsid w:val="5BD14DFE"/>
    <w:rsid w:val="5BD2079E"/>
    <w:rsid w:val="5BD43888"/>
    <w:rsid w:val="5D333022"/>
    <w:rsid w:val="5F77A4F4"/>
    <w:rsid w:val="60C71747"/>
    <w:rsid w:val="61DF3FED"/>
    <w:rsid w:val="62EE14A0"/>
    <w:rsid w:val="6424383C"/>
    <w:rsid w:val="65087B23"/>
    <w:rsid w:val="65323478"/>
    <w:rsid w:val="65C20D2F"/>
    <w:rsid w:val="67BB5E6B"/>
    <w:rsid w:val="68AB2E7A"/>
    <w:rsid w:val="68FC43C1"/>
    <w:rsid w:val="6905258B"/>
    <w:rsid w:val="69821E2D"/>
    <w:rsid w:val="69DF102E"/>
    <w:rsid w:val="6B2036AC"/>
    <w:rsid w:val="6C4A05C8"/>
    <w:rsid w:val="6E5C63C0"/>
    <w:rsid w:val="6F05509A"/>
    <w:rsid w:val="6F173306"/>
    <w:rsid w:val="6F504A21"/>
    <w:rsid w:val="6FA443D3"/>
    <w:rsid w:val="70871AD7"/>
    <w:rsid w:val="72734D90"/>
    <w:rsid w:val="74D477FC"/>
    <w:rsid w:val="75FB71EF"/>
    <w:rsid w:val="77820706"/>
    <w:rsid w:val="77ED05D0"/>
    <w:rsid w:val="7D17F982"/>
    <w:rsid w:val="7F2014E8"/>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1"/>
    <w:next w:val="1"/>
    <w:qFormat/>
    <w:uiPriority w:val="0"/>
    <w:pPr>
      <w:ind w:left="400" w:leftChars="200" w:hanging="200" w:hangingChars="200"/>
    </w:pPr>
    <w:rPr>
      <w:rFonts w:eastAsia="仿宋_GB2312"/>
      <w:sz w:val="32"/>
      <w:szCs w:val="32"/>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Normal Indent"/>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 w:type="paragraph" w:styleId="8">
    <w:name w:val="Body Text"/>
    <w:basedOn w:val="1"/>
    <w:link w:val="41"/>
    <w:qFormat/>
    <w:uiPriority w:val="0"/>
    <w:pPr>
      <w:spacing w:beforeLines="30"/>
    </w:pPr>
    <w:rPr>
      <w:rFonts w:ascii="仿宋_GB2312" w:eastAsia="仿宋_GB2312"/>
      <w:kern w:val="0"/>
      <w:sz w:val="24"/>
      <w:szCs w:val="20"/>
      <w:lang w:val="zh-CN"/>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5"/>
    <w:basedOn w:val="1"/>
    <w:next w:val="1"/>
    <w:unhideWhenUsed/>
    <w:qFormat/>
    <w:uiPriority w:val="39"/>
    <w:pPr>
      <w:ind w:left="840"/>
      <w:jc w:val="left"/>
    </w:pPr>
    <w:rPr>
      <w:rFonts w:asciiTheme="minorHAnsi" w:eastAsiaTheme="minorHAnsi"/>
      <w:sz w:val="18"/>
      <w:szCs w:val="18"/>
    </w:rPr>
  </w:style>
  <w:style w:type="paragraph" w:styleId="12">
    <w:name w:val="toc 3"/>
    <w:basedOn w:val="1"/>
    <w:next w:val="1"/>
    <w:unhideWhenUsed/>
    <w:qFormat/>
    <w:uiPriority w:val="39"/>
    <w:pPr>
      <w:ind w:left="420"/>
      <w:jc w:val="left"/>
    </w:pPr>
    <w:rPr>
      <w:rFonts w:asciiTheme="minorHAnsi" w:eastAsiaTheme="minorHAnsi"/>
      <w:i/>
      <w:iCs/>
      <w:sz w:val="20"/>
      <w:szCs w:val="20"/>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6"/>
    <w:semiHidden/>
    <w:unhideWhenUsed/>
    <w:qFormat/>
    <w:uiPriority w:val="99"/>
    <w:rPr>
      <w:sz w:val="18"/>
      <w:szCs w:val="18"/>
    </w:rPr>
  </w:style>
  <w:style w:type="paragraph" w:styleId="15">
    <w:name w:val="footer"/>
    <w:basedOn w:val="1"/>
    <w:link w:val="40"/>
    <w:qFormat/>
    <w:uiPriority w:val="99"/>
    <w:pPr>
      <w:tabs>
        <w:tab w:val="center" w:pos="4153"/>
        <w:tab w:val="right" w:pos="8306"/>
      </w:tabs>
      <w:snapToGrid w:val="0"/>
      <w:jc w:val="left"/>
    </w:pPr>
    <w:rPr>
      <w:rFonts w:ascii="Calibri" w:hAnsi="Calibri"/>
      <w:kern w:val="0"/>
      <w:sz w:val="18"/>
      <w:szCs w:val="20"/>
      <w:lang w:val="zh-CN"/>
    </w:rPr>
  </w:style>
  <w:style w:type="paragraph" w:styleId="16">
    <w:name w:val="header"/>
    <w:basedOn w:val="1"/>
    <w:link w:val="3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7">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footnote text"/>
    <w:basedOn w:val="1"/>
    <w:next w:val="10"/>
    <w:semiHidden/>
    <w:qFormat/>
    <w:uiPriority w:val="0"/>
    <w:pPr>
      <w:snapToGrid w:val="0"/>
      <w:jc w:val="left"/>
    </w:pPr>
    <w:rPr>
      <w:sz w:val="18"/>
      <w:szCs w:val="18"/>
    </w:rPr>
  </w:style>
  <w:style w:type="paragraph" w:styleId="20">
    <w:name w:val="toc 6"/>
    <w:basedOn w:val="1"/>
    <w:next w:val="1"/>
    <w:unhideWhenUsed/>
    <w:qFormat/>
    <w:uiPriority w:val="39"/>
    <w:pPr>
      <w:ind w:left="1050"/>
      <w:jc w:val="left"/>
    </w:pPr>
    <w:rPr>
      <w:rFonts w:asciiTheme="minorHAnsi" w:eastAsiaTheme="minorHAnsi"/>
      <w:sz w:val="18"/>
      <w:szCs w:val="18"/>
    </w:rPr>
  </w:style>
  <w:style w:type="paragraph" w:styleId="21">
    <w:name w:val="table of figures"/>
    <w:basedOn w:val="1"/>
    <w:next w:val="1"/>
    <w:unhideWhenUsed/>
    <w:qFormat/>
    <w:uiPriority w:val="0"/>
    <w:pPr>
      <w:ind w:left="200" w:leftChars="200" w:hanging="200" w:hangingChars="200"/>
    </w:pPr>
    <w:rPr>
      <w:rFonts w:eastAsia="仿宋_GB2312"/>
      <w:sz w:val="32"/>
    </w:rPr>
  </w:style>
  <w:style w:type="paragraph" w:styleId="22">
    <w:name w:val="toc 2"/>
    <w:basedOn w:val="1"/>
    <w:next w:val="1"/>
    <w:unhideWhenUsed/>
    <w:qFormat/>
    <w:uiPriority w:val="39"/>
    <w:pPr>
      <w:ind w:left="210"/>
      <w:jc w:val="left"/>
    </w:pPr>
    <w:rPr>
      <w:rFonts w:asciiTheme="minorHAnsi" w:eastAsiaTheme="minorHAnsi"/>
      <w:smallCaps/>
      <w:sz w:val="20"/>
      <w:szCs w:val="20"/>
    </w:rPr>
  </w:style>
  <w:style w:type="paragraph" w:styleId="23">
    <w:name w:val="toc 9"/>
    <w:basedOn w:val="1"/>
    <w:next w:val="1"/>
    <w:unhideWhenUsed/>
    <w:qFormat/>
    <w:uiPriority w:val="39"/>
    <w:pPr>
      <w:ind w:left="1680"/>
      <w:jc w:val="left"/>
    </w:pPr>
    <w:rPr>
      <w:rFonts w:asciiTheme="minorHAnsi" w:eastAsiaTheme="minorHAnsi"/>
      <w:sz w:val="18"/>
      <w:szCs w:val="18"/>
    </w:rPr>
  </w:style>
  <w:style w:type="paragraph" w:styleId="24">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eastAsia="宋体" w:cs="宋体"/>
      <w:kern w:val="0"/>
      <w:sz w:val="24"/>
      <w:szCs w:val="24"/>
      <w:lang w:val="en-US" w:eastAsia="zh-CN" w:bidi="ar-SA"/>
    </w:rPr>
  </w:style>
  <w:style w:type="paragraph" w:styleId="25">
    <w:name w:val="Normal (Web)"/>
    <w:basedOn w:val="1"/>
    <w:qFormat/>
    <w:uiPriority w:val="0"/>
    <w:pPr>
      <w:spacing w:before="100" w:beforeAutospacing="1" w:after="100" w:afterAutospacing="1"/>
      <w:jc w:val="left"/>
    </w:pPr>
    <w:rPr>
      <w:rFonts w:ascii="Calibri" w:hAnsi="Calibri"/>
      <w:kern w:val="0"/>
      <w:sz w:val="24"/>
    </w:rPr>
  </w:style>
  <w:style w:type="table" w:styleId="2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rFonts w:cs="Times New Roman"/>
      <w:b/>
    </w:rPr>
  </w:style>
  <w:style w:type="character" w:styleId="30">
    <w:name w:val="Hyperlink"/>
    <w:basedOn w:val="28"/>
    <w:unhideWhenUsed/>
    <w:qFormat/>
    <w:uiPriority w:val="99"/>
    <w:rPr>
      <w:rFonts w:cs="Times New Roman"/>
      <w:color w:val="0000FF"/>
      <w:u w:val="single"/>
    </w:rPr>
  </w:style>
  <w:style w:type="paragraph" w:customStyle="1" w:styleId="3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32">
    <w:name w:val="标题 1 Char"/>
    <w:basedOn w:val="28"/>
    <w:link w:val="3"/>
    <w:qFormat/>
    <w:locked/>
    <w:uiPriority w:val="9"/>
    <w:rPr>
      <w:rFonts w:ascii="Times New Roman" w:hAnsi="Times New Roman" w:cs="Times New Roman"/>
      <w:b/>
      <w:bCs/>
      <w:kern w:val="44"/>
      <w:sz w:val="44"/>
      <w:szCs w:val="44"/>
    </w:rPr>
  </w:style>
  <w:style w:type="character" w:customStyle="1" w:styleId="33">
    <w:name w:val="标题 2 Char"/>
    <w:basedOn w:val="28"/>
    <w:link w:val="4"/>
    <w:qFormat/>
    <w:locked/>
    <w:uiPriority w:val="9"/>
    <w:rPr>
      <w:rFonts w:ascii="Cambria" w:hAnsi="Cambria" w:eastAsia="宋体" w:cs="Times New Roman"/>
      <w:b/>
      <w:bCs/>
      <w:kern w:val="2"/>
      <w:sz w:val="32"/>
      <w:szCs w:val="32"/>
    </w:rPr>
  </w:style>
  <w:style w:type="character" w:customStyle="1" w:styleId="34">
    <w:name w:val="标题 3 Char"/>
    <w:basedOn w:val="28"/>
    <w:link w:val="5"/>
    <w:qFormat/>
    <w:locked/>
    <w:uiPriority w:val="9"/>
    <w:rPr>
      <w:rFonts w:ascii="Times New Roman" w:hAnsi="Times New Roman" w:cs="Times New Roman"/>
      <w:b/>
      <w:bCs/>
      <w:kern w:val="2"/>
      <w:sz w:val="32"/>
      <w:szCs w:val="32"/>
    </w:rPr>
  </w:style>
  <w:style w:type="character" w:customStyle="1" w:styleId="35">
    <w:name w:val="Body Text Char"/>
    <w:basedOn w:val="28"/>
    <w:semiHidden/>
    <w:qFormat/>
    <w:uiPriority w:val="99"/>
    <w:rPr>
      <w:rFonts w:ascii="Times New Roman" w:hAnsi="Times New Roman" w:cs="Times New Roman"/>
      <w:sz w:val="24"/>
      <w:szCs w:val="24"/>
    </w:rPr>
  </w:style>
  <w:style w:type="character" w:customStyle="1" w:styleId="36">
    <w:name w:val="批注框文本 Char"/>
    <w:basedOn w:val="28"/>
    <w:link w:val="14"/>
    <w:semiHidden/>
    <w:qFormat/>
    <w:locked/>
    <w:uiPriority w:val="99"/>
    <w:rPr>
      <w:rFonts w:ascii="Times New Roman" w:hAnsi="Times New Roman" w:cs="Times New Roman"/>
      <w:kern w:val="2"/>
      <w:sz w:val="18"/>
      <w:szCs w:val="18"/>
    </w:rPr>
  </w:style>
  <w:style w:type="character" w:customStyle="1" w:styleId="37">
    <w:name w:val="Footer Char"/>
    <w:basedOn w:val="28"/>
    <w:semiHidden/>
    <w:qFormat/>
    <w:uiPriority w:val="99"/>
    <w:rPr>
      <w:rFonts w:ascii="Times New Roman" w:hAnsi="Times New Roman" w:cs="Times New Roman"/>
      <w:sz w:val="18"/>
      <w:szCs w:val="18"/>
    </w:rPr>
  </w:style>
  <w:style w:type="character" w:customStyle="1" w:styleId="38">
    <w:name w:val="Header Char"/>
    <w:basedOn w:val="28"/>
    <w:semiHidden/>
    <w:qFormat/>
    <w:uiPriority w:val="99"/>
    <w:rPr>
      <w:rFonts w:ascii="Times New Roman" w:hAnsi="Times New Roman" w:cs="Times New Roman"/>
      <w:sz w:val="18"/>
      <w:szCs w:val="18"/>
    </w:rPr>
  </w:style>
  <w:style w:type="character" w:customStyle="1" w:styleId="39">
    <w:name w:val="页眉 Char"/>
    <w:link w:val="16"/>
    <w:semiHidden/>
    <w:qFormat/>
    <w:locked/>
    <w:uiPriority w:val="99"/>
    <w:rPr>
      <w:sz w:val="18"/>
    </w:rPr>
  </w:style>
  <w:style w:type="character" w:customStyle="1" w:styleId="40">
    <w:name w:val="页脚 Char"/>
    <w:link w:val="15"/>
    <w:qFormat/>
    <w:locked/>
    <w:uiPriority w:val="99"/>
    <w:rPr>
      <w:sz w:val="18"/>
    </w:rPr>
  </w:style>
  <w:style w:type="character" w:customStyle="1" w:styleId="41">
    <w:name w:val="正文文本 Char"/>
    <w:link w:val="8"/>
    <w:qFormat/>
    <w:locked/>
    <w:uiPriority w:val="99"/>
    <w:rPr>
      <w:rFonts w:ascii="仿宋_GB2312" w:hAnsi="Times New Roman" w:eastAsia="仿宋_GB2312"/>
      <w:sz w:val="24"/>
    </w:rPr>
  </w:style>
  <w:style w:type="paragraph" w:customStyle="1" w:styleId="4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3">
    <w:name w:val="列表段落1"/>
    <w:basedOn w:val="1"/>
    <w:qFormat/>
    <w:uiPriority w:val="34"/>
    <w:pPr>
      <w:ind w:firstLine="420" w:firstLineChars="200"/>
    </w:pPr>
  </w:style>
  <w:style w:type="paragraph" w:customStyle="1" w:styleId="44">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5">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6">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7">
    <w:name w:val="List Paragraph"/>
    <w:basedOn w:val="1"/>
    <w:qFormat/>
    <w:uiPriority w:val="34"/>
    <w:pPr>
      <w:ind w:firstLine="420" w:firstLineChars="200"/>
    </w:pPr>
  </w:style>
  <w:style w:type="paragraph" w:customStyle="1" w:styleId="48">
    <w:name w:val="四号正文"/>
    <w:qFormat/>
    <w:uiPriority w:val="0"/>
    <w:pPr>
      <w:widowControl w:val="0"/>
      <w:spacing w:line="360" w:lineRule="auto"/>
      <w:jc w:val="both"/>
    </w:pPr>
    <w:rPr>
      <w:rFonts w:ascii="??" w:hAnsi="??" w:eastAsia="宋体" w:cs="Times New Roman"/>
      <w:color w:val="000000"/>
      <w:sz w:val="28"/>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5&#24180;&#20915;&#31639;\for%20&#26446;&#23159;&#259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5&#24180;&#20915;&#31639;\for%20&#26446;&#23159;&#25913;.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5&#24180;&#20915;&#31639;\for%20&#26446;&#23159;&#25913;.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5&#24180;&#20915;&#31639;\for%20&#26446;&#23159;&#25913;.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25&#24180;&#20915;&#31639;\for%20&#26446;&#23159;&#259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2024年</c:v>
                </c:pt>
                <c:pt idx="1">
                  <c:v>2025年</c:v>
                </c:pt>
              </c:strCache>
            </c:strRef>
          </c:cat>
          <c:val>
            <c:numRef>
              <c:f>'[for 李婷改.xlsx]Sheet1'!$B$3:$B$4</c:f>
              <c:numCache>
                <c:formatCode>General</c:formatCode>
                <c:ptCount val="2"/>
                <c:pt idx="0">
                  <c:v>536.21</c:v>
                </c:pt>
                <c:pt idx="1">
                  <c:v>301.62</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2024年</c:v>
                </c:pt>
                <c:pt idx="1">
                  <c:v>2025年</c:v>
                </c:pt>
              </c:strCache>
            </c:strRef>
          </c:cat>
          <c:val>
            <c:numRef>
              <c:f>'[for 李婷改.xlsx]Sheet1'!$C$3:$C$4</c:f>
              <c:numCache>
                <c:formatCode>General</c:formatCode>
                <c:ptCount val="2"/>
                <c:pt idx="0">
                  <c:v>536.21</c:v>
                </c:pt>
                <c:pt idx="1">
                  <c:v>301.62</c:v>
                </c:pt>
              </c:numCache>
            </c:numRef>
          </c:val>
        </c:ser>
        <c:dLbls>
          <c:showLegendKey val="0"/>
          <c:showVal val="1"/>
          <c:showCatName val="0"/>
          <c:showSerName val="0"/>
          <c:showPercent val="0"/>
          <c:showBubbleSize val="0"/>
        </c:dLbls>
        <c:gapWidth val="219"/>
        <c:overlap val="-27"/>
        <c:axId val="156594560"/>
        <c:axId val="156596096"/>
      </c:barChart>
      <c:catAx>
        <c:axId val="15659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6096"/>
        <c:crosses val="autoZero"/>
        <c:auto val="1"/>
        <c:lblAlgn val="ctr"/>
        <c:lblOffset val="100"/>
        <c:noMultiLvlLbl val="0"/>
      </c:catAx>
      <c:valAx>
        <c:axId val="15659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45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[工作簿1]Sheet1!$B$10</c:f>
              <c:strCache>
                <c:ptCount val="1"/>
                <c:pt idx="0">
                  <c:v>2019年度收入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ayout>
        <c:manualLayout>
          <c:xMode val="edge"/>
          <c:yMode val="edge"/>
          <c:x val="0.6625"/>
          <c:y val="0.13831018518518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李婷改.xlsx]Sheet1'!$A$19:$A$20</c:f>
              <c:strCache>
                <c:ptCount val="2"/>
                <c:pt idx="0">
                  <c:v>基本支出</c:v>
                </c:pt>
                <c:pt idx="1">
                  <c:v>项目支出</c:v>
                </c:pt>
              </c:strCache>
            </c:strRef>
          </c:cat>
          <c:val>
            <c:numRef>
              <c:f>'[for 李婷改.xlsx]Sheet1'!$B$19:$B$20</c:f>
              <c:numCache>
                <c:formatCode>0.00%</c:formatCode>
                <c:ptCount val="2"/>
                <c:pt idx="0">
                  <c:v>0.792</c:v>
                </c:pt>
                <c:pt idx="1">
                  <c:v>0.208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2024年</c:v>
                </c:pt>
                <c:pt idx="1">
                  <c:v>2025年</c:v>
                </c:pt>
              </c:strCache>
            </c:strRef>
          </c:cat>
          <c:val>
            <c:numRef>
              <c:f>'[for 李婷改.xlsx]Sheet1'!$B$3:$B$4</c:f>
              <c:numCache>
                <c:formatCode>General</c:formatCode>
                <c:ptCount val="2"/>
                <c:pt idx="0">
                  <c:v>536.21</c:v>
                </c:pt>
                <c:pt idx="1">
                  <c:v>301.62</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2024年</c:v>
                </c:pt>
                <c:pt idx="1">
                  <c:v>2025年</c:v>
                </c:pt>
              </c:strCache>
            </c:strRef>
          </c:cat>
          <c:val>
            <c:numRef>
              <c:f>'[for 李婷改.xlsx]Sheet1'!$C$3:$C$4</c:f>
              <c:numCache>
                <c:formatCode>General</c:formatCode>
                <c:ptCount val="2"/>
                <c:pt idx="0">
                  <c:v>536.21</c:v>
                </c:pt>
                <c:pt idx="1">
                  <c:v>301.62</c:v>
                </c:pt>
              </c:numCache>
            </c:numRef>
          </c:val>
        </c:ser>
        <c:dLbls>
          <c:showLegendKey val="0"/>
          <c:showVal val="1"/>
          <c:showCatName val="0"/>
          <c:showSerName val="0"/>
          <c:showPercent val="0"/>
          <c:showBubbleSize val="0"/>
        </c:dLbls>
        <c:gapWidth val="219"/>
        <c:overlap val="-27"/>
        <c:axId val="156594560"/>
        <c:axId val="156596096"/>
      </c:barChart>
      <c:catAx>
        <c:axId val="15659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6096"/>
        <c:crosses val="autoZero"/>
        <c:auto val="1"/>
        <c:lblAlgn val="ctr"/>
        <c:lblOffset val="100"/>
        <c:noMultiLvlLbl val="0"/>
      </c:catAx>
      <c:valAx>
        <c:axId val="15659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45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李婷改.xlsx]Sheet1'!$A$52:$A$53</c:f>
              <c:strCache>
                <c:ptCount val="2"/>
                <c:pt idx="0">
                  <c:v>2024年</c:v>
                </c:pt>
                <c:pt idx="1">
                  <c:v>2025年</c:v>
                </c:pt>
              </c:strCache>
            </c:strRef>
          </c:cat>
          <c:val>
            <c:numRef>
              <c:f>'[for 李婷改.xlsx]Sheet1'!$B$52:$B$53</c:f>
              <c:numCache>
                <c:formatCode>General</c:formatCode>
                <c:ptCount val="2"/>
                <c:pt idx="0">
                  <c:v>536.21</c:v>
                </c:pt>
                <c:pt idx="1">
                  <c:v>301.62</c:v>
                </c:pt>
              </c:numCache>
            </c:numRef>
          </c:val>
        </c:ser>
        <c:dLbls>
          <c:showLegendKey val="0"/>
          <c:showVal val="1"/>
          <c:showCatName val="0"/>
          <c:showSerName val="0"/>
          <c:showPercent val="0"/>
          <c:showBubbleSize val="0"/>
        </c:dLbls>
        <c:gapWidth val="219"/>
        <c:overlap val="-27"/>
        <c:axId val="156799744"/>
        <c:axId val="156801280"/>
      </c:barChart>
      <c:catAx>
        <c:axId val="15679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01280"/>
        <c:crosses val="autoZero"/>
        <c:auto val="1"/>
        <c:lblAlgn val="ctr"/>
        <c:lblOffset val="100"/>
        <c:noMultiLvlLbl val="0"/>
      </c:catAx>
      <c:valAx>
        <c:axId val="15680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79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李婷改.xlsx]Sheet1'!$A$69:$A$73</c:f>
              <c:strCache>
                <c:ptCount val="5"/>
                <c:pt idx="0">
                  <c:v>社会保障和就业支出（类）</c:v>
                </c:pt>
                <c:pt idx="1">
                  <c:v>农林水支出（类）</c:v>
                </c:pt>
                <c:pt idx="2">
                  <c:v>商业服务业等支出（类）</c:v>
                </c:pt>
                <c:pt idx="3">
                  <c:v>住房保障支出（类）</c:v>
                </c:pt>
                <c:pt idx="4">
                  <c:v>卫生健康支出（类）</c:v>
                </c:pt>
              </c:strCache>
            </c:strRef>
          </c:cat>
          <c:val>
            <c:numRef>
              <c:f>'[for 李婷改.xlsx]Sheet1'!$B$69:$B$73</c:f>
              <c:numCache>
                <c:formatCode>0.00%</c:formatCode>
                <c:ptCount val="5"/>
                <c:pt idx="0">
                  <c:v>0.124</c:v>
                </c:pt>
                <c:pt idx="1">
                  <c:v>0.073</c:v>
                </c:pt>
                <c:pt idx="2">
                  <c:v>0.702</c:v>
                </c:pt>
                <c:pt idx="3">
                  <c:v>0.053</c:v>
                </c:pt>
                <c:pt idx="4">
                  <c:v>0.048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Sheet1!$A$19:$A$21</c:f>
              <c:strCache>
                <c:ptCount val="3"/>
                <c:pt idx="0">
                  <c:v>公务接待费</c:v>
                </c:pt>
                <c:pt idx="1">
                  <c:v>因公出国</c:v>
                </c:pt>
                <c:pt idx="2">
                  <c:v>公务用车购置及运行维护费</c:v>
                </c:pt>
              </c:strCache>
            </c:strRef>
          </c:cat>
          <c:val>
            <c:numRef>
              <c:f>Sheet1!$B$19:$B$21</c:f>
              <c:numCache>
                <c:formatCode>0.00%</c:formatCode>
                <c:ptCount val="3"/>
                <c:pt idx="0">
                  <c:v>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096FD-59EE-4FD7-B65B-B1AAC58601E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59</Pages>
  <Words>6845</Words>
  <Characters>7602</Characters>
  <Lines>136</Lines>
  <Paragraphs>38</Paragraphs>
  <TotalTime>1</TotalTime>
  <ScaleCrop>false</ScaleCrop>
  <LinksUpToDate>false</LinksUpToDate>
  <CharactersWithSpaces>7676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2023-09-07T03:49:00Z</dcterms:created>
  <dc:creator>曹颖</dc:creator>
  <cp:lastModifiedBy>Administrator</cp:lastModifiedBy>
  <cp:lastPrinted>2026-08-25T02:26:00Z</cp:lastPrinted>
  <dcterms:modified xsi:type="dcterms:W3CDTF">2026-08-27T02:27:16Z</dcterms:modified>
  <dc:title>阿坝州部门决算说明</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91F00E0D4C20415E89114B94FD6A3B1C_13</vt:lpwstr>
  </property>
  <property fmtid="{D5CDD505-2E9C-101B-9397-08002B2CF9AE}" pid="4" name="KSOTemplateDocerSaveRecord">
    <vt:lpwstr>eyJoZGlkIjoiM2M3ODVkZDQzMmMwZTY5MDM0NDIxMWYyNDdjYWI4MDEiLCJ1c2VySWQiOiI3Nzk4ODAwMzUifQ==</vt:lpwstr>
  </property>
</Properties>
</file>