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hAnsi="宋体" w:eastAsia="方正小标宋简体"/>
          <w:color w:val="000000"/>
          <w:sz w:val="72"/>
          <w:szCs w:val="72"/>
        </w:rPr>
      </w:pPr>
      <w:bookmarkStart w:id="0" w:name="_Toc15306267"/>
    </w:p>
    <w:p>
      <w:pPr>
        <w:jc w:val="center"/>
        <w:rPr>
          <w:rFonts w:ascii="黑体" w:hAnsi="黑体" w:eastAsia="黑体"/>
          <w:sz w:val="72"/>
          <w:szCs w:val="72"/>
        </w:rPr>
      </w:pPr>
      <w:bookmarkStart w:id="1" w:name="_Toc15396597"/>
      <w:bookmarkStart w:id="2" w:name="_Toc15377425"/>
      <w:bookmarkStart w:id="3" w:name="_Toc15396475"/>
      <w:bookmarkStart w:id="4" w:name="_Toc15378441"/>
      <w:bookmarkStart w:id="5" w:name="_Toc15377193"/>
      <w:r>
        <w:rPr>
          <w:rFonts w:hint="eastAsia" w:ascii="方正小标宋简体" w:eastAsia="方正小标宋简体"/>
          <w:sz w:val="72"/>
          <w:szCs w:val="72"/>
        </w:rPr>
        <w:t>202</w:t>
      </w:r>
      <w:r>
        <w:rPr>
          <w:rFonts w:hint="eastAsia" w:ascii="方正小标宋简体" w:eastAsia="方正小标宋简体"/>
          <w:sz w:val="72"/>
          <w:szCs w:val="72"/>
          <w:lang w:val="en-US" w:eastAsia="zh-CN"/>
        </w:rPr>
        <w:t>5</w:t>
      </w:r>
      <w:r>
        <w:rPr>
          <w:rFonts w:hint="eastAsia" w:ascii="方正小标宋简体" w:eastAsia="方正小标宋简体"/>
          <w:sz w:val="72"/>
          <w:szCs w:val="72"/>
        </w:rPr>
        <w:t>年度</w:t>
      </w:r>
      <w:bookmarkEnd w:id="1"/>
      <w:bookmarkEnd w:id="2"/>
      <w:bookmarkEnd w:id="3"/>
      <w:bookmarkEnd w:id="4"/>
      <w:bookmarkEnd w:id="5"/>
      <w:bookmarkStart w:id="6" w:name="_Toc15377194"/>
      <w:bookmarkStart w:id="7" w:name="_Toc15377426"/>
      <w:bookmarkStart w:id="8" w:name="_Toc15396598"/>
      <w:bookmarkStart w:id="9" w:name="_Toc15396476"/>
      <w:bookmarkStart w:id="10" w:name="_Toc15378442"/>
      <w:r>
        <w:rPr>
          <w:rFonts w:hint="eastAsia" w:ascii="方正小标宋简体" w:eastAsia="方正小标宋简体"/>
          <w:sz w:val="72"/>
          <w:szCs w:val="72"/>
          <w:lang w:eastAsia="zh-CN"/>
        </w:rPr>
        <w:t>四川省</w:t>
      </w:r>
      <w:r>
        <w:rPr>
          <w:rFonts w:hint="eastAsia" w:ascii="方正小标宋简体" w:eastAsia="方正小标宋简体"/>
          <w:sz w:val="72"/>
          <w:szCs w:val="72"/>
        </w:rPr>
        <w:t>阿坝州</w:t>
      </w:r>
    </w:p>
    <w:p>
      <w:pPr>
        <w:jc w:val="center"/>
        <w:rPr>
          <w:rFonts w:ascii="方正小标宋简体" w:eastAsia="方正小标宋简体"/>
          <w:sz w:val="72"/>
          <w:szCs w:val="72"/>
        </w:rPr>
      </w:pPr>
      <w:r>
        <w:rPr>
          <w:rFonts w:hint="eastAsia" w:ascii="方正小标宋简体" w:eastAsia="方正小标宋简体"/>
          <w:sz w:val="72"/>
          <w:szCs w:val="72"/>
        </w:rPr>
        <w:t>茂县</w:t>
      </w:r>
      <w:bookmarkEnd w:id="0"/>
      <w:bookmarkStart w:id="11" w:name="_Toc15306268"/>
      <w:r>
        <w:rPr>
          <w:rFonts w:hint="eastAsia" w:ascii="方正小标宋简体" w:eastAsia="方正小标宋简体"/>
          <w:sz w:val="72"/>
          <w:szCs w:val="72"/>
        </w:rPr>
        <w:t>供销合作社联合社</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spacing w:line="576" w:lineRule="exact"/>
        <w:ind w:left="420" w:leftChars="200" w:firstLine="320" w:firstLineChars="100"/>
        <w:jc w:val="left"/>
        <w:rPr>
          <w:rFonts w:ascii="宋体" w:cs="仿宋_GB2312"/>
          <w:sz w:val="32"/>
          <w:szCs w:val="32"/>
        </w:rPr>
      </w:pPr>
      <w:r>
        <w:rPr>
          <w:rFonts w:hint="eastAsia" w:ascii="宋体" w:cs="仿宋_GB2312"/>
          <w:sz w:val="32"/>
          <w:szCs w:val="32"/>
        </w:rPr>
        <w:t>已经保密审查、内容审定，同意对外公开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7"/>
        <w:jc w:val="center"/>
        <w:rPr>
          <w:rFonts w:ascii="仿宋_GB2312" w:eastAsia="仿宋_GB2312" w:hAnsiTheme="minorHAnsi"/>
          <w:b w:val="0"/>
          <w:bCs w:val="0"/>
          <w:sz w:val="32"/>
          <w:szCs w:val="32"/>
        </w:rPr>
      </w:pPr>
      <w:r>
        <w:rPr>
          <w:rFonts w:hint="eastAsia" w:ascii="仿宋_GB2312" w:eastAsia="仿宋_GB2312" w:hAnsiTheme="minorHAnsi"/>
          <w:b w:val="0"/>
          <w:bCs w:val="0"/>
          <w:sz w:val="32"/>
          <w:szCs w:val="32"/>
        </w:rPr>
        <w:t>公开时间：202</w:t>
      </w:r>
      <w:r>
        <w:rPr>
          <w:rFonts w:hint="eastAsia" w:ascii="仿宋_GB2312" w:eastAsia="仿宋_GB2312" w:hAnsiTheme="minorHAnsi"/>
          <w:b w:val="0"/>
          <w:bCs w:val="0"/>
          <w:sz w:val="32"/>
          <w:szCs w:val="32"/>
          <w:lang w:val="en-US" w:eastAsia="zh-CN"/>
        </w:rPr>
        <w:t>6</w:t>
      </w:r>
      <w:r>
        <w:rPr>
          <w:rFonts w:hint="eastAsia" w:ascii="仿宋_GB2312" w:eastAsia="仿宋_GB2312" w:hAnsiTheme="minorHAnsi"/>
          <w:b w:val="0"/>
          <w:bCs w:val="0"/>
          <w:sz w:val="32"/>
          <w:szCs w:val="32"/>
        </w:rPr>
        <w:t>年9 月</w:t>
      </w:r>
      <w:r>
        <w:rPr>
          <w:rFonts w:hint="eastAsia" w:ascii="仿宋_GB2312" w:eastAsia="仿宋_GB2312" w:hAnsiTheme="minorHAnsi"/>
          <w:b w:val="0"/>
          <w:bCs w:val="0"/>
          <w:sz w:val="32"/>
          <w:szCs w:val="32"/>
          <w:lang w:val="en-US" w:eastAsia="zh-CN"/>
        </w:rPr>
        <w:t>4</w:t>
      </w:r>
      <w:r>
        <w:rPr>
          <w:rFonts w:hint="eastAsia" w:ascii="仿宋_GB2312" w:eastAsia="仿宋_GB2312" w:hAnsiTheme="minorHAnsi"/>
          <w:b w:val="0"/>
          <w:bCs w:val="0"/>
          <w:sz w:val="32"/>
          <w:szCs w:val="32"/>
        </w:rPr>
        <w:t xml:space="preserve"> 日</w:t>
      </w:r>
    </w:p>
    <w:p>
      <w:pPr>
        <w:pStyle w:val="17"/>
        <w:tabs>
          <w:tab w:val="right" w:leader="dot" w:pos="8296"/>
        </w:tabs>
        <w:rPr>
          <w:rFonts w:hint="eastAsia" w:ascii="仿宋_GB2312" w:hAnsi="仿宋" w:eastAsia="仿宋_GB2312"/>
          <w:b w:val="0"/>
          <w:bCs w:val="0"/>
          <w:caps w:val="0"/>
          <w:smallCaps/>
          <w:sz w:val="32"/>
          <w:szCs w:val="32"/>
          <w:lang w:eastAsia="zh-CN"/>
        </w:rPr>
      </w:pPr>
      <w:r>
        <w:rPr>
          <w:rFonts w:hint="eastAsia" w:ascii="仿宋_GB2312" w:hAnsi="仿宋" w:eastAsia="仿宋_GB2312"/>
          <w:b w:val="0"/>
          <w:bCs w:val="0"/>
          <w:caps w:val="0"/>
          <w:smallCaps/>
          <w:sz w:val="32"/>
          <w:szCs w:val="32"/>
        </w:rPr>
        <w:fldChar w:fldCharType="begin"/>
      </w:r>
      <w:r>
        <w:rPr>
          <w:rFonts w:hint="eastAsia" w:ascii="仿宋_GB2312" w:hAnsi="仿宋" w:eastAsia="仿宋_GB2312"/>
          <w:b w:val="0"/>
          <w:bCs w:val="0"/>
          <w:caps w:val="0"/>
          <w:smallCaps/>
          <w:sz w:val="32"/>
          <w:szCs w:val="32"/>
        </w:rPr>
        <w:instrText xml:space="preserve"> TOC \o \u </w:instrText>
      </w:r>
      <w:r>
        <w:rPr>
          <w:rFonts w:hint="eastAsia" w:ascii="仿宋_GB2312" w:hAnsi="仿宋" w:eastAsia="仿宋_GB2312"/>
          <w:b w:val="0"/>
          <w:bCs w:val="0"/>
          <w:caps w:val="0"/>
          <w:smallCaps/>
          <w:sz w:val="32"/>
          <w:szCs w:val="32"/>
        </w:rPr>
        <w:fldChar w:fldCharType="separate"/>
      </w:r>
      <w:r>
        <w:rPr>
          <w:rFonts w:hint="eastAsia" w:ascii="仿宋_GB2312" w:hAnsi="仿宋" w:eastAsia="仿宋_GB2312"/>
          <w:b w:val="0"/>
          <w:bCs w:val="0"/>
          <w:caps w:val="0"/>
          <w:smallCaps/>
          <w:sz w:val="32"/>
          <w:szCs w:val="32"/>
        </w:rPr>
        <w:t>第一部分 部门概况</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5</w:t>
      </w:r>
    </w:p>
    <w:p>
      <w:pPr>
        <w:pStyle w:val="22"/>
        <w:tabs>
          <w:tab w:val="right" w:leader="dot" w:pos="8296"/>
        </w:tabs>
        <w:rPr>
          <w:rFonts w:hint="eastAsia" w:ascii="仿宋_GB2312" w:hAnsi="仿宋" w:eastAsia="仿宋_GB2312"/>
          <w:sz w:val="32"/>
          <w:szCs w:val="32"/>
          <w:lang w:eastAsia="zh-CN"/>
        </w:rPr>
      </w:pPr>
      <w:r>
        <w:rPr>
          <w:rFonts w:hint="eastAsia" w:ascii="仿宋_GB2312" w:hAnsi="仿宋" w:eastAsia="仿宋_GB2312"/>
          <w:sz w:val="32"/>
          <w:szCs w:val="32"/>
        </w:rPr>
        <w:t>一、</w:t>
      </w:r>
      <w:r>
        <w:rPr>
          <w:rFonts w:hint="eastAsia" w:ascii="仿宋_GB2312" w:hAnsi="仿宋" w:eastAsia="仿宋_GB2312"/>
          <w:sz w:val="32"/>
          <w:szCs w:val="32"/>
          <w:lang w:eastAsia="zh-CN"/>
        </w:rPr>
        <w:t>部门职责</w:t>
      </w:r>
      <w:r>
        <w:rPr>
          <w:rFonts w:hint="eastAsia" w:ascii="仿宋_GB2312" w:hAnsi="仿宋" w:eastAsia="仿宋_GB2312"/>
          <w:sz w:val="32"/>
          <w:szCs w:val="32"/>
        </w:rPr>
        <w:tab/>
      </w:r>
      <w:r>
        <w:rPr>
          <w:rFonts w:hint="eastAsia" w:ascii="仿宋_GB2312" w:hAnsi="仿宋" w:eastAsia="仿宋_GB2312"/>
          <w:sz w:val="32"/>
          <w:szCs w:val="32"/>
          <w:lang w:val="en-US" w:eastAsia="zh-CN"/>
        </w:rPr>
        <w:t>5</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二、机构设置</w:t>
      </w:r>
      <w:r>
        <w:rPr>
          <w:rFonts w:hint="eastAsia" w:ascii="仿宋_GB2312" w:hAnsi="仿宋" w:eastAsia="仿宋_GB2312"/>
          <w:sz w:val="32"/>
          <w:szCs w:val="32"/>
        </w:rPr>
        <w:tab/>
      </w:r>
      <w:r>
        <w:rPr>
          <w:rFonts w:hint="eastAsia" w:ascii="仿宋_GB2312" w:hAnsi="仿宋" w:eastAsia="仿宋_GB2312"/>
          <w:sz w:val="32"/>
          <w:szCs w:val="32"/>
          <w:lang w:val="en-US" w:eastAsia="zh-CN"/>
        </w:rPr>
        <w:t>6</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第二部分 202</w:t>
      </w:r>
      <w:r>
        <w:rPr>
          <w:rFonts w:hint="eastAsia" w:ascii="仿宋_GB2312" w:hAnsi="仿宋" w:eastAsia="仿宋_GB2312"/>
          <w:b w:val="0"/>
          <w:bCs w:val="0"/>
          <w:caps w:val="0"/>
          <w:smallCaps/>
          <w:sz w:val="32"/>
          <w:szCs w:val="32"/>
          <w:lang w:val="en-US" w:eastAsia="zh-CN"/>
        </w:rPr>
        <w:t>5</w:t>
      </w:r>
      <w:r>
        <w:rPr>
          <w:rFonts w:hint="eastAsia" w:ascii="仿宋_GB2312" w:hAnsi="仿宋" w:eastAsia="仿宋_GB2312"/>
          <w:b w:val="0"/>
          <w:bCs w:val="0"/>
          <w:caps w:val="0"/>
          <w:smallCaps/>
          <w:sz w:val="32"/>
          <w:szCs w:val="32"/>
        </w:rPr>
        <w:t>年度部门决算情况说明</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一、收入支出决算总体情况说明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二、收入决算情况说明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7</w:t>
      </w:r>
    </w:p>
    <w:p>
      <w:pPr>
        <w:pStyle w:val="22"/>
        <w:tabs>
          <w:tab w:val="left" w:pos="840"/>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三、支出决算情况说明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8</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四、财政拨款收入支出决算总体情况说明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8</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五、一般公共预算财政拨款支出决算情况说明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9</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（一）一般公共预算财政拨款支出决算总体情况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9</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（二）一般公共预算财政拨款支出决算结构情况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10</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（三）一般公共预算财政拨款支出决算具体情况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10</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六、一般公共预算财政拨款基本支出决算情况说明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1</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七、</w:t>
      </w:r>
      <w:r>
        <w:rPr>
          <w:rFonts w:hint="eastAsia" w:ascii="仿宋_GB2312" w:hAnsi="仿宋" w:eastAsia="仿宋_GB2312"/>
          <w:sz w:val="32"/>
          <w:szCs w:val="32"/>
          <w:lang w:eastAsia="zh-CN"/>
        </w:rPr>
        <w:t>财政拨款</w:t>
      </w:r>
      <w:r>
        <w:rPr>
          <w:rFonts w:hint="eastAsia" w:ascii="仿宋_GB2312" w:hAnsi="仿宋" w:eastAsia="仿宋_GB2312"/>
          <w:sz w:val="32"/>
          <w:szCs w:val="32"/>
        </w:rPr>
        <w:t>“三公”经费支出决算情况说明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2</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（一）“三公”经费财政拨款支出决算总体情况说明</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2</w:t>
      </w:r>
    </w:p>
    <w:p>
      <w:pPr>
        <w:pStyle w:val="12"/>
        <w:tabs>
          <w:tab w:val="right" w:leader="dot" w:pos="8296"/>
        </w:tabs>
        <w:rPr>
          <w:rFonts w:hint="default"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（二）“三公”经费财政拨款支出决算具体情况说明</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lang w:val="en-US" w:eastAsia="zh-CN"/>
        </w:rPr>
        <w:t>12</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八、政府性基金预算支出决算情况说明</w:t>
      </w:r>
      <w:r>
        <w:rPr>
          <w:rFonts w:hint="eastAsia" w:ascii="仿宋_GB2312" w:hAnsi="仿宋" w:eastAsia="仿宋_GB2312"/>
          <w:sz w:val="32"/>
          <w:szCs w:val="32"/>
        </w:rPr>
        <w:tab/>
      </w:r>
      <w:r>
        <w:rPr>
          <w:rFonts w:hint="eastAsia" w:ascii="仿宋_GB2312" w:hAnsi="仿宋" w:eastAsia="仿宋_GB2312"/>
          <w:sz w:val="32"/>
          <w:szCs w:val="32"/>
          <w:lang w:val="en-US" w:eastAsia="zh-CN"/>
        </w:rPr>
        <w:t>13</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九、 国有资本经营预算支出决算情况说明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4</w:t>
      </w:r>
    </w:p>
    <w:p>
      <w:pPr>
        <w:pStyle w:val="22"/>
        <w:tabs>
          <w:tab w:val="right" w:leader="dot" w:pos="8296"/>
        </w:tabs>
        <w:rPr>
          <w:rFonts w:hint="eastAsia" w:ascii="仿宋_GB2312" w:hAnsi="仿宋" w:eastAsia="仿宋_GB2312"/>
          <w:sz w:val="32"/>
          <w:szCs w:val="32"/>
          <w:lang w:val="en-US" w:eastAsia="zh-CN"/>
        </w:rPr>
      </w:pPr>
      <w:r>
        <w:rPr>
          <w:rFonts w:hint="eastAsia" w:ascii="仿宋_GB2312" w:hAnsi="仿宋" w:eastAsia="仿宋_GB2312"/>
          <w:sz w:val="32"/>
          <w:szCs w:val="32"/>
        </w:rPr>
        <w:t>十、其他重要事项的情况说明</w:t>
      </w:r>
      <w:r>
        <w:rPr>
          <w:rFonts w:hint="eastAsia" w:ascii="仿宋_GB2312" w:hAnsi="仿宋" w:eastAsia="仿宋_GB2312"/>
          <w:sz w:val="32"/>
          <w:szCs w:val="32"/>
        </w:rPr>
        <w:tab/>
      </w:r>
      <w:r>
        <w:rPr>
          <w:rFonts w:hint="eastAsia" w:ascii="仿宋_GB2312" w:hAnsi="仿宋" w:eastAsia="仿宋_GB2312"/>
          <w:sz w:val="32"/>
          <w:szCs w:val="32"/>
        </w:rPr>
        <w:t>1</w:t>
      </w:r>
      <w:r>
        <w:rPr>
          <w:rFonts w:hint="eastAsia" w:ascii="仿宋_GB2312" w:hAnsi="仿宋" w:eastAsia="仿宋_GB2312"/>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（一）机关运行经费支出情况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（二）政府采购支出情况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（三）国有资产占有使用情况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2"/>
        <w:tabs>
          <w:tab w:val="right" w:leader="dot" w:pos="8296"/>
        </w:tabs>
        <w:rPr>
          <w:rFonts w:hint="eastAsia" w:ascii="仿宋_GB2312" w:hAnsi="仿宋" w:eastAsia="仿宋_GB2312"/>
          <w:i w:val="0"/>
          <w:iCs w:val="0"/>
          <w:smallCaps/>
          <w:sz w:val="32"/>
          <w:szCs w:val="32"/>
          <w:lang w:val="en-US" w:eastAsia="zh-CN"/>
        </w:rPr>
      </w:pPr>
      <w:r>
        <w:rPr>
          <w:rFonts w:hint="eastAsia" w:ascii="仿宋_GB2312" w:hAnsi="仿宋" w:eastAsia="仿宋_GB2312"/>
          <w:i w:val="0"/>
          <w:iCs w:val="0"/>
          <w:smallCaps/>
          <w:sz w:val="32"/>
          <w:szCs w:val="32"/>
        </w:rPr>
        <w:t>（四）预算绩效管理情况</w:t>
      </w:r>
      <w:r>
        <w:rPr>
          <w:rFonts w:hint="eastAsia" w:ascii="仿宋_GB2312" w:hAnsi="仿宋" w:eastAsia="仿宋_GB2312"/>
          <w:i w:val="0"/>
          <w:iCs w:val="0"/>
          <w:smallCaps/>
          <w:sz w:val="32"/>
          <w:szCs w:val="32"/>
        </w:rPr>
        <w:tab/>
      </w:r>
      <w:r>
        <w:rPr>
          <w:rFonts w:hint="eastAsia" w:ascii="仿宋_GB2312" w:hAnsi="仿宋" w:eastAsia="仿宋_GB2312"/>
          <w:i w:val="0"/>
          <w:iCs w:val="0"/>
          <w:smallCaps/>
          <w:sz w:val="32"/>
          <w:szCs w:val="32"/>
        </w:rPr>
        <w:t>1</w:t>
      </w:r>
      <w:r>
        <w:rPr>
          <w:rFonts w:hint="eastAsia" w:ascii="仿宋_GB2312" w:hAnsi="仿宋" w:eastAsia="仿宋_GB2312"/>
          <w:i w:val="0"/>
          <w:iCs w:val="0"/>
          <w:smallCaps/>
          <w:sz w:val="32"/>
          <w:szCs w:val="32"/>
          <w:lang w:val="en-US" w:eastAsia="zh-CN"/>
        </w:rPr>
        <w:t>4</w:t>
      </w:r>
    </w:p>
    <w:p>
      <w:pPr>
        <w:pStyle w:val="17"/>
        <w:tabs>
          <w:tab w:val="right" w:leader="dot" w:pos="8296"/>
        </w:tabs>
        <w:rPr>
          <w:rFonts w:hint="eastAsia"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第三部分 名词解释</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rPr>
        <w:t>1</w:t>
      </w:r>
      <w:r>
        <w:rPr>
          <w:rFonts w:hint="eastAsia" w:ascii="仿宋_GB2312" w:hAnsi="仿宋" w:eastAsia="仿宋_GB2312"/>
          <w:b w:val="0"/>
          <w:bCs w:val="0"/>
          <w:caps w:val="0"/>
          <w:smallCaps/>
          <w:sz w:val="32"/>
          <w:szCs w:val="32"/>
          <w:lang w:val="en-US" w:eastAsia="zh-CN"/>
        </w:rPr>
        <w:t>6</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第四部分 附件</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19</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附件1</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19</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茂县供销合作社联合社202</w:t>
      </w:r>
      <w:r>
        <w:rPr>
          <w:rFonts w:hint="eastAsia" w:ascii="仿宋_GB2312" w:hAnsi="仿宋" w:eastAsia="仿宋_GB2312"/>
          <w:b w:val="0"/>
          <w:bCs w:val="0"/>
          <w:caps w:val="0"/>
          <w:smallCaps/>
          <w:sz w:val="32"/>
          <w:szCs w:val="32"/>
          <w:lang w:val="en-US" w:eastAsia="zh-CN"/>
        </w:rPr>
        <w:t>5</w:t>
      </w:r>
      <w:r>
        <w:rPr>
          <w:rFonts w:hint="eastAsia" w:ascii="仿宋_GB2312" w:hAnsi="仿宋" w:eastAsia="仿宋_GB2312"/>
          <w:b w:val="0"/>
          <w:bCs w:val="0"/>
          <w:caps w:val="0"/>
          <w:smallCaps/>
          <w:sz w:val="32"/>
          <w:szCs w:val="32"/>
        </w:rPr>
        <w:t>年</w:t>
      </w:r>
      <w:r>
        <w:rPr>
          <w:rFonts w:hint="eastAsia" w:ascii="仿宋_GB2312" w:hAnsi="仿宋" w:eastAsia="仿宋_GB2312"/>
          <w:b w:val="0"/>
          <w:bCs w:val="0"/>
          <w:caps w:val="0"/>
          <w:smallCaps/>
          <w:sz w:val="32"/>
          <w:szCs w:val="32"/>
          <w:lang w:val="en-US" w:eastAsia="zh-CN"/>
        </w:rPr>
        <w:t>度</w:t>
      </w:r>
      <w:r>
        <w:rPr>
          <w:rFonts w:hint="eastAsia" w:ascii="仿宋_GB2312" w:hAnsi="仿宋" w:eastAsia="仿宋_GB2312"/>
          <w:b w:val="0"/>
          <w:bCs w:val="0"/>
          <w:caps w:val="0"/>
          <w:smallCaps/>
          <w:sz w:val="32"/>
          <w:szCs w:val="32"/>
          <w:lang w:eastAsia="zh-CN"/>
        </w:rPr>
        <w:t>部门预算</w:t>
      </w:r>
      <w:r>
        <w:rPr>
          <w:rFonts w:hint="eastAsia" w:ascii="仿宋_GB2312" w:hAnsi="仿宋" w:eastAsia="仿宋_GB2312"/>
          <w:b w:val="0"/>
          <w:bCs w:val="0"/>
          <w:caps w:val="0"/>
          <w:smallCaps/>
          <w:sz w:val="32"/>
          <w:szCs w:val="32"/>
        </w:rPr>
        <w:t>绩效自评报告</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19</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附件2</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30</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茂县供销合作社联合社</w:t>
      </w:r>
      <w:r>
        <w:rPr>
          <w:rFonts w:hint="eastAsia" w:ascii="仿宋_GB2312" w:hAnsi="仿宋" w:eastAsia="仿宋_GB2312" w:cs="Times New Roman"/>
          <w:b w:val="0"/>
          <w:bCs w:val="0"/>
          <w:caps w:val="0"/>
          <w:smallCaps/>
          <w:sz w:val="32"/>
          <w:szCs w:val="32"/>
          <w:lang w:val="en-US" w:eastAsia="zh-CN"/>
        </w:rPr>
        <w:t>2025年度州级农资价格及储备补贴资金</w:t>
      </w:r>
      <w:r>
        <w:rPr>
          <w:rFonts w:hint="eastAsia" w:ascii="仿宋_GB2312" w:hAnsi="仿宋" w:eastAsia="仿宋_GB2312"/>
          <w:b w:val="0"/>
          <w:bCs w:val="0"/>
          <w:caps w:val="0"/>
          <w:smallCaps/>
          <w:sz w:val="32"/>
          <w:szCs w:val="32"/>
          <w:lang w:eastAsia="zh-CN"/>
        </w:rPr>
        <w:t>项目绩效评价</w:t>
      </w:r>
      <w:r>
        <w:rPr>
          <w:rFonts w:hint="eastAsia" w:ascii="仿宋_GB2312" w:hAnsi="仿宋" w:eastAsia="仿宋_GB2312"/>
          <w:b w:val="0"/>
          <w:bCs w:val="0"/>
          <w:caps w:val="0"/>
          <w:smallCaps/>
          <w:sz w:val="32"/>
          <w:szCs w:val="32"/>
        </w:rPr>
        <w:t>报告</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30</w:t>
      </w:r>
    </w:p>
    <w:p>
      <w:pPr>
        <w:pStyle w:val="17"/>
        <w:tabs>
          <w:tab w:val="right" w:leader="dot" w:pos="8296"/>
        </w:tabs>
        <w:rPr>
          <w:rFonts w:hint="default" w:ascii="仿宋_GB2312" w:hAnsi="仿宋" w:eastAsia="仿宋_GB2312"/>
          <w:b w:val="0"/>
          <w:bCs w:val="0"/>
          <w:caps w:val="0"/>
          <w:smallCaps/>
          <w:sz w:val="32"/>
          <w:szCs w:val="32"/>
          <w:lang w:val="en-US" w:eastAsia="zh-CN"/>
        </w:rPr>
      </w:pPr>
      <w:r>
        <w:rPr>
          <w:rFonts w:hint="eastAsia" w:ascii="仿宋_GB2312" w:hAnsi="仿宋" w:eastAsia="仿宋_GB2312"/>
          <w:b w:val="0"/>
          <w:bCs w:val="0"/>
          <w:caps w:val="0"/>
          <w:smallCaps/>
          <w:sz w:val="32"/>
          <w:szCs w:val="32"/>
        </w:rPr>
        <w:t>第五部分 附表</w:t>
      </w:r>
      <w:r>
        <w:rPr>
          <w:rFonts w:hint="eastAsia" w:ascii="仿宋_GB2312" w:hAnsi="仿宋" w:eastAsia="仿宋_GB2312"/>
          <w:b w:val="0"/>
          <w:bCs w:val="0"/>
          <w:caps w:val="0"/>
          <w:smallCaps/>
          <w:sz w:val="32"/>
          <w:szCs w:val="32"/>
        </w:rPr>
        <w:tab/>
      </w:r>
      <w:r>
        <w:rPr>
          <w:rFonts w:hint="eastAsia" w:ascii="仿宋_GB2312" w:hAnsi="仿宋" w:eastAsia="仿宋_GB2312"/>
          <w:b w:val="0"/>
          <w:bCs w:val="0"/>
          <w:caps w:val="0"/>
          <w:smallCaps/>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一、收入支出决算总表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二、收入决算表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三、支出决算表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四、财政拨款收入支出决算总表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五、财政拨款支出决算明细表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六、一般公共预算财政拨款支出决算表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七、一般公共预算财政拨款支出决算明细表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八、一般公共预算财政拨款基本支出决算表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九、一般公共预算财政拨款项目支出决算表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十、政府性基金预算财政拨款收入支出决算表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hAnsi="仿宋" w:eastAsia="仿宋_GB2312"/>
          <w:sz w:val="32"/>
          <w:szCs w:val="32"/>
          <w:lang w:eastAsia="zh-CN"/>
        </w:rPr>
        <w:t>一</w:t>
      </w:r>
      <w:r>
        <w:rPr>
          <w:rFonts w:hint="eastAsia" w:ascii="仿宋_GB2312" w:hAnsi="仿宋" w:eastAsia="仿宋_GB2312"/>
          <w:sz w:val="32"/>
          <w:szCs w:val="32"/>
        </w:rPr>
        <w:t>、国有资本经营预算财政拨款</w:t>
      </w:r>
      <w:r>
        <w:rPr>
          <w:rFonts w:hint="eastAsia" w:ascii="仿宋_GB2312" w:hAnsi="仿宋" w:eastAsia="仿宋_GB2312"/>
          <w:sz w:val="32"/>
          <w:szCs w:val="32"/>
          <w:lang w:eastAsia="zh-CN"/>
        </w:rPr>
        <w:t>收入</w:t>
      </w:r>
      <w:r>
        <w:rPr>
          <w:rFonts w:hint="eastAsia" w:ascii="仿宋_GB2312" w:hAnsi="仿宋" w:eastAsia="仿宋_GB2312"/>
          <w:sz w:val="32"/>
          <w:szCs w:val="32"/>
        </w:rPr>
        <w:t>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z w:val="32"/>
          <w:szCs w:val="32"/>
        </w:rPr>
        <w:t>十</w:t>
      </w:r>
      <w:r>
        <w:rPr>
          <w:rFonts w:hint="eastAsia" w:ascii="仿宋_GB2312" w:hAnsi="仿宋" w:eastAsia="仿宋_GB2312"/>
          <w:sz w:val="32"/>
          <w:szCs w:val="32"/>
          <w:lang w:eastAsia="zh-CN"/>
        </w:rPr>
        <w:t>二</w:t>
      </w:r>
      <w:r>
        <w:rPr>
          <w:rFonts w:hint="eastAsia" w:ascii="仿宋_GB2312" w:hAnsi="仿宋" w:eastAsia="仿宋_GB2312"/>
          <w:sz w:val="32"/>
          <w:szCs w:val="32"/>
        </w:rPr>
        <w:t>、国有资本经营预算财政拨款支出决算表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pStyle w:val="22"/>
        <w:tabs>
          <w:tab w:val="right" w:leader="dot" w:pos="8296"/>
        </w:tabs>
        <w:rPr>
          <w:rFonts w:hint="default" w:ascii="仿宋_GB2312" w:hAnsi="仿宋" w:eastAsia="仿宋_GB2312"/>
          <w:sz w:val="32"/>
          <w:szCs w:val="32"/>
          <w:lang w:val="en-US" w:eastAsia="zh-CN"/>
        </w:rPr>
      </w:pPr>
      <w:r>
        <w:rPr>
          <w:rFonts w:hint="eastAsia" w:ascii="仿宋_GB2312" w:hAnsi="仿宋" w:eastAsia="仿宋_GB2312"/>
          <w:smallCaps/>
          <w:sz w:val="32"/>
          <w:szCs w:val="32"/>
        </w:rPr>
        <w:fldChar w:fldCharType="end"/>
      </w:r>
      <w:bookmarkStart w:id="12" w:name="_Toc15396599"/>
      <w:bookmarkStart w:id="13" w:name="_Toc15377196"/>
      <w:r>
        <w:rPr>
          <w:rFonts w:hint="eastAsia" w:ascii="仿宋_GB2312" w:hAnsi="仿宋" w:eastAsia="仿宋_GB2312"/>
          <w:sz w:val="32"/>
          <w:szCs w:val="32"/>
        </w:rPr>
        <w:t>十</w:t>
      </w:r>
      <w:r>
        <w:rPr>
          <w:rFonts w:hint="eastAsia" w:ascii="仿宋_GB2312" w:hAnsi="仿宋" w:eastAsia="仿宋_GB2312"/>
          <w:sz w:val="32"/>
          <w:szCs w:val="32"/>
          <w:lang w:eastAsia="zh-CN"/>
        </w:rPr>
        <w:t>三</w:t>
      </w:r>
      <w:r>
        <w:rPr>
          <w:rFonts w:hint="eastAsia" w:ascii="仿宋_GB2312" w:hAnsi="仿宋" w:eastAsia="仿宋_GB2312"/>
          <w:sz w:val="32"/>
          <w:szCs w:val="32"/>
        </w:rPr>
        <w:t>、</w:t>
      </w:r>
      <w:r>
        <w:rPr>
          <w:rFonts w:hint="eastAsia" w:ascii="仿宋_GB2312" w:hAnsi="仿宋" w:eastAsia="仿宋_GB2312"/>
          <w:sz w:val="32"/>
          <w:szCs w:val="32"/>
          <w:lang w:eastAsia="zh-CN"/>
        </w:rPr>
        <w:t>财政拨款“三公”经费</w:t>
      </w:r>
      <w:r>
        <w:rPr>
          <w:rFonts w:hint="eastAsia" w:ascii="仿宋_GB2312" w:hAnsi="仿宋" w:eastAsia="仿宋_GB2312"/>
          <w:sz w:val="32"/>
          <w:szCs w:val="32"/>
        </w:rPr>
        <w:t>支出决算表</w:t>
      </w:r>
      <w:r>
        <w:rPr>
          <w:rFonts w:hint="eastAsia" w:ascii="仿宋_GB2312" w:hAnsi="仿宋" w:eastAsia="仿宋_GB2312"/>
          <w:sz w:val="32"/>
          <w:szCs w:val="32"/>
        </w:rPr>
        <w:tab/>
      </w:r>
      <w:r>
        <w:rPr>
          <w:rFonts w:hint="eastAsia" w:ascii="仿宋_GB2312" w:hAnsi="仿宋" w:eastAsia="仿宋_GB2312"/>
          <w:sz w:val="32"/>
          <w:szCs w:val="32"/>
          <w:lang w:val="en-US" w:eastAsia="zh-CN"/>
        </w:rPr>
        <w:t>35</w:t>
      </w: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_GB2312" w:hAnsi="仿宋" w:eastAsia="仿宋_GB2312"/>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pStyle w:val="31"/>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widowControl/>
        <w:spacing w:line="440" w:lineRule="exact"/>
        <w:jc w:val="left"/>
        <w:rPr>
          <w:rFonts w:ascii="仿宋" w:hAnsi="仿宋" w:eastAsia="仿宋"/>
          <w:smallCaps/>
          <w:sz w:val="20"/>
          <w:szCs w:val="20"/>
        </w:rPr>
      </w:pPr>
    </w:p>
    <w:p>
      <w:pPr>
        <w:pStyle w:val="2"/>
        <w:rPr>
          <w:rFonts w:ascii="仿宋" w:hAnsi="仿宋" w:eastAsia="仿宋"/>
          <w:smallCaps/>
          <w:sz w:val="20"/>
          <w:szCs w:val="20"/>
        </w:rPr>
      </w:pPr>
    </w:p>
    <w:p>
      <w:pPr>
        <w:rPr>
          <w:rFonts w:ascii="仿宋" w:hAnsi="仿宋" w:eastAsia="仿宋"/>
          <w:smallCaps/>
          <w:sz w:val="20"/>
          <w:szCs w:val="20"/>
        </w:rPr>
      </w:pPr>
    </w:p>
    <w:p>
      <w:pPr>
        <w:pStyle w:val="2"/>
        <w:rPr>
          <w:rFonts w:ascii="仿宋" w:hAnsi="仿宋" w:eastAsia="仿宋"/>
          <w:smallCaps/>
          <w:sz w:val="20"/>
          <w:szCs w:val="20"/>
        </w:rPr>
      </w:pPr>
    </w:p>
    <w:p>
      <w:pPr>
        <w:rPr>
          <w:rFonts w:ascii="仿宋" w:hAnsi="仿宋" w:eastAsia="仿宋"/>
          <w:smallCaps/>
          <w:sz w:val="20"/>
          <w:szCs w:val="20"/>
        </w:rPr>
      </w:pPr>
    </w:p>
    <w:p>
      <w:pPr>
        <w:pStyle w:val="2"/>
        <w:rPr>
          <w:rFonts w:ascii="仿宋" w:hAnsi="仿宋" w:eastAsia="仿宋"/>
          <w:smallCaps/>
          <w:sz w:val="20"/>
          <w:szCs w:val="20"/>
        </w:rPr>
      </w:pPr>
    </w:p>
    <w:p>
      <w:pPr>
        <w:rPr>
          <w:rFonts w:ascii="仿宋" w:hAnsi="仿宋" w:eastAsia="仿宋"/>
          <w:smallCaps/>
          <w:sz w:val="20"/>
          <w:szCs w:val="20"/>
        </w:rPr>
      </w:pPr>
    </w:p>
    <w:p>
      <w:pPr>
        <w:pStyle w:val="2"/>
      </w:pPr>
    </w:p>
    <w:p>
      <w:pPr>
        <w:pStyle w:val="10"/>
        <w:ind w:left="0" w:leftChars="0" w:firstLine="0" w:firstLineChars="0"/>
      </w:pPr>
      <w:bookmarkStart w:id="14" w:name="_Toc79163601"/>
      <w:bookmarkStart w:id="15" w:name="_Toc79163851"/>
    </w:p>
    <w:p>
      <w:pPr>
        <w:jc w:val="center"/>
        <w:rPr>
          <w:rFonts w:ascii="黑体" w:hAnsi="黑体" w:eastAsia="黑体" w:cs="黑体"/>
          <w:sz w:val="32"/>
          <w:szCs w:val="32"/>
        </w:rPr>
      </w:pPr>
      <w:r>
        <w:rPr>
          <w:rFonts w:hint="eastAsia" w:ascii="方正小标宋简体" w:hAnsi="方正小标宋简体" w:eastAsia="方正小标宋简体" w:cs="方正小标宋简体"/>
          <w:sz w:val="44"/>
          <w:szCs w:val="44"/>
        </w:rPr>
        <w:t>第一部分 部门概况</w:t>
      </w:r>
      <w:bookmarkEnd w:id="12"/>
      <w:bookmarkEnd w:id="13"/>
      <w:bookmarkEnd w:id="14"/>
      <w:bookmarkEnd w:id="15"/>
      <w:bookmarkStart w:id="16" w:name="_Toc15396600"/>
      <w:bookmarkStart w:id="17" w:name="_Toc79163602"/>
      <w:bookmarkStart w:id="18" w:name="_Toc15377197"/>
      <w:bookmarkStart w:id="19" w:name="_Toc7916385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p>
    <w:bookmarkEnd w:id="16"/>
    <w:bookmarkEnd w:id="17"/>
    <w:bookmarkEnd w:id="18"/>
    <w:bookmarkEnd w:id="19"/>
    <w:p>
      <w:pPr>
        <w:keepNext w:val="0"/>
        <w:keepLines w:val="0"/>
        <w:pageBreakBefore w:val="0"/>
        <w:widowControl w:val="0"/>
        <w:numPr>
          <w:ilvl w:val="0"/>
          <w:numId w:val="1"/>
        </w:numPr>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部门职责</w:t>
      </w:r>
    </w:p>
    <w:p>
      <w:pPr>
        <w:spacing w:line="576" w:lineRule="exact"/>
        <w:ind w:firstLine="640" w:firstLineChars="200"/>
        <w:rPr>
          <w:rFonts w:ascii="仿宋_GB2312" w:hAnsi="仿宋_GB2312" w:eastAsia="仿宋_GB2312" w:cs="仿宋_GB2312"/>
          <w:sz w:val="32"/>
          <w:szCs w:val="32"/>
        </w:rPr>
      </w:pPr>
      <w:bookmarkStart w:id="20" w:name="_Toc15377200"/>
      <w:bookmarkStart w:id="21" w:name="_Toc79163855"/>
      <w:bookmarkStart w:id="22" w:name="_Toc15396601"/>
      <w:bookmarkStart w:id="23" w:name="_Toc79163605"/>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宣传贯彻中央“三农”工作方针政策和州委、州政府及县委、县政府有关决策部署，指导全县供销合作事业发展。</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负责研究和制定全县供销合作社发展规划并组织实施，指导服务全县供销合作社系统改革发展</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履行社有资产运营指导和监督管理职责，发展社有企业，确保社有企业为农服务方向，落实社有资产保值增值和安全责任</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根据授权对重要生产生活资料的经营、储备进行组织、协调和管理，指导全县供销合作社承担政府委托的公益性服务和其他任务</w:t>
      </w:r>
      <w:r>
        <w:rPr>
          <w:rFonts w:hint="eastAsia" w:ascii="仿宋_GB2312" w:hAnsi="仿宋_GB2312" w:eastAsia="仿宋_GB2312" w:cs="仿宋_GB2312"/>
          <w:sz w:val="32"/>
          <w:szCs w:val="32"/>
          <w:lang w:eastAsia="zh-CN"/>
        </w:rPr>
        <w:t>。</w:t>
      </w:r>
    </w:p>
    <w:p>
      <w:pPr>
        <w:spacing w:line="576"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指导全县供销合作社开展农业生产经营服务、城乡消费品流通服务、再生资源回收利用服务和生产、供销、信用“三位一体”综合合作等业务活动</w:t>
      </w:r>
      <w:r>
        <w:rPr>
          <w:rFonts w:hint="eastAsia" w:ascii="仿宋_GB2312" w:hAnsi="仿宋_GB2312" w:eastAsia="仿宋_GB2312" w:cs="仿宋_GB2312"/>
          <w:sz w:val="32"/>
          <w:szCs w:val="32"/>
          <w:lang w:eastAsia="zh-CN"/>
        </w:rPr>
        <w:t>。</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参与公益性农产品市场建设，参与国有控股的农产品批发市场的建设、运营和管护。</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领办创办农民专业合作社，发展基层供销合作社，更好履行为农服务职责；推进供销合作社法治建设，研究提出促进农村经济社会和行业发展的政策法规建议，维护全县供销合作社的合法权益。</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指导全县供销合作社开展教育培训工作。</w:t>
      </w:r>
    </w:p>
    <w:p>
      <w:pPr>
        <w:spacing w:line="57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负责职责范围内的安全生产、公共机构节能减排、生态环境保护等工作。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cs="仿宋_GB2312"/>
          <w:sz w:val="32"/>
          <w:szCs w:val="32"/>
          <w:lang w:eastAsia="zh-CN"/>
        </w:rPr>
        <w:t>（十）</w:t>
      </w:r>
      <w:r>
        <w:rPr>
          <w:rFonts w:hint="eastAsia" w:ascii="仿宋_GB2312" w:hAnsi="仿宋_GB2312" w:eastAsia="仿宋_GB2312" w:cs="仿宋_GB2312"/>
          <w:sz w:val="32"/>
          <w:szCs w:val="32"/>
        </w:rPr>
        <w:t>完成县委、县政府交办的其他任务</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二、机构设置</w:t>
      </w:r>
      <w:bookmarkEnd w:id="20"/>
      <w:bookmarkEnd w:id="21"/>
      <w:bookmarkEnd w:id="22"/>
      <w:bookmarkEnd w:id="2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bookmarkStart w:id="24" w:name="_Toc15396602"/>
      <w:bookmarkStart w:id="25" w:name="_Toc15377204"/>
      <w:bookmarkStart w:id="26" w:name="_Toc79163609"/>
      <w:bookmarkStart w:id="27" w:name="_Toc79163859"/>
      <w:r>
        <w:rPr>
          <w:rFonts w:hint="eastAsia" w:ascii="仿宋_GB2312" w:hAnsi="仿宋_GB2312" w:eastAsia="仿宋_GB2312" w:cs="仿宋_GB2312"/>
          <w:sz w:val="32"/>
          <w:szCs w:val="32"/>
        </w:rPr>
        <w:t>茂县供销</w:t>
      </w:r>
      <w:r>
        <w:rPr>
          <w:rFonts w:hint="eastAsia" w:ascii="仿宋_GB2312" w:hAnsi="仿宋_GB2312" w:eastAsia="仿宋_GB2312" w:cs="仿宋_GB2312"/>
          <w:sz w:val="32"/>
          <w:szCs w:val="32"/>
          <w:lang w:eastAsia="zh-CN"/>
        </w:rPr>
        <w:t>合作社联合</w:t>
      </w:r>
      <w:r>
        <w:rPr>
          <w:rFonts w:hint="eastAsia" w:ascii="仿宋_GB2312" w:hAnsi="仿宋_GB2312" w:eastAsia="仿宋_GB2312" w:cs="仿宋_GB2312"/>
          <w:sz w:val="32"/>
          <w:szCs w:val="32"/>
        </w:rPr>
        <w:t>社</w:t>
      </w:r>
      <w:r>
        <w:rPr>
          <w:rFonts w:hint="eastAsia" w:ascii="仿宋_GB2312" w:hAnsi="仿宋_GB2312" w:eastAsia="仿宋_GB2312" w:cs="仿宋_GB2312"/>
          <w:sz w:val="32"/>
          <w:szCs w:val="32"/>
          <w:lang w:val="en-US" w:eastAsia="zh-CN"/>
        </w:rPr>
        <w:t>属于一级预算单位，</w:t>
      </w:r>
      <w:r>
        <w:rPr>
          <w:rFonts w:hint="eastAsia" w:ascii="仿宋_GB2312" w:hAnsi="仿宋_GB2312" w:eastAsia="仿宋_GB2312" w:cs="仿宋_GB2312"/>
          <w:sz w:val="32"/>
          <w:szCs w:val="32"/>
        </w:rPr>
        <w:t>下属二级</w:t>
      </w:r>
      <w:r>
        <w:rPr>
          <w:rFonts w:hint="eastAsia" w:ascii="仿宋_GB2312" w:hAnsi="仿宋_GB2312" w:eastAsia="仿宋_GB2312" w:cs="仿宋_GB2312"/>
          <w:sz w:val="32"/>
          <w:szCs w:val="32"/>
          <w:lang w:val="en-US" w:eastAsia="zh-CN"/>
        </w:rPr>
        <w:t>预算</w:t>
      </w:r>
      <w:r>
        <w:rPr>
          <w:rFonts w:hint="eastAsia" w:ascii="仿宋_GB2312" w:hAnsi="仿宋_GB2312" w:eastAsia="仿宋_GB2312" w:cs="仿宋_GB2312"/>
          <w:sz w:val="32"/>
          <w:szCs w:val="32"/>
        </w:rPr>
        <w:t>单位0个，其中行政单位0个，参照公务员法管理的事业单位0个，其他事业单位0个。</w:t>
      </w:r>
    </w:p>
    <w:p>
      <w:pPr>
        <w:jc w:val="both"/>
        <w:rPr>
          <w:rFonts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jc w:val="center"/>
        <w:rPr>
          <w:rFonts w:hint="eastAsia" w:ascii="方正小标宋简体" w:hAnsi="方正小标宋简体" w:eastAsia="方正小标宋简体" w:cs="方正小标宋简体"/>
          <w:sz w:val="44"/>
          <w:szCs w:val="44"/>
        </w:rPr>
      </w:pPr>
    </w:p>
    <w:p>
      <w:pPr>
        <w:pStyle w:val="31"/>
        <w:rPr>
          <w:rFonts w:hint="eastAsia"/>
        </w:rPr>
      </w:pPr>
    </w:p>
    <w:p>
      <w:pPr>
        <w:rPr>
          <w:rFonts w:hint="eastAsia"/>
        </w:rPr>
      </w:pPr>
    </w:p>
    <w:p>
      <w:pPr>
        <w:pStyle w:val="31"/>
        <w:rPr>
          <w:rFonts w:hint="eastAsia"/>
        </w:rPr>
      </w:pPr>
    </w:p>
    <w:p>
      <w:pPr>
        <w:rPr>
          <w:rFonts w:hint="eastAsia"/>
        </w:rPr>
      </w:pPr>
    </w:p>
    <w:p>
      <w:pPr>
        <w:pStyle w:val="31"/>
        <w:rPr>
          <w:rFonts w:hint="eastAsia"/>
        </w:rPr>
      </w:pPr>
    </w:p>
    <w:p>
      <w:pPr>
        <w:rPr>
          <w:rFonts w:hint="eastAsia"/>
        </w:rPr>
      </w:pPr>
    </w:p>
    <w:p>
      <w:pPr>
        <w:rPr>
          <w:rFonts w:hint="eastAsia"/>
        </w:rPr>
      </w:pPr>
    </w:p>
    <w:p>
      <w:pPr>
        <w:rPr>
          <w:rFonts w:hint="eastAsia"/>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年度部门决算情况说明</w:t>
      </w:r>
      <w:bookmarkEnd w:id="24"/>
      <w:bookmarkEnd w:id="25"/>
      <w:bookmarkEnd w:id="26"/>
      <w:bookmarkEnd w:id="27"/>
    </w:p>
    <w:p>
      <w:pPr>
        <w:jc w:val="center"/>
      </w:pPr>
    </w:p>
    <w:p>
      <w:pPr>
        <w:pStyle w:val="43"/>
        <w:keepNext w:val="0"/>
        <w:keepLines w:val="0"/>
        <w:pageBreakBefore w:val="0"/>
        <w:widowControl w:val="0"/>
        <w:numPr>
          <w:ilvl w:val="0"/>
          <w:numId w:val="2"/>
        </w:numPr>
        <w:kinsoku/>
        <w:wordWrap/>
        <w:overflowPunct/>
        <w:topLinePunct w:val="0"/>
        <w:autoSpaceDE/>
        <w:autoSpaceDN/>
        <w:bidi w:val="0"/>
        <w:adjustRightInd/>
        <w:snapToGrid/>
        <w:spacing w:line="576" w:lineRule="exact"/>
        <w:ind w:firstLineChars="0"/>
        <w:textAlignment w:val="auto"/>
        <w:outlineLvl w:val="1"/>
        <w:rPr>
          <w:rStyle w:val="33"/>
          <w:rFonts w:ascii="黑体" w:hAnsi="黑体" w:eastAsia="黑体"/>
          <w:b w:val="0"/>
        </w:rPr>
      </w:pPr>
      <w:bookmarkStart w:id="28" w:name="_Toc79163610"/>
      <w:bookmarkStart w:id="29" w:name="_Toc79163860"/>
      <w:bookmarkStart w:id="30" w:name="_Toc15396603"/>
      <w:bookmarkStart w:id="31" w:name="_Toc15377205"/>
      <w:r>
        <w:rPr>
          <w:rFonts w:hint="eastAsia" w:ascii="黑体" w:hAnsi="黑体" w:eastAsia="黑体"/>
          <w:color w:val="000000"/>
          <w:sz w:val="32"/>
          <w:szCs w:val="32"/>
        </w:rPr>
        <w:t>收</w:t>
      </w:r>
      <w:r>
        <w:rPr>
          <w:rStyle w:val="33"/>
          <w:rFonts w:hint="eastAsia" w:ascii="黑体" w:hAnsi="黑体" w:eastAsia="黑体"/>
          <w:b w:val="0"/>
        </w:rPr>
        <w:t>入支出决算总体情况说明</w:t>
      </w:r>
      <w:bookmarkEnd w:id="28"/>
      <w:bookmarkEnd w:id="29"/>
      <w:bookmarkEnd w:id="30"/>
      <w:bookmarkEnd w:id="3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年度</w:t>
      </w:r>
      <w:r>
        <w:rPr>
          <w:rFonts w:hint="eastAsia" w:ascii="仿宋_GB2312" w:eastAsia="仿宋_GB2312" w:cs="仿宋_GB2312"/>
          <w:sz w:val="32"/>
          <w:szCs w:val="32"/>
          <w:lang w:val="en-US" w:eastAsia="zh-CN"/>
        </w:rPr>
        <w:t>收入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支出</w:t>
      </w:r>
      <w:r>
        <w:rPr>
          <w:rFonts w:hint="eastAsia" w:ascii="仿宋_GB2312" w:eastAsia="仿宋_GB2312" w:cs="仿宋_GB2312"/>
          <w:sz w:val="32"/>
          <w:szCs w:val="32"/>
        </w:rPr>
        <w:t>总计</w:t>
      </w:r>
      <w:r>
        <w:rPr>
          <w:rFonts w:hint="eastAsia" w:ascii="仿宋_GB2312" w:eastAsia="仿宋_GB2312" w:cs="仿宋_GB2312"/>
          <w:sz w:val="32"/>
          <w:szCs w:val="32"/>
          <w:lang w:val="en-US" w:eastAsia="zh-CN"/>
        </w:rPr>
        <w:t>均为301.62</w:t>
      </w:r>
      <w:r>
        <w:rPr>
          <w:rFonts w:hint="eastAsia" w:ascii="仿宋_GB2312" w:eastAsia="仿宋_GB2312" w:cs="仿宋_GB2312"/>
          <w:sz w:val="32"/>
          <w:szCs w:val="32"/>
        </w:rPr>
        <w:t>万元。与</w:t>
      </w:r>
      <w:r>
        <w:rPr>
          <w:rFonts w:hint="eastAsia" w:ascii="仿宋_GB2312" w:eastAsia="仿宋_GB2312" w:cs="仿宋_GB2312"/>
          <w:sz w:val="32"/>
          <w:szCs w:val="32"/>
          <w:lang w:val="en-US" w:eastAsia="zh-CN"/>
        </w:rPr>
        <w:t>上年度</w:t>
      </w:r>
      <w:r>
        <w:rPr>
          <w:rFonts w:hint="eastAsia" w:ascii="仿宋_GB2312" w:eastAsia="仿宋_GB2312" w:cs="仿宋_GB2312"/>
          <w:sz w:val="32"/>
          <w:szCs w:val="32"/>
        </w:rPr>
        <w:t>相比，</w:t>
      </w:r>
      <w:r>
        <w:rPr>
          <w:rFonts w:hint="eastAsia" w:ascii="仿宋_GB2312" w:eastAsia="仿宋_GB2312" w:cs="仿宋_GB2312"/>
          <w:sz w:val="32"/>
          <w:szCs w:val="32"/>
          <w:lang w:val="en-US" w:eastAsia="zh-CN"/>
        </w:rPr>
        <w:t>收入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支出</w:t>
      </w:r>
      <w:r>
        <w:rPr>
          <w:rFonts w:hint="eastAsia" w:ascii="仿宋_GB2312" w:eastAsia="仿宋_GB2312" w:cs="仿宋_GB2312"/>
          <w:sz w:val="32"/>
          <w:szCs w:val="32"/>
        </w:rPr>
        <w:t>总计各</w:t>
      </w:r>
      <w:r>
        <w:rPr>
          <w:rFonts w:hint="eastAsia" w:ascii="仿宋_GB2312" w:eastAsia="仿宋_GB2312" w:cs="仿宋_GB2312"/>
          <w:sz w:val="32"/>
          <w:szCs w:val="32"/>
          <w:lang w:val="en-US" w:eastAsia="zh-CN"/>
        </w:rPr>
        <w:t>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_GB2312" w:eastAsia="仿宋_GB2312"/>
          <w:color w:val="000000"/>
          <w:sz w:val="32"/>
          <w:szCs w:val="32"/>
        </w:rPr>
      </w:pPr>
      <w:r>
        <w:drawing>
          <wp:inline distT="0" distB="0" distL="114300" distR="114300">
            <wp:extent cx="4572000" cy="2743200"/>
            <wp:effectExtent l="4445" t="4445" r="1460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3"/>
          <w:rFonts w:ascii="黑体" w:hAnsi="黑体" w:eastAsia="黑体"/>
          <w:b w:val="0"/>
        </w:rPr>
      </w:pPr>
      <w:bookmarkStart w:id="32" w:name="_Toc15396604"/>
      <w:bookmarkStart w:id="33" w:name="_Toc79163861"/>
      <w:bookmarkStart w:id="34" w:name="_Toc15377206"/>
      <w:bookmarkStart w:id="35" w:name="_Toc79163611"/>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33"/>
          <w:rFonts w:hint="eastAsia" w:ascii="黑体" w:hAnsi="黑体" w:eastAsia="黑体"/>
          <w:b w:val="0"/>
        </w:rPr>
        <w:t>入决算情况说明</w:t>
      </w:r>
      <w:bookmarkEnd w:id="32"/>
      <w:bookmarkEnd w:id="33"/>
      <w:bookmarkEnd w:id="34"/>
      <w:bookmarkEnd w:id="3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本年收入合计</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100</w:t>
      </w:r>
      <w:r>
        <w:rPr>
          <w:rFonts w:hint="eastAsia" w:ascii="仿宋_GB2312" w:eastAsia="仿宋_GB2312" w:cs="仿宋_GB2312"/>
          <w:sz w:val="32"/>
          <w:szCs w:val="32"/>
        </w:rPr>
        <w:t>%。</w:t>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Fonts w:hint="eastAsia" w:ascii="黑体" w:hAnsi="黑体" w:eastAsia="黑体"/>
          <w:color w:val="000000"/>
          <w:sz w:val="32"/>
          <w:szCs w:val="32"/>
          <w:lang w:eastAsia="zh-CN"/>
        </w:rPr>
      </w:pPr>
      <w:bookmarkStart w:id="36" w:name="_Toc79163613"/>
      <w:bookmarkStart w:id="37" w:name="_Toc15396606"/>
      <w:bookmarkStart w:id="38" w:name="_Toc79163863"/>
      <w:bookmarkStart w:id="39" w:name="_Toc15377208"/>
      <w:r>
        <w:rPr>
          <w:rFonts w:asci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347345</wp:posOffset>
            </wp:positionH>
            <wp:positionV relativeFrom="paragraph">
              <wp:posOffset>133985</wp:posOffset>
            </wp:positionV>
            <wp:extent cx="3991610" cy="2086610"/>
            <wp:effectExtent l="5080" t="4445" r="22860" b="23495"/>
            <wp:wrapTopAndBottom/>
            <wp:docPr id="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pStyle w:val="43"/>
        <w:keepNext w:val="0"/>
        <w:keepLines w:val="0"/>
        <w:pageBreakBefore w:val="0"/>
        <w:widowControl w:val="0"/>
        <w:numPr>
          <w:ilvl w:val="0"/>
          <w:numId w:val="0"/>
        </w:numPr>
        <w:kinsoku/>
        <w:wordWrap/>
        <w:overflowPunct/>
        <w:topLinePunct w:val="0"/>
        <w:autoSpaceDE/>
        <w:autoSpaceDN/>
        <w:bidi w:val="0"/>
        <w:adjustRightInd/>
        <w:snapToGrid/>
        <w:spacing w:line="576" w:lineRule="exact"/>
        <w:ind w:left="640" w:leftChars="0"/>
        <w:textAlignment w:val="auto"/>
        <w:outlineLvl w:val="1"/>
        <w:rPr>
          <w:rStyle w:val="33"/>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33"/>
          <w:rFonts w:hint="eastAsia" w:ascii="黑体" w:hAnsi="黑体" w:eastAsia="黑体"/>
          <w:b w:val="0"/>
        </w:rPr>
        <w:t>出决算情况说明</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本年支出合计</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万元，其中：基本支出</w:t>
      </w:r>
      <w:r>
        <w:rPr>
          <w:rFonts w:hint="eastAsia" w:ascii="仿宋_GB2312" w:eastAsia="仿宋_GB2312" w:cs="仿宋_GB2312"/>
          <w:sz w:val="32"/>
          <w:szCs w:val="32"/>
          <w:lang w:val="en-US" w:eastAsia="zh-CN"/>
        </w:rPr>
        <w:t>239.07</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79.2</w:t>
      </w:r>
      <w:r>
        <w:rPr>
          <w:rFonts w:hint="eastAsia" w:ascii="仿宋_GB2312" w:eastAsia="仿宋_GB2312" w:cs="仿宋_GB2312"/>
          <w:sz w:val="32"/>
          <w:szCs w:val="32"/>
        </w:rPr>
        <w:t>%；项目支出</w:t>
      </w:r>
      <w:r>
        <w:rPr>
          <w:rFonts w:hint="eastAsia" w:ascii="仿宋_GB2312" w:eastAsia="仿宋_GB2312" w:cs="仿宋_GB2312"/>
          <w:sz w:val="32"/>
          <w:szCs w:val="32"/>
          <w:lang w:val="en-US" w:eastAsia="zh-CN"/>
        </w:rPr>
        <w:t>62.55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20.8</w:t>
      </w:r>
      <w:r>
        <w:rPr>
          <w:rFonts w:hint="eastAsia" w:ascii="仿宋_GB2312" w:eastAsia="仿宋_GB2312" w:cs="仿宋_GB2312"/>
          <w:sz w:val="32"/>
          <w:szCs w:val="32"/>
        </w:rPr>
        <w:t>%。</w:t>
      </w:r>
    </w:p>
    <w:p>
      <w:pPr>
        <w:ind w:firstLine="420" w:firstLineChars="200"/>
      </w:pPr>
      <w:r>
        <w:drawing>
          <wp:inline distT="0" distB="0" distL="114300" distR="114300">
            <wp:extent cx="4595495" cy="2809875"/>
            <wp:effectExtent l="4445" t="4445" r="10160" b="5080"/>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31"/>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rPr>
      </w:pPr>
      <w:r>
        <w:rPr>
          <w:rFonts w:hint="eastAsia" w:ascii="黑体" w:hAnsi="黑体" w:eastAsia="黑体"/>
          <w:color w:val="000000"/>
          <w:sz w:val="32"/>
          <w:szCs w:val="32"/>
        </w:rPr>
        <w:t>四、财</w:t>
      </w:r>
      <w:r>
        <w:rPr>
          <w:rStyle w:val="33"/>
          <w:rFonts w:hint="eastAsia" w:ascii="黑体" w:hAnsi="黑体" w:eastAsia="黑体"/>
          <w:b w:val="0"/>
        </w:rPr>
        <w:t>政拨款收入支出决算总体情况说明</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eastAsia="仿宋_GB2312" w:cs="仿宋_GB2312"/>
          <w:sz w:val="32"/>
          <w:szCs w:val="32"/>
        </w:rPr>
      </w:pPr>
      <w:r>
        <w:rPr>
          <w:rFonts w:hint="eastAsia" w:ascii="仿宋_GB2312" w:eastAsia="仿宋_GB2312" w:cs="仿宋_GB2312"/>
          <w:sz w:val="32"/>
          <w:szCs w:val="32"/>
          <w:lang w:eastAsia="zh-CN"/>
        </w:rPr>
        <w:t>202</w:t>
      </w: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年</w:t>
      </w:r>
      <w:r>
        <w:rPr>
          <w:rFonts w:hint="eastAsia" w:ascii="仿宋_GB2312" w:eastAsia="仿宋_GB2312" w:cs="仿宋_GB2312"/>
          <w:sz w:val="32"/>
          <w:szCs w:val="32"/>
          <w:lang w:eastAsia="zh-CN"/>
        </w:rPr>
        <w:t>度</w:t>
      </w:r>
      <w:r>
        <w:rPr>
          <w:rFonts w:hint="eastAsia" w:ascii="仿宋_GB2312" w:eastAsia="仿宋_GB2312" w:cs="仿宋_GB2312"/>
          <w:sz w:val="32"/>
          <w:szCs w:val="32"/>
        </w:rPr>
        <w:t>财政拨款</w:t>
      </w:r>
      <w:r>
        <w:rPr>
          <w:rFonts w:hint="eastAsia" w:ascii="仿宋_GB2312" w:eastAsia="仿宋_GB2312" w:cs="仿宋_GB2312"/>
          <w:sz w:val="32"/>
          <w:szCs w:val="32"/>
          <w:lang w:val="en-US" w:eastAsia="zh-CN"/>
        </w:rPr>
        <w:t>收入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支出</w:t>
      </w:r>
      <w:r>
        <w:rPr>
          <w:rFonts w:hint="eastAsia" w:ascii="仿宋_GB2312" w:eastAsia="仿宋_GB2312" w:cs="仿宋_GB2312"/>
          <w:sz w:val="32"/>
          <w:szCs w:val="32"/>
        </w:rPr>
        <w:t>总计</w:t>
      </w:r>
      <w:r>
        <w:rPr>
          <w:rFonts w:hint="eastAsia" w:ascii="仿宋_GB2312" w:eastAsia="仿宋_GB2312" w:cs="仿宋_GB2312"/>
          <w:sz w:val="32"/>
          <w:szCs w:val="32"/>
          <w:lang w:eastAsia="zh-CN"/>
        </w:rPr>
        <w:t>均为</w:t>
      </w:r>
      <w:r>
        <w:rPr>
          <w:rFonts w:hint="eastAsia" w:ascii="仿宋_GB2312" w:eastAsia="仿宋_GB2312" w:cs="仿宋_GB2312"/>
          <w:sz w:val="32"/>
          <w:szCs w:val="32"/>
          <w:lang w:val="en-US" w:eastAsia="zh-CN"/>
        </w:rPr>
        <w:t>301.62</w:t>
      </w:r>
      <w:r>
        <w:rPr>
          <w:rFonts w:hint="eastAsia" w:ascii="仿宋_GB2312" w:eastAsia="仿宋_GB2312" w:cs="仿宋_GB2312"/>
          <w:sz w:val="32"/>
          <w:szCs w:val="32"/>
        </w:rPr>
        <w:t>万元。与</w:t>
      </w:r>
      <w:r>
        <w:rPr>
          <w:rFonts w:hint="eastAsia" w:ascii="仿宋_GB2312" w:eastAsia="仿宋_GB2312" w:cs="仿宋_GB2312"/>
          <w:sz w:val="32"/>
          <w:szCs w:val="32"/>
          <w:lang w:val="en-US" w:eastAsia="zh-CN"/>
        </w:rPr>
        <w:t>上年度</w:t>
      </w:r>
      <w:r>
        <w:rPr>
          <w:rFonts w:hint="eastAsia" w:ascii="仿宋_GB2312" w:eastAsia="仿宋_GB2312" w:cs="仿宋_GB2312"/>
          <w:sz w:val="32"/>
          <w:szCs w:val="32"/>
        </w:rPr>
        <w:t>相比，财政拨款</w:t>
      </w:r>
      <w:r>
        <w:rPr>
          <w:rFonts w:hint="eastAsia" w:ascii="仿宋_GB2312" w:eastAsia="仿宋_GB2312" w:cs="仿宋_GB2312"/>
          <w:sz w:val="32"/>
          <w:szCs w:val="32"/>
          <w:lang w:val="en-US" w:eastAsia="zh-CN"/>
        </w:rPr>
        <w:t>收入</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支出</w:t>
      </w:r>
      <w:r>
        <w:rPr>
          <w:rFonts w:hint="eastAsia" w:ascii="仿宋_GB2312" w:eastAsia="仿宋_GB2312" w:cs="仿宋_GB2312"/>
          <w:sz w:val="32"/>
          <w:szCs w:val="32"/>
        </w:rPr>
        <w:t>总计各</w:t>
      </w:r>
      <w:r>
        <w:rPr>
          <w:rFonts w:hint="eastAsia" w:ascii="仿宋_GB2312" w:eastAsia="仿宋_GB2312" w:cs="仿宋_GB2312"/>
          <w:sz w:val="32"/>
          <w:szCs w:val="32"/>
          <w:lang w:val="en-US" w:eastAsia="zh-CN"/>
        </w:rPr>
        <w:t>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 w:hAnsi="仿宋" w:eastAsia="仿宋"/>
          <w:b/>
          <w:color w:val="00B050"/>
          <w:sz w:val="32"/>
          <w:szCs w:val="32"/>
        </w:rPr>
      </w:pPr>
      <w:r>
        <w:drawing>
          <wp:inline distT="0" distB="0" distL="114300" distR="114300">
            <wp:extent cx="4572000" cy="2743200"/>
            <wp:effectExtent l="4445" t="4445" r="1460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ind w:firstLine="643" w:firstLineChars="200"/>
        <w:rPr>
          <w:rFonts w:ascii="仿宋" w:hAnsi="仿宋" w:eastAsia="仿宋"/>
          <w:b/>
          <w:color w:val="00B05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rPr>
      </w:pPr>
      <w:bookmarkStart w:id="40" w:name="_Toc15396607"/>
      <w:bookmarkStart w:id="41" w:name="_Toc79163614"/>
      <w:bookmarkStart w:id="42" w:name="_Toc15377209"/>
      <w:bookmarkStart w:id="43" w:name="_Toc79163864"/>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3"/>
          <w:rFonts w:hint="eastAsia" w:ascii="黑体" w:hAnsi="黑体" w:eastAsia="黑体"/>
          <w:b w:val="0"/>
        </w:rPr>
        <w:t>般公共预算财政拨款支出决算情况说明</w:t>
      </w:r>
      <w:bookmarkEnd w:id="40"/>
      <w:bookmarkEnd w:id="41"/>
      <w:bookmarkEnd w:id="42"/>
      <w:bookmarkEnd w:id="43"/>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4" w:name="_Toc79163865"/>
      <w:bookmarkStart w:id="45" w:name="_Toc15377210"/>
      <w:bookmarkStart w:id="46" w:name="_Toc79163615"/>
      <w:r>
        <w:rPr>
          <w:rFonts w:hint="eastAsia" w:ascii="楷体_GB2312" w:hAnsi="楷体_GB2312" w:eastAsia="楷体_GB2312" w:cs="楷体_GB2312"/>
          <w:b/>
          <w:bCs/>
          <w:sz w:val="32"/>
          <w:szCs w:val="32"/>
        </w:rPr>
        <w:t>（一）一般公共预算财政拨款支出决算总体情况</w:t>
      </w:r>
      <w:bookmarkEnd w:id="44"/>
      <w:bookmarkEnd w:id="45"/>
      <w:bookmarkEnd w:id="4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202</w:t>
      </w:r>
      <w:r>
        <w:rPr>
          <w:rFonts w:hint="eastAsia" w:ascii="仿宋_GB2312" w:eastAsia="仿宋_GB2312" w:cs="仿宋_GB2312"/>
          <w:sz w:val="32"/>
          <w:szCs w:val="32"/>
          <w:lang w:val="en-US" w:eastAsia="zh-CN"/>
        </w:rPr>
        <w:t>5年度</w:t>
      </w:r>
      <w:r>
        <w:rPr>
          <w:rFonts w:hint="eastAsia" w:ascii="仿宋_GB2312" w:eastAsia="仿宋_GB2312" w:cs="仿宋_GB2312"/>
          <w:sz w:val="32"/>
          <w:szCs w:val="32"/>
        </w:rPr>
        <w:t>一般公共预算财政拨款</w:t>
      </w:r>
      <w:r>
        <w:rPr>
          <w:rFonts w:hint="eastAsia" w:ascii="仿宋_GB2312" w:eastAsia="仿宋_GB2312" w:cs="仿宋_GB2312"/>
          <w:sz w:val="32"/>
          <w:szCs w:val="32"/>
          <w:lang w:val="en-US" w:eastAsia="zh-CN"/>
        </w:rPr>
        <w:t>支出301.62</w:t>
      </w:r>
      <w:r>
        <w:rPr>
          <w:rFonts w:hint="eastAsia" w:ascii="仿宋_GB2312" w:eastAsia="仿宋_GB2312" w:cs="仿宋_GB2312"/>
          <w:sz w:val="32"/>
          <w:szCs w:val="32"/>
        </w:rPr>
        <w:t>万元，占本年支出合计的100%。与</w:t>
      </w:r>
      <w:r>
        <w:rPr>
          <w:rFonts w:hint="eastAsia" w:ascii="仿宋_GB2312" w:eastAsia="仿宋_GB2312" w:cs="仿宋_GB2312"/>
          <w:sz w:val="32"/>
          <w:szCs w:val="32"/>
          <w:lang w:val="en-US" w:eastAsia="zh-CN"/>
        </w:rPr>
        <w:t>上年度</w:t>
      </w:r>
      <w:r>
        <w:rPr>
          <w:rFonts w:hint="eastAsia" w:ascii="仿宋_GB2312" w:eastAsia="仿宋_GB2312" w:cs="仿宋_GB2312"/>
          <w:sz w:val="32"/>
          <w:szCs w:val="32"/>
        </w:rPr>
        <w:t>相比，一般公共预算财政拨款</w:t>
      </w:r>
      <w:r>
        <w:rPr>
          <w:rFonts w:hint="eastAsia" w:ascii="仿宋_GB2312" w:eastAsia="仿宋_GB2312" w:cs="仿宋_GB2312"/>
          <w:sz w:val="32"/>
          <w:szCs w:val="32"/>
          <w:lang w:val="en-US" w:eastAsia="zh-CN"/>
        </w:rPr>
        <w:t>支出减少234.59</w:t>
      </w:r>
      <w:r>
        <w:rPr>
          <w:rFonts w:hint="eastAsia" w:ascii="仿宋_GB2312" w:eastAsia="仿宋_GB2312" w:cs="仿宋_GB2312"/>
          <w:sz w:val="32"/>
          <w:szCs w:val="32"/>
        </w:rPr>
        <w:t>万元，</w:t>
      </w:r>
      <w:r>
        <w:rPr>
          <w:rFonts w:hint="eastAsia" w:ascii="仿宋_GB2312" w:eastAsia="仿宋_GB2312" w:cs="仿宋_GB2312"/>
          <w:sz w:val="32"/>
          <w:szCs w:val="32"/>
          <w:lang w:val="en-US" w:eastAsia="zh-CN"/>
        </w:rPr>
        <w:t>下降43.7</w:t>
      </w:r>
      <w:r>
        <w:rPr>
          <w:rFonts w:hint="eastAsia" w:ascii="仿宋_GB2312" w:eastAsia="仿宋_GB2312" w:cs="仿宋_GB2312"/>
          <w:sz w:val="32"/>
          <w:szCs w:val="32"/>
        </w:rPr>
        <w:t>%。主要变动原因是</w:t>
      </w:r>
      <w:r>
        <w:rPr>
          <w:rFonts w:hint="eastAsia" w:ascii="仿宋_GB2312" w:eastAsia="仿宋_GB2312" w:cs="仿宋_GB2312"/>
          <w:sz w:val="32"/>
          <w:szCs w:val="32"/>
          <w:lang w:val="en-US" w:eastAsia="zh-CN"/>
        </w:rPr>
        <w:t>:2025年项目资金减少</w:t>
      </w:r>
      <w:r>
        <w:rPr>
          <w:rFonts w:hint="eastAsia" w:ascii="仿宋_GB2312" w:eastAsia="仿宋_GB2312" w:cs="仿宋_GB2312"/>
          <w:sz w:val="32"/>
          <w:szCs w:val="32"/>
        </w:rPr>
        <w:t>。</w:t>
      </w:r>
    </w:p>
    <w:p>
      <w:pPr>
        <w:ind w:firstLine="420" w:firstLineChars="200"/>
        <w:rPr>
          <w:rFonts w:ascii="仿宋" w:hAnsi="仿宋" w:eastAsia="仿宋"/>
          <w:color w:val="000000"/>
          <w:sz w:val="32"/>
          <w:szCs w:val="32"/>
        </w:rPr>
      </w:pPr>
      <w:r>
        <w:drawing>
          <wp:inline distT="0" distB="0" distL="114300" distR="114300">
            <wp:extent cx="4572000" cy="2743200"/>
            <wp:effectExtent l="4445" t="4445" r="14605" b="14605"/>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47" w:name="_Toc79163616"/>
      <w:bookmarkStart w:id="48" w:name="_Toc15377211"/>
      <w:bookmarkStart w:id="49" w:name="_Toc79163866"/>
      <w:r>
        <w:rPr>
          <w:rFonts w:hint="eastAsia" w:ascii="楷体_GB2312" w:hAnsi="楷体_GB2312" w:eastAsia="楷体_GB2312" w:cs="楷体_GB2312"/>
          <w:b/>
          <w:bCs/>
          <w:sz w:val="32"/>
          <w:szCs w:val="32"/>
        </w:rPr>
        <w:t>（二）一般公共预算财政拨款支出决算结构情况</w:t>
      </w:r>
      <w:bookmarkEnd w:id="47"/>
      <w:bookmarkEnd w:id="48"/>
      <w:bookmarkEnd w:id="4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5年度</w:t>
      </w:r>
      <w:r>
        <w:rPr>
          <w:rFonts w:hint="eastAsia" w:ascii="仿宋_GB2312" w:hAnsi="仿宋_GB2312" w:eastAsia="仿宋_GB2312" w:cs="仿宋_GB2312"/>
          <w:sz w:val="32"/>
          <w:szCs w:val="32"/>
        </w:rPr>
        <w:t>一般公共预算财政拨款支出</w:t>
      </w:r>
      <w:r>
        <w:rPr>
          <w:rFonts w:hint="eastAsia" w:ascii="仿宋_GB2312" w:hAnsi="仿宋_GB2312" w:eastAsia="仿宋_GB2312" w:cs="仿宋_GB2312"/>
          <w:sz w:val="32"/>
          <w:szCs w:val="32"/>
          <w:lang w:val="en-US" w:eastAsia="zh-CN"/>
        </w:rPr>
        <w:t>301.62</w:t>
      </w:r>
      <w:r>
        <w:rPr>
          <w:rFonts w:hint="eastAsia" w:ascii="仿宋_GB2312" w:hAnsi="仿宋_GB2312" w:eastAsia="仿宋_GB2312" w:cs="仿宋_GB2312"/>
          <w:sz w:val="32"/>
          <w:szCs w:val="32"/>
        </w:rPr>
        <w:t>万元，主要用于以下方面:</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sz w:val="32"/>
          <w:szCs w:val="32"/>
          <w:lang w:val="en-US" w:eastAsia="zh-CN"/>
        </w:rPr>
        <w:t>37.3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12.4</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卫生健康支出</w:t>
      </w:r>
      <w:r>
        <w:rPr>
          <w:rFonts w:hint="eastAsia" w:ascii="仿宋_GB2312" w:hAnsi="仿宋_GB2312" w:eastAsia="仿宋_GB2312" w:cs="仿宋_GB2312"/>
          <w:sz w:val="32"/>
          <w:szCs w:val="32"/>
          <w:lang w:val="en-US" w:eastAsia="zh-CN"/>
        </w:rPr>
        <w:t>14.67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4.8</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农林水</w:t>
      </w:r>
      <w:r>
        <w:rPr>
          <w:rFonts w:hint="eastAsia" w:ascii="仿宋_GB2312" w:hAnsi="仿宋_GB2312" w:eastAsia="仿宋_GB2312" w:cs="仿宋_GB2312"/>
          <w:b/>
          <w:bCs/>
          <w:sz w:val="32"/>
          <w:szCs w:val="32"/>
          <w:lang w:eastAsia="zh-CN"/>
        </w:rPr>
        <w:t>支出</w:t>
      </w:r>
      <w:r>
        <w:rPr>
          <w:rFonts w:hint="eastAsia" w:ascii="仿宋_GB2312" w:hAnsi="仿宋_GB2312" w:eastAsia="仿宋_GB2312" w:cs="仿宋_GB2312"/>
          <w:sz w:val="32"/>
          <w:szCs w:val="32"/>
          <w:lang w:val="en-US" w:eastAsia="zh-CN"/>
        </w:rPr>
        <w:t>21.97</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7.3</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商业服务业等支出</w:t>
      </w:r>
      <w:r>
        <w:rPr>
          <w:rFonts w:hint="eastAsia" w:ascii="仿宋_GB2312" w:hAnsi="仿宋_GB2312" w:eastAsia="仿宋_GB2312" w:cs="仿宋_GB2312"/>
          <w:sz w:val="32"/>
          <w:szCs w:val="32"/>
          <w:lang w:val="en-US" w:eastAsia="zh-CN"/>
        </w:rPr>
        <w:t>211.73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70.2</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sz w:val="32"/>
          <w:szCs w:val="32"/>
          <w:lang w:val="en-US" w:eastAsia="zh-CN"/>
        </w:rPr>
        <w:t>15.95</w:t>
      </w:r>
      <w:r>
        <w:rPr>
          <w:rFonts w:hint="eastAsia" w:ascii="仿宋_GB2312" w:eastAsia="仿宋_GB2312" w:cs="仿宋_GB2312"/>
          <w:sz w:val="32"/>
          <w:szCs w:val="32"/>
        </w:rPr>
        <w:t>万元，占</w:t>
      </w:r>
      <w:r>
        <w:rPr>
          <w:rFonts w:hint="eastAsia" w:ascii="仿宋_GB2312" w:eastAsia="仿宋_GB2312" w:cs="仿宋_GB2312"/>
          <w:sz w:val="32"/>
          <w:szCs w:val="32"/>
          <w:lang w:val="en-US" w:eastAsia="zh-CN"/>
        </w:rPr>
        <w:t>5.3</w:t>
      </w:r>
      <w:r>
        <w:rPr>
          <w:rFonts w:hint="eastAsia" w:ascii="仿宋_GB2312" w:eastAsia="仿宋_GB2312" w:cs="仿宋_GB2312"/>
          <w:sz w:val="32"/>
          <w:szCs w:val="32"/>
        </w:rPr>
        <w:t>%。</w:t>
      </w:r>
    </w:p>
    <w:p>
      <w:pPr>
        <w:ind w:firstLine="420" w:firstLineChars="200"/>
        <w:rPr>
          <w:rFonts w:ascii="仿宋" w:hAnsi="仿宋" w:eastAsia="仿宋"/>
          <w:color w:val="000000"/>
          <w:sz w:val="32"/>
          <w:szCs w:val="32"/>
        </w:rPr>
      </w:pPr>
      <w:r>
        <w:drawing>
          <wp:inline distT="0" distB="0" distL="114300" distR="114300">
            <wp:extent cx="4667250" cy="2800350"/>
            <wp:effectExtent l="4445" t="5080" r="14605" b="13970"/>
            <wp:docPr id="9"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50" w:name="_Toc79163867"/>
      <w:bookmarkStart w:id="51" w:name="_Toc15377212"/>
      <w:bookmarkStart w:id="52" w:name="_Toc79163617"/>
      <w:r>
        <w:rPr>
          <w:rFonts w:hint="eastAsia" w:ascii="楷体_GB2312" w:hAnsi="楷体_GB2312" w:eastAsia="楷体_GB2312" w:cs="楷体_GB2312"/>
          <w:b/>
          <w:bCs/>
          <w:sz w:val="32"/>
          <w:szCs w:val="32"/>
        </w:rPr>
        <w:t>（三）一般公共预算财政拨款支出决算具体情况</w:t>
      </w:r>
      <w:bookmarkEnd w:id="50"/>
      <w:bookmarkEnd w:id="51"/>
      <w:bookmarkEnd w:id="52"/>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b w:val="0"/>
          <w:bCs w:val="0"/>
          <w:sz w:val="32"/>
          <w:szCs w:val="32"/>
        </w:rPr>
      </w:pPr>
      <w:bookmarkStart w:id="53" w:name="_Toc15378460"/>
      <w:bookmarkStart w:id="54" w:name="_Toc15377213"/>
      <w:bookmarkStart w:id="55" w:name="_Toc15377444"/>
      <w:bookmarkStart w:id="56" w:name="_Toc15377214"/>
      <w:bookmarkStart w:id="57" w:name="_Toc15396608"/>
      <w:bookmarkStart w:id="58" w:name="_Toc79163868"/>
      <w:bookmarkStart w:id="59" w:name="_Toc79163618"/>
      <w:r>
        <w:rPr>
          <w:rFonts w:hint="eastAsia" w:ascii="仿宋_GB2312" w:hAnsi="仿宋_GB2312" w:eastAsia="仿宋_GB2312" w:cs="仿宋_GB2312"/>
          <w:b w:val="0"/>
          <w:bCs w:val="0"/>
          <w:sz w:val="32"/>
          <w:szCs w:val="32"/>
        </w:rPr>
        <w:t>202</w:t>
      </w:r>
      <w:r>
        <w:rPr>
          <w:rFonts w:hint="eastAsia" w:ascii="仿宋_GB2312" w:hAnsi="仿宋_GB2312" w:eastAsia="仿宋_GB2312" w:cs="仿宋_GB2312"/>
          <w:b w:val="0"/>
          <w:bCs w:val="0"/>
          <w:sz w:val="32"/>
          <w:szCs w:val="32"/>
          <w:lang w:val="en-US" w:eastAsia="zh-CN"/>
        </w:rPr>
        <w:t>5年度</w:t>
      </w:r>
      <w:r>
        <w:rPr>
          <w:rFonts w:hint="eastAsia" w:ascii="仿宋_GB2312" w:hAnsi="仿宋_GB2312" w:eastAsia="仿宋_GB2312" w:cs="仿宋_GB2312"/>
          <w:b w:val="0"/>
          <w:bCs w:val="0"/>
          <w:sz w:val="32"/>
          <w:szCs w:val="32"/>
        </w:rPr>
        <w:t>一般公共预算支出决算数</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301.62</w:t>
      </w:r>
      <w:r>
        <w:rPr>
          <w:rFonts w:hint="eastAsia" w:ascii="仿宋_GB2312" w:hAnsi="仿宋_GB2312" w:eastAsia="仿宋_GB2312" w:cs="仿宋_GB2312"/>
          <w:b w:val="0"/>
          <w:bCs w:val="0"/>
          <w:sz w:val="32"/>
          <w:szCs w:val="32"/>
        </w:rPr>
        <w:t>万元，完成预算100%。其中：</w:t>
      </w:r>
      <w:bookmarkEnd w:id="53"/>
      <w:bookmarkEnd w:id="54"/>
      <w:bookmarkEnd w:id="55"/>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rPr>
        <w:t>1.社会保障和就业支出（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）行政事业单位养老支出（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）机关事业单位基本养老保险支出（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24.87</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highlight w:val="none"/>
        </w:rPr>
        <w:t>2.社会保障和就业支出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）行政事业单位养老支出（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）机关事业单位职业年金缴费支出（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12.43</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rPr>
        <w:t>3.</w:t>
      </w:r>
      <w:r>
        <w:rPr>
          <w:rFonts w:hint="eastAsia" w:ascii="仿宋_GB2312" w:hAnsi="仿宋_GB2312" w:eastAsia="仿宋_GB2312" w:cs="仿宋_GB2312"/>
          <w:b/>
          <w:bCs/>
          <w:color w:val="000000"/>
          <w:sz w:val="32"/>
          <w:szCs w:val="32"/>
        </w:rPr>
        <w:t>卫生健康支出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）行政事业单位医疗（</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）行政单位医疗（</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14.67</w:t>
      </w:r>
      <w:r>
        <w:rPr>
          <w:rStyle w:val="29"/>
          <w:rFonts w:hint="eastAsia" w:ascii="仿宋_GB2312" w:hAnsi="仿宋_GB2312" w:eastAsia="仿宋_GB2312" w:cs="仿宋_GB2312"/>
          <w:b w:val="0"/>
          <w:bCs/>
          <w:color w:val="000000"/>
          <w:sz w:val="32"/>
          <w:szCs w:val="32"/>
        </w:rPr>
        <w:t>万元，完成预算100%</w:t>
      </w:r>
      <w:r>
        <w:rPr>
          <w:rStyle w:val="29"/>
          <w:rFonts w:hint="eastAsia" w:ascii="仿宋_GB2312" w:hAnsi="仿宋_GB2312" w:eastAsia="仿宋_GB2312" w:cs="仿宋_GB2312"/>
          <w:b w:val="0"/>
          <w:bCs/>
          <w:color w:val="000000"/>
          <w:sz w:val="32"/>
          <w:szCs w:val="32"/>
          <w:lang w:eastAsia="zh-CN"/>
        </w:rPr>
        <w:t>，</w:t>
      </w:r>
      <w:r>
        <w:rPr>
          <w:rStyle w:val="29"/>
          <w:rFonts w:hint="eastAsia" w:ascii="仿宋_GB2312" w:hAnsi="仿宋_GB2312" w:eastAsia="仿宋_GB2312" w:cs="仿宋_GB2312"/>
          <w:b w:val="0"/>
          <w:bCs/>
          <w:color w:val="000000"/>
          <w:sz w:val="32"/>
          <w:szCs w:val="32"/>
        </w:rPr>
        <w:t>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4</w:t>
      </w:r>
      <w:r>
        <w:rPr>
          <w:rStyle w:val="29"/>
          <w:rFonts w:hint="eastAsia" w:ascii="仿宋_GB2312" w:hAnsi="仿宋_GB2312" w:eastAsia="仿宋_GB2312" w:cs="仿宋_GB2312"/>
          <w:bCs/>
          <w:color w:val="000000"/>
          <w:sz w:val="32"/>
          <w:szCs w:val="32"/>
        </w:rPr>
        <w:t>.农林水支出（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）巩固脱贫衔接乡村振兴（</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）其他巩固脱贫攻坚衔接乡村振兴支出（</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 xml:space="preserve"> 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21.97</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Style w:val="29"/>
          <w:rFonts w:hint="eastAsia" w:ascii="仿宋_GB2312" w:hAnsi="仿宋_GB2312" w:eastAsia="仿宋_GB2312" w:cs="仿宋_GB2312"/>
          <w:b w:val="0"/>
          <w:bCs/>
          <w:color w:val="000000"/>
          <w:sz w:val="32"/>
          <w:szCs w:val="32"/>
        </w:rPr>
      </w:pPr>
      <w:r>
        <w:rPr>
          <w:rStyle w:val="29"/>
          <w:rFonts w:hint="eastAsia" w:ascii="仿宋_GB2312" w:hAnsi="仿宋_GB2312" w:eastAsia="仿宋_GB2312" w:cs="仿宋_GB2312"/>
          <w:bCs/>
          <w:color w:val="000000"/>
          <w:sz w:val="32"/>
          <w:szCs w:val="32"/>
          <w:lang w:val="en-US" w:eastAsia="zh-CN"/>
        </w:rPr>
        <w:t>5</w:t>
      </w:r>
      <w:r>
        <w:rPr>
          <w:rStyle w:val="29"/>
          <w:rFonts w:hint="eastAsia" w:ascii="仿宋_GB2312" w:hAnsi="仿宋_GB2312" w:eastAsia="仿宋_GB2312" w:cs="仿宋_GB2312"/>
          <w:bCs/>
          <w:color w:val="000000"/>
          <w:sz w:val="32"/>
          <w:szCs w:val="32"/>
        </w:rPr>
        <w:t>.商业服务业等支出（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）商业流通事务（</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）行政运行（</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b w:val="0"/>
          <w:bCs w:val="0"/>
          <w:sz w:val="32"/>
          <w:szCs w:val="32"/>
          <w:lang w:val="en-US" w:eastAsia="zh-CN"/>
        </w:rPr>
        <w:t>171.15</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eastAsia="仿宋_GB2312"/>
          <w:lang w:val="en-US" w:eastAsia="zh-CN"/>
        </w:rPr>
      </w:pPr>
      <w:r>
        <w:rPr>
          <w:rStyle w:val="29"/>
          <w:rFonts w:hint="eastAsia" w:ascii="仿宋_GB2312" w:hAnsi="仿宋_GB2312" w:eastAsia="仿宋_GB2312" w:cs="仿宋_GB2312"/>
          <w:bCs/>
          <w:color w:val="000000"/>
          <w:sz w:val="32"/>
          <w:szCs w:val="32"/>
          <w:lang w:val="en-US" w:eastAsia="zh-CN"/>
        </w:rPr>
        <w:t>6</w:t>
      </w:r>
      <w:r>
        <w:rPr>
          <w:rStyle w:val="29"/>
          <w:rFonts w:hint="eastAsia" w:ascii="仿宋_GB2312" w:hAnsi="仿宋_GB2312" w:eastAsia="仿宋_GB2312" w:cs="仿宋_GB2312"/>
          <w:bCs/>
          <w:color w:val="000000"/>
          <w:sz w:val="32"/>
          <w:szCs w:val="32"/>
        </w:rPr>
        <w:t>.商业服务业等支出（</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）商业流通事务（</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eastAsia="zh-CN"/>
        </w:rPr>
        <w:t>其他商业流通事务支出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40.58</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b/>
          <w:color w:val="000000"/>
          <w:sz w:val="32"/>
          <w:szCs w:val="32"/>
        </w:rPr>
      </w:pPr>
      <w:r>
        <w:rPr>
          <w:rStyle w:val="29"/>
          <w:rFonts w:hint="eastAsia" w:ascii="仿宋_GB2312" w:hAnsi="仿宋_GB2312" w:eastAsia="仿宋_GB2312" w:cs="仿宋_GB2312"/>
          <w:bCs/>
          <w:color w:val="000000"/>
          <w:sz w:val="32"/>
          <w:szCs w:val="32"/>
          <w:lang w:val="en-US" w:eastAsia="zh-CN"/>
        </w:rPr>
        <w:t>7</w:t>
      </w:r>
      <w:r>
        <w:rPr>
          <w:rStyle w:val="2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sz w:val="32"/>
          <w:szCs w:val="32"/>
        </w:rPr>
        <w:t>住房保障支出</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Cs/>
          <w:color w:val="000000"/>
          <w:sz w:val="32"/>
          <w:szCs w:val="32"/>
          <w:lang w:val="en-US" w:eastAsia="zh-CN"/>
        </w:rPr>
        <w:t>类</w:t>
      </w:r>
      <w:r>
        <w:rPr>
          <w:rStyle w:val="29"/>
          <w:rFonts w:hint="eastAsia" w:ascii="仿宋_GB2312" w:hAnsi="仿宋_GB2312" w:eastAsia="仿宋_GB2312" w:cs="仿宋_GB2312"/>
          <w:bCs/>
          <w:color w:val="000000"/>
          <w:sz w:val="32"/>
          <w:szCs w:val="32"/>
        </w:rPr>
        <w:t>）住房改革支出（</w:t>
      </w:r>
      <w:r>
        <w:rPr>
          <w:rStyle w:val="29"/>
          <w:rFonts w:hint="eastAsia" w:ascii="仿宋_GB2312" w:hAnsi="仿宋_GB2312" w:eastAsia="仿宋_GB2312" w:cs="仿宋_GB2312"/>
          <w:bCs/>
          <w:color w:val="000000"/>
          <w:sz w:val="32"/>
          <w:szCs w:val="32"/>
          <w:lang w:val="en-US" w:eastAsia="zh-CN"/>
        </w:rPr>
        <w:t>款</w:t>
      </w:r>
      <w:r>
        <w:rPr>
          <w:rStyle w:val="29"/>
          <w:rFonts w:hint="eastAsia" w:ascii="仿宋_GB2312" w:hAnsi="仿宋_GB2312" w:eastAsia="仿宋_GB2312" w:cs="仿宋_GB2312"/>
          <w:bCs/>
          <w:color w:val="000000"/>
          <w:sz w:val="32"/>
          <w:szCs w:val="32"/>
        </w:rPr>
        <w:t>）住房公积金（</w:t>
      </w:r>
      <w:r>
        <w:rPr>
          <w:rStyle w:val="29"/>
          <w:rFonts w:hint="eastAsia" w:ascii="仿宋_GB2312" w:hAnsi="仿宋_GB2312" w:eastAsia="仿宋_GB2312" w:cs="仿宋_GB2312"/>
          <w:bCs/>
          <w:color w:val="000000"/>
          <w:sz w:val="32"/>
          <w:szCs w:val="32"/>
          <w:lang w:val="en-US" w:eastAsia="zh-CN"/>
        </w:rPr>
        <w:t>项</w:t>
      </w:r>
      <w:r>
        <w:rPr>
          <w:rStyle w:val="29"/>
          <w:rFonts w:hint="eastAsia" w:ascii="仿宋_GB2312" w:hAnsi="仿宋_GB2312" w:eastAsia="仿宋_GB2312" w:cs="仿宋_GB2312"/>
          <w:bCs/>
          <w:color w:val="000000"/>
          <w:sz w:val="32"/>
          <w:szCs w:val="32"/>
        </w:rPr>
        <w:t>）</w:t>
      </w:r>
      <w:r>
        <w:rPr>
          <w:rStyle w:val="29"/>
          <w:rFonts w:hint="eastAsia" w:ascii="仿宋_GB2312" w:hAnsi="仿宋_GB2312" w:eastAsia="仿宋_GB2312" w:cs="仿宋_GB2312"/>
          <w:b w:val="0"/>
          <w:bCs/>
          <w:color w:val="000000"/>
          <w:sz w:val="32"/>
          <w:szCs w:val="32"/>
        </w:rPr>
        <w:t>支出</w:t>
      </w:r>
      <w:r>
        <w:rPr>
          <w:rFonts w:hint="eastAsia" w:ascii="仿宋_GB2312" w:hAnsi="仿宋_GB2312" w:eastAsia="仿宋_GB2312" w:cs="仿宋_GB2312"/>
          <w:b w:val="0"/>
          <w:bCs w:val="0"/>
          <w:sz w:val="32"/>
          <w:szCs w:val="32"/>
        </w:rPr>
        <w:t>决算数</w:t>
      </w:r>
      <w:r>
        <w:rPr>
          <w:rFonts w:hint="eastAsia" w:ascii="仿宋_GB2312" w:hAnsi="仿宋_GB2312" w:eastAsia="仿宋_GB2312" w:cs="仿宋_GB2312"/>
          <w:b w:val="0"/>
          <w:bCs w:val="0"/>
          <w:sz w:val="32"/>
          <w:szCs w:val="32"/>
          <w:lang w:eastAsia="zh-CN"/>
        </w:rPr>
        <w:t>为</w:t>
      </w:r>
      <w:r>
        <w:rPr>
          <w:rStyle w:val="29"/>
          <w:rFonts w:hint="eastAsia" w:ascii="仿宋_GB2312" w:hAnsi="仿宋_GB2312" w:eastAsia="仿宋_GB2312" w:cs="仿宋_GB2312"/>
          <w:b w:val="0"/>
          <w:bCs/>
          <w:color w:val="000000"/>
          <w:sz w:val="32"/>
          <w:szCs w:val="32"/>
          <w:lang w:val="en-US" w:eastAsia="zh-CN"/>
        </w:rPr>
        <w:t>15.95</w:t>
      </w:r>
      <w:r>
        <w:rPr>
          <w:rStyle w:val="29"/>
          <w:rFonts w:hint="eastAsia" w:ascii="仿宋_GB2312" w:hAnsi="仿宋_GB2312" w:eastAsia="仿宋_GB2312" w:cs="仿宋_GB2312"/>
          <w:b w:val="0"/>
          <w:bCs/>
          <w:color w:val="000000"/>
          <w:sz w:val="32"/>
          <w:szCs w:val="32"/>
        </w:rPr>
        <w:t>万元，完成预算100%，决算数</w:t>
      </w:r>
      <w:r>
        <w:rPr>
          <w:rStyle w:val="29"/>
          <w:rFonts w:hint="eastAsia" w:ascii="仿宋_GB2312" w:hAnsi="仿宋_GB2312" w:eastAsia="仿宋_GB2312" w:cs="仿宋_GB2312"/>
          <w:b w:val="0"/>
          <w:bCs/>
          <w:color w:val="000000"/>
          <w:sz w:val="32"/>
          <w:szCs w:val="32"/>
          <w:lang w:val="en-US" w:eastAsia="zh-CN"/>
        </w:rPr>
        <w:t>等于</w:t>
      </w:r>
      <w:r>
        <w:rPr>
          <w:rStyle w:val="29"/>
          <w:rFonts w:hint="eastAsia" w:ascii="仿宋_GB2312" w:hAnsi="仿宋_GB2312" w:eastAsia="仿宋_GB2312" w:cs="仿宋_GB2312"/>
          <w:b w:val="0"/>
          <w:bCs/>
          <w:color w:val="000000"/>
          <w:sz w:val="32"/>
          <w:szCs w:val="32"/>
        </w:rPr>
        <w:t>预算数。</w:t>
      </w:r>
    </w:p>
    <w:p>
      <w:pPr>
        <w:keepNext w:val="0"/>
        <w:keepLines w:val="0"/>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Style w:val="33"/>
        </w:rPr>
      </w:pPr>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3"/>
          <w:rFonts w:hint="eastAsia" w:ascii="黑体" w:hAnsi="黑体" w:eastAsia="黑体"/>
          <w:b w:val="0"/>
        </w:rPr>
        <w:t>般公共预算财政拨款基本支出决算情况说明</w:t>
      </w:r>
      <w:bookmarkEnd w:id="56"/>
      <w:bookmarkEnd w:id="57"/>
      <w:bookmarkEnd w:id="58"/>
      <w:bookmarkEnd w:id="59"/>
      <w:r>
        <w:rPr>
          <w:rStyle w:val="33"/>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76" w:lineRule="exact"/>
        <w:ind w:firstLine="645"/>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w:t>
      </w:r>
      <w:r>
        <w:rPr>
          <w:rFonts w:hint="eastAsia" w:ascii="仿宋_GB2312" w:hAnsi="仿宋_GB2312" w:eastAsia="仿宋_GB2312" w:cs="仿宋_GB2312"/>
          <w:color w:val="000000"/>
          <w:sz w:val="32"/>
          <w:szCs w:val="32"/>
          <w:lang w:val="en-US" w:eastAsia="zh-CN"/>
        </w:rPr>
        <w:t>5年度</w:t>
      </w:r>
      <w:r>
        <w:rPr>
          <w:rFonts w:hint="eastAsia" w:ascii="仿宋_GB2312" w:hAnsi="仿宋_GB2312" w:eastAsia="仿宋_GB2312" w:cs="仿宋_GB2312"/>
          <w:color w:val="000000"/>
          <w:sz w:val="32"/>
          <w:szCs w:val="32"/>
        </w:rPr>
        <w:t>一般公共预算财政拨款基本支出</w:t>
      </w:r>
      <w:r>
        <w:rPr>
          <w:rFonts w:hint="eastAsia" w:ascii="仿宋_GB2312" w:hAnsi="仿宋_GB2312" w:eastAsia="仿宋_GB2312" w:cs="仿宋_GB2312"/>
          <w:color w:val="000000"/>
          <w:sz w:val="32"/>
          <w:szCs w:val="32"/>
          <w:lang w:val="en-US" w:eastAsia="zh-CN"/>
        </w:rPr>
        <w:t>239.07</w:t>
      </w:r>
      <w:r>
        <w:rPr>
          <w:rFonts w:hint="eastAsia" w:ascii="仿宋_GB2312" w:hAnsi="仿宋_GB2312" w:eastAsia="仿宋_GB2312" w:cs="仿宋_GB2312"/>
          <w:color w:val="000000"/>
          <w:sz w:val="32"/>
          <w:szCs w:val="32"/>
        </w:rPr>
        <w:t>万元，其中：</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人员经费</w:t>
      </w:r>
      <w:r>
        <w:rPr>
          <w:rFonts w:hint="eastAsia" w:ascii="仿宋_GB2312" w:hAnsi="仿宋_GB2312" w:eastAsia="仿宋_GB2312" w:cs="仿宋_GB2312"/>
          <w:sz w:val="32"/>
          <w:szCs w:val="32"/>
          <w:lang w:val="en-US" w:eastAsia="zh-CN"/>
        </w:rPr>
        <w:t>229.84</w:t>
      </w:r>
      <w:r>
        <w:rPr>
          <w:rFonts w:hint="eastAsia" w:ascii="仿宋_GB2312" w:hAnsi="仿宋_GB2312" w:eastAsia="仿宋_GB2312" w:cs="仿宋_GB2312"/>
          <w:sz w:val="32"/>
          <w:szCs w:val="32"/>
        </w:rPr>
        <w:t>万元，主要包括：基本工资</w:t>
      </w:r>
      <w:r>
        <w:rPr>
          <w:rFonts w:hint="eastAsia" w:ascii="仿宋_GB2312" w:hAnsi="仿宋_GB2312" w:eastAsia="仿宋_GB2312" w:cs="仿宋_GB2312"/>
          <w:sz w:val="32"/>
          <w:szCs w:val="32"/>
          <w:lang w:val="en-US" w:eastAsia="zh-CN"/>
        </w:rPr>
        <w:t>51.97</w:t>
      </w:r>
      <w:r>
        <w:rPr>
          <w:rFonts w:hint="eastAsia" w:ascii="仿宋_GB2312" w:hAnsi="仿宋_GB2312" w:eastAsia="仿宋_GB2312" w:cs="仿宋_GB2312"/>
          <w:sz w:val="32"/>
          <w:szCs w:val="32"/>
        </w:rPr>
        <w:t>万元、津贴补贴</w:t>
      </w:r>
      <w:r>
        <w:rPr>
          <w:rFonts w:hint="eastAsia" w:ascii="仿宋_GB2312" w:hAnsi="仿宋_GB2312" w:eastAsia="仿宋_GB2312" w:cs="仿宋_GB2312"/>
          <w:sz w:val="32"/>
          <w:szCs w:val="32"/>
          <w:lang w:val="en-US" w:eastAsia="zh-CN"/>
        </w:rPr>
        <w:t>39.11</w:t>
      </w:r>
      <w:r>
        <w:rPr>
          <w:rFonts w:hint="eastAsia" w:ascii="仿宋_GB2312" w:hAnsi="仿宋_GB2312" w:eastAsia="仿宋_GB2312" w:cs="仿宋_GB2312"/>
          <w:sz w:val="32"/>
          <w:szCs w:val="32"/>
        </w:rPr>
        <w:t>万元、奖金</w:t>
      </w:r>
      <w:r>
        <w:rPr>
          <w:rFonts w:hint="eastAsia" w:ascii="仿宋_GB2312" w:hAnsi="仿宋_GB2312" w:eastAsia="仿宋_GB2312" w:cs="仿宋_GB2312"/>
          <w:sz w:val="32"/>
          <w:szCs w:val="32"/>
          <w:lang w:val="en-US" w:eastAsia="zh-CN"/>
        </w:rPr>
        <w:t>51.6</w:t>
      </w:r>
      <w:r>
        <w:rPr>
          <w:rFonts w:hint="eastAsia" w:ascii="仿宋_GB2312" w:hAnsi="仿宋_GB2312" w:eastAsia="仿宋_GB2312" w:cs="仿宋_GB2312"/>
          <w:sz w:val="32"/>
          <w:szCs w:val="32"/>
        </w:rPr>
        <w:t>万元、机关事业单位基本养老保险缴费</w:t>
      </w:r>
      <w:r>
        <w:rPr>
          <w:rFonts w:hint="eastAsia" w:ascii="仿宋_GB2312" w:hAnsi="仿宋_GB2312" w:eastAsia="仿宋_GB2312" w:cs="仿宋_GB2312"/>
          <w:sz w:val="32"/>
          <w:szCs w:val="32"/>
          <w:lang w:val="en-US" w:eastAsia="zh-CN"/>
        </w:rPr>
        <w:t>24.87</w:t>
      </w:r>
      <w:r>
        <w:rPr>
          <w:rFonts w:hint="eastAsia" w:ascii="仿宋_GB2312" w:hAnsi="仿宋_GB2312" w:eastAsia="仿宋_GB2312" w:cs="仿宋_GB2312"/>
          <w:sz w:val="32"/>
          <w:szCs w:val="32"/>
        </w:rPr>
        <w:t>万元、职业年金缴费</w:t>
      </w:r>
      <w:r>
        <w:rPr>
          <w:rFonts w:hint="eastAsia" w:ascii="仿宋_GB2312" w:hAnsi="仿宋_GB2312" w:eastAsia="仿宋_GB2312" w:cs="仿宋_GB2312"/>
          <w:sz w:val="32"/>
          <w:szCs w:val="32"/>
          <w:lang w:val="en-US" w:eastAsia="zh-CN"/>
        </w:rPr>
        <w:t>12.43</w:t>
      </w:r>
      <w:r>
        <w:rPr>
          <w:rFonts w:hint="eastAsia" w:ascii="仿宋_GB2312" w:hAnsi="仿宋_GB2312" w:eastAsia="仿宋_GB2312" w:cs="仿宋_GB2312"/>
          <w:sz w:val="32"/>
          <w:szCs w:val="32"/>
        </w:rPr>
        <w:t>万元、职工基本医疗保险缴费</w:t>
      </w:r>
      <w:r>
        <w:rPr>
          <w:rFonts w:hint="eastAsia" w:ascii="仿宋_GB2312" w:hAnsi="仿宋_GB2312" w:eastAsia="仿宋_GB2312" w:cs="仿宋_GB2312"/>
          <w:sz w:val="32"/>
          <w:szCs w:val="32"/>
          <w:lang w:val="en-US" w:eastAsia="zh-CN"/>
        </w:rPr>
        <w:t>14.67</w:t>
      </w:r>
      <w:r>
        <w:rPr>
          <w:rFonts w:hint="eastAsia" w:ascii="仿宋_GB2312" w:hAnsi="仿宋_GB2312" w:eastAsia="仿宋_GB2312" w:cs="仿宋_GB2312"/>
          <w:sz w:val="32"/>
          <w:szCs w:val="32"/>
        </w:rPr>
        <w:t>万元、其他社会保障缴</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val="en-US" w:eastAsia="zh-CN"/>
        </w:rPr>
        <w:t>医疗费3.27万元、</w:t>
      </w:r>
      <w:r>
        <w:rPr>
          <w:rFonts w:hint="eastAsia" w:ascii="仿宋_GB2312" w:hAnsi="仿宋_GB2312" w:eastAsia="仿宋_GB2312" w:cs="仿宋_GB2312"/>
          <w:sz w:val="32"/>
          <w:szCs w:val="32"/>
        </w:rPr>
        <w:t>住房公积金</w:t>
      </w:r>
      <w:r>
        <w:rPr>
          <w:rFonts w:hint="eastAsia" w:ascii="仿宋_GB2312" w:hAnsi="仿宋_GB2312" w:eastAsia="仿宋_GB2312" w:cs="仿宋_GB2312"/>
          <w:sz w:val="32"/>
          <w:szCs w:val="32"/>
          <w:lang w:val="en-US" w:eastAsia="zh-CN"/>
        </w:rPr>
        <w:t>15.95</w:t>
      </w:r>
      <w:r>
        <w:rPr>
          <w:rFonts w:hint="eastAsia" w:ascii="仿宋_GB2312" w:hAnsi="仿宋_GB2312" w:eastAsia="仿宋_GB2312" w:cs="仿宋_GB2312"/>
          <w:sz w:val="32"/>
          <w:szCs w:val="32"/>
        </w:rPr>
        <w:t>万元、生活补助</w:t>
      </w:r>
      <w:r>
        <w:rPr>
          <w:rFonts w:hint="eastAsia" w:ascii="仿宋_GB2312" w:hAnsi="仿宋_GB2312" w:eastAsia="仿宋_GB2312" w:cs="仿宋_GB2312"/>
          <w:sz w:val="32"/>
          <w:szCs w:val="32"/>
          <w:lang w:val="en-US" w:eastAsia="zh-CN"/>
        </w:rPr>
        <w:t>15.56</w:t>
      </w:r>
      <w:r>
        <w:rPr>
          <w:rFonts w:hint="eastAsia" w:ascii="仿宋_GB2312" w:hAnsi="仿宋_GB2312" w:eastAsia="仿宋_GB2312" w:cs="仿宋_GB2312"/>
          <w:sz w:val="32"/>
          <w:szCs w:val="32"/>
        </w:rPr>
        <w:t>万元、奖励金0.01万元。</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公用经费</w:t>
      </w:r>
      <w:r>
        <w:rPr>
          <w:rFonts w:hint="eastAsia" w:ascii="仿宋_GB2312" w:hAnsi="仿宋_GB2312" w:eastAsia="仿宋_GB2312" w:cs="仿宋_GB2312"/>
          <w:sz w:val="32"/>
          <w:szCs w:val="32"/>
          <w:lang w:val="en-US" w:eastAsia="zh-CN"/>
        </w:rPr>
        <w:t>9.23</w:t>
      </w:r>
      <w:r>
        <w:rPr>
          <w:rFonts w:hint="eastAsia" w:ascii="仿宋_GB2312" w:hAnsi="仿宋_GB2312" w:eastAsia="仿宋_GB2312" w:cs="仿宋_GB2312"/>
          <w:sz w:val="32"/>
          <w:szCs w:val="32"/>
        </w:rPr>
        <w:t>万元，主要包括：办公费</w:t>
      </w:r>
      <w:r>
        <w:rPr>
          <w:rFonts w:hint="eastAsia" w:ascii="仿宋_GB2312" w:hAnsi="仿宋_GB2312" w:eastAsia="仿宋_GB2312" w:cs="仿宋_GB2312"/>
          <w:sz w:val="32"/>
          <w:szCs w:val="32"/>
          <w:lang w:val="en-US" w:eastAsia="zh-CN"/>
        </w:rPr>
        <w:t>4.43万元</w:t>
      </w:r>
      <w:r>
        <w:rPr>
          <w:rFonts w:hint="eastAsia" w:ascii="仿宋_GB2312" w:hAnsi="仿宋_GB2312" w:eastAsia="仿宋_GB2312" w:cs="仿宋_GB2312"/>
          <w:sz w:val="32"/>
          <w:szCs w:val="32"/>
        </w:rPr>
        <w:t>、差旅费</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万元、公务接待费</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万元、劳务费</w:t>
      </w:r>
      <w:r>
        <w:rPr>
          <w:rFonts w:hint="eastAsia" w:ascii="仿宋_GB2312" w:hAnsi="仿宋_GB2312" w:eastAsia="仿宋_GB2312" w:cs="仿宋_GB2312"/>
          <w:sz w:val="32"/>
          <w:szCs w:val="32"/>
          <w:lang w:val="en-US" w:eastAsia="zh-CN"/>
        </w:rPr>
        <w:t>0.6</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其他商品和服务支出1.18万元</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3"/>
          <w:rFonts w:ascii="黑体" w:hAnsi="黑体" w:eastAsia="黑体"/>
          <w:b w:val="0"/>
        </w:rPr>
      </w:pPr>
      <w:bookmarkStart w:id="60" w:name="_Toc15396609"/>
      <w:bookmarkStart w:id="61" w:name="_Toc79163619"/>
      <w:bookmarkStart w:id="62" w:name="_Toc79163869"/>
      <w:bookmarkStart w:id="63" w:name="_Toc15377215"/>
      <w:r>
        <w:rPr>
          <w:rStyle w:val="33"/>
          <w:rFonts w:hint="eastAsia" w:ascii="黑体" w:hAnsi="黑体" w:eastAsia="黑体"/>
          <w:b w:val="0"/>
          <w:bCs w:val="0"/>
          <w:lang w:eastAsia="zh-CN"/>
        </w:rPr>
        <w:t>七、</w:t>
      </w:r>
      <w:r>
        <w:rPr>
          <w:rStyle w:val="33"/>
          <w:rFonts w:hint="eastAsia" w:ascii="黑体" w:hAnsi="黑体" w:eastAsia="黑体"/>
        </w:rPr>
        <w:t>“</w:t>
      </w:r>
      <w:r>
        <w:rPr>
          <w:rStyle w:val="33"/>
          <w:rFonts w:hint="eastAsia" w:ascii="黑体" w:hAnsi="黑体" w:eastAsia="黑体"/>
          <w:b w:val="0"/>
        </w:rPr>
        <w:t>三公”经费财政拨款支出决算情况说明</w:t>
      </w:r>
      <w:bookmarkEnd w:id="60"/>
      <w:bookmarkEnd w:id="61"/>
      <w:bookmarkEnd w:id="62"/>
      <w:bookmarkEnd w:id="63"/>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4" w:name="_Toc79163620"/>
      <w:bookmarkStart w:id="65" w:name="_Toc79163870"/>
      <w:bookmarkStart w:id="66" w:name="_Toc15377216"/>
      <w:r>
        <w:rPr>
          <w:rFonts w:hint="eastAsia" w:ascii="楷体_GB2312" w:hAnsi="楷体_GB2312" w:eastAsia="楷体_GB2312" w:cs="楷体_GB2312"/>
          <w:b/>
          <w:bCs/>
          <w:sz w:val="32"/>
          <w:szCs w:val="32"/>
        </w:rPr>
        <w:t>（一）财政拨款“三公”经费支出决算总体情况说明</w:t>
      </w:r>
      <w:bookmarkEnd w:id="64"/>
      <w:bookmarkEnd w:id="65"/>
      <w:bookmarkEnd w:id="6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lang w:val="en-US" w:eastAsia="zh-CN"/>
        </w:rPr>
        <w:t>财政拨款</w:t>
      </w:r>
      <w:r>
        <w:rPr>
          <w:rFonts w:hint="eastAsia" w:ascii="仿宋_GB2312" w:hAnsi="仿宋_GB2312" w:eastAsia="仿宋_GB2312" w:cs="仿宋_GB2312"/>
          <w:sz w:val="32"/>
          <w:szCs w:val="32"/>
        </w:rPr>
        <w:t>“三公”经费支出决算为</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与上年度相比</w:t>
      </w:r>
      <w:r>
        <w:rPr>
          <w:rFonts w:hint="eastAsia" w:ascii="仿宋_GB2312" w:hAnsi="仿宋_GB2312" w:eastAsia="仿宋_GB2312" w:cs="仿宋_GB2312"/>
          <w:sz w:val="32"/>
          <w:szCs w:val="32"/>
          <w:lang w:val="en-US" w:eastAsia="zh-CN"/>
        </w:rPr>
        <w:t>增加0.01万元，增长9.1%，主要原因是:公务接待费增加，</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预算数持平。</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67" w:name="_Toc15377217"/>
      <w:bookmarkStart w:id="68" w:name="_Toc79163871"/>
      <w:bookmarkStart w:id="69" w:name="_Toc79163621"/>
      <w:r>
        <w:rPr>
          <w:rFonts w:hint="eastAsia" w:ascii="楷体_GB2312" w:hAnsi="楷体_GB2312" w:eastAsia="楷体_GB2312" w:cs="楷体_GB2312"/>
          <w:b/>
          <w:bCs/>
          <w:sz w:val="32"/>
          <w:szCs w:val="32"/>
        </w:rPr>
        <w:t>（二）财政拨款“三公”经费支出决算具体情况说明</w:t>
      </w:r>
      <w:bookmarkEnd w:id="67"/>
      <w:bookmarkEnd w:id="68"/>
      <w:bookmarkEnd w:id="69"/>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lang w:val="en-US" w:eastAsia="zh-CN"/>
        </w:rPr>
      </w:pPr>
      <w:bookmarkStart w:id="70" w:name="_Toc79163622"/>
      <w:bookmarkStart w:id="71" w:name="_Toc79163872"/>
      <w:bookmarkStart w:id="72" w:name="_Toc15396610"/>
      <w:bookmarkStart w:id="73" w:name="_Toc15377218"/>
      <w:r>
        <w:rPr>
          <w:rFonts w:hint="eastAsia" w:ascii="仿宋_GB2312" w:hAnsi="仿宋_GB2312" w:eastAsia="仿宋_GB2312" w:cs="仿宋_GB2312"/>
          <w:sz w:val="32"/>
          <w:szCs w:val="32"/>
          <w:lang w:eastAsia="zh-CN"/>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度</w:t>
      </w:r>
      <w:r>
        <w:rPr>
          <w:rFonts w:hint="eastAsia" w:ascii="仿宋_GB2312" w:hAnsi="仿宋_GB2312" w:eastAsia="仿宋_GB2312" w:cs="仿宋_GB2312"/>
          <w:sz w:val="32"/>
          <w:szCs w:val="32"/>
        </w:rPr>
        <w:t>财政拨款“三公”经费支出决算中，因公出国（境）费支出决算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%；公务用车购置及运行维护费支出决算</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%；公务接待费支出决算</w:t>
      </w:r>
      <w:r>
        <w:rPr>
          <w:rFonts w:hint="eastAsia" w:ascii="仿宋_GB2312" w:hAnsi="仿宋_GB2312" w:eastAsia="仿宋_GB2312" w:cs="仿宋_GB2312"/>
          <w:sz w:val="32"/>
          <w:szCs w:val="32"/>
          <w:lang w:val="en-US" w:eastAsia="zh-CN"/>
        </w:rPr>
        <w:t>0.12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具体情况如下：</w:t>
      </w:r>
    </w:p>
    <w:p>
      <w:pPr>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4595495" cy="2838450"/>
            <wp:effectExtent l="4445" t="4445" r="10160" b="14605"/>
            <wp:docPr id="1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rPr>
        <w:t>1.因公出国（境）经费支出</w:t>
      </w:r>
      <w:r>
        <w:rPr>
          <w:rFonts w:hint="eastAsia" w:ascii="仿宋_GB2312" w:hAnsi="仿宋_GB2312" w:eastAsia="仿宋_GB2312" w:cs="仿宋_GB2312"/>
          <w:color w:val="000000"/>
          <w:sz w:val="32"/>
          <w:szCs w:val="32"/>
          <w:highlight w:val="none"/>
        </w:rPr>
        <w:t>0万元，全年安排因公出国（境）团组0次，出国（境）0人</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eastAsia="仿宋_GB2312"/>
          <w:color w:val="auto"/>
          <w:sz w:val="32"/>
          <w:szCs w:val="32"/>
          <w:highlight w:val="none"/>
          <w:lang w:eastAsia="zh-CN"/>
        </w:rPr>
      </w:pPr>
      <w:r>
        <w:rPr>
          <w:rFonts w:hint="eastAsia" w:ascii="仿宋_GB2312" w:hAnsi="仿宋_GB2312" w:eastAsia="仿宋_GB2312" w:cs="仿宋_GB2312"/>
          <w:b/>
          <w:bCs/>
          <w:color w:val="000000"/>
          <w:sz w:val="32"/>
          <w:szCs w:val="32"/>
          <w:highlight w:val="none"/>
        </w:rPr>
        <w:t>2.</w:t>
      </w:r>
      <w:r>
        <w:rPr>
          <w:rFonts w:hint="eastAsia" w:ascii="仿宋_GB2312" w:eastAsia="仿宋_GB2312"/>
          <w:b/>
          <w:color w:val="auto"/>
          <w:sz w:val="32"/>
          <w:szCs w:val="32"/>
          <w:highlight w:val="none"/>
        </w:rPr>
        <w:t>公务用车购置及运行维护费支出</w:t>
      </w:r>
      <w:r>
        <w:rPr>
          <w:rFonts w:hint="eastAsia" w:ascii="仿宋_GB2312" w:eastAsia="仿宋_GB2312"/>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bookmarkStart w:id="74" w:name="OLE_LINK1"/>
      <w:r>
        <w:rPr>
          <w:rStyle w:val="29"/>
          <w:rFonts w:hint="eastAsia" w:ascii="仿宋_GB2312" w:hAnsi="仿宋_GB2312" w:eastAsia="仿宋_GB2312" w:cs="仿宋_GB2312"/>
          <w:b w:val="0"/>
          <w:bCs/>
          <w:color w:val="000000"/>
          <w:sz w:val="32"/>
          <w:szCs w:val="32"/>
        </w:rPr>
        <w:t>完成预算</w:t>
      </w:r>
      <w:r>
        <w:rPr>
          <w:rStyle w:val="29"/>
          <w:rFonts w:hint="eastAsia" w:ascii="仿宋_GB2312" w:hAnsi="仿宋_GB2312" w:eastAsia="仿宋_GB2312" w:cs="仿宋_GB2312"/>
          <w:b w:val="0"/>
          <w:bCs/>
          <w:color w:val="000000"/>
          <w:sz w:val="32"/>
          <w:szCs w:val="32"/>
          <w:lang w:val="en-US" w:eastAsia="zh-CN"/>
        </w:rPr>
        <w:t>0</w:t>
      </w:r>
      <w:r>
        <w:rPr>
          <w:rStyle w:val="29"/>
          <w:rFonts w:hint="eastAsia" w:ascii="仿宋_GB2312" w:hAnsi="仿宋_GB2312" w:eastAsia="仿宋_GB2312" w:cs="仿宋_GB2312"/>
          <w:b w:val="0"/>
          <w:bCs/>
          <w:color w:val="000000"/>
          <w:sz w:val="32"/>
          <w:szCs w:val="32"/>
        </w:rPr>
        <w:t>%</w:t>
      </w:r>
      <w:bookmarkEnd w:id="74"/>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公务用车购置</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lang w:val="en-US" w:eastAsia="zh-CN"/>
        </w:rPr>
        <w:t>0万元，</w:t>
      </w:r>
      <w:r>
        <w:rPr>
          <w:rStyle w:val="29"/>
          <w:rFonts w:hint="eastAsia" w:ascii="仿宋_GB2312" w:hAnsi="仿宋_GB2312" w:eastAsia="仿宋_GB2312" w:cs="仿宋_GB2312"/>
          <w:b w:val="0"/>
          <w:bCs/>
          <w:color w:val="000000"/>
          <w:sz w:val="32"/>
          <w:szCs w:val="32"/>
        </w:rPr>
        <w:t>完成预算</w:t>
      </w:r>
      <w:r>
        <w:rPr>
          <w:rStyle w:val="29"/>
          <w:rFonts w:hint="eastAsia" w:ascii="仿宋_GB2312" w:hAnsi="仿宋_GB2312" w:eastAsia="仿宋_GB2312" w:cs="仿宋_GB2312"/>
          <w:b w:val="0"/>
          <w:bCs/>
          <w:color w:val="000000"/>
          <w:sz w:val="32"/>
          <w:szCs w:val="32"/>
          <w:lang w:val="en-US" w:eastAsia="zh-CN"/>
        </w:rPr>
        <w:t>0</w:t>
      </w:r>
      <w:r>
        <w:rPr>
          <w:rStyle w:val="29"/>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highlight w:val="none"/>
          <w:lang w:val="en-US" w:eastAsia="zh-CN"/>
        </w:rPr>
        <w:t>；</w:t>
      </w:r>
      <w:r>
        <w:rPr>
          <w:rFonts w:hint="eastAsia" w:ascii="仿宋_GB2312" w:hAnsi="仿宋_GB2312" w:eastAsia="仿宋_GB2312" w:cs="仿宋_GB2312"/>
          <w:b/>
          <w:bCs/>
          <w:color w:val="000000"/>
          <w:sz w:val="32"/>
          <w:szCs w:val="32"/>
          <w:highlight w:val="none"/>
          <w:lang w:val="en-US" w:eastAsia="zh-CN"/>
        </w:rPr>
        <w:t>公务用车</w:t>
      </w:r>
      <w:r>
        <w:rPr>
          <w:rFonts w:hint="eastAsia" w:ascii="仿宋_GB2312" w:hAnsi="仿宋_GB2312" w:eastAsia="仿宋_GB2312" w:cs="仿宋_GB2312"/>
          <w:b/>
          <w:bCs/>
          <w:color w:val="000000"/>
          <w:sz w:val="32"/>
          <w:szCs w:val="32"/>
          <w:highlight w:val="none"/>
        </w:rPr>
        <w:t>运行</w:t>
      </w:r>
      <w:r>
        <w:rPr>
          <w:rFonts w:hint="eastAsia" w:ascii="仿宋_GB2312" w:hAnsi="仿宋_GB2312" w:eastAsia="仿宋_GB2312" w:cs="仿宋_GB2312"/>
          <w:b/>
          <w:bCs/>
          <w:color w:val="000000"/>
          <w:sz w:val="32"/>
          <w:szCs w:val="32"/>
          <w:highlight w:val="none"/>
          <w:lang w:val="en-US" w:eastAsia="zh-CN"/>
        </w:rPr>
        <w:t>维护</w:t>
      </w:r>
      <w:r>
        <w:rPr>
          <w:rFonts w:hint="eastAsia" w:ascii="仿宋_GB2312" w:hAnsi="仿宋_GB2312" w:eastAsia="仿宋_GB2312" w:cs="仿宋_GB2312"/>
          <w:b/>
          <w:bCs/>
          <w:color w:val="000000"/>
          <w:sz w:val="32"/>
          <w:szCs w:val="32"/>
          <w:highlight w:val="none"/>
          <w:lang w:eastAsia="zh-CN"/>
        </w:rPr>
        <w:t>费支出</w:t>
      </w:r>
      <w:r>
        <w:rPr>
          <w:rFonts w:hint="eastAsia" w:ascii="仿宋_GB2312" w:hAnsi="仿宋_GB2312" w:eastAsia="仿宋_GB2312" w:cs="仿宋_GB2312"/>
          <w:color w:val="000000"/>
          <w:sz w:val="32"/>
          <w:szCs w:val="32"/>
          <w:highlight w:val="none"/>
        </w:rPr>
        <w:t>0万元</w:t>
      </w:r>
      <w:r>
        <w:rPr>
          <w:rFonts w:hint="eastAsia" w:ascii="仿宋_GB2312" w:hAnsi="仿宋_GB2312" w:eastAsia="仿宋_GB2312" w:cs="仿宋_GB2312"/>
          <w:color w:val="000000"/>
          <w:sz w:val="32"/>
          <w:szCs w:val="32"/>
          <w:highlight w:val="none"/>
          <w:lang w:eastAsia="zh-CN"/>
        </w:rPr>
        <w:t>，</w:t>
      </w:r>
      <w:r>
        <w:rPr>
          <w:rStyle w:val="29"/>
          <w:rFonts w:hint="eastAsia" w:ascii="仿宋_GB2312" w:hAnsi="仿宋_GB2312" w:eastAsia="仿宋_GB2312" w:cs="仿宋_GB2312"/>
          <w:b w:val="0"/>
          <w:bCs/>
          <w:color w:val="000000"/>
          <w:sz w:val="32"/>
          <w:szCs w:val="32"/>
        </w:rPr>
        <w:t>完成预算</w:t>
      </w:r>
      <w:r>
        <w:rPr>
          <w:rStyle w:val="29"/>
          <w:rFonts w:hint="eastAsia" w:ascii="仿宋_GB2312" w:hAnsi="仿宋_GB2312" w:eastAsia="仿宋_GB2312" w:cs="仿宋_GB2312"/>
          <w:b w:val="0"/>
          <w:bCs/>
          <w:color w:val="000000"/>
          <w:sz w:val="32"/>
          <w:szCs w:val="32"/>
          <w:lang w:val="en-US" w:eastAsia="zh-CN"/>
        </w:rPr>
        <w:t>0</w:t>
      </w:r>
      <w:r>
        <w:rPr>
          <w:rStyle w:val="29"/>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6"/>
        <w:textAlignment w:val="auto"/>
        <w:rPr>
          <w:rFonts w:hint="default" w:ascii="仿宋_GB2312" w:hAnsi="仿宋_GB2312" w:eastAsia="仿宋_GB2312" w:cs="仿宋_GB2312"/>
          <w:color w:val="000000"/>
          <w:sz w:val="32"/>
          <w:szCs w:val="32"/>
          <w:highlight w:val="none"/>
          <w:lang w:val="en-US"/>
        </w:rPr>
      </w:pPr>
      <w:r>
        <w:rPr>
          <w:rFonts w:hint="eastAsia" w:ascii="仿宋_GB2312" w:hAnsi="仿宋_GB2312" w:eastAsia="仿宋_GB2312" w:cs="仿宋_GB2312"/>
          <w:b/>
          <w:bCs/>
          <w:color w:val="000000"/>
          <w:sz w:val="32"/>
          <w:szCs w:val="32"/>
          <w:highlight w:val="none"/>
        </w:rPr>
        <w:t>3.公务接待费支出</w:t>
      </w:r>
      <w:r>
        <w:rPr>
          <w:rFonts w:hint="eastAsia" w:ascii="仿宋_GB2312" w:hAnsi="仿宋_GB2312" w:eastAsia="仿宋_GB2312" w:cs="仿宋_GB2312"/>
          <w:color w:val="000000"/>
          <w:sz w:val="32"/>
          <w:szCs w:val="32"/>
          <w:highlight w:val="none"/>
        </w:rPr>
        <w:t>0.1</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万元，完成预算100%。公务接待费支出决算</w:t>
      </w:r>
      <w:r>
        <w:rPr>
          <w:rFonts w:hint="eastAsia" w:ascii="仿宋_GB2312" w:hAnsi="仿宋_GB2312" w:eastAsia="仿宋_GB2312" w:cs="仿宋_GB2312"/>
          <w:color w:val="000000"/>
          <w:sz w:val="32"/>
          <w:szCs w:val="32"/>
          <w:highlight w:val="none"/>
          <w:lang w:val="en-US" w:eastAsia="zh-CN"/>
        </w:rPr>
        <w:t>数与上年度相比增加0.01</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val="en-US" w:eastAsia="zh-CN"/>
        </w:rPr>
        <w:t>增长9.1</w:t>
      </w:r>
      <w:r>
        <w:rPr>
          <w:rFonts w:hint="eastAsia" w:ascii="仿宋_GB2312" w:hAnsi="仿宋_GB2312" w:eastAsia="仿宋_GB2312" w:cs="仿宋_GB2312"/>
          <w:color w:val="000000"/>
          <w:sz w:val="32"/>
          <w:szCs w:val="32"/>
          <w:highlight w:val="none"/>
        </w:rPr>
        <w:t>%，主要原因</w:t>
      </w:r>
      <w:r>
        <w:rPr>
          <w:rFonts w:hint="eastAsia" w:ascii="仿宋_GB2312" w:hAnsi="仿宋_GB2312" w:eastAsia="仿宋_GB2312" w:cs="仿宋_GB2312"/>
          <w:color w:val="000000"/>
          <w:sz w:val="32"/>
          <w:szCs w:val="32"/>
          <w:highlight w:val="none"/>
          <w:lang w:eastAsia="zh-CN"/>
        </w:rPr>
        <w:t>是</w:t>
      </w:r>
      <w:r>
        <w:rPr>
          <w:rFonts w:hint="eastAsia" w:ascii="仿宋_GB2312" w:hAnsi="仿宋_GB2312" w:eastAsia="仿宋_GB2312" w:cs="仿宋_GB2312"/>
          <w:color w:val="000000"/>
          <w:sz w:val="32"/>
          <w:szCs w:val="32"/>
          <w:highlight w:val="none"/>
          <w:lang w:val="en-US" w:eastAsia="zh-CN"/>
        </w:rPr>
        <w:t>:接待人数不变，接待金额增加。</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rPr>
          <w:rFonts w:hint="default" w:ascii="仿宋_GB2312" w:hAnsi="仿宋_GB2312" w:eastAsia="仿宋_GB2312" w:cs="仿宋_GB2312"/>
          <w:sz w:val="32"/>
          <w:szCs w:val="32"/>
          <w:highlight w:val="none"/>
          <w:lang w:val="en-US"/>
        </w:rPr>
      </w:pPr>
      <w:r>
        <w:rPr>
          <w:rFonts w:hint="eastAsia" w:ascii="仿宋_GB2312" w:hAnsi="仿宋_GB2312" w:eastAsia="仿宋_GB2312" w:cs="仿宋_GB2312"/>
          <w:b/>
          <w:bCs/>
          <w:color w:val="000000"/>
          <w:sz w:val="32"/>
          <w:szCs w:val="32"/>
          <w:highlight w:val="none"/>
          <w:lang w:eastAsia="zh-CN"/>
        </w:rPr>
        <w:t>其中：</w:t>
      </w:r>
      <w:r>
        <w:rPr>
          <w:rFonts w:hint="eastAsia" w:ascii="仿宋_GB2312" w:hAnsi="仿宋_GB2312" w:eastAsia="仿宋_GB2312" w:cs="仿宋_GB2312"/>
          <w:b/>
          <w:bCs/>
          <w:color w:val="000000"/>
          <w:sz w:val="32"/>
          <w:szCs w:val="32"/>
          <w:highlight w:val="none"/>
        </w:rPr>
        <w:t>国内公务接待支出</w:t>
      </w:r>
      <w:r>
        <w:rPr>
          <w:rFonts w:hint="eastAsia" w:ascii="仿宋_GB2312" w:hAnsi="仿宋_GB2312" w:eastAsia="仿宋_GB2312" w:cs="仿宋_GB2312"/>
          <w:color w:val="000000"/>
          <w:sz w:val="32"/>
          <w:szCs w:val="32"/>
          <w:highlight w:val="none"/>
        </w:rPr>
        <w:t>0.</w:t>
      </w:r>
      <w:r>
        <w:rPr>
          <w:rFonts w:hint="eastAsia" w:ascii="仿宋_GB2312" w:hAnsi="仿宋_GB2312" w:eastAsia="仿宋_GB2312" w:cs="仿宋_GB2312"/>
          <w:color w:val="000000"/>
          <w:sz w:val="32"/>
          <w:szCs w:val="32"/>
          <w:highlight w:val="none"/>
          <w:lang w:val="en-US" w:eastAsia="zh-CN"/>
        </w:rPr>
        <w:t>12</w:t>
      </w:r>
      <w:r>
        <w:rPr>
          <w:rFonts w:hint="eastAsia" w:ascii="仿宋_GB2312" w:hAnsi="仿宋_GB2312" w:eastAsia="仿宋_GB2312" w:cs="仿宋_GB2312"/>
          <w:color w:val="000000"/>
          <w:sz w:val="32"/>
          <w:szCs w:val="32"/>
          <w:highlight w:val="none"/>
        </w:rPr>
        <w:t>万元，主要用于</w:t>
      </w:r>
      <w:r>
        <w:rPr>
          <w:rFonts w:hint="eastAsia" w:ascii="仿宋_GB2312" w:hAnsi="仿宋_GB2312" w:eastAsia="仿宋_GB2312" w:cs="仿宋_GB2312"/>
          <w:color w:val="000000"/>
          <w:sz w:val="32"/>
          <w:szCs w:val="32"/>
          <w:highlight w:val="none"/>
          <w:lang w:val="en-US" w:eastAsia="zh-CN"/>
        </w:rPr>
        <w:t>公务</w:t>
      </w:r>
      <w:r>
        <w:rPr>
          <w:rFonts w:hint="eastAsia" w:ascii="仿宋_GB2312" w:hAnsi="仿宋_GB2312" w:eastAsia="仿宋_GB2312" w:cs="仿宋_GB2312"/>
          <w:color w:val="000000"/>
          <w:sz w:val="32"/>
          <w:szCs w:val="32"/>
          <w:highlight w:val="none"/>
        </w:rPr>
        <w:t>接待的用餐费。国内公务接待</w:t>
      </w:r>
      <w:r>
        <w:rPr>
          <w:rFonts w:hint="eastAsia" w:ascii="仿宋_GB2312" w:hAnsi="仿宋_GB2312" w:eastAsia="仿宋_GB2312" w:cs="仿宋_GB2312"/>
          <w:color w:val="000000"/>
          <w:sz w:val="32"/>
          <w:szCs w:val="32"/>
          <w:highlight w:val="none"/>
          <w:lang w:val="en-US" w:eastAsia="zh-CN"/>
        </w:rPr>
        <w:t>1</w:t>
      </w:r>
      <w:r>
        <w:rPr>
          <w:rFonts w:hint="eastAsia" w:ascii="仿宋_GB2312" w:hAnsi="仿宋_GB2312" w:eastAsia="仿宋_GB2312" w:cs="仿宋_GB2312"/>
          <w:color w:val="000000"/>
          <w:sz w:val="32"/>
          <w:szCs w:val="32"/>
          <w:highlight w:val="none"/>
        </w:rPr>
        <w:t>批次，</w:t>
      </w:r>
      <w:r>
        <w:rPr>
          <w:rFonts w:hint="eastAsia" w:ascii="仿宋_GB2312" w:hAnsi="仿宋_GB2312" w:eastAsia="仿宋_GB2312" w:cs="仿宋_GB2312"/>
          <w:color w:val="000000"/>
          <w:sz w:val="32"/>
          <w:szCs w:val="32"/>
          <w:highlight w:val="none"/>
          <w:lang w:val="en-US" w:eastAsia="zh-CN"/>
        </w:rPr>
        <w:t>7</w:t>
      </w:r>
      <w:r>
        <w:rPr>
          <w:rFonts w:hint="eastAsia" w:ascii="仿宋_GB2312" w:hAnsi="仿宋_GB2312" w:eastAsia="仿宋_GB2312" w:cs="仿宋_GB2312"/>
          <w:color w:val="000000"/>
          <w:sz w:val="32"/>
          <w:szCs w:val="32"/>
          <w:highlight w:val="none"/>
        </w:rPr>
        <w:t>人次（不包括陪同人员），共计支出0.1</w:t>
      </w: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sz w:val="32"/>
          <w:szCs w:val="32"/>
          <w:highlight w:val="none"/>
        </w:rPr>
        <w:t>具体内容包括：</w:t>
      </w:r>
      <w:r>
        <w:rPr>
          <w:rFonts w:hint="eastAsia" w:ascii="仿宋_GB2312" w:hAnsi="仿宋_GB2312" w:eastAsia="仿宋_GB2312" w:cs="仿宋_GB2312"/>
          <w:sz w:val="32"/>
          <w:szCs w:val="32"/>
          <w:highlight w:val="none"/>
          <w:lang w:val="en-US" w:eastAsia="zh-CN"/>
        </w:rPr>
        <w:t>接待省社及州社一行共7人赴我社开展基层组织体系建设及供销合作社深化综合改革调研工作，</w:t>
      </w:r>
      <w:r>
        <w:rPr>
          <w:rFonts w:hint="eastAsia" w:ascii="仿宋_GB2312" w:hAnsi="仿宋_GB2312" w:eastAsia="仿宋_GB2312" w:cs="仿宋_GB2312"/>
          <w:sz w:val="32"/>
          <w:szCs w:val="32"/>
          <w:highlight w:val="none"/>
          <w:lang w:eastAsia="zh-CN"/>
        </w:rPr>
        <w:t>接待金额</w:t>
      </w:r>
      <w:r>
        <w:rPr>
          <w:rFonts w:hint="eastAsia" w:ascii="仿宋_GB2312" w:hAnsi="仿宋_GB2312" w:eastAsia="仿宋_GB2312" w:cs="仿宋_GB2312"/>
          <w:sz w:val="32"/>
          <w:szCs w:val="32"/>
          <w:highlight w:val="none"/>
          <w:lang w:val="en-US" w:eastAsia="zh-CN"/>
        </w:rPr>
        <w:t>0.12万元。</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仿宋_GB2312" w:hAnsi="仿宋_GB2312" w:eastAsia="仿宋_GB2312" w:cs="仿宋_GB2312"/>
          <w:color w:val="FF0000"/>
          <w:sz w:val="32"/>
          <w:szCs w:val="32"/>
          <w:highlight w:val="none"/>
        </w:rPr>
      </w:pPr>
      <w:r>
        <w:rPr>
          <w:rFonts w:hint="eastAsia" w:ascii="仿宋" w:hAnsi="仿宋" w:eastAsia="仿宋"/>
          <w:b/>
          <w:color w:val="auto"/>
          <w:sz w:val="32"/>
          <w:szCs w:val="32"/>
          <w:highlight w:val="none"/>
        </w:rPr>
        <w:t>外事接待支出</w:t>
      </w:r>
      <w:r>
        <w:rPr>
          <w:rFonts w:hint="eastAsia" w:ascii="仿宋" w:hAnsi="仿宋" w:eastAsia="仿宋"/>
          <w:color w:val="auto"/>
          <w:sz w:val="32"/>
          <w:szCs w:val="32"/>
          <w:highlight w:val="none"/>
          <w:lang w:val="en-US" w:eastAsia="zh-CN"/>
        </w:rPr>
        <w:t>0</w:t>
      </w:r>
      <w:r>
        <w:rPr>
          <w:rFonts w:hint="eastAsia" w:ascii="仿宋_GB2312" w:eastAsia="仿宋_GB2312"/>
          <w:color w:val="auto"/>
          <w:sz w:val="32"/>
          <w:szCs w:val="32"/>
          <w:highlight w:val="none"/>
        </w:rPr>
        <w:t>万元</w:t>
      </w:r>
      <w:r>
        <w:rPr>
          <w:rFonts w:hint="eastAsia" w:ascii="仿宋_GB2312" w:eastAsia="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0"/>
        <w:textAlignment w:val="auto"/>
        <w:outlineLvl w:val="1"/>
        <w:rPr>
          <w:rStyle w:val="33"/>
          <w:rFonts w:ascii="黑体" w:hAnsi="黑体" w:eastAsia="黑体"/>
          <w:highlight w:val="none"/>
        </w:rPr>
      </w:pPr>
      <w:r>
        <w:rPr>
          <w:rFonts w:hint="eastAsia" w:ascii="黑体" w:eastAsia="黑体"/>
          <w:color w:val="000000"/>
          <w:sz w:val="32"/>
          <w:szCs w:val="32"/>
          <w:highlight w:val="none"/>
        </w:rPr>
        <w:t>八、</w:t>
      </w:r>
      <w:r>
        <w:rPr>
          <w:rStyle w:val="33"/>
          <w:rFonts w:hint="eastAsia" w:ascii="黑体" w:hAnsi="黑体" w:eastAsia="黑体"/>
          <w:b w:val="0"/>
          <w:highlight w:val="none"/>
        </w:rPr>
        <w:t>政府性基金预算支出决算情况说明</w:t>
      </w:r>
      <w:bookmarkEnd w:id="70"/>
      <w:bookmarkEnd w:id="71"/>
      <w:bookmarkEnd w:id="72"/>
      <w:bookmarkEnd w:id="7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75" w:name="_Toc79163623"/>
      <w:bookmarkStart w:id="76" w:name="_Toc15377219"/>
      <w:bookmarkStart w:id="77" w:name="_Toc15396611"/>
      <w:bookmarkStart w:id="78" w:name="_Toc79163873"/>
      <w:r>
        <w:rPr>
          <w:rFonts w:hint="eastAsia" w:ascii="仿宋_GB2312" w:hAnsi="仿宋_GB2312" w:eastAsia="仿宋_GB2312" w:cs="仿宋_GB2312"/>
          <w:sz w:val="32"/>
          <w:szCs w:val="32"/>
          <w:highlight w:val="none"/>
          <w:lang w:val="en-US" w:eastAsia="zh-CN"/>
        </w:rPr>
        <w:t>2025年度</w:t>
      </w:r>
      <w:r>
        <w:rPr>
          <w:rFonts w:hint="eastAsia" w:ascii="仿宋_GB2312" w:hAnsi="仿宋_GB2312" w:eastAsia="仿宋_GB2312" w:cs="仿宋_GB2312"/>
          <w:sz w:val="32"/>
          <w:szCs w:val="32"/>
          <w:highlight w:val="none"/>
        </w:rPr>
        <w:t>政府性基金</w:t>
      </w:r>
      <w:r>
        <w:rPr>
          <w:rFonts w:hint="eastAsia" w:ascii="仿宋_GB2312" w:hAnsi="仿宋_GB2312" w:eastAsia="仿宋_GB2312" w:cs="仿宋_GB2312"/>
          <w:sz w:val="32"/>
          <w:szCs w:val="32"/>
          <w:highlight w:val="none"/>
          <w:lang w:eastAsia="zh-CN"/>
        </w:rPr>
        <w:t>预算</w:t>
      </w:r>
      <w:r>
        <w:rPr>
          <w:rFonts w:hint="eastAsia" w:ascii="仿宋_GB2312" w:hAnsi="仿宋_GB2312" w:eastAsia="仿宋_GB2312" w:cs="仿宋_GB2312"/>
          <w:sz w:val="32"/>
          <w:szCs w:val="32"/>
          <w:highlight w:val="none"/>
          <w:lang w:val="en-US" w:eastAsia="zh-CN"/>
        </w:rPr>
        <w:t>财政拨款</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 xml:space="preserve">0万元 </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b w:val="0"/>
          <w:highlight w:val="none"/>
        </w:rPr>
      </w:pPr>
      <w:r>
        <w:rPr>
          <w:rStyle w:val="33"/>
          <w:rFonts w:hint="eastAsia" w:ascii="黑体" w:hAnsi="黑体" w:eastAsia="黑体"/>
          <w:b w:val="0"/>
          <w:highlight w:val="none"/>
          <w:lang w:eastAsia="zh-CN"/>
        </w:rPr>
        <w:t>九、</w:t>
      </w:r>
      <w:r>
        <w:rPr>
          <w:rStyle w:val="33"/>
          <w:rFonts w:hint="eastAsia" w:ascii="黑体" w:hAnsi="黑体" w:eastAsia="黑体"/>
          <w:b w:val="0"/>
          <w:highlight w:val="none"/>
        </w:rPr>
        <w:t>国有资本经营预算支出决算情况说明</w:t>
      </w:r>
      <w:bookmarkEnd w:id="75"/>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2025年的</w:t>
      </w:r>
      <w:r>
        <w:rPr>
          <w:rFonts w:hint="eastAsia" w:ascii="仿宋_GB2312" w:hAnsi="仿宋_GB2312" w:eastAsia="仿宋_GB2312" w:cs="仿宋_GB2312"/>
          <w:sz w:val="32"/>
          <w:szCs w:val="32"/>
          <w:highlight w:val="none"/>
          <w:lang w:eastAsia="zh-CN"/>
        </w:rPr>
        <w:t>国有资本经营</w:t>
      </w:r>
      <w:r>
        <w:rPr>
          <w:rFonts w:hint="eastAsia" w:ascii="仿宋_GB2312" w:hAnsi="仿宋_GB2312" w:eastAsia="仿宋_GB2312" w:cs="仿宋_GB2312"/>
          <w:sz w:val="32"/>
          <w:szCs w:val="32"/>
          <w:highlight w:val="none"/>
          <w:lang w:val="en-US" w:eastAsia="zh-CN"/>
        </w:rPr>
        <w:t>预算财政拨款</w:t>
      </w:r>
      <w:r>
        <w:rPr>
          <w:rFonts w:hint="eastAsia" w:ascii="仿宋_GB2312" w:hAnsi="仿宋_GB2312" w:eastAsia="仿宋_GB2312" w:cs="仿宋_GB2312"/>
          <w:sz w:val="32"/>
          <w:szCs w:val="32"/>
          <w:highlight w:val="none"/>
          <w:lang w:eastAsia="zh-CN"/>
        </w:rPr>
        <w:t>支出</w:t>
      </w:r>
      <w:r>
        <w:rPr>
          <w:rFonts w:hint="eastAsia" w:ascii="仿宋_GB2312" w:hAnsi="仿宋_GB2312" w:eastAsia="仿宋_GB2312" w:cs="仿宋_GB2312"/>
          <w:sz w:val="32"/>
          <w:szCs w:val="32"/>
          <w:highlight w:val="none"/>
          <w:lang w:val="en-US" w:eastAsia="zh-CN"/>
        </w:rPr>
        <w:t>0万元</w:t>
      </w:r>
      <w:r>
        <w:rPr>
          <w:rFonts w:hint="eastAsia" w:ascii="仿宋_GB2312" w:hAnsi="仿宋_GB2312" w:eastAsia="仿宋_GB2312" w:cs="仿宋_GB2312"/>
          <w:sz w:val="32"/>
          <w:szCs w:val="32"/>
          <w:highlight w:val="none"/>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33"/>
          <w:rFonts w:ascii="黑体" w:hAnsi="黑体" w:eastAsia="黑体"/>
        </w:rPr>
      </w:pPr>
      <w:bookmarkStart w:id="79" w:name="_Toc79163874"/>
      <w:bookmarkStart w:id="80" w:name="_Toc15396612"/>
      <w:bookmarkStart w:id="81" w:name="_Toc79163624"/>
      <w:bookmarkStart w:id="82" w:name="_Toc15377221"/>
      <w:r>
        <w:rPr>
          <w:rFonts w:hint="eastAsia" w:ascii="黑体" w:hAnsi="黑体" w:eastAsia="黑体"/>
          <w:color w:val="000000"/>
          <w:sz w:val="32"/>
          <w:szCs w:val="32"/>
        </w:rPr>
        <w:t>十</w:t>
      </w:r>
      <w:r>
        <w:rPr>
          <w:rStyle w:val="33"/>
          <w:rFonts w:hint="eastAsia" w:ascii="黑体" w:hAnsi="黑体" w:eastAsia="黑体"/>
        </w:rPr>
        <w:t>、</w:t>
      </w:r>
      <w:r>
        <w:rPr>
          <w:rStyle w:val="33"/>
          <w:rFonts w:hint="eastAsia" w:ascii="黑体" w:hAnsi="黑体" w:eastAsia="黑体"/>
          <w:b w:val="0"/>
        </w:rPr>
        <w:t>其他重要事项的情况说明</w:t>
      </w:r>
      <w:bookmarkEnd w:id="79"/>
      <w:bookmarkEnd w:id="80"/>
      <w:bookmarkEnd w:id="81"/>
      <w:bookmarkEnd w:id="82"/>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bookmarkStart w:id="83" w:name="_Toc79163625"/>
      <w:bookmarkStart w:id="84" w:name="_Toc15377222"/>
      <w:bookmarkStart w:id="85" w:name="_Toc79163875"/>
      <w:r>
        <w:rPr>
          <w:rFonts w:hint="eastAsia" w:ascii="楷体_GB2312" w:hAnsi="楷体_GB2312" w:eastAsia="楷体_GB2312" w:cs="楷体_GB2312"/>
          <w:b/>
          <w:bCs/>
          <w:sz w:val="32"/>
          <w:szCs w:val="32"/>
        </w:rPr>
        <w:t>（一）机关运行经费支出情况</w:t>
      </w:r>
      <w:bookmarkEnd w:id="83"/>
      <w:bookmarkEnd w:id="84"/>
      <w:bookmarkEnd w:id="85"/>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bookmarkStart w:id="86" w:name="_Toc79163876"/>
      <w:bookmarkStart w:id="87" w:name="_Toc15377223"/>
      <w:bookmarkStart w:id="88" w:name="_Toc79163626"/>
      <w:r>
        <w:rPr>
          <w:rFonts w:hint="eastAsia" w:ascii="仿宋_GB2312" w:hAnsi="仿宋_GB2312" w:eastAsia="仿宋_GB2312" w:cs="仿宋_GB2312"/>
          <w:sz w:val="32"/>
          <w:szCs w:val="32"/>
          <w:highlight w:val="none"/>
          <w:lang w:eastAsia="zh-CN"/>
        </w:rPr>
        <w:t>202</w:t>
      </w:r>
      <w:r>
        <w:rPr>
          <w:rFonts w:hint="eastAsia" w:ascii="仿宋_GB2312" w:hAnsi="仿宋_GB2312" w:eastAsia="仿宋_GB2312" w:cs="仿宋_GB2312"/>
          <w:sz w:val="32"/>
          <w:szCs w:val="32"/>
          <w:highlight w:val="none"/>
          <w:lang w:val="en-US" w:eastAsia="zh-CN"/>
        </w:rPr>
        <w:t>5年度</w:t>
      </w:r>
      <w:r>
        <w:rPr>
          <w:rFonts w:hint="eastAsia" w:ascii="仿宋_GB2312" w:hAnsi="仿宋_GB2312" w:eastAsia="仿宋_GB2312" w:cs="仿宋_GB2312"/>
          <w:sz w:val="32"/>
          <w:szCs w:val="32"/>
          <w:highlight w:val="none"/>
          <w:lang w:eastAsia="zh-CN"/>
        </w:rPr>
        <w:t>，茂县供销</w:t>
      </w:r>
      <w:r>
        <w:rPr>
          <w:rFonts w:hint="eastAsia" w:ascii="仿宋_GB2312" w:hAnsi="仿宋_GB2312" w:eastAsia="仿宋_GB2312" w:cs="仿宋_GB2312"/>
          <w:sz w:val="32"/>
          <w:szCs w:val="32"/>
          <w:highlight w:val="none"/>
          <w:lang w:val="en-US" w:eastAsia="zh-CN"/>
        </w:rPr>
        <w:t>合作</w:t>
      </w:r>
      <w:r>
        <w:rPr>
          <w:rFonts w:hint="eastAsia" w:ascii="仿宋_GB2312" w:hAnsi="仿宋_GB2312" w:eastAsia="仿宋_GB2312" w:cs="仿宋_GB2312"/>
          <w:sz w:val="32"/>
          <w:szCs w:val="32"/>
          <w:highlight w:val="none"/>
          <w:lang w:eastAsia="zh-CN"/>
        </w:rPr>
        <w:t>社</w:t>
      </w:r>
      <w:r>
        <w:rPr>
          <w:rFonts w:hint="eastAsia" w:ascii="仿宋_GB2312" w:hAnsi="仿宋_GB2312" w:eastAsia="仿宋_GB2312" w:cs="仿宋_GB2312"/>
          <w:sz w:val="32"/>
          <w:szCs w:val="32"/>
          <w:highlight w:val="none"/>
          <w:lang w:val="en-US" w:eastAsia="zh-CN"/>
        </w:rPr>
        <w:t>联合社</w:t>
      </w:r>
      <w:r>
        <w:rPr>
          <w:rFonts w:hint="eastAsia" w:ascii="仿宋_GB2312" w:hAnsi="仿宋_GB2312" w:eastAsia="仿宋_GB2312" w:cs="仿宋_GB2312"/>
          <w:sz w:val="32"/>
          <w:szCs w:val="32"/>
          <w:highlight w:val="none"/>
          <w:lang w:eastAsia="zh-CN"/>
        </w:rPr>
        <w:t>机关运行经费支出</w:t>
      </w:r>
      <w:r>
        <w:rPr>
          <w:rFonts w:hint="eastAsia" w:ascii="仿宋_GB2312" w:hAnsi="仿宋_GB2312" w:eastAsia="仿宋_GB2312" w:cs="仿宋_GB2312"/>
          <w:sz w:val="32"/>
          <w:szCs w:val="32"/>
          <w:highlight w:val="none"/>
          <w:lang w:val="en-US" w:eastAsia="zh-CN"/>
        </w:rPr>
        <w:t>9.23</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与上年度相比增加3.63</w:t>
      </w:r>
      <w:r>
        <w:rPr>
          <w:rFonts w:hint="eastAsia" w:ascii="仿宋_GB2312" w:hAnsi="仿宋_GB2312" w:eastAsia="仿宋_GB2312" w:cs="仿宋_GB2312"/>
          <w:sz w:val="32"/>
          <w:szCs w:val="32"/>
          <w:highlight w:val="none"/>
          <w:lang w:eastAsia="zh-CN"/>
        </w:rPr>
        <w:t>万元，</w:t>
      </w:r>
      <w:r>
        <w:rPr>
          <w:rFonts w:hint="eastAsia" w:ascii="仿宋_GB2312" w:hAnsi="仿宋_GB2312" w:eastAsia="仿宋_GB2312" w:cs="仿宋_GB2312"/>
          <w:sz w:val="32"/>
          <w:szCs w:val="32"/>
          <w:highlight w:val="none"/>
          <w:lang w:val="en-US" w:eastAsia="zh-CN"/>
        </w:rPr>
        <w:t>增长64.8</w:t>
      </w:r>
      <w:r>
        <w:rPr>
          <w:rFonts w:hint="eastAsia" w:ascii="仿宋_GB2312" w:hAnsi="仿宋_GB2312" w:eastAsia="仿宋_GB2312" w:cs="仿宋_GB2312"/>
          <w:sz w:val="32"/>
          <w:szCs w:val="32"/>
          <w:highlight w:val="none"/>
          <w:lang w:eastAsia="zh-CN"/>
        </w:rPr>
        <w:t>%。主要原因是：</w:t>
      </w:r>
      <w:r>
        <w:rPr>
          <w:rFonts w:hint="eastAsia" w:ascii="仿宋_GB2312" w:hAnsi="仿宋_GB2312" w:eastAsia="仿宋_GB2312" w:cs="仿宋_GB2312"/>
          <w:sz w:val="32"/>
          <w:szCs w:val="32"/>
          <w:highlight w:val="none"/>
          <w:lang w:val="en-US" w:eastAsia="zh-CN"/>
        </w:rPr>
        <w:t>人员增加，公用经费增加。</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r>
        <w:rPr>
          <w:rFonts w:hint="eastAsia" w:ascii="楷体_GB2312" w:hAnsi="楷体_GB2312" w:eastAsia="楷体_GB2312" w:cs="楷体_GB2312"/>
          <w:b/>
          <w:bCs/>
          <w:sz w:val="32"/>
          <w:szCs w:val="32"/>
          <w:highlight w:val="none"/>
        </w:rPr>
        <w:t>（二）政府采购支出情况</w:t>
      </w:r>
      <w:bookmarkEnd w:id="86"/>
      <w:bookmarkEnd w:id="87"/>
      <w:bookmarkEnd w:id="88"/>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highlight w:val="none"/>
        </w:rPr>
      </w:pPr>
      <w:bookmarkStart w:id="89" w:name="_Toc79163877"/>
      <w:bookmarkStart w:id="90" w:name="_Toc79163627"/>
      <w:bookmarkStart w:id="91" w:name="_Toc15377224"/>
      <w:r>
        <w:rPr>
          <w:rFonts w:hint="eastAsia" w:ascii="仿宋_GB2312" w:hAnsi="仿宋_GB2312" w:eastAsia="仿宋_GB2312" w:cs="仿宋_GB2312"/>
          <w:sz w:val="32"/>
          <w:szCs w:val="32"/>
          <w:highlight w:val="none"/>
        </w:rPr>
        <w:t>202</w:t>
      </w:r>
      <w:r>
        <w:rPr>
          <w:rFonts w:hint="eastAsia" w:ascii="仿宋_GB2312" w:hAnsi="仿宋_GB2312" w:eastAsia="仿宋_GB2312" w:cs="仿宋_GB2312"/>
          <w:sz w:val="32"/>
          <w:szCs w:val="32"/>
          <w:highlight w:val="none"/>
          <w:lang w:val="en-US" w:eastAsia="zh-CN"/>
        </w:rPr>
        <w:t>5年度</w:t>
      </w:r>
      <w:r>
        <w:rPr>
          <w:rFonts w:hint="eastAsia" w:ascii="仿宋_GB2312" w:hAnsi="仿宋_GB2312" w:eastAsia="仿宋_GB2312" w:cs="仿宋_GB2312"/>
          <w:sz w:val="32"/>
          <w:szCs w:val="32"/>
          <w:highlight w:val="none"/>
        </w:rPr>
        <w:t>，政府采购支出总额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万元。其中:政府采购货物支出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万元、政府采购工程支出0万元、政府采购服务支出</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万元。授予中小企业合同金额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万元，其中：授予小微企业合同金额</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万元</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（三）国有资产占有使用情况</w:t>
      </w:r>
      <w:bookmarkEnd w:id="89"/>
      <w:bookmarkEnd w:id="90"/>
      <w:bookmarkEnd w:id="9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截至202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年12月31日，茂县供销合作社联合社共有车辆0辆。</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textAlignment w:val="auto"/>
        <w:rPr>
          <w:rFonts w:ascii="楷体_GB2312" w:hAnsi="楷体_GB2312" w:eastAsia="楷体_GB2312" w:cs="楷体_GB2312"/>
          <w:b/>
          <w:bCs/>
          <w:sz w:val="32"/>
          <w:szCs w:val="32"/>
          <w:highlight w:val="none"/>
        </w:rPr>
      </w:pPr>
      <w:bookmarkStart w:id="92" w:name="_Toc79163878"/>
      <w:bookmarkStart w:id="93" w:name="_Toc79163628"/>
      <w:r>
        <w:rPr>
          <w:rFonts w:hint="eastAsia" w:ascii="楷体_GB2312" w:hAnsi="楷体_GB2312" w:eastAsia="楷体_GB2312" w:cs="楷体_GB2312"/>
          <w:b/>
          <w:bCs/>
          <w:sz w:val="32"/>
          <w:szCs w:val="32"/>
          <w:highlight w:val="none"/>
        </w:rPr>
        <w:t>（四）预算绩效管理情况</w:t>
      </w:r>
      <w:bookmarkEnd w:id="92"/>
      <w:bookmarkEnd w:id="93"/>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根据预算绩效管理要求，</w:t>
      </w:r>
      <w:r>
        <w:rPr>
          <w:rFonts w:hint="eastAsia" w:ascii="仿宋_GB2312" w:hAnsi="仿宋_GB2312" w:eastAsia="仿宋_GB2312" w:cs="仿宋_GB2312"/>
          <w:sz w:val="32"/>
          <w:szCs w:val="32"/>
        </w:rPr>
        <w:t>茂县供销合作社联合社</w:t>
      </w:r>
      <w:r>
        <w:rPr>
          <w:rFonts w:hint="eastAsia" w:ascii="仿宋_GB2312" w:hAnsi="仿宋_GB2312" w:eastAsia="仿宋_GB2312" w:cs="仿宋_GB2312"/>
          <w:sz w:val="32"/>
          <w:szCs w:val="32"/>
          <w:highlight w:val="none"/>
          <w:lang w:val="en-US" w:eastAsia="zh-CN"/>
        </w:rPr>
        <w:t>在2025年度组织对州级农资价格及储备补贴资金项目、2025年度交流交往交融项目（1）、2025年度交流交往交融项目（2）、第四次社员代表大会等</w:t>
      </w:r>
      <w:r>
        <w:rPr>
          <w:rFonts w:hint="eastAsia" w:ascii="仿宋_GB2312" w:hAnsi="仿宋_GB2312" w:eastAsia="仿宋_GB2312" w:cs="仿宋_GB2312"/>
          <w:sz w:val="32"/>
          <w:szCs w:val="32"/>
          <w:highlight w:val="none"/>
          <w:lang w:eastAsia="zh-CN"/>
        </w:rPr>
        <w:t>4个项目</w:t>
      </w:r>
      <w:r>
        <w:rPr>
          <w:rFonts w:hint="eastAsia" w:ascii="仿宋_GB2312" w:hAnsi="仿宋_GB2312" w:eastAsia="仿宋_GB2312" w:cs="仿宋_GB2312"/>
          <w:sz w:val="32"/>
          <w:szCs w:val="32"/>
          <w:highlight w:val="none"/>
          <w:lang w:val="en-US" w:eastAsia="zh-CN"/>
        </w:rPr>
        <w:t>开展了预算事</w:t>
      </w:r>
      <w:r>
        <w:rPr>
          <w:rFonts w:hint="eastAsia" w:ascii="仿宋_GB2312" w:hAnsi="仿宋_GB2312" w:eastAsia="仿宋_GB2312" w:cs="仿宋_GB2312"/>
          <w:sz w:val="32"/>
          <w:szCs w:val="32"/>
          <w:highlight w:val="none"/>
          <w:lang w:eastAsia="zh-CN"/>
        </w:rPr>
        <w:t>前绩效评估，编制了绩效目标，预算执行过程中，选取了</w:t>
      </w:r>
      <w:r>
        <w:rPr>
          <w:rFonts w:hint="eastAsia" w:ascii="仿宋_GB2312" w:hAnsi="仿宋_GB2312" w:eastAsia="仿宋_GB2312" w:cs="仿宋_GB2312"/>
          <w:sz w:val="32"/>
          <w:szCs w:val="32"/>
          <w:highlight w:val="none"/>
          <w:lang w:val="en-US" w:eastAsia="zh-CN"/>
        </w:rPr>
        <w:t>1个</w:t>
      </w:r>
      <w:r>
        <w:rPr>
          <w:rFonts w:hint="eastAsia" w:ascii="仿宋_GB2312" w:hAnsi="仿宋_GB2312" w:eastAsia="仿宋_GB2312" w:cs="仿宋_GB2312"/>
          <w:sz w:val="32"/>
          <w:szCs w:val="32"/>
          <w:highlight w:val="none"/>
          <w:lang w:eastAsia="zh-CN"/>
        </w:rPr>
        <w:t>项目开展绩效监控。</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组织对2025年度一般公共预算全面开展绩效自评，形成茂县供销合作社联合社部门整体绩效自评报告，组织对2025年度州级农资价格及储备补贴资金项目进行了项目绩效形成了自评报告，其中，茂县供销合作社联合社部门整体绩效自评得分为94分；2025年度州级农资价格及储备补贴资金项目绩效自评得分为85分，自评综述</w:t>
      </w:r>
      <w:r>
        <w:rPr>
          <w:rFonts w:hint="eastAsia" w:ascii="仿宋_GB2312" w:hAnsi="仿宋_GB2312" w:eastAsia="仿宋_GB2312" w:cs="仿宋_GB2312"/>
          <w:sz w:val="32"/>
          <w:szCs w:val="32"/>
          <w:highlight w:val="none"/>
          <w:lang w:eastAsia="zh-CN"/>
        </w:rPr>
        <w:t>该项目依据充分，绩效目标明确，具有公共性，符合财政资金支持方向，</w:t>
      </w:r>
      <w:r>
        <w:rPr>
          <w:rFonts w:hint="eastAsia" w:ascii="仿宋_GB2312" w:hAnsi="仿宋_GB2312" w:eastAsia="仿宋_GB2312" w:cs="仿宋_GB2312"/>
          <w:sz w:val="32"/>
          <w:szCs w:val="32"/>
          <w:highlight w:val="none"/>
          <w:lang w:val="en-US" w:eastAsia="zh-CN"/>
        </w:rPr>
        <w:t>绩效自评报告详见附件。</w:t>
      </w:r>
    </w:p>
    <w:p>
      <w:pPr>
        <w:pStyle w:val="21"/>
        <w:ind w:left="0" w:leftChars="0" w:firstLine="0" w:firstLineChars="0"/>
        <w:rPr>
          <w:highlight w:val="yellow"/>
        </w:rPr>
      </w:pPr>
    </w:p>
    <w:p>
      <w:pPr>
        <w:rPr>
          <w:highlight w:val="yellow"/>
        </w:rPr>
      </w:pPr>
    </w:p>
    <w:p>
      <w:pPr>
        <w:pStyle w:val="2"/>
        <w:rPr>
          <w:highlight w:val="yellow"/>
        </w:rPr>
      </w:pPr>
    </w:p>
    <w:p>
      <w:pPr>
        <w:rPr>
          <w:highlight w:val="yellow"/>
        </w:rPr>
      </w:pPr>
    </w:p>
    <w:p>
      <w:pPr>
        <w:pStyle w:val="2"/>
        <w:rPr>
          <w:highlight w:val="yellow"/>
        </w:rPr>
      </w:pPr>
    </w:p>
    <w:p>
      <w:pPr>
        <w:rPr>
          <w:highlight w:val="yellow"/>
        </w:rPr>
      </w:pPr>
    </w:p>
    <w:p>
      <w:pPr>
        <w:pStyle w:val="2"/>
        <w:rPr>
          <w:highlight w:val="yellow"/>
        </w:rPr>
      </w:pPr>
    </w:p>
    <w:p>
      <w:pPr>
        <w:pStyle w:val="2"/>
        <w:ind w:left="0" w:leftChars="0" w:firstLine="0" w:firstLineChars="0"/>
      </w:pPr>
    </w:p>
    <w:p>
      <w:pPr>
        <w:numPr>
          <w:ilvl w:val="0"/>
          <w:numId w:val="0"/>
        </w:numPr>
        <w:spacing w:line="600" w:lineRule="exact"/>
        <w:ind w:left="2730" w:leftChars="0"/>
        <w:outlineLvl w:val="0"/>
        <w:rPr>
          <w:rStyle w:val="32"/>
          <w:rFonts w:hint="eastAsia" w:ascii="方正小标宋简体" w:hAnsi="方正小标宋简体" w:eastAsia="方正小标宋简体" w:cs="方正小标宋简体"/>
          <w:b w:val="0"/>
        </w:rPr>
      </w:pPr>
      <w:bookmarkStart w:id="94" w:name="_Toc79163629"/>
      <w:bookmarkStart w:id="95" w:name="_Toc15396613"/>
      <w:bookmarkStart w:id="96" w:name="_Toc79163879"/>
      <w:bookmarkStart w:id="97" w:name="_Toc15377225"/>
      <w:r>
        <w:rPr>
          <w:rFonts w:hint="eastAsia" w:ascii="方正小标宋简体" w:hAnsi="方正小标宋简体" w:eastAsia="方正小标宋简体" w:cs="方正小标宋简体"/>
          <w:color w:val="000000"/>
          <w:sz w:val="44"/>
          <w:szCs w:val="44"/>
          <w:lang w:eastAsia="zh-CN"/>
        </w:rPr>
        <w:t>第三部分</w:t>
      </w:r>
      <w:r>
        <w:rPr>
          <w:rFonts w:hint="eastAsia" w:ascii="方正小标宋简体" w:hAnsi="方正小标宋简体" w:eastAsia="方正小标宋简体" w:cs="方正小标宋简体"/>
          <w:color w:val="000000"/>
          <w:sz w:val="44"/>
          <w:szCs w:val="44"/>
          <w:lang w:val="en-US" w:eastAsia="zh-CN"/>
        </w:rPr>
        <w:t xml:space="preserve"> </w:t>
      </w:r>
      <w:r>
        <w:rPr>
          <w:rFonts w:hint="eastAsia" w:ascii="方正小标宋简体" w:hAnsi="方正小标宋简体" w:eastAsia="方正小标宋简体" w:cs="方正小标宋简体"/>
          <w:color w:val="000000"/>
          <w:sz w:val="44"/>
          <w:szCs w:val="44"/>
        </w:rPr>
        <w:t>名</w:t>
      </w:r>
      <w:r>
        <w:rPr>
          <w:rStyle w:val="32"/>
          <w:rFonts w:hint="eastAsia" w:ascii="方正小标宋简体" w:hAnsi="方正小标宋简体" w:eastAsia="方正小标宋简体" w:cs="方正小标宋简体"/>
          <w:b w:val="0"/>
        </w:rPr>
        <w:t>词解释</w:t>
      </w:r>
      <w:bookmarkEnd w:id="94"/>
      <w:bookmarkEnd w:id="95"/>
      <w:bookmarkEnd w:id="96"/>
      <w:bookmarkEnd w:id="97"/>
    </w:p>
    <w:p>
      <w:pPr>
        <w:spacing w:line="600" w:lineRule="exact"/>
        <w:jc w:val="left"/>
        <w:rPr>
          <w:rFonts w:ascii="宋体"/>
          <w:b/>
          <w:color w:val="000000"/>
          <w:sz w:val="44"/>
          <w:szCs w:val="44"/>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财政拨款收入：指单位从同级财政部门取得的财政预算资金。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事业收入：指事业单位开展专业业务活动及辅助活动取得的收入。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经营收入：指事业单位在专业业务活动及其辅助活动之外开展非独立核算经营活动取得的收入。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其他收入：指单位取得的除上述收入以外的各项收入。</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使用非财政拨款结余：指事业单位使用以前年度积累的非财政拨款结余弥补当年收支差额的金额。</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年初结转和结余：指以前年度尚未完成、结转到本年按有关规定继续使用的资金。</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7.</w:t>
      </w:r>
      <w:r>
        <w:rPr>
          <w:rFonts w:hint="eastAsia" w:ascii="仿宋_GB2312" w:hAnsi="仿宋_GB2312" w:eastAsia="仿宋_GB2312" w:cs="仿宋_GB2312"/>
          <w:sz w:val="32"/>
          <w:szCs w:val="32"/>
        </w:rPr>
        <w:t>结余分配：指事业单位按照会计制度规定缴纳的所得税、提取的专用结余以及转入非财政拨款结余的金额等。</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8</w:t>
      </w:r>
      <w:r>
        <w:rPr>
          <w:rFonts w:hint="eastAsia" w:ascii="仿宋_GB2312" w:hAnsi="仿宋_GB2312" w:eastAsia="仿宋_GB2312" w:cs="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9.一般公共服务商业服务业（类）商业流通事务（款）行政运行（项）：指</w:t>
      </w:r>
      <w:r>
        <w:rPr>
          <w:rFonts w:ascii="仿宋_GB2312" w:hAnsi="仿宋_GB2312" w:eastAsia="仿宋_GB2312" w:cs="仿宋_GB2312"/>
          <w:sz w:val="32"/>
          <w:szCs w:val="32"/>
        </w:rPr>
        <w:t>用于保障机构正常运行、开展日常工作</w:t>
      </w:r>
      <w:r>
        <w:rPr>
          <w:rFonts w:hint="eastAsia" w:ascii="仿宋_GB2312" w:hAnsi="仿宋_GB2312" w:eastAsia="仿宋_GB2312" w:cs="仿宋_GB2312"/>
          <w:sz w:val="32"/>
          <w:szCs w:val="32"/>
        </w:rPr>
        <w:t>的基本支出。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10.一般公共服务商业服务业（类）商业流通事务（款）其他商业流通事务（项）：指其他用于商业流通事务方面的支出。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11.一般公共服务商业服务业（类）商业流通事务（款）民贸民品贷款贴息（项）：指对从事民贸民品生产销售企业贷款贴息。</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12.社会保障和就业（类）行政事业单位离退休（款）机关事业单位基本养老保险缴费（项）：指部门实施养老保险制度由单位缴纳的养老保险费的支出。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13.社会保障和就业（类）行政事业单位离退休（款）机关事业单位职业年金缴费（项）：指部门实施养老保险制度由单位缴纳的职业年金的支出。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14.医疗卫生与计划生育（类）行政事业单位医疗（款）行政单位医疗（项）：指厅机关及参公管理事业单位用于缴纳单位基本医疗保险支出。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15.住房保障支出（类）住房公积金（款）住房公积金（项）：指行政事业单位按规定为职工缴纳的住房公积金。</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16.住房保障支出（类）住房改革支出（款）住房公积金住房改革支出（款）购房补贴（项）：指行政事业单位按规定为职工支付的购房补贴。</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17.农林水支出（类）农业（款）农业生产支持补贴（项）：指反映对种粮农民直接补贴，对农业生产资料补贴、技术物化补贴，推广先进适用农机农艺技术等方面支出。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18.农林水支出（类）农业（款）其他农业支出（项）：指反映其他用于农业方面的支出。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19</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项目支出：指在基本支出之外为完成特定行政任务和事业发展目标所发生的支出。</w:t>
      </w:r>
      <w:r>
        <w:rPr>
          <w:rFonts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21</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经营支出：指事业单位在专业业务活动及其辅助活动之外开展非独立核算经营活动发生的支出。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黑体" w:hAnsi="黑体" w:eastAsia="黑体"/>
          <w:color w:val="000000"/>
          <w:sz w:val="44"/>
          <w:szCs w:val="44"/>
        </w:rPr>
      </w:pPr>
      <w:r>
        <w:rPr>
          <w:rFonts w:hint="eastAsia" w:ascii="仿宋_GB2312" w:hAnsi="仿宋_GB2312" w:eastAsia="仿宋_GB2312" w:cs="仿宋_GB2312"/>
          <w:sz w:val="32"/>
          <w:szCs w:val="32"/>
        </w:rPr>
        <w:t>23</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98" w:name="_Toc79163880"/>
      <w:bookmarkStart w:id="99" w:name="_Toc79163630"/>
      <w:bookmarkStart w:id="100" w:name="_Toc15396614"/>
      <w:bookmarkStart w:id="101" w:name="_Toc15377226"/>
    </w:p>
    <w:p>
      <w:pPr>
        <w:spacing w:line="576" w:lineRule="exact"/>
        <w:rPr>
          <w:rFonts w:ascii="黑体" w:hAnsi="黑体" w:eastAsia="黑体"/>
          <w:color w:val="000000"/>
          <w:sz w:val="44"/>
          <w:szCs w:val="44"/>
        </w:rPr>
      </w:pPr>
    </w:p>
    <w:p>
      <w:pPr>
        <w:pStyle w:val="21"/>
        <w:rPr>
          <w:rFonts w:ascii="黑体" w:hAnsi="黑体" w:eastAsia="黑体"/>
          <w:color w:val="000000"/>
          <w:sz w:val="44"/>
          <w:szCs w:val="44"/>
        </w:rPr>
      </w:pPr>
    </w:p>
    <w:p>
      <w:pPr>
        <w:rPr>
          <w:rFonts w:ascii="黑体" w:hAnsi="黑体" w:eastAsia="黑体"/>
          <w:color w:val="000000"/>
          <w:sz w:val="44"/>
          <w:szCs w:val="44"/>
        </w:rPr>
      </w:pPr>
    </w:p>
    <w:p>
      <w:pPr>
        <w:pStyle w:val="21"/>
        <w:rPr>
          <w:rFonts w:ascii="黑体" w:hAnsi="黑体" w:eastAsia="黑体"/>
          <w:color w:val="000000"/>
          <w:sz w:val="44"/>
          <w:szCs w:val="44"/>
        </w:rPr>
      </w:pPr>
    </w:p>
    <w:p>
      <w:pPr>
        <w:pStyle w:val="21"/>
        <w:ind w:left="0" w:leftChars="0" w:firstLine="0" w:firstLineChars="0"/>
        <w:rPr>
          <w:rFonts w:ascii="黑体" w:hAnsi="黑体" w:eastAsia="黑体"/>
          <w:color w:val="000000"/>
          <w:sz w:val="44"/>
          <w:szCs w:val="44"/>
        </w:rPr>
      </w:pPr>
    </w:p>
    <w:p>
      <w:pPr>
        <w:pStyle w:val="2"/>
        <w:ind w:left="0" w:leftChars="0" w:firstLine="0" w:firstLineChars="0"/>
        <w:rPr>
          <w:rFonts w:ascii="黑体" w:hAnsi="黑体" w:eastAsia="黑体"/>
          <w:color w:val="000000"/>
          <w:sz w:val="44"/>
          <w:szCs w:val="44"/>
        </w:rPr>
      </w:pPr>
    </w:p>
    <w:p/>
    <w:p/>
    <w:p>
      <w:pPr>
        <w:spacing w:line="600" w:lineRule="exact"/>
        <w:jc w:val="center"/>
        <w:outlineLvl w:val="0"/>
        <w:rPr>
          <w:rStyle w:val="32"/>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2"/>
          <w:rFonts w:hint="eastAsia" w:ascii="方正小标宋简体" w:hAnsi="方正小标宋简体" w:eastAsia="方正小标宋简体" w:cs="方正小标宋简体"/>
          <w:b w:val="0"/>
        </w:rPr>
        <w:t>四部分 附件</w:t>
      </w:r>
      <w:bookmarkEnd w:id="98"/>
      <w:bookmarkEnd w:id="99"/>
      <w:bookmarkEnd w:id="100"/>
    </w:p>
    <w:p>
      <w:pPr>
        <w:spacing w:line="600" w:lineRule="exact"/>
        <w:jc w:val="left"/>
        <w:outlineLvl w:val="0"/>
        <w:rPr>
          <w:rFonts w:hint="eastAsia" w:ascii="黑体" w:hAnsi="黑体" w:eastAsia="黑体" w:cs="黑体"/>
          <w:color w:val="000000"/>
          <w:sz w:val="32"/>
          <w:szCs w:val="32"/>
        </w:rPr>
      </w:pPr>
      <w:bookmarkStart w:id="102" w:name="_Toc79163635"/>
      <w:bookmarkStart w:id="103" w:name="_Toc15396618"/>
      <w:bookmarkStart w:id="104" w:name="_Toc79163885"/>
      <w:r>
        <w:rPr>
          <w:rFonts w:hint="eastAsia" w:ascii="黑体" w:hAnsi="黑体" w:eastAsia="黑体" w:cs="黑体"/>
          <w:color w:val="000000"/>
          <w:sz w:val="32"/>
          <w:szCs w:val="32"/>
        </w:rPr>
        <w:t>附件1</w:t>
      </w:r>
    </w:p>
    <w:p>
      <w:pPr>
        <w:widowControl/>
        <w:spacing w:line="578" w:lineRule="exact"/>
        <w:contextualSpacing/>
        <w:rPr>
          <w:rFonts w:ascii="Times New Roman" w:hAnsi="Times New Roman" w:eastAsia="宋体" w:cs="Times New Roman"/>
          <w:b/>
          <w:sz w:val="44"/>
          <w:szCs w:val="44"/>
          <w:shd w:val="clear" w:color="auto" w:fill="FFFFFF"/>
        </w:rPr>
      </w:pP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hint="eastAsia" w:ascii="Times New Roman" w:hAnsi="Times New Roman" w:eastAsia="方正小标宋简体" w:cs="Times New Roman"/>
          <w:bCs/>
          <w:sz w:val="44"/>
          <w:szCs w:val="44"/>
          <w:shd w:val="clear" w:color="auto" w:fill="FFFFFF"/>
        </w:rPr>
        <w:t>茂县供销合作社联合社</w:t>
      </w:r>
    </w:p>
    <w:p>
      <w:pPr>
        <w:widowControl/>
        <w:spacing w:line="578" w:lineRule="exact"/>
        <w:contextualSpacing/>
        <w:jc w:val="center"/>
        <w:rPr>
          <w:rFonts w:ascii="Times New Roman" w:hAnsi="Times New Roman" w:eastAsia="方正小标宋简体" w:cs="Times New Roman"/>
          <w:bCs/>
          <w:sz w:val="44"/>
          <w:szCs w:val="44"/>
          <w:shd w:val="clear" w:color="auto" w:fill="FFFFFF"/>
        </w:rPr>
      </w:pPr>
      <w:r>
        <w:rPr>
          <w:rFonts w:hint="eastAsia" w:ascii="Times New Roman" w:hAnsi="Times New Roman" w:eastAsia="方正小标宋简体" w:cs="Times New Roman"/>
          <w:bCs/>
          <w:sz w:val="44"/>
          <w:szCs w:val="44"/>
          <w:shd w:val="clear" w:color="auto" w:fill="FFFFFF"/>
          <w:lang w:val="en-US" w:eastAsia="zh-CN"/>
        </w:rPr>
        <w:t>部门</w:t>
      </w:r>
      <w:r>
        <w:rPr>
          <w:rFonts w:ascii="Times New Roman" w:hAnsi="Times New Roman" w:eastAsia="方正小标宋简体" w:cs="Times New Roman"/>
          <w:bCs/>
          <w:sz w:val="44"/>
          <w:szCs w:val="44"/>
          <w:shd w:val="clear" w:color="auto" w:fill="FFFFFF"/>
        </w:rPr>
        <w:t>绩效</w:t>
      </w:r>
      <w:r>
        <w:rPr>
          <w:rFonts w:hint="eastAsia" w:ascii="Times New Roman" w:hAnsi="Times New Roman" w:eastAsia="方正小标宋简体" w:cs="Times New Roman"/>
          <w:bCs/>
          <w:sz w:val="44"/>
          <w:szCs w:val="44"/>
          <w:shd w:val="clear" w:color="auto" w:fill="FFFFFF"/>
        </w:rPr>
        <w:t>评价</w:t>
      </w:r>
      <w:r>
        <w:rPr>
          <w:rFonts w:ascii="Times New Roman" w:hAnsi="Times New Roman" w:eastAsia="方正小标宋简体" w:cs="Times New Roman"/>
          <w:bCs/>
          <w:sz w:val="44"/>
          <w:szCs w:val="44"/>
          <w:shd w:val="clear" w:color="auto" w:fill="FFFFFF"/>
        </w:rPr>
        <w:t>报告</w:t>
      </w:r>
    </w:p>
    <w:p>
      <w:pPr>
        <w:widowControl/>
        <w:adjustRightInd w:val="0"/>
        <w:snapToGrid w:val="0"/>
        <w:spacing w:line="578" w:lineRule="exact"/>
        <w:ind w:firstLine="480" w:firstLineChars="200"/>
        <w:contextualSpacing/>
        <w:jc w:val="left"/>
        <w:rPr>
          <w:rFonts w:ascii="Times New Roman" w:hAnsi="Times New Roman" w:eastAsia="黑体" w:cs="Times New Roman"/>
          <w:color w:val="000000"/>
          <w:kern w:val="0"/>
          <w:sz w:val="24"/>
          <w:szCs w:val="32"/>
          <w:shd w:val="clear" w:color="auto" w:fill="FFFFFF"/>
        </w:rPr>
      </w:pP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szCs w:val="32"/>
        </w:rPr>
      </w:pPr>
      <w:r>
        <w:rPr>
          <w:rFonts w:hint="eastAsia" w:ascii="Times New Roman" w:hAnsi="Times New Roman" w:eastAsia="黑体" w:cs="Times New Roman"/>
          <w:color w:val="000000"/>
          <w:kern w:val="0"/>
          <w:sz w:val="32"/>
          <w:szCs w:val="32"/>
          <w:shd w:val="clear" w:color="auto" w:fill="FFFFFF"/>
          <w:lang w:val="zh-CN"/>
        </w:rPr>
        <w:t>一、</w:t>
      </w:r>
      <w:r>
        <w:rPr>
          <w:rFonts w:ascii="Times New Roman" w:hAnsi="Times New Roman" w:eastAsia="黑体" w:cs="Times New Roman"/>
          <w:color w:val="000000"/>
          <w:kern w:val="0"/>
          <w:sz w:val="32"/>
          <w:szCs w:val="32"/>
          <w:shd w:val="clear" w:color="auto" w:fill="FFFFFF"/>
          <w:lang w:val="zh-CN"/>
        </w:rPr>
        <w:t>基本情况</w:t>
      </w:r>
    </w:p>
    <w:p>
      <w:pPr>
        <w:widowControl/>
        <w:adjustRightInd w:val="0"/>
        <w:snapToGrid w:val="0"/>
        <w:spacing w:line="576" w:lineRule="exact"/>
        <w:ind w:firstLine="643" w:firstLineChars="200"/>
        <w:contextualSpacing/>
        <w:rPr>
          <w:rFonts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（一）</w:t>
      </w:r>
      <w:r>
        <w:rPr>
          <w:rFonts w:ascii="Times New Roman" w:hAnsi="Times New Roman" w:eastAsia="楷体_GB2312" w:cs="Times New Roman"/>
          <w:b/>
          <w:bCs/>
          <w:color w:val="000000"/>
          <w:kern w:val="0"/>
          <w:sz w:val="32"/>
          <w:szCs w:val="32"/>
          <w:shd w:val="clear" w:color="auto" w:fill="FFFFFF"/>
          <w:lang w:val="zh-CN"/>
        </w:rPr>
        <w:t>机构组成</w:t>
      </w:r>
    </w:p>
    <w:p>
      <w:pPr>
        <w:widowControl/>
        <w:adjustRightInd w:val="0"/>
        <w:snapToGrid w:val="0"/>
        <w:spacing w:line="576" w:lineRule="exact"/>
        <w:ind w:firstLine="640" w:firstLineChars="200"/>
        <w:contextualSpacing/>
        <w:rPr>
          <w:rFonts w:ascii="Times New Roman" w:hAnsi="Times New Roman" w:eastAsia="仿宋_GB2312" w:cs="Times New Roman"/>
          <w:sz w:val="32"/>
          <w:szCs w:val="32"/>
        </w:rPr>
      </w:pPr>
      <w:r>
        <w:rPr>
          <w:rFonts w:hint="eastAsia" w:ascii="仿宋_GB2312" w:hAnsi="宋体" w:eastAsia="仿宋_GB2312" w:cs="宋体"/>
          <w:color w:val="000000"/>
          <w:kern w:val="0"/>
          <w:sz w:val="32"/>
          <w:szCs w:val="32"/>
          <w:shd w:val="clear" w:color="auto" w:fill="FFFFFF"/>
          <w:lang w:val="zh-CN"/>
        </w:rPr>
        <w:t>茂县供销合作社联合社办公室（监事会办公室）、经济发展与农村合作指导股、企业发展与金融发展股、计财股。</w:t>
      </w:r>
    </w:p>
    <w:p>
      <w:pPr>
        <w:spacing w:line="576" w:lineRule="exact"/>
        <w:ind w:firstLine="643" w:firstLineChars="200"/>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（二）机构职能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1.宣传贯彻中央“三农”工作方针政策和州委、州政府及县委、县政府有关决策部署，指导全县供销合作事业发展。</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2.负责研究和制定全县供销合作社发展规划并组织实施，指导服务全县供销合作社系统改革发展。</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3.履行社有资产运营指导和监督管理职责，发展社有企业，确保社有企业为农服务方向，落实社有资产保值增值和安全责任。</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4.根据授权对重要生产生活资料的经营、储备进行组织、协调和管理，指导全县供销合作社承担政府委托的公益性服务和其他任务。</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5.指导全县供销合作社开展农业生产经营服务、城乡消费品流通服务、再生资源回收利用服务和生产、供销、信用“三位一体”综合合作等业务活动。</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6.参与公益性农产品市场建设，参与国有控股的农产品批发市场的建设、运营和管护。</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7.领办创办农民专业合作社，发展基层供销合作社，更好履行为农服务职责。</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8.推进供销合作社法治建设，研究提出促进农村经济社会和行业发展的政策法规建议，维护全县供销合作社的合法权益。</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9.指导全县供销合作社开展教育培训工作。</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10.负责职责范围内的安全生产、公共机构节能减排、生态环境保护等工作。</w:t>
      </w:r>
    </w:p>
    <w:p>
      <w:pPr>
        <w:widowControl/>
        <w:adjustRightInd w:val="0"/>
        <w:snapToGrid w:val="0"/>
        <w:spacing w:line="576" w:lineRule="exact"/>
        <w:ind w:firstLine="640" w:firstLineChars="200"/>
        <w:contextualSpacing/>
        <w:rPr>
          <w:rFonts w:ascii="仿宋_GB2312" w:hAnsi="仿宋_GB2312" w:eastAsia="仿宋_GB2312" w:cs="仿宋_GB2312"/>
          <w:sz w:val="32"/>
          <w:szCs w:val="32"/>
        </w:rPr>
      </w:pPr>
      <w:r>
        <w:rPr>
          <w:rFonts w:hint="eastAsia" w:ascii="仿宋_GB2312" w:hAnsi="仿宋_GB2312" w:eastAsia="仿宋_GB2312" w:cs="仿宋_GB2312"/>
          <w:sz w:val="32"/>
          <w:szCs w:val="32"/>
        </w:rPr>
        <w:t>11.完成县委、县政府交办的其他任务。</w:t>
      </w:r>
    </w:p>
    <w:p>
      <w:pPr>
        <w:widowControl/>
        <w:adjustRightInd w:val="0"/>
        <w:snapToGrid w:val="0"/>
        <w:spacing w:line="576" w:lineRule="exact"/>
        <w:ind w:firstLine="643" w:firstLineChars="200"/>
        <w:contextualSpacing/>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）人员概况</w:t>
      </w:r>
    </w:p>
    <w:p>
      <w:pPr>
        <w:widowControl/>
        <w:adjustRightInd w:val="0"/>
        <w:snapToGrid w:val="0"/>
        <w:spacing w:line="576" w:lineRule="exact"/>
        <w:ind w:firstLine="640" w:firstLineChars="200"/>
        <w:contextualSpacing/>
        <w:rPr>
          <w:rFonts w:ascii="Times New Roman" w:hAnsi="Times New Roman" w:eastAsia="仿宋_GB2312" w:cs="Times New Roman"/>
          <w:sz w:val="32"/>
          <w:szCs w:val="32"/>
        </w:rPr>
      </w:pPr>
      <w:r>
        <w:rPr>
          <w:rFonts w:hint="eastAsia" w:ascii="仿宋_GB2312" w:hAnsi="宋体" w:eastAsia="仿宋_GB2312" w:cs="宋体"/>
          <w:color w:val="000000"/>
          <w:kern w:val="0"/>
          <w:sz w:val="32"/>
          <w:szCs w:val="32"/>
          <w:shd w:val="clear" w:color="auto" w:fill="FFFFFF"/>
          <w:lang w:val="zh-CN"/>
        </w:rPr>
        <w:t>茂县供销合作社联合社机关事业编制</w:t>
      </w:r>
      <w:r>
        <w:rPr>
          <w:rFonts w:hint="eastAsia" w:ascii="仿宋_GB2312" w:hAnsi="宋体" w:eastAsia="仿宋_GB2312" w:cs="宋体"/>
          <w:color w:val="000000"/>
          <w:kern w:val="0"/>
          <w:sz w:val="32"/>
          <w:szCs w:val="32"/>
          <w:shd w:val="clear" w:color="auto" w:fill="FFFFFF"/>
        </w:rPr>
        <w:t>11</w:t>
      </w:r>
      <w:r>
        <w:rPr>
          <w:rFonts w:hint="eastAsia" w:ascii="仿宋_GB2312" w:hAnsi="宋体" w:eastAsia="仿宋_GB2312" w:cs="宋体"/>
          <w:color w:val="000000"/>
          <w:kern w:val="0"/>
          <w:sz w:val="32"/>
          <w:szCs w:val="32"/>
          <w:shd w:val="clear" w:color="auto" w:fill="FFFFFF"/>
          <w:lang w:val="zh-CN"/>
        </w:rPr>
        <w:t>人，实有在职职工</w:t>
      </w:r>
      <w:r>
        <w:rPr>
          <w:rFonts w:hint="eastAsia" w:ascii="仿宋_GB2312" w:hAnsi="宋体" w:eastAsia="仿宋_GB2312" w:cs="宋体"/>
          <w:color w:val="000000"/>
          <w:kern w:val="0"/>
          <w:sz w:val="32"/>
          <w:szCs w:val="32"/>
          <w:shd w:val="clear" w:color="auto" w:fill="FFFFFF"/>
          <w:lang w:val="en-US" w:eastAsia="zh-CN"/>
        </w:rPr>
        <w:t>10</w:t>
      </w:r>
      <w:r>
        <w:rPr>
          <w:rFonts w:hint="eastAsia" w:ascii="仿宋_GB2312" w:hAnsi="宋体" w:eastAsia="仿宋_GB2312" w:cs="宋体"/>
          <w:color w:val="000000"/>
          <w:kern w:val="0"/>
          <w:sz w:val="32"/>
          <w:szCs w:val="32"/>
          <w:shd w:val="clear" w:color="auto" w:fill="FFFFFF"/>
          <w:lang w:val="zh-CN"/>
        </w:rPr>
        <w:t>人。</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二、部门资金收支情况</w:t>
      </w:r>
    </w:p>
    <w:p>
      <w:pPr>
        <w:widowControl/>
        <w:adjustRightInd w:val="0"/>
        <w:snapToGrid w:val="0"/>
        <w:spacing w:line="580"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收入情况</w:t>
      </w:r>
    </w:p>
    <w:p>
      <w:pPr>
        <w:widowControl/>
        <w:adjustRightInd w:val="0"/>
        <w:snapToGrid w:val="0"/>
        <w:spacing w:line="580" w:lineRule="exact"/>
        <w:ind w:firstLine="640" w:firstLineChars="200"/>
        <w:contextualSpacing/>
        <w:jc w:val="left"/>
        <w:rPr>
          <w:rFonts w:ascii="Times New Roman" w:hAnsi="Times New Roman" w:eastAsia="楷体_GB2312" w:cs="Times New Roman"/>
          <w:b/>
          <w:bCs/>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茂县供销合作社联合社</w:t>
      </w: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25</w:t>
      </w:r>
      <w:r>
        <w:rPr>
          <w:rFonts w:hint="eastAsia" w:ascii="仿宋_GB2312" w:hAnsi="仿宋_GB2312" w:eastAsia="仿宋_GB2312" w:cs="仿宋_GB2312"/>
          <w:color w:val="000000"/>
          <w:kern w:val="0"/>
          <w:sz w:val="32"/>
          <w:szCs w:val="32"/>
          <w:shd w:val="clear" w:color="auto" w:fill="FFFFFF"/>
          <w:lang w:val="zh-CN"/>
        </w:rPr>
        <w:t>年年初预算收入</w:t>
      </w:r>
      <w:r>
        <w:rPr>
          <w:rFonts w:hint="eastAsia" w:ascii="仿宋_GB2312" w:hAnsi="仿宋_GB2312" w:eastAsia="仿宋_GB2312" w:cs="仿宋_GB2312"/>
          <w:color w:val="000000"/>
          <w:kern w:val="0"/>
          <w:sz w:val="32"/>
          <w:szCs w:val="32"/>
          <w:shd w:val="clear" w:color="auto" w:fill="FFFFFF"/>
          <w:lang w:val="en-US" w:eastAsia="zh-CN"/>
        </w:rPr>
        <w:t>152.2</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决算报表收入</w:t>
      </w:r>
      <w:r>
        <w:rPr>
          <w:rFonts w:hint="eastAsia" w:ascii="仿宋_GB2312" w:hAnsi="仿宋_GB2312" w:eastAsia="仿宋_GB2312" w:cs="仿宋_GB2312"/>
          <w:color w:val="000000"/>
          <w:kern w:val="0"/>
          <w:sz w:val="32"/>
          <w:szCs w:val="32"/>
          <w:shd w:val="clear" w:color="auto" w:fill="FFFFFF"/>
          <w:lang w:val="en-US" w:eastAsia="zh-CN"/>
        </w:rPr>
        <w:t>301.62</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3"/>
        </w:numPr>
        <w:adjustRightInd w:val="0"/>
        <w:snapToGrid w:val="0"/>
        <w:spacing w:line="580" w:lineRule="exact"/>
        <w:ind w:firstLine="643" w:firstLineChars="200"/>
        <w:contextualSpacing/>
        <w:jc w:val="left"/>
        <w:rPr>
          <w:rFonts w:hint="eastAsia" w:ascii="Times New Roman" w:hAnsi="Times New Roman" w:eastAsia="楷体_GB2312" w:cs="Times New Roman"/>
          <w:b/>
          <w:bCs/>
          <w:color w:val="000000"/>
          <w:kern w:val="0"/>
          <w:sz w:val="32"/>
          <w:szCs w:val="32"/>
          <w:shd w:val="clear" w:color="auto" w:fill="FFFFFF"/>
          <w:lang w:val="zh-CN"/>
        </w:rPr>
      </w:pPr>
      <w:r>
        <w:rPr>
          <w:rFonts w:hint="eastAsia" w:ascii="Times New Roman" w:hAnsi="Times New Roman" w:eastAsia="楷体_GB2312" w:cs="Times New Roman"/>
          <w:b/>
          <w:bCs/>
          <w:color w:val="000000"/>
          <w:kern w:val="0"/>
          <w:sz w:val="32"/>
          <w:szCs w:val="32"/>
          <w:shd w:val="clear" w:color="auto" w:fill="FFFFFF"/>
          <w:lang w:val="zh-CN"/>
        </w:rPr>
        <w:t>支出情况</w:t>
      </w:r>
    </w:p>
    <w:p>
      <w:pPr>
        <w:widowControl/>
        <w:numPr>
          <w:ilvl w:val="0"/>
          <w:numId w:val="0"/>
        </w:numPr>
        <w:adjustRightInd w:val="0"/>
        <w:snapToGrid w:val="0"/>
        <w:spacing w:line="580" w:lineRule="exact"/>
        <w:ind w:firstLine="640" w:firstLineChars="200"/>
        <w:contextualSpacing/>
        <w:jc w:val="left"/>
        <w:rPr>
          <w:rFonts w:ascii="Times New Roman" w:hAnsi="Times New Roman" w:eastAsia="仿宋_GB2312" w:cs="Times New Roman"/>
          <w:sz w:val="32"/>
          <w:szCs w:val="32"/>
          <w:lang w:val="zh-CN"/>
        </w:rPr>
      </w:pPr>
      <w:r>
        <w:rPr>
          <w:rFonts w:hint="eastAsia" w:ascii="仿宋_GB2312" w:hAnsi="宋体" w:eastAsia="仿宋_GB2312" w:cs="宋体"/>
          <w:color w:val="000000"/>
          <w:kern w:val="0"/>
          <w:sz w:val="32"/>
          <w:szCs w:val="32"/>
          <w:shd w:val="clear" w:color="auto" w:fill="FFFFFF"/>
          <w:lang w:val="zh-CN"/>
        </w:rPr>
        <w:t>茂县供销合作社联合社</w:t>
      </w:r>
      <w:r>
        <w:rPr>
          <w:rFonts w:hint="eastAsia"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25</w:t>
      </w:r>
      <w:r>
        <w:rPr>
          <w:rFonts w:hint="eastAsia" w:ascii="仿宋_GB2312" w:hAnsi="仿宋_GB2312" w:eastAsia="仿宋_GB2312" w:cs="仿宋_GB2312"/>
          <w:color w:val="000000"/>
          <w:kern w:val="0"/>
          <w:sz w:val="32"/>
          <w:szCs w:val="32"/>
          <w:shd w:val="clear" w:color="auto" w:fill="FFFFFF"/>
          <w:lang w:val="zh-CN"/>
        </w:rPr>
        <w:t>年年初预算</w:t>
      </w:r>
      <w:r>
        <w:rPr>
          <w:rFonts w:hint="eastAsia" w:ascii="Times New Roman" w:hAnsi="Times New Roman" w:eastAsia="仿宋_GB2312" w:cs="Times New Roman"/>
          <w:sz w:val="32"/>
          <w:szCs w:val="32"/>
        </w:rPr>
        <w:t>支出</w:t>
      </w:r>
      <w:r>
        <w:rPr>
          <w:rFonts w:hint="eastAsia" w:ascii="仿宋_GB2312" w:hAnsi="仿宋_GB2312" w:eastAsia="仿宋_GB2312" w:cs="仿宋_GB2312"/>
          <w:color w:val="000000"/>
          <w:kern w:val="0"/>
          <w:sz w:val="32"/>
          <w:szCs w:val="32"/>
          <w:shd w:val="clear" w:color="auto" w:fill="FFFFFF"/>
          <w:lang w:val="en-US" w:eastAsia="zh-CN"/>
        </w:rPr>
        <w:t>152.2</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决算报表</w:t>
      </w:r>
      <w:r>
        <w:rPr>
          <w:rFonts w:hint="eastAsia" w:ascii="Times New Roman" w:hAnsi="Times New Roman" w:eastAsia="仿宋_GB2312" w:cs="Times New Roman"/>
          <w:sz w:val="32"/>
          <w:szCs w:val="32"/>
        </w:rPr>
        <w:t>支出</w:t>
      </w:r>
      <w:r>
        <w:rPr>
          <w:rFonts w:hint="eastAsia" w:ascii="仿宋_GB2312" w:hAnsi="仿宋_GB2312" w:eastAsia="仿宋_GB2312" w:cs="仿宋_GB2312"/>
          <w:color w:val="000000"/>
          <w:kern w:val="0"/>
          <w:sz w:val="32"/>
          <w:szCs w:val="32"/>
          <w:shd w:val="clear" w:color="auto" w:fill="FFFFFF"/>
          <w:lang w:val="en-US" w:eastAsia="zh-CN"/>
        </w:rPr>
        <w:t>301.62</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val="zh-CN"/>
        </w:rPr>
        <w:t>。</w:t>
      </w:r>
    </w:p>
    <w:p>
      <w:pPr>
        <w:widowControl/>
        <w:numPr>
          <w:ilvl w:val="0"/>
          <w:numId w:val="3"/>
        </w:numPr>
        <w:adjustRightInd w:val="0"/>
        <w:snapToGrid w:val="0"/>
        <w:spacing w:line="578" w:lineRule="exact"/>
        <w:ind w:left="0" w:leftChars="0" w:firstLine="643" w:firstLineChars="200"/>
        <w:contextualSpacing/>
        <w:jc w:val="left"/>
        <w:rPr>
          <w:rFonts w:ascii="Times New Roman" w:hAnsi="Times New Roman" w:eastAsia="楷体_GB2312" w:cs="Times New Roman"/>
          <w:b/>
          <w:sz w:val="32"/>
          <w:szCs w:val="32"/>
        </w:rPr>
      </w:pPr>
      <w:r>
        <w:rPr>
          <w:rFonts w:ascii="Times New Roman" w:hAnsi="Times New Roman" w:eastAsia="楷体_GB2312" w:cs="Times New Roman"/>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茂县供销合作社联合社无结余分配和结余结转。</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三、部门预算绩效分析</w:t>
      </w:r>
    </w:p>
    <w:p>
      <w:pPr>
        <w:adjustRightInd w:val="0"/>
        <w:snapToGrid w:val="0"/>
        <w:spacing w:line="578" w:lineRule="exact"/>
        <w:ind w:firstLine="643"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w:t>
      </w:r>
      <w:r>
        <w:rPr>
          <w:rFonts w:hint="eastAsia" w:ascii="Times New Roman" w:hAnsi="Times New Roman" w:eastAsia="楷体_GB2312" w:cs="Times New Roman"/>
          <w:b/>
          <w:bCs/>
          <w:color w:val="000000"/>
          <w:kern w:val="0"/>
          <w:sz w:val="32"/>
          <w:szCs w:val="32"/>
          <w:shd w:val="clear" w:color="auto" w:fill="FFFFFF"/>
          <w:lang w:val="zh-CN"/>
        </w:rPr>
        <w:t>部门预算</w:t>
      </w:r>
      <w:r>
        <w:rPr>
          <w:rFonts w:ascii="Times New Roman" w:hAnsi="Times New Roman" w:eastAsia="楷体_GB2312" w:cs="Times New Roman"/>
          <w:b/>
          <w:bCs/>
          <w:color w:val="000000"/>
          <w:kern w:val="0"/>
          <w:sz w:val="32"/>
          <w:szCs w:val="32"/>
          <w:shd w:val="clear" w:color="auto" w:fill="FFFFFF"/>
          <w:lang w:val="zh-CN"/>
        </w:rPr>
        <w:t>总体绩效分析</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严格按照相关财务规定要求，加强财务管理。</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在规定的时间之内报送绩效管理相关工作，报送资料齐全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在编制预算时，按时填报部门整体支出、项目支出绩效目标申报表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绩效目标申报表目标设置合理，符合项目特点，描述清晰明确，要填报新增重大政策、重大项目目标申报表</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对预算执行中进行有效绩效跟踪监控</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认真开展项目支出、财政政策、部门整体支出事后绩效自评工作</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
          <w:bCs/>
          <w:sz w:val="32"/>
          <w:szCs w:val="32"/>
        </w:rPr>
        <w:t>五是</w:t>
      </w:r>
      <w:r>
        <w:rPr>
          <w:rFonts w:hint="eastAsia" w:ascii="仿宋_GB2312" w:hAnsi="仿宋_GB2312" w:eastAsia="仿宋_GB2312" w:cs="仿宋_GB2312"/>
          <w:sz w:val="32"/>
          <w:szCs w:val="32"/>
        </w:rPr>
        <w:t>及时整改绩效评价存在的问题，并及时报送整改报告。</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履职效能。针对部门整体绩效目标中选定3-5个核心职能目标，我们进行了全面的绩效分析。通过对比实际完成情况与预设目标，整体目标完成率达到</w:t>
      </w:r>
      <w:r>
        <w:rPr>
          <w:rFonts w:hint="eastAsia" w:ascii="仿宋_GB2312" w:hAnsi="仿宋_GB2312" w:eastAsia="仿宋_GB2312" w:cs="仿宋_GB2312"/>
          <w:sz w:val="32"/>
          <w:szCs w:val="32"/>
        </w:rPr>
        <w:t>100%，超过预期目标。</w:t>
      </w:r>
    </w:p>
    <w:p>
      <w:pPr>
        <w:widowControl/>
        <w:adjustRightInd w:val="0"/>
        <w:snapToGrid w:val="0"/>
        <w:spacing w:line="578" w:lineRule="exact"/>
        <w:ind w:firstLine="640" w:firstLineChars="200"/>
        <w:contextualSpacing/>
        <w:jc w:val="left"/>
        <w:rPr>
          <w:rFonts w:ascii="楷体_GB2312" w:hAnsi="楷体_GB2312" w:eastAsia="楷体_GB2312" w:cs="楷体_GB2312"/>
          <w:color w:val="000000"/>
          <w:kern w:val="0"/>
          <w:sz w:val="32"/>
          <w:szCs w:val="32"/>
          <w:shd w:val="clear" w:color="auto" w:fill="FFFFFF"/>
          <w:lang w:val="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zh-CN"/>
        </w:rPr>
        <w:t>预算管理。在预算管理方面，我们重点分析了预算编制质量，我社</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zh-CN"/>
        </w:rPr>
        <w:t>预算编制质量得到了显著提升、支出执行进度符合预期，预算年终结余控制在合理范围内，未出现大额结余或超支情况。同时，我们严格执行一般性支出控制政策，有效降低了非必要支出</w:t>
      </w:r>
      <w:r>
        <w:rPr>
          <w:rFonts w:hint="eastAsia" w:ascii="Times New Roman" w:hAnsi="Times New Roman" w:eastAsia="仿宋_GB2312" w:cs="Times New Roman"/>
          <w:color w:val="000000"/>
          <w:kern w:val="0"/>
          <w:sz w:val="32"/>
          <w:szCs w:val="32"/>
          <w:shd w:val="clear" w:color="auto" w:fill="FFFFFF"/>
          <w:lang w:val="zh-CN"/>
        </w:rPr>
        <w:t>。</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财务管理。我社在“三重一大”制度、财务岗位设置以及资金使用等方面进行了规范，并严格执行了绩效分析。通过这一系列措施，确保了财务管理的科学性和规范性。“三重一大”制度的完善和绩效分析的实施，有助于提升资金使用的效率和透明度，减少不必要的支出，确保财务健康。同时，严格财务岗位设置有助于明确职责，提高工作效率。</w:t>
      </w:r>
    </w:p>
    <w:p>
      <w:pPr>
        <w:widowControl/>
        <w:adjustRightInd w:val="0"/>
        <w:snapToGrid w:val="0"/>
        <w:spacing w:line="578"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zh-CN"/>
        </w:rPr>
        <w:t>资产管理。我社修订了社有资产监督管理制度（试行）、社有资产出租管理制度（试行），修订后的制度通过规范流程、强化监督、两大大核心措施，已初步实现“资产盘活、收益增长、风险可控”的目标。</w:t>
      </w:r>
    </w:p>
    <w:p>
      <w:pPr>
        <w:widowControl/>
        <w:adjustRightInd w:val="0"/>
        <w:snapToGrid w:val="0"/>
        <w:spacing w:line="578" w:lineRule="exact"/>
        <w:ind w:firstLine="640" w:firstLineChars="200"/>
        <w:contextualSpacing/>
        <w:jc w:val="left"/>
        <w:rPr>
          <w:rFonts w:ascii="Times New Roman" w:hAnsi="Times New Roman" w:eastAsia="仿宋_GB2312" w:cs="Times New Roman"/>
          <w:sz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zh-CN"/>
        </w:rPr>
        <w:t>采购管理。</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年我社无采购预算及采购支出。</w:t>
      </w:r>
    </w:p>
    <w:p>
      <w:pPr>
        <w:numPr>
          <w:ilvl w:val="0"/>
          <w:numId w:val="4"/>
        </w:numPr>
        <w:adjustRightInd w:val="0"/>
        <w:snapToGrid w:val="0"/>
        <w:spacing w:line="578" w:lineRule="exact"/>
        <w:ind w:firstLine="643" w:firstLineChars="200"/>
        <w:contextualSpacing/>
        <w:jc w:val="left"/>
        <w:rPr>
          <w:rFonts w:ascii="仿宋_GB2312" w:hAnsi="仿宋_GB2312" w:eastAsia="仿宋_GB2312" w:cs="仿宋_GB2312"/>
          <w:sz w:val="32"/>
          <w:szCs w:val="32"/>
        </w:rPr>
      </w:pPr>
      <w:r>
        <w:rPr>
          <w:rFonts w:ascii="Times New Roman" w:hAnsi="Times New Roman" w:eastAsia="楷体_GB2312" w:cs="Times New Roman"/>
          <w:b/>
          <w:bCs/>
          <w:color w:val="000000"/>
          <w:kern w:val="0"/>
          <w:sz w:val="32"/>
          <w:szCs w:val="32"/>
          <w:shd w:val="clear" w:color="auto" w:fill="FFFFFF"/>
          <w:lang w:val="zh-CN"/>
        </w:rPr>
        <w:t>部门预算项目绩效分析</w:t>
      </w:r>
    </w:p>
    <w:p>
      <w:pPr>
        <w:numPr>
          <w:ilvl w:val="0"/>
          <w:numId w:val="0"/>
        </w:numPr>
        <w:adjustRightInd w:val="0"/>
        <w:snapToGrid w:val="0"/>
        <w:spacing w:line="578" w:lineRule="exact"/>
        <w:ind w:firstLine="640" w:firstLineChars="200"/>
        <w:contextualSpacing/>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本单位认真对部门预算项目绩效简要做了以下分析，情况如下：</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lang w:val="zh-CN"/>
        </w:rPr>
      </w:pPr>
      <w:r>
        <w:rPr>
          <w:rFonts w:ascii="Times New Roman" w:hAnsi="Times New Roman" w:eastAsia="仿宋_GB2312" w:cs="Times New Roman"/>
          <w:color w:val="000000"/>
          <w:kern w:val="0"/>
          <w:sz w:val="32"/>
          <w:szCs w:val="32"/>
          <w:shd w:val="clear" w:color="auto" w:fill="FFFFFF"/>
        </w:rPr>
        <w:t>常年项目绩效分析。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0</w:t>
      </w:r>
      <w:r>
        <w:rPr>
          <w:rFonts w:ascii="Times New Roman" w:hAnsi="Times New Roman" w:eastAsia="仿宋_GB2312" w:cs="Times New Roman"/>
          <w:color w:val="000000"/>
          <w:kern w:val="0"/>
          <w:sz w:val="32"/>
          <w:szCs w:val="32"/>
          <w:shd w:val="clear" w:color="auto" w:fill="FFFFFF"/>
          <w:lang w:val="zh-CN"/>
        </w:rPr>
        <w:t>万元，其中：预算结余率大于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rPr>
      </w:pPr>
      <w:r>
        <w:rPr>
          <w:rFonts w:ascii="Times New Roman" w:hAnsi="Times New Roman" w:eastAsia="仿宋_GB2312" w:cs="Times New Roman"/>
          <w:color w:val="000000"/>
          <w:kern w:val="0"/>
          <w:sz w:val="32"/>
          <w:szCs w:val="32"/>
          <w:shd w:val="clear" w:color="auto" w:fill="FFFFFF"/>
        </w:rPr>
        <w:t>阶段</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一次性</w:t>
      </w:r>
      <w:r>
        <w:rPr>
          <w:rFonts w:hint="eastAsia" w:ascii="Times New Roman" w:hAnsi="Times New Roman" w:eastAsia="仿宋_GB2312" w:cs="Times New Roman"/>
          <w:color w:val="000000"/>
          <w:kern w:val="0"/>
          <w:sz w:val="32"/>
          <w:szCs w:val="32"/>
          <w:shd w:val="clear" w:color="auto" w:fill="FFFFFF"/>
        </w:rPr>
        <w:t>）</w:t>
      </w:r>
      <w:r>
        <w:rPr>
          <w:rFonts w:ascii="Times New Roman" w:hAnsi="Times New Roman" w:eastAsia="仿宋_GB2312" w:cs="Times New Roman"/>
          <w:color w:val="000000"/>
          <w:kern w:val="0"/>
          <w:sz w:val="32"/>
          <w:szCs w:val="32"/>
          <w:shd w:val="clear" w:color="auto" w:fill="FFFFFF"/>
        </w:rPr>
        <w:t>项目绩效分析。</w:t>
      </w:r>
      <w:r>
        <w:rPr>
          <w:rFonts w:ascii="Times New Roman" w:hAnsi="Times New Roman" w:eastAsia="仿宋_GB2312" w:cs="Times New Roman"/>
          <w:color w:val="000000"/>
          <w:kern w:val="0"/>
          <w:sz w:val="32"/>
          <w:szCs w:val="32"/>
          <w:shd w:val="clear" w:color="auto" w:fill="FFFFFF"/>
          <w:lang w:val="zh-CN"/>
        </w:rPr>
        <w:t>该类项目总数</w:t>
      </w:r>
      <w:r>
        <w:rPr>
          <w:rFonts w:hint="eastAsia" w:ascii="Times New Roman" w:hAnsi="Times New Roman" w:eastAsia="仿宋_GB2312" w:cs="Times New Roman"/>
          <w:color w:val="000000"/>
          <w:kern w:val="0"/>
          <w:sz w:val="32"/>
          <w:szCs w:val="32"/>
          <w:shd w:val="clear" w:color="auto" w:fill="FFFFFF"/>
        </w:rPr>
        <w:t>4</w:t>
      </w:r>
      <w:r>
        <w:rPr>
          <w:rFonts w:ascii="Times New Roman" w:hAnsi="Times New Roman" w:eastAsia="仿宋_GB2312" w:cs="Times New Roman"/>
          <w:color w:val="000000"/>
          <w:kern w:val="0"/>
          <w:sz w:val="32"/>
          <w:szCs w:val="32"/>
          <w:shd w:val="clear" w:color="auto" w:fill="FFFFFF"/>
          <w:lang w:val="zh-CN"/>
        </w:rPr>
        <w:t>个，涉及预算总金额</w:t>
      </w:r>
      <w:r>
        <w:rPr>
          <w:rFonts w:hint="eastAsia" w:ascii="Times New Roman" w:hAnsi="Times New Roman" w:eastAsia="仿宋_GB2312" w:cs="Times New Roman"/>
          <w:color w:val="000000"/>
          <w:kern w:val="0"/>
          <w:sz w:val="32"/>
          <w:szCs w:val="32"/>
          <w:shd w:val="clear" w:color="auto" w:fill="FFFFFF"/>
          <w:lang w:val="en-US" w:eastAsia="zh-CN"/>
        </w:rPr>
        <w:t>62.55</w:t>
      </w:r>
      <w:r>
        <w:rPr>
          <w:rFonts w:ascii="Times New Roman" w:hAnsi="Times New Roman" w:eastAsia="仿宋_GB2312" w:cs="Times New Roman"/>
          <w:color w:val="000000"/>
          <w:kern w:val="0"/>
          <w:sz w:val="32"/>
          <w:szCs w:val="32"/>
          <w:shd w:val="clear" w:color="auto" w:fill="FFFFFF"/>
          <w:lang w:val="zh-CN"/>
        </w:rPr>
        <w:t>万元，1</w:t>
      </w:r>
      <w:r>
        <w:rPr>
          <w:rFonts w:hint="eastAsia" w:ascii="Times New Roman" w:hAnsi="Times New Roman" w:eastAsia="仿宋_GB2312" w:cs="Times New Roman"/>
          <w:color w:val="000000"/>
          <w:kern w:val="0"/>
          <w:sz w:val="32"/>
          <w:szCs w:val="32"/>
          <w:shd w:val="clear" w:color="auto" w:fill="FFFFFF"/>
          <w:lang w:val="zh-CN"/>
        </w:rPr>
        <w:t>—</w:t>
      </w:r>
      <w:r>
        <w:rPr>
          <w:rFonts w:ascii="Times New Roman" w:hAnsi="Times New Roman" w:eastAsia="仿宋_GB2312" w:cs="Times New Roman"/>
          <w:color w:val="000000"/>
          <w:kern w:val="0"/>
          <w:sz w:val="32"/>
          <w:szCs w:val="32"/>
          <w:shd w:val="clear" w:color="auto" w:fill="FFFFFF"/>
          <w:lang w:val="zh-CN"/>
        </w:rPr>
        <w:t>1</w:t>
      </w:r>
      <w:r>
        <w:rPr>
          <w:rFonts w:ascii="Times New Roman" w:hAnsi="Times New Roman" w:eastAsia="仿宋_GB2312" w:cs="Times New Roman"/>
          <w:color w:val="000000"/>
          <w:kern w:val="0"/>
          <w:sz w:val="32"/>
          <w:szCs w:val="32"/>
          <w:shd w:val="clear" w:color="auto" w:fill="FFFFFF"/>
        </w:rPr>
        <w:t>2</w:t>
      </w:r>
      <w:r>
        <w:rPr>
          <w:rFonts w:ascii="Times New Roman" w:hAnsi="Times New Roman" w:eastAsia="仿宋_GB2312" w:cs="Times New Roman"/>
          <w:color w:val="000000"/>
          <w:kern w:val="0"/>
          <w:sz w:val="32"/>
          <w:szCs w:val="32"/>
          <w:shd w:val="clear" w:color="auto" w:fill="FFFFFF"/>
          <w:lang w:val="zh-CN"/>
        </w:rPr>
        <w:t>月预算执行总体进度为</w:t>
      </w:r>
      <w:r>
        <w:rPr>
          <w:rFonts w:hint="eastAsia" w:ascii="Times New Roman" w:hAnsi="Times New Roman" w:eastAsia="仿宋_GB2312" w:cs="Times New Roman"/>
          <w:color w:val="000000"/>
          <w:kern w:val="0"/>
          <w:sz w:val="32"/>
          <w:szCs w:val="32"/>
          <w:shd w:val="clear" w:color="auto" w:fill="FFFFFF"/>
        </w:rPr>
        <w:t>100</w:t>
      </w:r>
      <w:r>
        <w:rPr>
          <w:rFonts w:ascii="Times New Roman" w:hAnsi="Times New Roman" w:eastAsia="仿宋_GB2312" w:cs="Times New Roman"/>
          <w:color w:val="000000"/>
          <w:kern w:val="0"/>
          <w:sz w:val="32"/>
          <w:szCs w:val="32"/>
          <w:shd w:val="clear" w:color="auto" w:fill="FFFFFF"/>
        </w:rPr>
        <w:t xml:space="preserve"> </w:t>
      </w:r>
      <w:r>
        <w:rPr>
          <w:rFonts w:ascii="Times New Roman" w:hAnsi="Times New Roman" w:eastAsia="仿宋_GB2312" w:cs="Times New Roman"/>
          <w:color w:val="000000"/>
          <w:kern w:val="0"/>
          <w:sz w:val="32"/>
          <w:szCs w:val="32"/>
          <w:shd w:val="clear" w:color="auto" w:fill="FFFFFF"/>
          <w:lang w:val="zh-CN"/>
        </w:rPr>
        <w:t>%，其中：预算结余率大于</w:t>
      </w:r>
      <w:r>
        <w:rPr>
          <w:rFonts w:ascii="Times New Roman" w:hAnsi="Times New Roman" w:eastAsia="仿宋_GB2312" w:cs="Times New Roman"/>
          <w:color w:val="000000"/>
          <w:kern w:val="0"/>
          <w:sz w:val="32"/>
          <w:szCs w:val="32"/>
          <w:shd w:val="clear" w:color="auto" w:fill="FFFFFF"/>
        </w:rPr>
        <w:t>10%</w:t>
      </w:r>
      <w:r>
        <w:rPr>
          <w:rFonts w:ascii="Times New Roman" w:hAnsi="Times New Roman" w:eastAsia="仿宋_GB2312" w:cs="Times New Roman"/>
          <w:color w:val="000000"/>
          <w:kern w:val="0"/>
          <w:sz w:val="32"/>
          <w:szCs w:val="32"/>
          <w:shd w:val="clear" w:color="auto" w:fill="FFFFFF"/>
          <w:lang w:val="zh-CN"/>
        </w:rPr>
        <w:t>的项目共计</w:t>
      </w:r>
      <w:r>
        <w:rPr>
          <w:rFonts w:hint="eastAsia" w:ascii="Times New Roman" w:hAnsi="Times New Roman" w:eastAsia="仿宋_GB2312" w:cs="Times New Roman"/>
          <w:color w:val="000000"/>
          <w:kern w:val="0"/>
          <w:sz w:val="32"/>
          <w:szCs w:val="32"/>
          <w:shd w:val="clear" w:color="auto" w:fill="FFFFFF"/>
        </w:rPr>
        <w:t>0</w:t>
      </w:r>
      <w:r>
        <w:rPr>
          <w:rFonts w:ascii="Times New Roman" w:hAnsi="Times New Roman" w:eastAsia="仿宋_GB2312" w:cs="Times New Roman"/>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ascii="仿宋_GB2312" w:hAnsi="仿宋_GB2312" w:eastAsia="仿宋_GB2312" w:cs="仿宋_GB2312"/>
          <w:color w:val="FF0000"/>
          <w:sz w:val="32"/>
          <w:szCs w:val="32"/>
          <w:lang w:val="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zh-CN"/>
        </w:rPr>
        <w:t>项目决策。在项目启动之前，通过一系列科学、合理的规划来确定项目的可行性和必要性。决策程序需市场调研、风险评估、资源评估、技术可行性分析等，目标设置要具体、可衡量、可达成、相关性强、时限明确等原则。这些目标将成为项目执行过程中的指导方向，也是后续绩效评估的基准。一旦项目决策通过，项目将被正式纳入管理系统中</w:t>
      </w:r>
      <w:r>
        <w:rPr>
          <w:rFonts w:hint="eastAsia" w:ascii="仿宋_GB2312" w:hAnsi="仿宋_GB2312" w:eastAsia="仿宋_GB2312" w:cs="仿宋_GB2312"/>
          <w:color w:val="auto"/>
          <w:sz w:val="32"/>
          <w:szCs w:val="32"/>
          <w:lang w:val="zh-CN"/>
        </w:rPr>
        <w:t>。需要</w:t>
      </w:r>
      <w:r>
        <w:rPr>
          <w:rFonts w:hint="eastAsia" w:ascii="仿宋_GB2312" w:hAnsi="仿宋_GB2312" w:eastAsia="仿宋_GB2312" w:cs="仿宋_GB2312"/>
          <w:sz w:val="32"/>
          <w:szCs w:val="32"/>
          <w:lang w:val="zh-CN"/>
        </w:rPr>
        <w:t>进行初步的绩效分析，以评估项目预期成果与资源投入之间的匹配度，以及项目可能带来的长期效益，有助于进一步细化项目计划，确保项目资源得到合理分配，并为后续的项目执行和监控奠定基础。</w:t>
      </w:r>
    </w:p>
    <w:p>
      <w:pPr>
        <w:adjustRightInd w:val="0"/>
        <w:snapToGrid w:val="0"/>
        <w:spacing w:line="578"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2.项目执行</w:t>
      </w:r>
      <w:r>
        <w:rPr>
          <w:rFonts w:hint="eastAsia" w:ascii="仿宋_GB2312" w:hAnsi="仿宋_GB2312" w:eastAsia="仿宋_GB2312" w:cs="仿宋_GB2312"/>
          <w:sz w:val="32"/>
          <w:szCs w:val="32"/>
          <w:lang w:val="zh-CN"/>
        </w:rPr>
        <w:t>。</w:t>
      </w:r>
      <w:r>
        <w:rPr>
          <w:rFonts w:hint="eastAsia" w:ascii="仿宋_GB2312" w:hAnsi="仿宋_GB2312" w:eastAsia="仿宋_GB2312" w:cs="仿宋_GB2312"/>
          <w:b/>
          <w:bCs/>
          <w:sz w:val="32"/>
          <w:szCs w:val="32"/>
          <w:lang w:val="zh-CN"/>
        </w:rPr>
        <w:t>一是</w:t>
      </w:r>
      <w:r>
        <w:rPr>
          <w:rFonts w:hint="eastAsia" w:ascii="仿宋_GB2312" w:hAnsi="仿宋_GB2312" w:eastAsia="仿宋_GB2312" w:cs="仿宋_GB2312"/>
          <w:sz w:val="32"/>
          <w:szCs w:val="32"/>
          <w:lang w:val="zh-CN"/>
        </w:rPr>
        <w:t>项目启动之初，需基于详细的项目计划制定科学合理的资金预算，明确各项开支的预期额度及时间安排。预算编制完成后，需经过严格的审批流程，确保预算的合理性和可行性。</w:t>
      </w:r>
      <w:r>
        <w:rPr>
          <w:rFonts w:hint="eastAsia" w:ascii="仿宋_GB2312" w:hAnsi="仿宋_GB2312" w:eastAsia="仿宋_GB2312" w:cs="仿宋_GB2312"/>
          <w:b/>
          <w:bCs/>
          <w:sz w:val="32"/>
          <w:szCs w:val="32"/>
          <w:lang w:val="zh-CN"/>
        </w:rPr>
        <w:t>二是</w:t>
      </w:r>
      <w:r>
        <w:rPr>
          <w:rFonts w:hint="eastAsia" w:ascii="仿宋_GB2312" w:hAnsi="仿宋_GB2312" w:eastAsia="仿宋_GB2312" w:cs="仿宋_GB2312"/>
          <w:sz w:val="32"/>
          <w:szCs w:val="32"/>
          <w:lang w:val="zh-CN"/>
        </w:rPr>
        <w:t>项目实施过程中，</w:t>
      </w:r>
      <w:r>
        <w:rPr>
          <w:rFonts w:hint="eastAsia" w:ascii="Times New Roman" w:hAnsi="Times New Roman" w:eastAsia="仿宋_GB2312" w:cs="Times New Roman"/>
          <w:sz w:val="32"/>
        </w:rPr>
        <w:t>开展有效的资金监管</w:t>
      </w:r>
      <w:r>
        <w:rPr>
          <w:rFonts w:hint="eastAsia" w:ascii="仿宋_GB2312" w:hAnsi="仿宋_GB2312" w:eastAsia="仿宋_GB2312" w:cs="仿宋_GB2312"/>
          <w:sz w:val="32"/>
          <w:szCs w:val="32"/>
          <w:lang w:val="zh-CN"/>
        </w:rPr>
        <w:t>，实时跟踪资金使用情况，确保资金流与项目进度相匹配。通过精细化的成本管理和资源优化配置，减少不必要的开支，提高资金使用效率。同时，鼓励采用创新的成本控制方法，以最小的成本实现最大的项目价值。</w:t>
      </w:r>
      <w:r>
        <w:rPr>
          <w:rFonts w:hint="eastAsia" w:ascii="仿宋_GB2312" w:hAnsi="仿宋_GB2312" w:eastAsia="仿宋_GB2312" w:cs="仿宋_GB2312"/>
          <w:b/>
          <w:bCs/>
          <w:sz w:val="32"/>
          <w:szCs w:val="32"/>
          <w:lang w:val="zh-CN"/>
        </w:rPr>
        <w:t>三是</w:t>
      </w:r>
      <w:r>
        <w:rPr>
          <w:rFonts w:hint="eastAsia" w:ascii="仿宋_GB2312" w:hAnsi="仿宋_GB2312" w:eastAsia="仿宋_GB2312" w:cs="仿宋_GB2312"/>
          <w:sz w:val="32"/>
          <w:szCs w:val="32"/>
          <w:lang w:val="zh-CN"/>
        </w:rPr>
        <w:t>项目执行过程中难免会遇到各种变更需求，包括需求变更、范围变更、进度变更等。需建立完善的变更管理机制，明确变更申请、评估、审批及实施的流程确保项目有序进行。</w:t>
      </w:r>
    </w:p>
    <w:p>
      <w:pPr>
        <w:adjustRightInd w:val="0"/>
        <w:snapToGrid w:val="0"/>
        <w:spacing w:line="578" w:lineRule="exact"/>
        <w:ind w:firstLine="640" w:firstLineChars="200"/>
        <w:contextualSpacing/>
        <w:jc w:val="left"/>
        <w:rPr>
          <w:rFonts w:ascii="Times New Roman" w:hAnsi="Times New Roman" w:eastAsia="仿宋_GB2312" w:cs="Times New Roman"/>
          <w:color w:val="000000"/>
          <w:kern w:val="0"/>
          <w:sz w:val="32"/>
          <w:szCs w:val="32"/>
          <w:shd w:val="clear" w:color="auto" w:fill="FFFFFF"/>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zh-CN"/>
        </w:rPr>
        <w:t>目标实现。目标设定</w:t>
      </w:r>
      <w:r>
        <w:rPr>
          <w:rFonts w:hint="eastAsia" w:ascii="仿宋_GB2312" w:hAnsi="仿宋_GB2312" w:eastAsia="仿宋_GB2312" w:cs="仿宋_GB2312"/>
          <w:sz w:val="32"/>
          <w:szCs w:val="32"/>
          <w:lang w:val="zh-CN" w:eastAsia="zh-CN"/>
        </w:rPr>
        <w:t>于</w:t>
      </w:r>
      <w:r>
        <w:rPr>
          <w:rFonts w:hint="eastAsia" w:ascii="仿宋_GB2312" w:hAnsi="仿宋_GB2312" w:eastAsia="仿宋_GB2312" w:cs="仿宋_GB2312"/>
          <w:sz w:val="32"/>
          <w:szCs w:val="32"/>
          <w:lang w:val="zh-CN"/>
        </w:rPr>
        <w:t>明确项目启动之初，需明确项目的总体目标及具体可量化的子目标。目标应清晰、具体、可衡量并与项目愿景和组织战略紧密相连。明确的目标为项目执行提供方向，也为后续的绩效分析奠定了基础。在项目执行过程中，需定期跟踪各项目标的完成情况。通过收集项目数据、进度报告和里程碑成果，对比分析实际完成情况与计划目标的差距。这一过程有助于及时发现潜在问题，为采取必要的调整措施提供依据。当发现实际完成情况与计划目标存在偏差时，进行了深入的目标偏离分析。</w:t>
      </w:r>
    </w:p>
    <w:p>
      <w:pPr>
        <w:widowControl/>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w:t>
      </w:r>
      <w:r>
        <w:rPr>
          <w:rFonts w:hint="eastAsia" w:ascii="Times New Roman" w:hAnsi="Times New Roman" w:eastAsia="楷体_GB2312" w:cs="Times New Roman"/>
          <w:b/>
          <w:bCs/>
          <w:color w:val="000000"/>
          <w:kern w:val="0"/>
          <w:sz w:val="32"/>
          <w:szCs w:val="32"/>
          <w:shd w:val="clear" w:color="auto" w:fill="FFFFFF"/>
          <w:lang w:val="zh-CN"/>
        </w:rPr>
        <w:t>三</w:t>
      </w:r>
      <w:r>
        <w:rPr>
          <w:rFonts w:ascii="Times New Roman" w:hAnsi="Times New Roman" w:eastAsia="楷体_GB2312" w:cs="Times New Roman"/>
          <w:b/>
          <w:bCs/>
          <w:color w:val="000000"/>
          <w:kern w:val="0"/>
          <w:sz w:val="32"/>
          <w:szCs w:val="32"/>
          <w:shd w:val="clear" w:color="auto" w:fill="FFFFFF"/>
          <w:lang w:val="zh-CN"/>
        </w:rPr>
        <w:t>）重点领域绩效分析</w:t>
      </w:r>
    </w:p>
    <w:p>
      <w:pPr>
        <w:snapToGrid w:val="0"/>
        <w:spacing w:line="60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2025年度我社无重点领域支出。</w:t>
      </w:r>
    </w:p>
    <w:p>
      <w:pPr>
        <w:snapToGrid w:val="0"/>
        <w:spacing w:line="600" w:lineRule="exact"/>
        <w:ind w:firstLine="643" w:firstLineChars="200"/>
        <w:rPr>
          <w:rFonts w:ascii="Times New Roman" w:hAnsi="Times New Roman" w:eastAsia="楷体_GB2312" w:cs="Times New Roman"/>
          <w:b/>
          <w:bCs/>
          <w:sz w:val="32"/>
          <w:szCs w:val="32"/>
          <w:lang w:val="zh-CN"/>
        </w:rPr>
      </w:pPr>
      <w:r>
        <w:rPr>
          <w:rFonts w:ascii="Times New Roman" w:hAnsi="Times New Roman" w:eastAsia="楷体_GB2312" w:cs="Times New Roman"/>
          <w:b/>
          <w:bCs/>
          <w:sz w:val="32"/>
          <w:szCs w:val="32"/>
          <w:lang w:val="zh-CN"/>
        </w:rPr>
        <w:t>（四）绩效结果应用情况</w:t>
      </w:r>
    </w:p>
    <w:p>
      <w:pPr>
        <w:snapToGrid w:val="0"/>
        <w:spacing w:line="60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一是绩效自评结果将作为以后年度项目立项和经费支持的重要依据，也作为财政部门对单位项目预算的重要参考。二是绩效自评结果公开将按照财政部门的统一要求，对绩效评价情况予以公开。</w:t>
      </w:r>
    </w:p>
    <w:p>
      <w:pPr>
        <w:widowControl/>
        <w:adjustRightInd w:val="0"/>
        <w:snapToGrid w:val="0"/>
        <w:spacing w:line="578" w:lineRule="exact"/>
        <w:ind w:firstLine="640" w:firstLineChars="200"/>
        <w:contextualSpacing/>
        <w:jc w:val="left"/>
        <w:rPr>
          <w:rFonts w:ascii="Times New Roman" w:hAnsi="Times New Roman" w:eastAsia="黑体" w:cs="Times New Roman"/>
          <w:color w:val="000000"/>
          <w:kern w:val="0"/>
          <w:sz w:val="32"/>
          <w:szCs w:val="32"/>
          <w:shd w:val="clear" w:color="auto" w:fill="FFFFFF"/>
        </w:rPr>
      </w:pPr>
      <w:r>
        <w:rPr>
          <w:rFonts w:ascii="Times New Roman" w:hAnsi="Times New Roman" w:eastAsia="黑体" w:cs="Times New Roman"/>
          <w:color w:val="000000"/>
          <w:kern w:val="0"/>
          <w:sz w:val="32"/>
          <w:szCs w:val="32"/>
          <w:shd w:val="clear" w:color="auto" w:fill="FFFFFF"/>
        </w:rPr>
        <w:t>四、评价结论及建议</w:t>
      </w:r>
    </w:p>
    <w:p>
      <w:pPr>
        <w:widowControl/>
        <w:adjustRightInd w:val="0"/>
        <w:snapToGrid w:val="0"/>
        <w:spacing w:line="576" w:lineRule="exact"/>
        <w:ind w:firstLine="643" w:firstLineChars="200"/>
        <w:contextualSpacing/>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（一）评价结论</w:t>
      </w:r>
    </w:p>
    <w:p>
      <w:pPr>
        <w:widowControl/>
        <w:adjustRightInd w:val="0"/>
        <w:snapToGrid w:val="0"/>
        <w:spacing w:line="576" w:lineRule="exact"/>
        <w:ind w:firstLine="640" w:firstLineChars="200"/>
        <w:contextualSpacing/>
        <w:rPr>
          <w:rFonts w:ascii="仿宋_GB2312" w:hAnsi="宋体" w:eastAsia="仿宋_GB2312" w:cs="宋体"/>
          <w:color w:val="000000"/>
          <w:kern w:val="0"/>
          <w:sz w:val="32"/>
          <w:szCs w:val="32"/>
          <w:shd w:val="clear" w:color="auto" w:fill="FFFFFF"/>
        </w:rPr>
      </w:pPr>
      <w:r>
        <w:rPr>
          <w:rFonts w:hint="eastAsia" w:ascii="仿宋_GB2312" w:hAnsi="仿宋_GB2312" w:eastAsia="仿宋_GB2312" w:cs="仿宋_GB2312"/>
          <w:sz w:val="32"/>
          <w:szCs w:val="32"/>
          <w:lang w:val="zh-CN"/>
        </w:rPr>
        <w:t>我社</w:t>
      </w:r>
      <w:r>
        <w:rPr>
          <w:rFonts w:hint="eastAsia" w:ascii="仿宋_GB2312" w:hAnsi="仿宋_GB2312" w:eastAsia="仿宋_GB2312" w:cs="仿宋_GB2312"/>
          <w:sz w:val="32"/>
          <w:szCs w:val="32"/>
        </w:rPr>
        <w:t>认真做好年度财政资金的预算编制工作，在资金使用和管理方面，进一步强化资金统筹，优化结构，明确开支范围，细化资金用途，</w:t>
      </w:r>
      <w:r>
        <w:rPr>
          <w:rFonts w:hint="eastAsia" w:ascii="仿宋_GB2312" w:hAnsi="宋体" w:eastAsia="仿宋_GB2312" w:cs="宋体"/>
          <w:color w:val="000000"/>
          <w:kern w:val="0"/>
          <w:sz w:val="32"/>
          <w:szCs w:val="32"/>
          <w:shd w:val="clear" w:color="auto" w:fill="FFFFFF"/>
          <w:lang w:val="zh-CN"/>
        </w:rPr>
        <w:t>坚持为“三农”服务办社宗旨，提升为农服务功能；坚持以市场经济为导向，提升企业市场竞争力；坚持稳中求进的工作基调，推进供销社综合改革发展，取得了较好的成效。</w:t>
      </w:r>
      <w:r>
        <w:rPr>
          <w:rFonts w:hint="eastAsia" w:ascii="仿宋_GB2312" w:hAnsi="宋体" w:eastAsia="仿宋_GB2312" w:cs="宋体"/>
          <w:color w:val="000000"/>
          <w:kern w:val="0"/>
          <w:sz w:val="32"/>
          <w:szCs w:val="32"/>
          <w:shd w:val="clear" w:color="auto" w:fill="FFFFFF"/>
        </w:rPr>
        <w:t>202</w:t>
      </w:r>
      <w:r>
        <w:rPr>
          <w:rFonts w:hint="eastAsia" w:ascii="仿宋_GB2312" w:hAnsi="宋体" w:eastAsia="仿宋_GB2312" w:cs="宋体"/>
          <w:color w:val="000000"/>
          <w:kern w:val="0"/>
          <w:sz w:val="32"/>
          <w:szCs w:val="32"/>
          <w:shd w:val="clear" w:color="auto" w:fill="FFFFFF"/>
          <w:lang w:val="en-US" w:eastAsia="zh-CN"/>
        </w:rPr>
        <w:t>5</w:t>
      </w:r>
      <w:r>
        <w:rPr>
          <w:rFonts w:hint="eastAsia" w:ascii="仿宋_GB2312" w:hAnsi="宋体" w:eastAsia="仿宋_GB2312" w:cs="宋体"/>
          <w:color w:val="000000"/>
          <w:kern w:val="0"/>
          <w:sz w:val="32"/>
          <w:szCs w:val="32"/>
          <w:shd w:val="clear" w:color="auto" w:fill="FFFFFF"/>
          <w:lang w:val="zh-CN"/>
        </w:rPr>
        <w:t>年茂县供销合作社联合社整体支出绩效评价自查自评结果良好</w:t>
      </w:r>
      <w:r>
        <w:rPr>
          <w:rFonts w:hint="eastAsia" w:ascii="仿宋_GB2312" w:hAnsi="宋体" w:eastAsia="仿宋_GB2312" w:cs="宋体"/>
          <w:color w:val="000000"/>
          <w:kern w:val="0"/>
          <w:sz w:val="32"/>
          <w:szCs w:val="32"/>
          <w:shd w:val="clear" w:color="auto" w:fill="FFFFFF"/>
        </w:rPr>
        <w:t>。</w:t>
      </w:r>
      <w:r>
        <w:rPr>
          <w:rFonts w:hint="eastAsia" w:ascii="仿宋_GB2312" w:hAnsi="仿宋_GB2312" w:eastAsia="仿宋_GB2312" w:cs="仿宋_GB2312"/>
          <w:sz w:val="32"/>
          <w:szCs w:val="32"/>
        </w:rPr>
        <w:t>整体上完成了年初设定的绩效目标，保障了单位的正常运转，降低了运行成本，促进了社会和谐稳定，充分发挥了财政资金的经济效益、社会效益。</w:t>
      </w:r>
    </w:p>
    <w:p>
      <w:pPr>
        <w:widowControl/>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（二）存在问题</w:t>
      </w:r>
    </w:p>
    <w:p>
      <w:pPr>
        <w:widowControl/>
        <w:adjustRightInd w:val="0"/>
        <w:snapToGrid w:val="0"/>
        <w:spacing w:line="578" w:lineRule="exact"/>
        <w:ind w:firstLine="608" w:firstLineChars="200"/>
        <w:contextualSpacing/>
        <w:jc w:val="left"/>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1.预算绩效观念不深入，思想认识有误区。对预算绩效管理的认知不到位，存在“两轻两重”的惯性思维，即重视资金分配而忽视资金使用效率。</w:t>
      </w:r>
    </w:p>
    <w:p>
      <w:pPr>
        <w:widowControl/>
        <w:adjustRightInd w:val="0"/>
        <w:snapToGrid w:val="0"/>
        <w:spacing w:line="578" w:lineRule="exact"/>
        <w:ind w:firstLine="608" w:firstLineChars="200"/>
        <w:contextualSpacing/>
        <w:jc w:val="left"/>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2.专业人员匮乏，规范管理有盲点。预算绩效管理工作需要具备专业素养和实战经验的人力资源，但我社专业人员的缺乏导致管理存在盲点。</w:t>
      </w:r>
    </w:p>
    <w:p>
      <w:pPr>
        <w:widowControl/>
        <w:adjustRightInd w:val="0"/>
        <w:snapToGrid w:val="0"/>
        <w:spacing w:line="578" w:lineRule="exact"/>
        <w:ind w:firstLine="643" w:firstLineChars="200"/>
        <w:contextualSpacing/>
        <w:jc w:val="left"/>
        <w:rPr>
          <w:rFonts w:ascii="Times New Roman" w:hAnsi="Times New Roman" w:eastAsia="楷体_GB2312" w:cs="Times New Roman"/>
          <w:b/>
          <w:bCs/>
          <w:color w:val="000000"/>
          <w:kern w:val="0"/>
          <w:sz w:val="32"/>
          <w:szCs w:val="32"/>
          <w:shd w:val="clear" w:color="auto" w:fill="FFFFFF"/>
          <w:lang w:val="zh-CN"/>
        </w:rPr>
      </w:pPr>
      <w:r>
        <w:rPr>
          <w:rFonts w:ascii="Times New Roman" w:hAnsi="Times New Roman" w:eastAsia="楷体_GB2312" w:cs="Times New Roman"/>
          <w:b/>
          <w:bCs/>
          <w:color w:val="000000"/>
          <w:kern w:val="0"/>
          <w:sz w:val="32"/>
          <w:szCs w:val="32"/>
          <w:shd w:val="clear" w:color="auto" w:fill="FFFFFF"/>
          <w:lang w:val="zh-CN"/>
        </w:rPr>
        <w:t>（三</w:t>
      </w:r>
      <w:r>
        <w:rPr>
          <w:rFonts w:hint="eastAsia" w:ascii="Times New Roman" w:hAnsi="Times New Roman" w:eastAsia="楷体_GB2312" w:cs="Times New Roman"/>
          <w:b/>
          <w:bCs/>
          <w:color w:val="000000"/>
          <w:kern w:val="0"/>
          <w:sz w:val="32"/>
          <w:szCs w:val="32"/>
          <w:shd w:val="clear" w:color="auto" w:fill="FFFFFF"/>
          <w:lang w:val="zh-CN"/>
        </w:rPr>
        <w:t>）</w:t>
      </w:r>
      <w:r>
        <w:rPr>
          <w:rFonts w:ascii="Times New Roman" w:hAnsi="Times New Roman" w:eastAsia="楷体_GB2312" w:cs="Times New Roman"/>
          <w:b/>
          <w:bCs/>
          <w:color w:val="000000"/>
          <w:kern w:val="0"/>
          <w:sz w:val="32"/>
          <w:szCs w:val="32"/>
          <w:shd w:val="clear" w:color="auto" w:fill="FFFFFF"/>
          <w:lang w:val="zh-CN"/>
        </w:rPr>
        <w:t>改进建议</w:t>
      </w:r>
    </w:p>
    <w:p>
      <w:pPr>
        <w:spacing w:line="578" w:lineRule="exact"/>
        <w:ind w:firstLine="608" w:firstLineChars="200"/>
        <w:contextualSpacing/>
        <w:rPr>
          <w:rFonts w:ascii="仿宋_GB2312" w:hAnsi="仿宋_GB2312" w:eastAsia="仿宋_GB2312" w:cs="仿宋_GB2312"/>
          <w:w w:val="95"/>
          <w:kern w:val="0"/>
          <w:sz w:val="32"/>
          <w:szCs w:val="32"/>
        </w:rPr>
      </w:pPr>
      <w:r>
        <w:rPr>
          <w:rFonts w:hint="eastAsia" w:ascii="仿宋_GB2312" w:hAnsi="仿宋_GB2312" w:eastAsia="仿宋_GB2312" w:cs="仿宋_GB2312"/>
          <w:w w:val="95"/>
          <w:kern w:val="0"/>
          <w:sz w:val="32"/>
          <w:szCs w:val="32"/>
        </w:rPr>
        <w:t>加强宣传教育，通过召开会议、举办业务讲座等多种形式，提高我社</w:t>
      </w:r>
      <w:r>
        <w:rPr>
          <w:rFonts w:hint="eastAsia" w:ascii="仿宋_GB2312" w:hAnsi="仿宋_GB2312" w:eastAsia="仿宋_GB2312" w:cs="仿宋_GB2312"/>
          <w:w w:val="95"/>
          <w:kern w:val="0"/>
          <w:sz w:val="32"/>
          <w:szCs w:val="32"/>
          <w:lang w:eastAsia="zh-CN"/>
        </w:rPr>
        <w:t>领导班子</w:t>
      </w:r>
      <w:r>
        <w:rPr>
          <w:rFonts w:hint="eastAsia" w:ascii="仿宋_GB2312" w:hAnsi="仿宋_GB2312" w:eastAsia="仿宋_GB2312" w:cs="仿宋_GB2312"/>
          <w:w w:val="95"/>
          <w:kern w:val="0"/>
          <w:sz w:val="32"/>
          <w:szCs w:val="32"/>
        </w:rPr>
        <w:t>和财务人员、项目人员的预算绩效管理意识，确保绩效理念深入人心。提升专业能力，通过培训和教育，提高预算单位财务人员和项目人员的专业素养，确保管理工作的高效执行。</w:t>
      </w:r>
    </w:p>
    <w:p>
      <w:pPr>
        <w:widowControl w:val="0"/>
        <w:ind w:left="1060" w:leftChars="200" w:hanging="640" w:hangingChars="200"/>
        <w:jc w:val="both"/>
        <w:rPr>
          <w:rFonts w:ascii="Times New Roman" w:hAnsi="Times New Roman" w:eastAsia="仿宋_GB2312" w:cs="Times New Roman"/>
          <w:kern w:val="2"/>
          <w:sz w:val="32"/>
          <w:szCs w:val="24"/>
          <w:lang w:val="en-US" w:eastAsia="zh-CN" w:bidi="ar-SA"/>
        </w:rPr>
      </w:pPr>
    </w:p>
    <w:p>
      <w:pPr>
        <w:spacing w:line="578" w:lineRule="exact"/>
        <w:jc w:val="left"/>
        <w:rPr>
          <w:rFonts w:ascii="Times New Roman" w:hAnsi="Times New Roman" w:eastAsia="黑体" w:cs="Times New Roman"/>
          <w:sz w:val="32"/>
        </w:rPr>
      </w:pPr>
      <w:r>
        <w:rPr>
          <w:rFonts w:ascii="Times New Roman" w:hAnsi="Times New Roman" w:eastAsia="仿宋_GB2312" w:cs="Times New Roman"/>
          <w:color w:val="000000"/>
          <w:kern w:val="0"/>
          <w:sz w:val="32"/>
          <w:szCs w:val="32"/>
          <w:shd w:val="clear" w:color="auto" w:fill="FFFFFF"/>
        </w:rPr>
        <w:br w:type="page"/>
      </w:r>
      <w:r>
        <w:rPr>
          <w:rFonts w:ascii="Times New Roman" w:hAnsi="Times New Roman" w:eastAsia="黑体" w:cs="Times New Roman"/>
          <w:sz w:val="32"/>
        </w:rPr>
        <w:t>附表</w:t>
      </w:r>
      <w:r>
        <w:rPr>
          <w:rFonts w:hint="eastAsia" w:ascii="Times New Roman" w:hAnsi="Times New Roman" w:eastAsia="黑体" w:cs="Times New Roman"/>
          <w:sz w:val="32"/>
        </w:rPr>
        <w:t>1</w:t>
      </w:r>
    </w:p>
    <w:p>
      <w:pPr>
        <w:widowControl/>
        <w:spacing w:line="600" w:lineRule="exact"/>
        <w:jc w:val="center"/>
        <w:textAlignment w:val="center"/>
        <w:rPr>
          <w:rFonts w:ascii="Times New Roman" w:hAnsi="Times New Roman" w:eastAsia="方正小标宋简体" w:cs="Times New Roman"/>
          <w:color w:val="000000"/>
          <w:kern w:val="0"/>
          <w:sz w:val="32"/>
          <w:szCs w:val="32"/>
        </w:rPr>
      </w:pPr>
      <w:r>
        <w:rPr>
          <w:rFonts w:hint="eastAsia" w:ascii="Times New Roman" w:hAnsi="Times New Roman" w:eastAsia="方正小标宋简体" w:cs="Times New Roman"/>
          <w:color w:val="000000"/>
          <w:kern w:val="0"/>
          <w:sz w:val="32"/>
          <w:szCs w:val="32"/>
        </w:rPr>
        <w:t>部门预算绩效自评打分表</w:t>
      </w:r>
    </w:p>
    <w:tbl>
      <w:tblPr>
        <w:tblStyle w:val="26"/>
        <w:tblW w:w="9198" w:type="dxa"/>
        <w:jc w:val="center"/>
        <w:tblLayout w:type="fixed"/>
        <w:tblCellMar>
          <w:top w:w="0" w:type="dxa"/>
          <w:left w:w="108" w:type="dxa"/>
          <w:bottom w:w="0" w:type="dxa"/>
          <w:right w:w="108" w:type="dxa"/>
        </w:tblCellMar>
      </w:tblPr>
      <w:tblGrid>
        <w:gridCol w:w="1041"/>
        <w:gridCol w:w="1299"/>
        <w:gridCol w:w="1719"/>
        <w:gridCol w:w="846"/>
        <w:gridCol w:w="3096"/>
        <w:gridCol w:w="632"/>
        <w:gridCol w:w="565"/>
      </w:tblGrid>
      <w:tr>
        <w:tblPrEx>
          <w:tblCellMar>
            <w:top w:w="0" w:type="dxa"/>
            <w:left w:w="108" w:type="dxa"/>
            <w:bottom w:w="0" w:type="dxa"/>
            <w:right w:w="108" w:type="dxa"/>
          </w:tblCellMar>
        </w:tblPrEx>
        <w:trPr>
          <w:trHeight w:val="240" w:hRule="atLeast"/>
          <w:jc w:val="center"/>
        </w:trPr>
        <w:tc>
          <w:tcPr>
            <w:tcW w:w="490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绩效评价指标指标分值</w:t>
            </w:r>
          </w:p>
        </w:tc>
        <w:tc>
          <w:tcPr>
            <w:tcW w:w="30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指标解释</w:t>
            </w:r>
          </w:p>
        </w:tc>
        <w:tc>
          <w:tcPr>
            <w:tcW w:w="632"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自评得分</w:t>
            </w:r>
          </w:p>
        </w:tc>
        <w:tc>
          <w:tcPr>
            <w:tcW w:w="565" w:type="dxa"/>
            <w:vMerge w:val="restart"/>
            <w:tcBorders>
              <w:top w:val="single" w:color="000000" w:sz="4" w:space="0"/>
              <w:left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kern w:val="0"/>
                <w:sz w:val="18"/>
                <w:szCs w:val="18"/>
              </w:rPr>
            </w:pPr>
            <w:r>
              <w:rPr>
                <w:rFonts w:hint="eastAsia" w:ascii="黑体" w:hAnsi="宋体" w:eastAsia="黑体" w:cs="黑体"/>
                <w:color w:val="000000"/>
                <w:kern w:val="0"/>
                <w:sz w:val="18"/>
                <w:szCs w:val="18"/>
              </w:rPr>
              <w:t>备注</w:t>
            </w:r>
          </w:p>
        </w:tc>
      </w:tr>
      <w:tr>
        <w:tblPrEx>
          <w:tblCellMar>
            <w:top w:w="0" w:type="dxa"/>
            <w:left w:w="108" w:type="dxa"/>
            <w:bottom w:w="0" w:type="dxa"/>
            <w:right w:w="108" w:type="dxa"/>
          </w:tblCellMar>
        </w:tblPrEx>
        <w:trPr>
          <w:trHeight w:val="691" w:hRule="atLeast"/>
          <w:jc w:val="center"/>
        </w:trPr>
        <w:tc>
          <w:tcPr>
            <w:tcW w:w="1041" w:type="dxa"/>
            <w:tcBorders>
              <w:top w:val="single" w:color="000000" w:sz="4" w:space="0"/>
              <w:left w:val="single" w:color="000000" w:sz="4" w:space="0"/>
              <w:bottom w:val="single" w:color="000000" w:sz="4" w:space="0"/>
              <w:right w:val="nil"/>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一级指标</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二级指标</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三级指标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rPr>
              <w:t>指标</w:t>
            </w:r>
            <w:r>
              <w:rPr>
                <w:rFonts w:hint="eastAsia" w:ascii="黑体" w:hAnsi="宋体" w:eastAsia="黑体" w:cs="黑体"/>
                <w:color w:val="000000"/>
                <w:kern w:val="0"/>
                <w:sz w:val="18"/>
                <w:szCs w:val="18"/>
              </w:rPr>
              <w:br w:type="textWrapping"/>
            </w:r>
            <w:r>
              <w:rPr>
                <w:rFonts w:hint="eastAsia" w:ascii="黑体" w:hAnsi="宋体" w:eastAsia="黑体" w:cs="黑体"/>
                <w:color w:val="000000"/>
                <w:kern w:val="0"/>
                <w:sz w:val="18"/>
                <w:szCs w:val="18"/>
              </w:rPr>
              <w:t>分值</w:t>
            </w:r>
          </w:p>
        </w:tc>
        <w:tc>
          <w:tcPr>
            <w:tcW w:w="30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18"/>
                <w:szCs w:val="18"/>
              </w:rPr>
            </w:pPr>
          </w:p>
        </w:tc>
        <w:tc>
          <w:tcPr>
            <w:tcW w:w="632"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18"/>
                <w:szCs w:val="18"/>
              </w:rPr>
            </w:pPr>
          </w:p>
        </w:tc>
        <w:tc>
          <w:tcPr>
            <w:tcW w:w="565"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黑体" w:hAnsi="宋体" w:eastAsia="黑体" w:cs="黑体"/>
                <w:color w:val="000000"/>
                <w:sz w:val="18"/>
                <w:szCs w:val="18"/>
              </w:rPr>
            </w:pPr>
          </w:p>
        </w:tc>
      </w:tr>
      <w:tr>
        <w:tblPrEx>
          <w:tblCellMar>
            <w:top w:w="0" w:type="dxa"/>
            <w:left w:w="108" w:type="dxa"/>
            <w:bottom w:w="0" w:type="dxa"/>
            <w:right w:w="108" w:type="dxa"/>
          </w:tblCellMar>
        </w:tblPrEx>
        <w:trPr>
          <w:trHeight w:val="700" w:hRule="atLeast"/>
          <w:jc w:val="center"/>
        </w:trPr>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总体绩效</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（65分）</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履职效能</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（15分）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履职效果</w:t>
            </w:r>
          </w:p>
        </w:tc>
        <w:tc>
          <w:tcPr>
            <w:tcW w:w="846" w:type="dxa"/>
            <w:tcBorders>
              <w:top w:val="nil"/>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15</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部门整体绩效目标中选定3-5个核心职能目标，反映该项职能目标完成效果情况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hint="eastAsia" w:ascii="宋体" w:hAnsi="宋体" w:eastAsia="宋体" w:cs="宋体"/>
                <w:color w:val="000000"/>
                <w:kern w:val="0"/>
                <w:sz w:val="18"/>
                <w:szCs w:val="18"/>
                <w:lang w:eastAsia="zh-CN"/>
              </w:rPr>
            </w:pPr>
            <w:r>
              <w:rPr>
                <w:rFonts w:hint="eastAsia" w:ascii="宋体" w:hAnsi="宋体" w:eastAsia="宋体" w:cs="宋体"/>
                <w:color w:val="000000"/>
                <w:kern w:val="0"/>
                <w:sz w:val="18"/>
                <w:szCs w:val="18"/>
              </w:rPr>
              <w:t>1</w:t>
            </w:r>
            <w:r>
              <w:rPr>
                <w:rFonts w:hint="eastAsia" w:ascii="宋体" w:hAnsi="宋体" w:eastAsia="宋体" w:cs="宋体"/>
                <w:color w:val="000000"/>
                <w:kern w:val="0"/>
                <w:sz w:val="18"/>
                <w:szCs w:val="18"/>
                <w:lang w:val="en-US" w:eastAsia="zh-CN"/>
              </w:rPr>
              <w:t>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70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预算管理</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（25分）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预算编制质量</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8</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部门是否严格按要求编制年初部门预算，年初预算编制的科学性和准确性</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8</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4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单位收入统筹</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部门统筹自有收入程度</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支出执行进度</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6</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部门1至6月、1至10月预算执行情况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4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预算年终结余</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部门整体年终预算结余情况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116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严控一般性支出</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5</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部门严控“三公”经费、会议、培训、差旅、办节办展、办公设备购置、信息网络及软件购置更新、课题经费等8项一般性支出情况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5</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4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财务管理</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（10分）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财务管理制度</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部门财务管理制度建立情况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财务岗位设置</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2</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部门财务岗位设置是否符合相关财务管理制度要求</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2</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资金使用规范</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部门资金使用是否符合相关财务管理制度规定</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资产管理</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（9分）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人均资产变化率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部门人均资产变化情况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资产利用率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部门资产超最低使用年限情况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总体绩效</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（65分）</w:t>
            </w:r>
          </w:p>
        </w:tc>
        <w:tc>
          <w:tcPr>
            <w:tcW w:w="12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资产管理</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（9分）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资产盘活率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部门闲置一年以上的资产盘活情况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70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采购管理</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（6分）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支持中小企业发展</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部门是否严格执行政府采购促进中小企业发展相关管理办法</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采购执行率</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部门政府采购项目资金支付比例情况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项目绩效</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（35分）</w:t>
            </w:r>
          </w:p>
        </w:tc>
        <w:tc>
          <w:tcPr>
            <w:tcW w:w="129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项目决策</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（12分）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决策程序</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部门预算项目设立是否按规定履行评估论证、申报程序</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116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目标设置</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部门预算项目绩效目标与计划期内的任务量、预算安排的资金量匹配情况，绩效目标设置是否科学合理、规范完整、量化细化、预算匹配</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项目入库</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部门预算项目是否在规定时间完成项目入库</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70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项目执行</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（12分）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执行同向</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部门预算项目实际列支内容是否与绩效目标设置方向相符</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项目调整</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部门预算项目是否采取对应调整措施</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24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nil"/>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执行结果</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部门预算项目预算执行情况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目标实现</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（11分）</w:t>
            </w: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目标完成</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部门预算项目绩效目标数量指标完成情况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70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目标偏离</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4</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部门预算项目绩效目标数量指标实现程度与预期目标的偏离情况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4</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70" w:hRule="atLeast"/>
          <w:jc w:val="center"/>
        </w:trPr>
        <w:tc>
          <w:tcPr>
            <w:tcW w:w="10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2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rPr>
                <w:rFonts w:ascii="宋体" w:hAnsi="宋体" w:eastAsia="宋体" w:cs="宋体"/>
                <w:b/>
                <w:color w:val="000000"/>
                <w:sz w:val="18"/>
                <w:szCs w:val="18"/>
              </w:rPr>
            </w:pPr>
          </w:p>
        </w:tc>
        <w:tc>
          <w:tcPr>
            <w:tcW w:w="171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实现效果</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3</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部门预算项目绩效目标效益指标实施效果</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r>
              <w:rPr>
                <w:rFonts w:hint="eastAsia" w:ascii="宋体" w:hAnsi="宋体" w:eastAsia="宋体" w:cs="宋体"/>
                <w:color w:val="000000"/>
                <w:kern w:val="0"/>
                <w:sz w:val="18"/>
                <w:szCs w:val="18"/>
              </w:rPr>
              <w:t>3</w:t>
            </w: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700" w:hRule="atLeast"/>
          <w:jc w:val="center"/>
        </w:trPr>
        <w:tc>
          <w:tcPr>
            <w:tcW w:w="10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b/>
                <w:color w:val="000000"/>
                <w:sz w:val="18"/>
                <w:szCs w:val="18"/>
              </w:rPr>
            </w:pPr>
            <w:r>
              <w:rPr>
                <w:rFonts w:hint="eastAsia" w:ascii="宋体" w:hAnsi="宋体" w:eastAsia="宋体" w:cs="宋体"/>
                <w:b/>
                <w:color w:val="000000"/>
                <w:kern w:val="0"/>
                <w:sz w:val="18"/>
                <w:szCs w:val="18"/>
              </w:rPr>
              <w:t>扣分项</w:t>
            </w:r>
            <w:r>
              <w:rPr>
                <w:rFonts w:hint="eastAsia" w:ascii="宋体" w:hAnsi="宋体" w:eastAsia="宋体" w:cs="宋体"/>
                <w:b/>
                <w:color w:val="000000"/>
                <w:kern w:val="0"/>
                <w:sz w:val="18"/>
                <w:szCs w:val="18"/>
              </w:rPr>
              <w:br w:type="textWrapping"/>
            </w:r>
            <w:r>
              <w:rPr>
                <w:rFonts w:hint="eastAsia" w:ascii="宋体" w:hAnsi="宋体" w:eastAsia="宋体" w:cs="宋体"/>
                <w:b/>
                <w:color w:val="000000"/>
                <w:kern w:val="0"/>
                <w:sz w:val="18"/>
                <w:szCs w:val="18"/>
              </w:rPr>
              <w:t>（10分）</w:t>
            </w:r>
          </w:p>
        </w:tc>
        <w:tc>
          <w:tcPr>
            <w:tcW w:w="30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被评价部门配合度</w:t>
            </w:r>
          </w:p>
        </w:tc>
        <w:tc>
          <w:tcPr>
            <w:tcW w:w="84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center"/>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w:t>
            </w:r>
          </w:p>
        </w:tc>
        <w:tc>
          <w:tcPr>
            <w:tcW w:w="30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sz w:val="18"/>
                <w:szCs w:val="18"/>
              </w:rPr>
            </w:pPr>
            <w:r>
              <w:rPr>
                <w:rFonts w:hint="eastAsia" w:ascii="宋体" w:hAnsi="宋体" w:eastAsia="宋体" w:cs="宋体"/>
                <w:color w:val="000000"/>
                <w:kern w:val="0"/>
                <w:sz w:val="18"/>
                <w:szCs w:val="18"/>
              </w:rPr>
              <w:t>被评价对象工作配合情况</w:t>
            </w:r>
          </w:p>
        </w:tc>
        <w:tc>
          <w:tcPr>
            <w:tcW w:w="6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c>
          <w:tcPr>
            <w:tcW w:w="5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exact"/>
              <w:jc w:val="left"/>
              <w:textAlignment w:val="center"/>
              <w:rPr>
                <w:rFonts w:ascii="宋体" w:hAnsi="宋体" w:eastAsia="宋体" w:cs="宋体"/>
                <w:color w:val="000000"/>
                <w:kern w:val="0"/>
                <w:sz w:val="18"/>
                <w:szCs w:val="18"/>
              </w:rPr>
            </w:pPr>
          </w:p>
        </w:tc>
      </w:tr>
      <w:tr>
        <w:tblPrEx>
          <w:tblCellMar>
            <w:top w:w="0" w:type="dxa"/>
            <w:left w:w="108" w:type="dxa"/>
            <w:bottom w:w="0" w:type="dxa"/>
            <w:right w:w="108" w:type="dxa"/>
          </w:tblCellMar>
        </w:tblPrEx>
        <w:trPr>
          <w:trHeight w:val="427" w:hRule="atLeast"/>
          <w:jc w:val="center"/>
        </w:trPr>
        <w:tc>
          <w:tcPr>
            <w:tcW w:w="9198" w:type="dxa"/>
            <w:gridSpan w:val="7"/>
            <w:tcBorders>
              <w:top w:val="nil"/>
              <w:left w:val="single" w:color="000000" w:sz="4" w:space="0"/>
              <w:bottom w:val="nil"/>
              <w:right w:val="single" w:color="000000" w:sz="4" w:space="0"/>
            </w:tcBorders>
            <w:shd w:val="clear" w:color="auto" w:fill="auto"/>
            <w:noWrap/>
            <w:vAlign w:val="center"/>
          </w:tcPr>
          <w:p>
            <w:pPr>
              <w:widowControl/>
              <w:jc w:val="center"/>
              <w:textAlignment w:val="center"/>
              <w:rPr>
                <w:rFonts w:hint="eastAsia" w:ascii="宋体" w:hAnsi="宋体" w:eastAsia="宋体" w:cs="宋体"/>
                <w:color w:val="000000"/>
                <w:sz w:val="18"/>
                <w:szCs w:val="18"/>
                <w:lang w:val="en-US" w:eastAsia="zh-CN"/>
              </w:rPr>
            </w:pPr>
            <w:r>
              <w:rPr>
                <w:rFonts w:hint="eastAsia" w:ascii="宋体" w:hAnsi="宋体" w:eastAsia="宋体" w:cs="宋体"/>
                <w:color w:val="000000"/>
                <w:kern w:val="0"/>
                <w:sz w:val="18"/>
                <w:szCs w:val="18"/>
              </w:rPr>
              <w:t>预算年度:202</w:t>
            </w:r>
            <w:r>
              <w:rPr>
                <w:rFonts w:hint="eastAsia" w:ascii="宋体" w:hAnsi="宋体" w:eastAsia="宋体" w:cs="宋体"/>
                <w:color w:val="000000"/>
                <w:kern w:val="0"/>
                <w:sz w:val="18"/>
                <w:szCs w:val="18"/>
                <w:lang w:val="en-US" w:eastAsia="zh-CN"/>
              </w:rPr>
              <w:t>5</w:t>
            </w:r>
          </w:p>
        </w:tc>
      </w:tr>
    </w:tbl>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p>
    <w:p>
      <w:pPr>
        <w:rPr>
          <w:rFonts w:ascii="Times New Roman" w:hAnsi="Times New Roman" w:eastAsia="黑体" w:cs="Times New Roman"/>
          <w:sz w:val="32"/>
        </w:rPr>
      </w:pPr>
      <w:r>
        <w:rPr>
          <w:rFonts w:ascii="Times New Roman" w:hAnsi="Times New Roman" w:eastAsia="黑体" w:cs="Times New Roman"/>
          <w:sz w:val="32"/>
        </w:rPr>
        <w:t>附表</w:t>
      </w:r>
      <w:r>
        <w:rPr>
          <w:rFonts w:hint="eastAsia" w:ascii="Times New Roman" w:hAnsi="Times New Roman" w:eastAsia="黑体" w:cs="Times New Roman"/>
          <w:sz w:val="32"/>
        </w:rPr>
        <w:t>2</w:t>
      </w:r>
    </w:p>
    <w:tbl>
      <w:tblPr>
        <w:tblStyle w:val="26"/>
        <w:tblW w:w="9380" w:type="dxa"/>
        <w:jc w:val="center"/>
        <w:tblLayout w:type="fixed"/>
        <w:tblCellMar>
          <w:top w:w="15" w:type="dxa"/>
          <w:left w:w="15" w:type="dxa"/>
          <w:bottom w:w="15" w:type="dxa"/>
          <w:right w:w="15" w:type="dxa"/>
        </w:tblCellMar>
      </w:tblPr>
      <w:tblGrid>
        <w:gridCol w:w="1161"/>
        <w:gridCol w:w="1196"/>
        <w:gridCol w:w="1132"/>
        <w:gridCol w:w="977"/>
        <w:gridCol w:w="1017"/>
        <w:gridCol w:w="1144"/>
        <w:gridCol w:w="939"/>
        <w:gridCol w:w="822"/>
        <w:gridCol w:w="992"/>
      </w:tblGrid>
      <w:tr>
        <w:tblPrEx>
          <w:tblCellMar>
            <w:top w:w="15" w:type="dxa"/>
            <w:left w:w="15" w:type="dxa"/>
            <w:bottom w:w="15" w:type="dxa"/>
            <w:right w:w="15" w:type="dxa"/>
          </w:tblCellMar>
        </w:tblPrEx>
        <w:trPr>
          <w:trHeight w:val="747" w:hRule="exact"/>
          <w:jc w:val="center"/>
        </w:trPr>
        <w:tc>
          <w:tcPr>
            <w:tcW w:w="9380" w:type="dxa"/>
            <w:gridSpan w:val="9"/>
            <w:shd w:val="clear" w:color="auto" w:fill="auto"/>
            <w:vAlign w:val="center"/>
          </w:tcPr>
          <w:p>
            <w:pPr>
              <w:widowControl/>
              <w:spacing w:line="600" w:lineRule="exact"/>
              <w:jc w:val="center"/>
              <w:textAlignment w:val="center"/>
              <w:rPr>
                <w:rFonts w:ascii="Times New Roman" w:hAnsi="Times New Roman" w:eastAsia="黑体" w:cs="Times New Roman"/>
                <w:color w:val="000000"/>
                <w:sz w:val="18"/>
                <w:szCs w:val="18"/>
              </w:rPr>
            </w:pPr>
            <w:r>
              <w:rPr>
                <w:rFonts w:ascii="Times New Roman" w:hAnsi="Times New Roman" w:eastAsia="方正小标宋简体" w:cs="Times New Roman"/>
                <w:color w:val="000000"/>
                <w:kern w:val="0"/>
                <w:sz w:val="32"/>
                <w:szCs w:val="32"/>
              </w:rPr>
              <w:t>部门整体绩效目标完成情况自评表</w:t>
            </w:r>
          </w:p>
        </w:tc>
      </w:tr>
      <w:tr>
        <w:tblPrEx>
          <w:tblCellMar>
            <w:top w:w="15" w:type="dxa"/>
            <w:left w:w="15" w:type="dxa"/>
            <w:bottom w:w="15" w:type="dxa"/>
            <w:right w:w="15" w:type="dxa"/>
          </w:tblCellMar>
        </w:tblPrEx>
        <w:trPr>
          <w:trHeight w:val="318" w:hRule="atLeast"/>
          <w:jc w:val="center"/>
        </w:trPr>
        <w:tc>
          <w:tcPr>
            <w:tcW w:w="9380" w:type="dxa"/>
            <w:gridSpan w:val="9"/>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（202</w:t>
            </w:r>
            <w:r>
              <w:rPr>
                <w:rFonts w:hint="eastAsia" w:ascii="Times New Roman" w:hAnsi="Times New Roman" w:eastAsia="宋体" w:cs="Times New Roman"/>
                <w:color w:val="000000"/>
                <w:kern w:val="0"/>
                <w:sz w:val="18"/>
                <w:szCs w:val="18"/>
                <w:lang w:val="en-US" w:eastAsia="zh-CN"/>
              </w:rPr>
              <w:t>5</w:t>
            </w:r>
            <w:r>
              <w:rPr>
                <w:rFonts w:ascii="Times New Roman" w:hAnsi="Times New Roman" w:eastAsia="宋体" w:cs="Times New Roman"/>
                <w:color w:val="000000"/>
                <w:kern w:val="0"/>
                <w:sz w:val="18"/>
                <w:szCs w:val="18"/>
              </w:rPr>
              <w:t>年度）</w:t>
            </w:r>
          </w:p>
        </w:tc>
      </w:tr>
      <w:tr>
        <w:tblPrEx>
          <w:tblCellMar>
            <w:top w:w="15" w:type="dxa"/>
            <w:left w:w="15" w:type="dxa"/>
            <w:bottom w:w="15" w:type="dxa"/>
            <w:right w:w="15" w:type="dxa"/>
          </w:tblCellMar>
        </w:tblPrEx>
        <w:trPr>
          <w:trHeight w:val="318" w:hRule="atLeast"/>
          <w:jc w:val="center"/>
        </w:trPr>
        <w:tc>
          <w:tcPr>
            <w:tcW w:w="9380" w:type="dxa"/>
            <w:gridSpan w:val="9"/>
            <w:tcBorders>
              <w:bottom w:val="single" w:color="000000" w:sz="4" w:space="0"/>
            </w:tcBorders>
            <w:shd w:val="clear" w:color="auto" w:fill="auto"/>
            <w:vAlign w:val="center"/>
          </w:tcPr>
          <w:p>
            <w:pPr>
              <w:widowControl/>
              <w:spacing w:line="300" w:lineRule="exact"/>
              <w:jc w:val="righ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单位：万元</w:t>
            </w:r>
          </w:p>
        </w:tc>
      </w:tr>
      <w:tr>
        <w:tblPrEx>
          <w:tblCellMar>
            <w:top w:w="15" w:type="dxa"/>
            <w:left w:w="15" w:type="dxa"/>
            <w:bottom w:w="15" w:type="dxa"/>
            <w:right w:w="15" w:type="dxa"/>
          </w:tblCellMar>
        </w:tblPrEx>
        <w:trPr>
          <w:trHeight w:val="327" w:hRule="atLeast"/>
          <w:jc w:val="center"/>
        </w:trPr>
        <w:tc>
          <w:tcPr>
            <w:tcW w:w="348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部门名称</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茂县供销合作社联合社</w:t>
            </w:r>
          </w:p>
        </w:tc>
      </w:tr>
      <w:tr>
        <w:tblPrEx>
          <w:tblCellMar>
            <w:top w:w="15" w:type="dxa"/>
            <w:left w:w="15" w:type="dxa"/>
            <w:bottom w:w="15" w:type="dxa"/>
            <w:right w:w="15" w:type="dxa"/>
          </w:tblCellMar>
        </w:tblPrEx>
        <w:trPr>
          <w:trHeight w:val="327" w:hRule="atLeast"/>
          <w:jc w:val="center"/>
        </w:trPr>
        <w:tc>
          <w:tcPr>
            <w:tcW w:w="1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年度部门整体支出预算</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资金总额</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财政拨款</w:t>
            </w:r>
          </w:p>
        </w:tc>
        <w:tc>
          <w:tcPr>
            <w:tcW w:w="38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其他资金</w:t>
            </w:r>
          </w:p>
        </w:tc>
      </w:tr>
      <w:tr>
        <w:tblPrEx>
          <w:tblCellMar>
            <w:top w:w="15" w:type="dxa"/>
            <w:left w:w="15" w:type="dxa"/>
            <w:bottom w:w="15" w:type="dxa"/>
            <w:right w:w="15" w:type="dxa"/>
          </w:tblCellMar>
        </w:tblPrEx>
        <w:trPr>
          <w:trHeight w:val="327"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kern w:val="0"/>
                <w:sz w:val="18"/>
                <w:szCs w:val="18"/>
                <w:lang w:val="en-US" w:eastAsia="zh-CN"/>
              </w:rPr>
              <w:t>301.62</w:t>
            </w:r>
          </w:p>
        </w:tc>
        <w:tc>
          <w:tcPr>
            <w:tcW w:w="199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kern w:val="0"/>
                <w:sz w:val="18"/>
                <w:szCs w:val="18"/>
                <w:lang w:val="en-US" w:eastAsia="zh-CN"/>
              </w:rPr>
              <w:t>301.62</w:t>
            </w:r>
          </w:p>
        </w:tc>
        <w:tc>
          <w:tcPr>
            <w:tcW w:w="38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textAlignment w:val="center"/>
              <w:rPr>
                <w:rFonts w:hint="eastAsia" w:ascii="Times New Roman" w:hAnsi="Times New Roman" w:eastAsia="宋体" w:cs="Times New Roman"/>
                <w:color w:val="FF0000"/>
                <w:sz w:val="18"/>
                <w:szCs w:val="18"/>
                <w:lang w:eastAsia="zh-CN"/>
              </w:rPr>
            </w:pPr>
            <w:r>
              <w:rPr>
                <w:rFonts w:hint="eastAsia" w:ascii="Times New Roman" w:hAnsi="Times New Roman" w:eastAsia="宋体" w:cs="Times New Roman"/>
                <w:color w:val="auto"/>
                <w:sz w:val="18"/>
                <w:szCs w:val="18"/>
                <w:lang w:val="en-US" w:eastAsia="zh-CN"/>
              </w:rPr>
              <w:t>0</w:t>
            </w:r>
          </w:p>
        </w:tc>
      </w:tr>
      <w:tr>
        <w:tblPrEx>
          <w:tblCellMar>
            <w:top w:w="15" w:type="dxa"/>
            <w:left w:w="15" w:type="dxa"/>
            <w:bottom w:w="15" w:type="dxa"/>
            <w:right w:w="15" w:type="dxa"/>
          </w:tblCellMar>
        </w:tblPrEx>
        <w:trPr>
          <w:trHeight w:val="1192" w:hRule="atLeast"/>
          <w:jc w:val="center"/>
        </w:trPr>
        <w:tc>
          <w:tcPr>
            <w:tcW w:w="11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年度总体</w:t>
            </w:r>
          </w:p>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rPr>
              <w:t>目标</w:t>
            </w:r>
          </w:p>
        </w:tc>
        <w:tc>
          <w:tcPr>
            <w:tcW w:w="8219"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kern w:val="0"/>
                <w:sz w:val="18"/>
                <w:szCs w:val="18"/>
              </w:rPr>
              <w:t>全面深入推进综合改革，提升为农服务能力。;加快体制、机制创新;有效的开展调运、储备重要物资工作;维护合作经济组织的合法权益;推进农业产业化经营;推进建立现代化流通体系和现代化营销方式;确保社有资产的保值、增值;加强对外经济合作;完成好上级主管部门、县委县政府交办的其他工作</w:t>
            </w:r>
          </w:p>
        </w:tc>
      </w:tr>
      <w:tr>
        <w:tblPrEx>
          <w:tblCellMar>
            <w:top w:w="15" w:type="dxa"/>
            <w:left w:w="15" w:type="dxa"/>
            <w:bottom w:w="15" w:type="dxa"/>
            <w:right w:w="15" w:type="dxa"/>
          </w:tblCellMar>
        </w:tblPrEx>
        <w:trPr>
          <w:trHeight w:val="327" w:hRule="atLeast"/>
          <w:jc w:val="center"/>
        </w:trPr>
        <w:tc>
          <w:tcPr>
            <w:tcW w:w="1161"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年度主要</w:t>
            </w:r>
          </w:p>
          <w:p>
            <w:pPr>
              <w:widowControl/>
              <w:spacing w:line="300" w:lineRule="exact"/>
              <w:jc w:val="center"/>
              <w:textAlignment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任务</w:t>
            </w: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任务名称</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ascii="Times New Roman" w:hAnsi="Times New Roman" w:eastAsia="宋体" w:cs="Times New Roman"/>
                <w:color w:val="000000"/>
                <w:kern w:val="0"/>
                <w:sz w:val="18"/>
                <w:szCs w:val="18"/>
              </w:rPr>
              <w:t>主要内容</w:t>
            </w:r>
          </w:p>
        </w:tc>
      </w:tr>
      <w:tr>
        <w:tblPrEx>
          <w:tblCellMar>
            <w:top w:w="15" w:type="dxa"/>
            <w:left w:w="15" w:type="dxa"/>
            <w:bottom w:w="15" w:type="dxa"/>
            <w:right w:w="15" w:type="dxa"/>
          </w:tblCellMar>
        </w:tblPrEx>
        <w:trPr>
          <w:trHeight w:val="904" w:hRule="atLeast"/>
          <w:jc w:val="center"/>
        </w:trPr>
        <w:tc>
          <w:tcPr>
            <w:tcW w:w="1161"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加强政治建设，履行党组主体责任</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扎实推进党建、党风廉政建设、意识形态、保密、法治建设、民族团进进步等各项工作。全面建立“三会制度”，社员代表大会、理事会、监事会按照职能开展工作</w:t>
            </w:r>
          </w:p>
        </w:tc>
      </w:tr>
      <w:tr>
        <w:tblPrEx>
          <w:tblCellMar>
            <w:top w:w="15" w:type="dxa"/>
            <w:left w:w="15" w:type="dxa"/>
            <w:bottom w:w="15" w:type="dxa"/>
            <w:right w:w="15" w:type="dxa"/>
          </w:tblCellMar>
        </w:tblPrEx>
        <w:trPr>
          <w:trHeight w:val="1480" w:hRule="atLeast"/>
          <w:jc w:val="center"/>
        </w:trPr>
        <w:tc>
          <w:tcPr>
            <w:tcW w:w="1161"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建立长期合作机制</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我社将主动与各类生产和销售渠道进行深入沟通与合作，搭建稳固的销售网络；与县国有农业企业、银行、保险和物流企业深度合作，逐步建立产业体系合作机制。发挥供销平台作用，逐步建立“生产、供销和信用”三位一体流通体系。充分发挥茂县农村合作经济组织联合会作用</w:t>
            </w:r>
          </w:p>
        </w:tc>
      </w:tr>
      <w:tr>
        <w:tblPrEx>
          <w:tblCellMar>
            <w:top w:w="15" w:type="dxa"/>
            <w:left w:w="15" w:type="dxa"/>
            <w:bottom w:w="15" w:type="dxa"/>
            <w:right w:w="15" w:type="dxa"/>
          </w:tblCellMar>
        </w:tblPrEx>
        <w:trPr>
          <w:trHeight w:val="904" w:hRule="atLeast"/>
          <w:jc w:val="center"/>
        </w:trPr>
        <w:tc>
          <w:tcPr>
            <w:tcW w:w="1161" w:type="dxa"/>
            <w:vMerge w:val="continue"/>
            <w:tcBorders>
              <w:left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抓发展促增长</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在原有农资销售、农特产品销售、烟花爆竹传统业务上，全面拓展茂县花椒的生产销售，探索再生资源回收利用业务，与州供投和阿坝州兄弟县供销社全面合作发展</w:t>
            </w:r>
          </w:p>
        </w:tc>
      </w:tr>
      <w:tr>
        <w:tblPrEx>
          <w:tblCellMar>
            <w:top w:w="15" w:type="dxa"/>
            <w:left w:w="15" w:type="dxa"/>
            <w:bottom w:w="15" w:type="dxa"/>
            <w:right w:w="15" w:type="dxa"/>
          </w:tblCellMar>
        </w:tblPrEx>
        <w:trPr>
          <w:trHeight w:val="1480" w:hRule="atLeast"/>
          <w:jc w:val="center"/>
        </w:trPr>
        <w:tc>
          <w:tcPr>
            <w:tcW w:w="1161"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ascii="Times New Roman" w:hAnsi="Times New Roman" w:eastAsia="宋体" w:cs="Times New Roman"/>
                <w:color w:val="000000"/>
                <w:kern w:val="0"/>
                <w:sz w:val="18"/>
                <w:szCs w:val="18"/>
              </w:rPr>
            </w:pPr>
          </w:p>
        </w:tc>
        <w:tc>
          <w:tcPr>
            <w:tcW w:w="23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加强企业的监督指导，助推企业健康发展</w:t>
            </w:r>
          </w:p>
        </w:tc>
        <w:tc>
          <w:tcPr>
            <w:tcW w:w="589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ascii="Times New Roman" w:hAnsi="Times New Roman" w:eastAsia="宋体" w:cs="Times New Roman"/>
                <w:color w:val="000000"/>
                <w:kern w:val="0"/>
                <w:sz w:val="18"/>
                <w:szCs w:val="18"/>
              </w:rPr>
            </w:pPr>
            <w:r>
              <w:rPr>
                <w:rFonts w:hint="eastAsia" w:ascii="Times New Roman" w:hAnsi="Times New Roman" w:eastAsia="宋体" w:cs="Times New Roman"/>
                <w:color w:val="000000"/>
                <w:kern w:val="0"/>
                <w:sz w:val="18"/>
                <w:szCs w:val="18"/>
              </w:rPr>
              <w:t>一是做好传统业务，履行供销为农服务职能，筹措资金全力做好农资储备与稳价保供工作。二是加强社属企业经营管理，确保企业健康发展。三是规范社有资产管理，维护社有资产安全，确保社有资产增值保值不流失。四是积极助农应对极端天气，切实加强防雹烟花的调运和供应工作</w:t>
            </w:r>
          </w:p>
        </w:tc>
      </w:tr>
      <w:tr>
        <w:tblPrEx>
          <w:tblCellMar>
            <w:top w:w="15" w:type="dxa"/>
            <w:left w:w="15" w:type="dxa"/>
            <w:bottom w:w="15" w:type="dxa"/>
            <w:right w:w="15" w:type="dxa"/>
          </w:tblCellMar>
        </w:tblPrEx>
        <w:trPr>
          <w:trHeight w:val="615" w:hRule="atLeast"/>
          <w:jc w:val="center"/>
        </w:trPr>
        <w:tc>
          <w:tcPr>
            <w:tcW w:w="1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年度绩效</w:t>
            </w:r>
          </w:p>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指标</w:t>
            </w: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一级指标</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二级指标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三级指标</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绩效指标</w:t>
            </w:r>
          </w:p>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性质</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绩效指标值</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绩效度量单位</w:t>
            </w:r>
          </w:p>
        </w:tc>
        <w:tc>
          <w:tcPr>
            <w:tcW w:w="822"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权重</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实际完成</w:t>
            </w:r>
          </w:p>
          <w:p>
            <w:pPr>
              <w:widowControl/>
              <w:spacing w:line="300" w:lineRule="exact"/>
              <w:jc w:val="center"/>
              <w:rPr>
                <w:rFonts w:ascii="Times New Roman" w:hAnsi="Times New Roman" w:eastAsia="宋体" w:cs="Times New Roman"/>
                <w:color w:val="000000"/>
                <w:sz w:val="18"/>
                <w:szCs w:val="18"/>
              </w:rPr>
            </w:pPr>
            <w:r>
              <w:rPr>
                <w:rFonts w:ascii="Times New Roman" w:hAnsi="Times New Roman" w:eastAsia="宋体" w:cs="Times New Roman"/>
                <w:color w:val="000000"/>
                <w:sz w:val="18"/>
                <w:szCs w:val="18"/>
              </w:rPr>
              <w:t>指标值</w:t>
            </w:r>
          </w:p>
        </w:tc>
      </w:tr>
      <w:tr>
        <w:tblPrEx>
          <w:tblCellMar>
            <w:top w:w="15" w:type="dxa"/>
            <w:left w:w="15" w:type="dxa"/>
            <w:bottom w:w="15" w:type="dxa"/>
            <w:right w:w="15" w:type="dxa"/>
          </w:tblCellMar>
        </w:tblPrEx>
        <w:trPr>
          <w:trHeight w:val="1521"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产出指标</w:t>
            </w:r>
          </w:p>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产出指标</w:t>
            </w: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时效指标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各项工作及时完成率</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98</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val="en-US" w:eastAsia="zh-CN"/>
              </w:rPr>
              <w:t>%</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val="en-US" w:eastAsia="zh-CN"/>
              </w:rPr>
              <w:t>15</w:t>
            </w:r>
            <w:r>
              <w:rPr>
                <w:rFonts w:ascii="Times New Roman" w:hAnsi="Times New Roman" w:eastAsia="宋体" w:cs="Times New Roman"/>
                <w:color w:val="000000"/>
                <w:sz w:val="18"/>
                <w:szCs w:val="18"/>
              </w:rPr>
              <w:t>%</w:t>
            </w:r>
          </w:p>
        </w:tc>
        <w:tc>
          <w:tcPr>
            <w:tcW w:w="992"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98</w:t>
            </w:r>
          </w:p>
        </w:tc>
      </w:tr>
      <w:tr>
        <w:tblPrEx>
          <w:tblCellMar>
            <w:top w:w="15" w:type="dxa"/>
            <w:left w:w="15" w:type="dxa"/>
            <w:bottom w:w="15" w:type="dxa"/>
            <w:right w:w="15" w:type="dxa"/>
          </w:tblCellMar>
        </w:tblPrEx>
        <w:trPr>
          <w:trHeight w:val="1480"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数量指标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改造提升城市社区经营服务网点的数量</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个</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val="en-US" w:eastAsia="zh-CN"/>
              </w:rPr>
              <w:t>15</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default"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2</w:t>
            </w:r>
          </w:p>
        </w:tc>
      </w:tr>
      <w:tr>
        <w:tblPrEx>
          <w:tblCellMar>
            <w:top w:w="15" w:type="dxa"/>
            <w:left w:w="15" w:type="dxa"/>
            <w:bottom w:w="15" w:type="dxa"/>
            <w:right w:w="15" w:type="dxa"/>
          </w:tblCellMar>
        </w:tblPrEx>
        <w:trPr>
          <w:trHeight w:val="1192"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数量指标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提升改造区域为农服务中心的数量</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个</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1</w:t>
            </w:r>
            <w:r>
              <w:rPr>
                <w:rFonts w:hint="eastAsia" w:ascii="Times New Roman" w:hAnsi="Times New Roman" w:eastAsia="宋体" w:cs="Times New Roman"/>
                <w:color w:val="000000"/>
                <w:sz w:val="18"/>
                <w:szCs w:val="18"/>
                <w:lang w:val="en-US" w:eastAsia="zh-CN"/>
              </w:rPr>
              <w:t>5</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r>
      <w:tr>
        <w:tblPrEx>
          <w:tblCellMar>
            <w:top w:w="15" w:type="dxa"/>
            <w:left w:w="15" w:type="dxa"/>
            <w:bottom w:w="15" w:type="dxa"/>
            <w:right w:w="15" w:type="dxa"/>
          </w:tblCellMar>
        </w:tblPrEx>
        <w:trPr>
          <w:trHeight w:val="904"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数量指标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改造提升冻库的数量</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个</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1</w:t>
            </w:r>
            <w:r>
              <w:rPr>
                <w:rFonts w:hint="eastAsia" w:ascii="Times New Roman" w:hAnsi="Times New Roman" w:eastAsia="宋体" w:cs="Times New Roman"/>
                <w:color w:val="000000"/>
                <w:sz w:val="18"/>
                <w:szCs w:val="18"/>
                <w:lang w:val="en-US" w:eastAsia="zh-CN"/>
              </w:rPr>
              <w:t>5</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r>
      <w:tr>
        <w:tblPrEx>
          <w:tblCellMar>
            <w:top w:w="15" w:type="dxa"/>
            <w:left w:w="15" w:type="dxa"/>
            <w:bottom w:w="15" w:type="dxa"/>
            <w:right w:w="15" w:type="dxa"/>
          </w:tblCellMar>
        </w:tblPrEx>
        <w:trPr>
          <w:trHeight w:val="904"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continue"/>
            <w:tcBorders>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数量指标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改造农产品加工中心的数量</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w:t>
            </w: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个</w:t>
            </w: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1</w:t>
            </w:r>
            <w:r>
              <w:rPr>
                <w:rFonts w:hint="eastAsia" w:ascii="Times New Roman" w:hAnsi="Times New Roman" w:eastAsia="宋体" w:cs="Times New Roman"/>
                <w:color w:val="000000"/>
                <w:sz w:val="18"/>
                <w:szCs w:val="18"/>
                <w:lang w:val="en-US" w:eastAsia="zh-CN"/>
              </w:rPr>
              <w:t>5</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val="en-US" w:eastAsia="zh-CN"/>
              </w:rPr>
            </w:pPr>
            <w:r>
              <w:rPr>
                <w:rFonts w:hint="eastAsia" w:ascii="Times New Roman" w:hAnsi="Times New Roman" w:eastAsia="宋体" w:cs="Times New Roman"/>
                <w:color w:val="000000"/>
                <w:sz w:val="18"/>
                <w:szCs w:val="18"/>
                <w:lang w:val="en-US" w:eastAsia="zh-CN"/>
              </w:rPr>
              <w:t>1</w:t>
            </w:r>
          </w:p>
        </w:tc>
      </w:tr>
      <w:tr>
        <w:tblPrEx>
          <w:tblCellMar>
            <w:top w:w="15" w:type="dxa"/>
            <w:left w:w="15" w:type="dxa"/>
            <w:bottom w:w="15" w:type="dxa"/>
            <w:right w:w="15" w:type="dxa"/>
          </w:tblCellMar>
        </w:tblPrEx>
        <w:trPr>
          <w:trHeight w:val="615"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vMerge w:val="continue"/>
            <w:tcBorders>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32" w:type="dxa"/>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质量指标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保障农资供应质量</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hint="eastAsia" w:ascii="Times New Roman" w:hAnsi="Times New Roman" w:eastAsia="宋体" w:cs="Times New Roman"/>
                <w:color w:val="000000"/>
                <w:sz w:val="18"/>
                <w:szCs w:val="18"/>
                <w:lang w:eastAsia="zh-CN"/>
              </w:rPr>
            </w:pPr>
            <w:r>
              <w:rPr>
                <w:rFonts w:hint="eastAsia" w:ascii="Times New Roman" w:hAnsi="Times New Roman" w:eastAsia="宋体" w:cs="Times New Roman"/>
                <w:color w:val="000000"/>
                <w:sz w:val="18"/>
                <w:szCs w:val="18"/>
                <w:lang w:eastAsia="zh-CN"/>
              </w:rPr>
              <w:t>有效保障</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1</w:t>
            </w:r>
            <w:r>
              <w:rPr>
                <w:rFonts w:hint="eastAsia" w:ascii="Times New Roman" w:hAnsi="Times New Roman" w:eastAsia="宋体" w:cs="Times New Roman"/>
                <w:color w:val="000000"/>
                <w:sz w:val="18"/>
                <w:szCs w:val="18"/>
                <w:lang w:val="en-US" w:eastAsia="zh-CN"/>
              </w:rPr>
              <w:t>5</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1490" w:hRule="atLeast"/>
          <w:jc w:val="center"/>
        </w:trPr>
        <w:tc>
          <w:tcPr>
            <w:tcW w:w="1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9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效益指标</w:t>
            </w:r>
          </w:p>
        </w:tc>
        <w:tc>
          <w:tcPr>
            <w:tcW w:w="11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社会效益指标</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储备农资，为农服务，推进产业化经营</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11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树立供销形象，带来正面影响</w:t>
            </w:r>
          </w:p>
        </w:tc>
        <w:tc>
          <w:tcPr>
            <w:tcW w:w="9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c>
          <w:tcPr>
            <w:tcW w:w="8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rPr>
              <w:t>10</w:t>
            </w:r>
            <w:r>
              <w:rPr>
                <w:rFonts w:ascii="Times New Roman" w:hAnsi="Times New Roman" w:eastAsia="宋体" w:cs="Times New Roman"/>
                <w:color w:val="000000"/>
                <w:sz w:val="18"/>
                <w:szCs w:val="18"/>
              </w:rPr>
              <w:t>%</w:t>
            </w:r>
          </w:p>
        </w:tc>
        <w:tc>
          <w:tcPr>
            <w:tcW w:w="9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ascii="Times New Roman" w:hAnsi="Times New Roman" w:eastAsia="宋体" w:cs="Times New Roman"/>
                <w:color w:val="000000"/>
                <w:sz w:val="18"/>
                <w:szCs w:val="18"/>
              </w:rPr>
            </w:pPr>
          </w:p>
        </w:tc>
      </w:tr>
    </w:tbl>
    <w:p>
      <w:pPr>
        <w:widowControl/>
        <w:spacing w:line="300" w:lineRule="exact"/>
        <w:jc w:val="center"/>
        <w:rPr>
          <w:rFonts w:ascii="Times New Roman" w:hAnsi="Times New Roman" w:eastAsia="仿宋_GB2312" w:cs="Times New Roman"/>
          <w:sz w:val="32"/>
        </w:rPr>
      </w:pPr>
      <w:r>
        <w:rPr>
          <w:rFonts w:ascii="Times New Roman" w:hAnsi="Times New Roman" w:eastAsia="宋体" w:cs="Times New Roman"/>
          <w:color w:val="000000"/>
          <w:sz w:val="24"/>
        </w:rPr>
        <w:br w:type="page"/>
      </w:r>
    </w:p>
    <w:p>
      <w:pPr>
        <w:spacing w:line="600" w:lineRule="exact"/>
        <w:jc w:val="left"/>
        <w:outlineLvl w:val="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2</w:t>
      </w:r>
    </w:p>
    <w:p>
      <w:pPr>
        <w:pStyle w:val="2"/>
        <w:rPr>
          <w:rFonts w:hint="eastAsia"/>
          <w:lang w:val="en-US" w:eastAsia="zh-CN"/>
        </w:rPr>
      </w:pPr>
    </w:p>
    <w:p>
      <w:pPr>
        <w:widowControl w:val="0"/>
        <w:spacing w:line="578" w:lineRule="exact"/>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茂县供销合作社联合社</w:t>
      </w:r>
    </w:p>
    <w:p>
      <w:pPr>
        <w:widowControl w:val="0"/>
        <w:spacing w:line="578" w:lineRule="exact"/>
        <w:jc w:val="center"/>
        <w:rPr>
          <w:rFonts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2025年州级农资价格及储备补贴资金项目绩效评价报告</w:t>
      </w:r>
    </w:p>
    <w:p>
      <w:pPr>
        <w:widowControl w:val="0"/>
        <w:spacing w:line="578" w:lineRule="exact"/>
        <w:ind w:firstLine="640"/>
        <w:jc w:val="center"/>
        <w:rPr>
          <w:rFonts w:ascii="宋体" w:hAnsi="宋体" w:eastAsia="宋体" w:cs="Times New Roman"/>
          <w:color w:val="auto"/>
          <w:kern w:val="2"/>
          <w:sz w:val="32"/>
          <w:szCs w:val="32"/>
          <w:lang w:val="zh-CN" w:eastAsia="zh-CN" w:bidi="ar-SA"/>
        </w:rPr>
      </w:pPr>
    </w:p>
    <w:p>
      <w:pPr>
        <w:adjustRightInd w:val="0"/>
        <w:snapToGrid w:val="0"/>
        <w:spacing w:line="578" w:lineRule="exact"/>
        <w:ind w:firstLine="640" w:firstLineChars="200"/>
        <w:rPr>
          <w:rFonts w:ascii="黑体" w:hAnsi="宋体" w:eastAsia="黑体" w:cs="Times New Roman"/>
          <w:sz w:val="32"/>
          <w:szCs w:val="32"/>
          <w:lang w:val="zh-CN"/>
        </w:rPr>
      </w:pPr>
      <w:r>
        <w:rPr>
          <w:rFonts w:hint="eastAsia" w:ascii="黑体" w:hAnsi="宋体" w:eastAsia="黑体" w:cs="Times New Roman"/>
          <w:sz w:val="32"/>
          <w:szCs w:val="32"/>
        </w:rPr>
        <w:t>一、</w:t>
      </w:r>
      <w:r>
        <w:rPr>
          <w:rFonts w:hint="eastAsia" w:ascii="黑体" w:hAnsi="宋体" w:eastAsia="黑体" w:cs="Times New Roman"/>
          <w:sz w:val="32"/>
          <w:szCs w:val="32"/>
          <w:lang w:val="zh-CN"/>
        </w:rPr>
        <w:t>项目概况</w:t>
      </w:r>
    </w:p>
    <w:p>
      <w:pPr>
        <w:widowControl/>
        <w:adjustRightInd w:val="0"/>
        <w:snapToGrid w:val="0"/>
        <w:spacing w:line="578" w:lineRule="exact"/>
        <w:ind w:firstLine="643" w:firstLineChars="200"/>
        <w:contextualSpacing/>
        <w:jc w:val="left"/>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（一）设立背景及基本情况</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b w:val="0"/>
          <w:kern w:val="0"/>
          <w:sz w:val="32"/>
          <w:szCs w:val="32"/>
          <w:shd w:val="clear" w:color="auto" w:fill="FFFFFF"/>
          <w:lang w:val="zh-CN" w:eastAsia="zh-CN" w:bidi="ar-SA"/>
        </w:rPr>
      </w:pPr>
      <w:r>
        <w:rPr>
          <w:rFonts w:hint="eastAsia" w:ascii="仿宋_GB2312" w:hAnsi="仿宋_GB2312" w:eastAsia="仿宋_GB2312" w:cs="仿宋_GB2312"/>
          <w:b w:val="0"/>
          <w:kern w:val="0"/>
          <w:sz w:val="32"/>
          <w:szCs w:val="32"/>
          <w:shd w:val="clear" w:color="auto" w:fill="FFFFFF"/>
          <w:lang w:val="zh-CN" w:eastAsia="zh-CN" w:bidi="ar-SA"/>
        </w:rPr>
        <w:t>根据《阿坝州财政局关于下达2025年州级农资价格及储备补贴资金的通知》</w:t>
      </w:r>
      <w:r>
        <w:rPr>
          <w:rFonts w:hint="eastAsia" w:ascii="仿宋_GB2312" w:hAnsi="仿宋_GB2312" w:eastAsia="仿宋_GB2312" w:cs="仿宋_GB2312"/>
          <w:b w:val="0"/>
          <w:kern w:val="0"/>
          <w:sz w:val="32"/>
          <w:szCs w:val="32"/>
          <w:shd w:val="clear" w:color="auto" w:fill="FFFFFF"/>
          <w:lang w:val="en-US" w:eastAsia="zh-CN" w:bidi="ar-SA"/>
        </w:rPr>
        <w:t>(</w:t>
      </w:r>
      <w:r>
        <w:rPr>
          <w:rFonts w:hint="eastAsia" w:ascii="仿宋_GB2312" w:hAnsi="仿宋_GB2312" w:eastAsia="仿宋_GB2312" w:cs="仿宋_GB2312"/>
          <w:b w:val="0"/>
          <w:kern w:val="0"/>
          <w:sz w:val="32"/>
          <w:szCs w:val="32"/>
          <w:shd w:val="clear" w:color="auto" w:fill="FFFFFF"/>
          <w:lang w:val="zh-CN" w:eastAsia="zh-CN" w:bidi="ar-SA"/>
        </w:rPr>
        <w:t>阿州财</w:t>
      </w:r>
      <w:r>
        <w:rPr>
          <w:rFonts w:hint="eastAsia" w:ascii="仿宋_GB2312" w:hAnsi="仿宋_GB2312" w:eastAsia="仿宋_GB2312" w:cs="仿宋_GB2312"/>
          <w:b w:val="0"/>
          <w:kern w:val="0"/>
          <w:sz w:val="32"/>
          <w:szCs w:val="32"/>
          <w:shd w:val="clear" w:color="auto" w:fill="FFFFFF"/>
          <w:lang w:val="en-US" w:eastAsia="zh-CN" w:bidi="ar-SA"/>
        </w:rPr>
        <w:t>建</w:t>
      </w:r>
      <w:r>
        <w:rPr>
          <w:rFonts w:hint="eastAsia" w:ascii="仿宋_GB2312" w:hAnsi="仿宋_GB2312" w:eastAsia="仿宋_GB2312" w:cs="仿宋_GB2312"/>
          <w:b w:val="0"/>
          <w:kern w:val="0"/>
          <w:sz w:val="32"/>
          <w:szCs w:val="32"/>
          <w:shd w:val="clear" w:color="auto" w:fill="FFFFFF"/>
          <w:lang w:val="zh-CN" w:eastAsia="zh-CN" w:bidi="ar-SA"/>
        </w:rPr>
        <w:t>〔202</w:t>
      </w:r>
      <w:r>
        <w:rPr>
          <w:rFonts w:hint="eastAsia" w:ascii="仿宋_GB2312" w:hAnsi="仿宋_GB2312" w:eastAsia="仿宋_GB2312" w:cs="仿宋_GB2312"/>
          <w:b w:val="0"/>
          <w:kern w:val="0"/>
          <w:sz w:val="32"/>
          <w:szCs w:val="32"/>
          <w:shd w:val="clear" w:color="auto" w:fill="FFFFFF"/>
          <w:lang w:val="en-US" w:eastAsia="zh-CN" w:bidi="ar-SA"/>
        </w:rPr>
        <w:t>5</w:t>
      </w:r>
      <w:r>
        <w:rPr>
          <w:rFonts w:hint="eastAsia" w:ascii="仿宋_GB2312" w:hAnsi="仿宋_GB2312" w:eastAsia="仿宋_GB2312" w:cs="仿宋_GB2312"/>
          <w:b w:val="0"/>
          <w:kern w:val="0"/>
          <w:sz w:val="32"/>
          <w:szCs w:val="32"/>
          <w:shd w:val="clear" w:color="auto" w:fill="FFFFFF"/>
          <w:lang w:val="zh-CN" w:eastAsia="zh-CN" w:bidi="ar-SA"/>
        </w:rPr>
        <w:t>〕</w:t>
      </w:r>
      <w:r>
        <w:rPr>
          <w:rFonts w:hint="eastAsia" w:ascii="仿宋_GB2312" w:hAnsi="仿宋_GB2312" w:eastAsia="仿宋_GB2312" w:cs="仿宋_GB2312"/>
          <w:b w:val="0"/>
          <w:kern w:val="0"/>
          <w:sz w:val="32"/>
          <w:szCs w:val="32"/>
          <w:shd w:val="clear" w:color="auto" w:fill="FFFFFF"/>
          <w:lang w:val="en-US" w:eastAsia="zh-CN" w:bidi="ar-SA"/>
        </w:rPr>
        <w:t>68</w:t>
      </w:r>
      <w:r>
        <w:rPr>
          <w:rFonts w:hint="eastAsia" w:ascii="仿宋_GB2312" w:hAnsi="仿宋_GB2312" w:eastAsia="仿宋_GB2312" w:cs="仿宋_GB2312"/>
          <w:b w:val="0"/>
          <w:kern w:val="0"/>
          <w:sz w:val="32"/>
          <w:szCs w:val="32"/>
          <w:shd w:val="clear" w:color="auto" w:fill="FFFFFF"/>
          <w:lang w:val="zh-CN" w:eastAsia="zh-CN" w:bidi="ar-SA"/>
        </w:rPr>
        <w:t>号</w:t>
      </w:r>
      <w:r>
        <w:rPr>
          <w:rFonts w:hint="eastAsia" w:ascii="仿宋_GB2312" w:hAnsi="仿宋_GB2312" w:eastAsia="仿宋_GB2312" w:cs="仿宋_GB2312"/>
          <w:b w:val="0"/>
          <w:kern w:val="0"/>
          <w:sz w:val="32"/>
          <w:szCs w:val="32"/>
          <w:shd w:val="clear" w:color="auto" w:fill="FFFFFF"/>
          <w:lang w:val="en-US" w:eastAsia="zh-CN" w:bidi="ar-SA"/>
        </w:rPr>
        <w:t>)</w:t>
      </w:r>
      <w:r>
        <w:rPr>
          <w:rFonts w:hint="eastAsia" w:ascii="仿宋_GB2312" w:hAnsi="仿宋_GB2312" w:eastAsia="仿宋_GB2312" w:cs="仿宋_GB2312"/>
          <w:b w:val="0"/>
          <w:kern w:val="0"/>
          <w:sz w:val="32"/>
          <w:szCs w:val="32"/>
          <w:shd w:val="clear" w:color="auto" w:fill="FFFFFF"/>
          <w:lang w:val="zh-CN" w:eastAsia="zh-CN" w:bidi="ar-SA"/>
        </w:rPr>
        <w:t>文件精神，为有效控制农资市场价格，切实保障我县农业生产需要，下达我社“2025年州级农资价格及储备补贴资金”共计39万元。</w:t>
      </w:r>
    </w:p>
    <w:p>
      <w:pPr>
        <w:numPr>
          <w:ilvl w:val="0"/>
          <w:numId w:val="4"/>
        </w:numPr>
        <w:ind w:left="0" w:leftChars="0" w:firstLine="643" w:firstLineChars="200"/>
        <w:rPr>
          <w:rFonts w:ascii="楷体_GB2312" w:hAnsi="宋体" w:eastAsia="楷体_GB2312" w:cs="Times New Roman"/>
          <w:b/>
          <w:sz w:val="32"/>
          <w:szCs w:val="32"/>
        </w:rPr>
      </w:pPr>
      <w:r>
        <w:rPr>
          <w:rFonts w:ascii="楷体_GB2312" w:hAnsi="宋体" w:eastAsia="楷体_GB2312" w:cs="Times New Roman"/>
          <w:b/>
          <w:sz w:val="32"/>
          <w:szCs w:val="32"/>
        </w:rPr>
        <w:t>实施目的及支持方向</w:t>
      </w:r>
    </w:p>
    <w:p>
      <w:pPr>
        <w:numPr>
          <w:ilvl w:val="0"/>
          <w:numId w:val="0"/>
        </w:numPr>
        <w:ind w:firstLine="640" w:firstLineChars="200"/>
        <w:rPr>
          <w:rFonts w:hint="eastAsia" w:ascii="仿宋_GB2312" w:hAnsi="Times New Roman" w:eastAsia="仿宋_GB2312" w:cs="仿宋_GB2312"/>
          <w:sz w:val="32"/>
          <w:szCs w:val="32"/>
          <w:lang w:val="zh-CN" w:eastAsia="zh-CN"/>
        </w:rPr>
      </w:pPr>
      <w:r>
        <w:rPr>
          <w:rFonts w:hint="eastAsia" w:ascii="仿宋_GB2312" w:hAnsi="Times New Roman" w:eastAsia="仿宋_GB2312" w:cs="仿宋_GB2312"/>
          <w:sz w:val="32"/>
          <w:szCs w:val="32"/>
          <w:lang w:val="zh-CN" w:eastAsia="zh-CN"/>
        </w:rPr>
        <w:t>为有效控制农资市场价格，切实保障全州农业生产需要，促进农民增产增收，引导广大农民群众使用配方肥和有机肥，降低土地面源污染，推动我州绿色、生态农业发展。</w:t>
      </w:r>
    </w:p>
    <w:p>
      <w:pPr>
        <w:widowControl/>
        <w:numPr>
          <w:ilvl w:val="0"/>
          <w:numId w:val="4"/>
        </w:numPr>
        <w:adjustRightInd w:val="0"/>
        <w:snapToGrid w:val="0"/>
        <w:spacing w:line="578" w:lineRule="exact"/>
        <w:ind w:left="0" w:leftChars="0" w:firstLine="643" w:firstLineChars="200"/>
        <w:contextualSpacing/>
        <w:jc w:val="left"/>
        <w:rPr>
          <w:rFonts w:ascii="楷体_GB2312" w:hAnsi="宋体" w:eastAsia="楷体_GB2312" w:cs="Times New Roman"/>
          <w:b/>
          <w:sz w:val="32"/>
          <w:szCs w:val="32"/>
        </w:rPr>
      </w:pPr>
      <w:r>
        <w:rPr>
          <w:rFonts w:ascii="楷体_GB2312" w:hAnsi="宋体" w:eastAsia="楷体_GB2312" w:cs="Times New Roman"/>
          <w:b/>
          <w:sz w:val="32"/>
          <w:szCs w:val="32"/>
        </w:rPr>
        <w:t>预算安排及分配管理</w:t>
      </w:r>
    </w:p>
    <w:p>
      <w:pPr>
        <w:widowControl/>
        <w:numPr>
          <w:ilvl w:val="0"/>
          <w:numId w:val="0"/>
        </w:numPr>
        <w:adjustRightInd w:val="0"/>
        <w:snapToGrid w:val="0"/>
        <w:spacing w:line="578" w:lineRule="exact"/>
        <w:ind w:firstLine="640" w:firstLineChars="200"/>
        <w:contextualSpacing/>
        <w:jc w:val="left"/>
        <w:rPr>
          <w:rFonts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val="0"/>
          <w:kern w:val="0"/>
          <w:sz w:val="32"/>
          <w:szCs w:val="32"/>
          <w:shd w:val="clear" w:color="auto" w:fill="FFFFFF"/>
          <w:lang w:val="en-US" w:eastAsia="zh-CN" w:bidi="ar-SA"/>
        </w:rPr>
        <w:t>预算安排资金：</w:t>
      </w:r>
      <w:r>
        <w:rPr>
          <w:rFonts w:hint="eastAsia" w:ascii="仿宋_GB2312" w:hAnsi="仿宋_GB2312" w:eastAsia="仿宋_GB2312" w:cs="仿宋_GB2312"/>
          <w:b w:val="0"/>
          <w:kern w:val="0"/>
          <w:sz w:val="32"/>
          <w:szCs w:val="32"/>
          <w:shd w:val="clear" w:color="auto" w:fill="FFFFFF"/>
          <w:lang w:val="zh-CN" w:eastAsia="zh-CN" w:bidi="ar-SA"/>
        </w:rPr>
        <w:t>39万元，</w:t>
      </w:r>
      <w:r>
        <w:rPr>
          <w:rFonts w:hint="eastAsia" w:ascii="仿宋_GB2312" w:hAnsi="仿宋_GB2312" w:eastAsia="仿宋_GB2312" w:cs="仿宋_GB2312"/>
          <w:b w:val="0"/>
          <w:kern w:val="0"/>
          <w:sz w:val="32"/>
          <w:szCs w:val="32"/>
          <w:shd w:val="clear" w:color="auto" w:fill="FFFFFF"/>
          <w:lang w:val="en-US" w:eastAsia="zh-CN" w:bidi="ar-SA"/>
        </w:rPr>
        <w:t>其中：</w:t>
      </w:r>
      <w:r>
        <w:rPr>
          <w:rFonts w:hint="eastAsia" w:ascii="仿宋_GB2312" w:hAnsi="仿宋_GB2312" w:eastAsia="仿宋_GB2312" w:cs="仿宋_GB2312"/>
          <w:b w:val="0"/>
          <w:kern w:val="0"/>
          <w:sz w:val="32"/>
          <w:szCs w:val="32"/>
          <w:shd w:val="clear" w:color="auto" w:fill="FFFFFF"/>
          <w:lang w:val="zh-CN" w:eastAsia="zh-CN" w:bidi="ar-SA"/>
        </w:rPr>
        <w:t>价格补贴资金28万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，储备补贴资金11万</w:t>
      </w:r>
      <w:r>
        <w:rPr>
          <w:rFonts w:hint="eastAsia" w:ascii="仿宋_GB2312" w:hAnsi="仿宋_GB2312" w:eastAsia="仿宋_GB2312" w:cs="仿宋_GB2312"/>
          <w:b w:val="0"/>
          <w:kern w:val="0"/>
          <w:sz w:val="32"/>
          <w:szCs w:val="32"/>
          <w:shd w:val="clear" w:color="auto" w:fill="FFFFFF"/>
          <w:lang w:val="en-US" w:eastAsia="zh-CN" w:bidi="ar-SA"/>
        </w:rPr>
        <w:t>元</w:t>
      </w:r>
      <w:r>
        <w:rPr>
          <w:rFonts w:hint="eastAsia" w:ascii="仿宋_GB2312" w:hAnsi="仿宋_GB2312" w:eastAsia="仿宋_GB2312" w:cs="仿宋_GB2312"/>
          <w:b w:val="0"/>
          <w:kern w:val="0"/>
          <w:sz w:val="32"/>
          <w:szCs w:val="32"/>
          <w:shd w:val="clear" w:color="auto" w:fill="FFFFFF"/>
          <w:lang w:val="zh-CN" w:eastAsia="zh-CN" w:bidi="ar-SA"/>
        </w:rPr>
        <w:t>。</w:t>
      </w:r>
    </w:p>
    <w:p>
      <w:pPr>
        <w:numPr>
          <w:ilvl w:val="0"/>
          <w:numId w:val="4"/>
        </w:numPr>
        <w:adjustRightInd w:val="0"/>
        <w:snapToGrid w:val="0"/>
        <w:spacing w:line="578" w:lineRule="exact"/>
        <w:ind w:left="0" w:leftChars="0"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项目绩效目标设置</w:t>
      </w:r>
    </w:p>
    <w:p>
      <w:pPr>
        <w:numPr>
          <w:ilvl w:val="0"/>
          <w:numId w:val="0"/>
        </w:numPr>
        <w:adjustRightInd w:val="0"/>
        <w:snapToGrid w:val="0"/>
        <w:spacing w:line="578" w:lineRule="exact"/>
        <w:ind w:firstLine="640" w:firstLineChars="200"/>
        <w:rPr>
          <w:rFonts w:hint="default" w:ascii="仿宋_GB2312" w:hAnsi="仿宋_GB2312" w:eastAsia="仿宋_GB2312" w:cs="仿宋_GB2312"/>
          <w:kern w:val="0"/>
          <w:sz w:val="32"/>
          <w:szCs w:val="32"/>
          <w:shd w:val="clear" w:color="auto" w:fill="FFFFFF"/>
          <w:lang w:val="en-US"/>
        </w:rPr>
      </w:pPr>
      <w:r>
        <w:rPr>
          <w:rFonts w:hint="eastAsia" w:ascii="仿宋_GB2312" w:hAnsi="仿宋_GB2312" w:eastAsia="仿宋_GB2312" w:cs="仿宋_GB2312"/>
          <w:kern w:val="0"/>
          <w:sz w:val="32"/>
          <w:szCs w:val="32"/>
          <w:shd w:val="clear" w:color="auto" w:fill="FFFFFF"/>
          <w:lang w:val="zh-CN"/>
        </w:rPr>
        <w:t>茂县供销合作社联合社</w:t>
      </w:r>
      <w:r>
        <w:rPr>
          <w:rFonts w:hint="eastAsia" w:ascii="仿宋_GB2312" w:hAnsi="仿宋_GB2312" w:eastAsia="仿宋_GB2312" w:cs="仿宋_GB2312"/>
          <w:kern w:val="2"/>
          <w:sz w:val="32"/>
          <w:szCs w:val="32"/>
          <w:u w:val="none"/>
          <w:lang w:val="en-US" w:eastAsia="zh-CN"/>
        </w:rPr>
        <w:t>完成了事前绩效评估。绩效目标设置如下：</w:t>
      </w:r>
    </w:p>
    <w:p>
      <w:pPr>
        <w:pStyle w:val="2"/>
        <w:ind w:left="0" w:leftChars="0" w:firstLine="0" w:firstLineChars="0"/>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茂县供销合作社联合社</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center"/>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2025年农资价格和储备补贴</w:t>
      </w:r>
      <w:r>
        <w:rPr>
          <w:rFonts w:hint="eastAsia" w:ascii="仿宋_GB2312" w:hAnsi="仿宋_GB2312" w:eastAsia="仿宋_GB2312" w:cs="仿宋_GB2312"/>
          <w:kern w:val="2"/>
          <w:sz w:val="32"/>
          <w:szCs w:val="32"/>
        </w:rPr>
        <w:t>绩效目标表</w:t>
      </w:r>
    </w:p>
    <w:tbl>
      <w:tblPr>
        <w:tblStyle w:val="26"/>
        <w:tblpPr w:leftFromText="180" w:rightFromText="180" w:vertAnchor="text" w:horzAnchor="page" w:tblpX="1905" w:tblpY="1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980"/>
        <w:gridCol w:w="3465"/>
        <w:gridCol w:w="1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1420" w:type="dxa"/>
            <w:tcBorders>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一级指标</w:t>
            </w:r>
          </w:p>
        </w:tc>
        <w:tc>
          <w:tcPr>
            <w:tcW w:w="1980"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二级指标</w:t>
            </w:r>
          </w:p>
        </w:tc>
        <w:tc>
          <w:tcPr>
            <w:tcW w:w="3465" w:type="dxa"/>
            <w:tcBorders>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三级指标</w:t>
            </w:r>
          </w:p>
        </w:tc>
        <w:tc>
          <w:tcPr>
            <w:tcW w:w="1415" w:type="dxa"/>
            <w:tcBorders>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指标值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restart"/>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产出指标</w:t>
            </w:r>
          </w:p>
        </w:tc>
        <w:tc>
          <w:tcPr>
            <w:tcW w:w="1980" w:type="dxa"/>
            <w:vMerge w:val="restart"/>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数量指标</w:t>
            </w:r>
          </w:p>
        </w:tc>
        <w:tc>
          <w:tcPr>
            <w:tcW w:w="346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农资储备数量</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≥1500吨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continue"/>
            <w:tcBorders>
              <w:right w:val="single" w:color="auto" w:sz="4" w:space="0"/>
            </w:tcBorders>
            <w:noWrap w:val="0"/>
            <w:vAlign w:val="center"/>
          </w:tcPr>
          <w:p>
            <w:pPr>
              <w:jc w:val="center"/>
              <w:rPr>
                <w:rFonts w:hint="eastAsia" w:ascii="仿宋_GB2312" w:hAnsi="仿宋_GB2312" w:eastAsia="仿宋_GB2312" w:cs="仿宋_GB2312"/>
                <w:sz w:val="24"/>
                <w:szCs w:val="24"/>
                <w:lang w:val="en-US" w:eastAsia="zh-CN"/>
              </w:rPr>
            </w:pPr>
          </w:p>
        </w:tc>
        <w:tc>
          <w:tcPr>
            <w:tcW w:w="1980" w:type="dxa"/>
            <w:vMerge w:val="continue"/>
            <w:tcBorders>
              <w:left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lang w:val="en-US" w:eastAsia="zh-CN"/>
              </w:rPr>
            </w:pPr>
          </w:p>
        </w:tc>
        <w:tc>
          <w:tcPr>
            <w:tcW w:w="346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补贴化肥种类</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continue"/>
            <w:tcBorders>
              <w:right w:val="single" w:color="auto" w:sz="4" w:space="0"/>
            </w:tcBorders>
            <w:noWrap w:val="0"/>
            <w:vAlign w:val="center"/>
          </w:tcPr>
          <w:p>
            <w:pPr>
              <w:jc w:val="center"/>
              <w:rPr>
                <w:rFonts w:hint="eastAsia" w:ascii="仿宋_GB2312" w:hAnsi="仿宋_GB2312" w:eastAsia="仿宋_GB2312" w:cs="仿宋_GB2312"/>
                <w:sz w:val="24"/>
                <w:szCs w:val="24"/>
                <w:lang w:val="en-US" w:eastAsia="zh-CN"/>
              </w:rPr>
            </w:pPr>
          </w:p>
        </w:tc>
        <w:tc>
          <w:tcPr>
            <w:tcW w:w="1980" w:type="dxa"/>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时效指标</w:t>
            </w:r>
          </w:p>
        </w:tc>
        <w:tc>
          <w:tcPr>
            <w:tcW w:w="346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项目完成时限</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 w:hRule="atLeast"/>
        </w:trPr>
        <w:tc>
          <w:tcPr>
            <w:tcW w:w="1420" w:type="dxa"/>
            <w:vMerge w:val="restart"/>
            <w:tcBorders>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效益指标</w:t>
            </w:r>
          </w:p>
        </w:tc>
        <w:tc>
          <w:tcPr>
            <w:tcW w:w="1980" w:type="dxa"/>
            <w:tcBorders>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经济效益指标</w:t>
            </w:r>
          </w:p>
        </w:tc>
        <w:tc>
          <w:tcPr>
            <w:tcW w:w="346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在理论销售价格的基础上扣减财政补贴，降低农户的购买价格</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(定性)有较大提升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trPr>
        <w:tc>
          <w:tcPr>
            <w:tcW w:w="1420" w:type="dxa"/>
            <w:vMerge w:val="continue"/>
            <w:tcBorders>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lang w:val="en-US" w:eastAsia="zh-CN"/>
              </w:rPr>
            </w:pPr>
          </w:p>
        </w:tc>
        <w:tc>
          <w:tcPr>
            <w:tcW w:w="1980" w:type="dxa"/>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社会效益指标</w:t>
            </w:r>
          </w:p>
        </w:tc>
        <w:tc>
          <w:tcPr>
            <w:tcW w:w="3465" w:type="dxa"/>
            <w:tcBorders>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eastAsia="zh-CN"/>
              </w:rPr>
            </w:pPr>
            <w:r>
              <w:rPr>
                <w:rFonts w:ascii="宋体" w:hAnsi="宋体" w:eastAsia="宋体" w:cs="宋体"/>
                <w:i w:val="0"/>
                <w:iCs w:val="0"/>
                <w:color w:val="000000"/>
                <w:kern w:val="0"/>
                <w:sz w:val="18"/>
                <w:szCs w:val="18"/>
                <w:u w:val="none"/>
                <w:lang w:val="en-US" w:eastAsia="zh-CN" w:bidi="ar"/>
              </w:rPr>
              <w:t>通过降低化肥销售价格让农牧民直接享受补贴，从而降低生产成本</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1420" w:type="dxa"/>
            <w:vMerge w:val="continue"/>
            <w:tcBorders>
              <w:top w:val="single" w:color="auto" w:sz="4" w:space="0"/>
              <w:bottom w:val="single" w:color="auto" w:sz="4" w:space="0"/>
              <w:right w:val="single" w:color="auto" w:sz="4" w:space="0"/>
            </w:tcBorders>
            <w:noWrap w:val="0"/>
            <w:vAlign w:val="center"/>
          </w:tcPr>
          <w:p>
            <w:pPr>
              <w:jc w:val="center"/>
              <w:rPr>
                <w:rFonts w:hint="eastAsia" w:ascii="仿宋_GB2312" w:hAnsi="仿宋_GB2312" w:eastAsia="仿宋_GB2312" w:cs="仿宋_GB2312"/>
                <w:sz w:val="24"/>
                <w:szCs w:val="24"/>
                <w:lang w:val="en-US" w:eastAsia="zh-CN"/>
              </w:rPr>
            </w:pPr>
          </w:p>
        </w:tc>
        <w:tc>
          <w:tcPr>
            <w:tcW w:w="19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生态效益指标</w:t>
            </w:r>
          </w:p>
        </w:tc>
        <w:tc>
          <w:tcPr>
            <w:tcW w:w="34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rPr>
            </w:pPr>
            <w:r>
              <w:rPr>
                <w:rFonts w:ascii="宋体" w:hAnsi="宋体" w:eastAsia="宋体" w:cs="宋体"/>
                <w:i w:val="0"/>
                <w:iCs w:val="0"/>
                <w:color w:val="000000"/>
                <w:kern w:val="0"/>
                <w:sz w:val="18"/>
                <w:szCs w:val="18"/>
                <w:u w:val="none"/>
                <w:lang w:val="en-US" w:eastAsia="zh-CN" w:bidi="ar"/>
              </w:rPr>
              <w:t>引导我县农民群众使用配方肥和有机肥，降低土地面源污染，推动我县绿色生态农业发展</w:t>
            </w:r>
          </w:p>
        </w:tc>
        <w:tc>
          <w:tcPr>
            <w:tcW w:w="1415" w:type="dxa"/>
            <w:tcBorders>
              <w:top w:val="single" w:color="auto" w:sz="4" w:space="0"/>
              <w:left w:val="single" w:color="auto" w:sz="4" w:space="0"/>
              <w:bottom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(定性)有较大提升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trPr>
        <w:tc>
          <w:tcPr>
            <w:tcW w:w="1420" w:type="dxa"/>
            <w:tcBorders>
              <w:top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满意度指标</w:t>
            </w:r>
          </w:p>
        </w:tc>
        <w:tc>
          <w:tcPr>
            <w:tcW w:w="1980"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服务对象满意度指标</w:t>
            </w:r>
          </w:p>
        </w:tc>
        <w:tc>
          <w:tcPr>
            <w:tcW w:w="3465" w:type="dxa"/>
            <w:tcBorders>
              <w:top w:val="single" w:color="auto"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sz w:val="24"/>
                <w:szCs w:val="24"/>
                <w:lang w:val="en-US" w:eastAsia="zh-CN"/>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1415" w:type="dxa"/>
            <w:tcBorders>
              <w:top w:val="single" w:color="auto" w:sz="4" w:space="0"/>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76" w:lineRule="exact"/>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≥9</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w:t>
            </w:r>
          </w:p>
        </w:tc>
      </w:tr>
    </w:tbl>
    <w:p>
      <w:pPr>
        <w:adjustRightInd w:val="0"/>
        <w:snapToGrid w:val="0"/>
        <w:spacing w:line="578" w:lineRule="exact"/>
        <w:ind w:firstLine="640" w:firstLineChars="200"/>
        <w:rPr>
          <w:rFonts w:ascii="黑体" w:hAnsi="宋体" w:eastAsia="黑体" w:cs="Times New Roman"/>
          <w:sz w:val="32"/>
          <w:szCs w:val="32"/>
        </w:rPr>
      </w:pPr>
      <w:r>
        <w:rPr>
          <w:rFonts w:hint="eastAsia" w:ascii="黑体" w:hAnsi="宋体" w:eastAsia="黑体" w:cs="Times New Roman"/>
          <w:sz w:val="32"/>
          <w:szCs w:val="32"/>
        </w:rPr>
        <w:t>二、评价实施</w:t>
      </w:r>
    </w:p>
    <w:p>
      <w:pPr>
        <w:spacing w:line="578" w:lineRule="exact"/>
        <w:ind w:firstLine="64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（一）评价目的</w:t>
      </w:r>
    </w:p>
    <w:p>
      <w:pPr>
        <w:spacing w:line="578"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为贯彻落实中央、省、州关于全面实施预算绩效管理有关文件精神，推进全面实施预算绩效管理工作深入开展的要求，对项目依据、绩效目标、资金管理、项目完成、项目效益等方面进行全面、客观、公正的评价，对资金支出行为过程及其效果进行综合评价和判断，评价资金使用的科学性、合理性和有效性，分析存在的问题，提出资金管理、项目管理相关建议，提高资金使用效益。</w:t>
      </w:r>
    </w:p>
    <w:p>
      <w:pPr>
        <w:numPr>
          <w:ilvl w:val="0"/>
          <w:numId w:val="5"/>
        </w:numPr>
        <w:adjustRightInd w:val="0"/>
        <w:snapToGrid w:val="0"/>
        <w:spacing w:line="578" w:lineRule="exact"/>
        <w:ind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预设问题及评价重点</w:t>
      </w:r>
    </w:p>
    <w:p>
      <w:pPr>
        <w:numPr>
          <w:ilvl w:val="0"/>
          <w:numId w:val="0"/>
        </w:numPr>
        <w:adjustRightInd w:val="0"/>
        <w:snapToGrid w:val="0"/>
        <w:spacing w:line="578" w:lineRule="exact"/>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kern w:val="2"/>
          <w:sz w:val="32"/>
          <w:szCs w:val="32"/>
          <w:lang w:val="en-US" w:eastAsia="zh-CN"/>
        </w:rPr>
        <w:t>2025年州级农资价格及储备补贴资金</w:t>
      </w:r>
      <w:r>
        <w:rPr>
          <w:rFonts w:hint="eastAsia" w:ascii="Times New Roman" w:hAnsi="Times New Roman" w:eastAsia="仿宋_GB2312" w:cs="Times New Roman"/>
          <w:sz w:val="32"/>
          <w:szCs w:val="32"/>
        </w:rPr>
        <w:t>资金支出使用全过程</w:t>
      </w:r>
      <w:r>
        <w:rPr>
          <w:rFonts w:hint="eastAsia" w:ascii="Times New Roman" w:hAnsi="Times New Roman" w:eastAsia="仿宋_GB2312" w:cs="Times New Roman"/>
          <w:sz w:val="32"/>
          <w:szCs w:val="32"/>
          <w:lang w:eastAsia="zh-CN"/>
        </w:rPr>
        <w:t>规范。</w:t>
      </w:r>
    </w:p>
    <w:p>
      <w:pPr>
        <w:numPr>
          <w:ilvl w:val="0"/>
          <w:numId w:val="5"/>
        </w:numPr>
        <w:adjustRightInd w:val="0"/>
        <w:snapToGrid w:val="0"/>
        <w:spacing w:line="578" w:lineRule="exact"/>
        <w:ind w:left="0" w:leftChars="0"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评价选点</w:t>
      </w:r>
    </w:p>
    <w:p>
      <w:pPr>
        <w:numPr>
          <w:ilvl w:val="0"/>
          <w:numId w:val="0"/>
        </w:numPr>
        <w:adjustRightInd w:val="0"/>
        <w:snapToGrid w:val="0"/>
        <w:spacing w:line="578" w:lineRule="exact"/>
        <w:ind w:firstLine="640" w:firstLineChars="200"/>
        <w:rPr>
          <w:rFonts w:ascii="Times New Roman" w:hAnsi="Times New Roman" w:eastAsia="仿宋_GB2312" w:cs="Times New Roman"/>
          <w:sz w:val="32"/>
          <w:szCs w:val="32"/>
          <w:lang w:val="zh-CN"/>
        </w:rPr>
      </w:pPr>
      <w:r>
        <w:rPr>
          <w:rFonts w:hint="eastAsia" w:ascii="Times New Roman" w:hAnsi="Times New Roman" w:eastAsia="仿宋_GB2312" w:cs="Times New Roman"/>
          <w:sz w:val="32"/>
          <w:szCs w:val="32"/>
          <w:lang w:val="zh-CN"/>
        </w:rPr>
        <w:t>茂县供销合作社联合社农业生产资料公司。</w:t>
      </w:r>
    </w:p>
    <w:p>
      <w:pPr>
        <w:numPr>
          <w:ilvl w:val="0"/>
          <w:numId w:val="5"/>
        </w:numPr>
        <w:spacing w:line="578" w:lineRule="exact"/>
        <w:ind w:left="0" w:leftChars="0" w:firstLine="643" w:firstLineChars="200"/>
        <w:rPr>
          <w:rFonts w:hint="eastAsia" w:ascii="楷体_GB2312" w:hAnsi="宋体" w:eastAsia="楷体_GB2312" w:cs="Times New Roman"/>
          <w:b/>
          <w:sz w:val="32"/>
          <w:szCs w:val="32"/>
          <w:lang w:val="zh-CN"/>
        </w:rPr>
      </w:pPr>
      <w:r>
        <w:rPr>
          <w:rFonts w:hint="eastAsia" w:ascii="楷体_GB2312" w:hAnsi="宋体" w:eastAsia="楷体_GB2312" w:cs="Times New Roman"/>
          <w:b/>
          <w:sz w:val="32"/>
          <w:szCs w:val="32"/>
          <w:lang w:val="zh-CN"/>
        </w:rPr>
        <w:t>评价方法</w:t>
      </w:r>
    </w:p>
    <w:p>
      <w:pPr>
        <w:numPr>
          <w:ilvl w:val="0"/>
          <w:numId w:val="0"/>
        </w:numPr>
        <w:spacing w:line="578"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采用</w:t>
      </w:r>
      <w:r>
        <w:rPr>
          <w:rFonts w:ascii="Times New Roman" w:hAnsi="Times New Roman" w:eastAsia="仿宋_GB2312" w:cs="Times New Roman"/>
          <w:sz w:val="32"/>
          <w:szCs w:val="32"/>
        </w:rPr>
        <w:t>单位自评法</w:t>
      </w:r>
      <w:r>
        <w:rPr>
          <w:rFonts w:hint="eastAsia" w:ascii="Times New Roman" w:hAnsi="Times New Roman" w:eastAsia="仿宋_GB2312" w:cs="Times New Roman"/>
          <w:sz w:val="32"/>
          <w:szCs w:val="32"/>
        </w:rPr>
        <w:t>。</w:t>
      </w:r>
    </w:p>
    <w:p>
      <w:pPr>
        <w:widowControl/>
        <w:tabs>
          <w:tab w:val="left" w:pos="2160"/>
        </w:tabs>
        <w:spacing w:line="600" w:lineRule="exact"/>
        <w:ind w:firstLine="640" w:firstLineChars="200"/>
        <w:jc w:val="left"/>
        <w:rPr>
          <w:rFonts w:hint="eastAsia"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三、绩效分析</w:t>
      </w:r>
    </w:p>
    <w:p>
      <w:pPr>
        <w:spacing w:line="578" w:lineRule="exact"/>
        <w:ind w:firstLine="640"/>
        <w:rPr>
          <w:rFonts w:ascii="楷体_GB2312" w:hAnsi="宋体" w:eastAsia="楷体_GB2312" w:cs="Times New Roman"/>
          <w:b/>
          <w:sz w:val="32"/>
          <w:szCs w:val="32"/>
        </w:rPr>
      </w:pPr>
      <w:r>
        <w:rPr>
          <w:rFonts w:hint="eastAsia" w:ascii="楷体_GB2312" w:hAnsi="宋体" w:eastAsia="楷体_GB2312" w:cs="Times New Roman"/>
          <w:b/>
          <w:sz w:val="32"/>
          <w:szCs w:val="32"/>
          <w:lang w:val="zh-CN"/>
        </w:rPr>
        <w:t>（一）</w:t>
      </w:r>
      <w:r>
        <w:rPr>
          <w:rFonts w:hint="eastAsia" w:ascii="楷体_GB2312" w:hAnsi="宋体" w:eastAsia="楷体_GB2312" w:cs="Times New Roman"/>
          <w:b/>
          <w:sz w:val="32"/>
          <w:szCs w:val="32"/>
        </w:rPr>
        <w:t>通用指标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1.项目决策。</w:t>
      </w:r>
      <w:r>
        <w:rPr>
          <w:rFonts w:hint="eastAsia" w:ascii="Times New Roman" w:hAnsi="Times New Roman" w:eastAsia="仿宋_GB2312" w:cs="Times New Roman"/>
          <w:sz w:val="32"/>
          <w:szCs w:val="32"/>
        </w:rPr>
        <w:t>决策程序</w:t>
      </w:r>
      <w:r>
        <w:rPr>
          <w:rFonts w:hint="eastAsia" w:ascii="Times New Roman" w:hAnsi="Times New Roman" w:eastAsia="仿宋_GB2312" w:cs="Times New Roman"/>
          <w:sz w:val="32"/>
          <w:szCs w:val="32"/>
          <w:lang w:eastAsia="zh-CN"/>
        </w:rPr>
        <w:t>严密，</w:t>
      </w:r>
      <w:r>
        <w:rPr>
          <w:rFonts w:hint="eastAsia" w:ascii="Times New Roman" w:hAnsi="Times New Roman" w:eastAsia="仿宋_GB2312" w:cs="Times New Roman"/>
          <w:sz w:val="32"/>
          <w:szCs w:val="32"/>
        </w:rPr>
        <w:t>符合资金管理基本规范和决策程序要求</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规划论证符合中省要求、项目绩效目标设置科学合理</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资金投向与项目总体规划、相关行业事业发展相匹配。</w:t>
      </w:r>
    </w:p>
    <w:p>
      <w:pPr>
        <w:spacing w:line="578" w:lineRule="exact"/>
        <w:ind w:firstLine="64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2.项目管理。</w:t>
      </w:r>
      <w:r>
        <w:rPr>
          <w:rFonts w:hint="eastAsia" w:ascii="Times New Roman" w:hAnsi="Times New Roman" w:eastAsia="仿宋_GB2312" w:cs="Times New Roman"/>
          <w:sz w:val="32"/>
          <w:szCs w:val="32"/>
        </w:rPr>
        <w:t>项目资金分配因素选取、权重设置、区域分布，项目管理、审批符合管理要求、绩效监管按中省要求全面完成绩效目标（含事前评估）、绩效评价。</w:t>
      </w:r>
    </w:p>
    <w:p>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3.项目实施。</w:t>
      </w:r>
      <w:r>
        <w:rPr>
          <w:rFonts w:hint="eastAsia" w:ascii="Times New Roman" w:hAnsi="Times New Roman" w:eastAsia="仿宋_GB2312" w:cs="Times New Roman"/>
          <w:sz w:val="32"/>
          <w:szCs w:val="32"/>
          <w:lang w:eastAsia="zh-CN"/>
        </w:rPr>
        <w:t>财政资金拨付率</w:t>
      </w:r>
      <w:r>
        <w:rPr>
          <w:rFonts w:hint="eastAsia" w:ascii="仿宋_GB2312" w:hAnsi="仿宋_GB2312" w:eastAsia="仿宋_GB2312" w:cs="仿宋_GB2312"/>
          <w:sz w:val="32"/>
          <w:szCs w:val="32"/>
          <w:lang w:val="en-US" w:eastAsia="zh-CN"/>
        </w:rPr>
        <w:t>100%</w:t>
      </w:r>
      <w:r>
        <w:rPr>
          <w:rFonts w:hint="eastAsia" w:ascii="Times New Roman" w:hAnsi="Times New Roman" w:eastAsia="仿宋_GB2312" w:cs="Times New Roman"/>
          <w:sz w:val="32"/>
          <w:szCs w:val="32"/>
          <w:lang w:val="en-US" w:eastAsia="zh-CN"/>
        </w:rPr>
        <w:t>，使用率100%，无地方配套资金。</w:t>
      </w:r>
    </w:p>
    <w:p>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4.项目结果。</w:t>
      </w:r>
      <w:r>
        <w:rPr>
          <w:rFonts w:hint="eastAsia" w:ascii="Times New Roman" w:hAnsi="Times New Roman" w:eastAsia="仿宋_GB2312" w:cs="Times New Roman"/>
          <w:sz w:val="32"/>
          <w:szCs w:val="32"/>
        </w:rPr>
        <w:t>完成预期目标，实施结果。与绩效目标相匹配</w:t>
      </w:r>
      <w:r>
        <w:rPr>
          <w:rFonts w:hint="eastAsia" w:ascii="Times New Roman" w:hAnsi="Times New Roman" w:eastAsia="仿宋_GB2312" w:cs="Times New Roman"/>
          <w:sz w:val="32"/>
          <w:szCs w:val="32"/>
          <w:lang w:eastAsia="zh-CN"/>
        </w:rPr>
        <w:t>。</w:t>
      </w:r>
    </w:p>
    <w:p>
      <w:pPr>
        <w:spacing w:line="578" w:lineRule="exact"/>
        <w:ind w:firstLine="643" w:firstLineChars="200"/>
        <w:rPr>
          <w:rFonts w:ascii="楷体_GB2312" w:hAnsi="楷体_GB2312" w:eastAsia="楷体_GB2312" w:cs="楷体_GB2312"/>
          <w:sz w:val="32"/>
          <w:szCs w:val="32"/>
          <w:lang w:val="zh-CN"/>
        </w:rPr>
      </w:pPr>
      <w:r>
        <w:rPr>
          <w:rFonts w:hint="eastAsia" w:ascii="楷体_GB2312" w:hAnsi="宋体" w:eastAsia="楷体_GB2312" w:cs="Times New Roman"/>
          <w:b/>
          <w:sz w:val="32"/>
          <w:szCs w:val="32"/>
          <w:lang w:val="zh-CN"/>
        </w:rPr>
        <w:t>（二）</w:t>
      </w:r>
      <w:r>
        <w:rPr>
          <w:rFonts w:hint="eastAsia" w:ascii="楷体_GB2312" w:hAnsi="宋体" w:eastAsia="楷体_GB2312" w:cs="Times New Roman"/>
          <w:b/>
          <w:sz w:val="32"/>
          <w:szCs w:val="32"/>
        </w:rPr>
        <w:t>专用指标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firstLineChars="200"/>
        <w:rPr>
          <w:rFonts w:hint="default" w:ascii="楷体_GB2312" w:hAnsi="楷体_GB2312" w:eastAsia="仿宋_GB2312" w:cs="楷体_GB2312"/>
          <w:sz w:val="32"/>
          <w:szCs w:val="32"/>
          <w:lang w:val="en-US" w:eastAsia="zh-CN"/>
        </w:rPr>
      </w:pPr>
      <w:r>
        <w:rPr>
          <w:rFonts w:hint="eastAsia" w:ascii="楷体_GB2312" w:hAnsi="楷体_GB2312" w:eastAsia="楷体_GB2312" w:cs="楷体_GB2312"/>
          <w:sz w:val="32"/>
          <w:szCs w:val="32"/>
        </w:rPr>
        <w:t>1.产业发展。</w:t>
      </w:r>
      <w:r>
        <w:rPr>
          <w:rFonts w:hint="eastAsia" w:ascii="Times New Roman" w:hAnsi="Times New Roman" w:eastAsia="仿宋_GB2312" w:cs="Times New Roman"/>
          <w:sz w:val="32"/>
          <w:szCs w:val="32"/>
        </w:rPr>
        <w:t>与省委省</w:t>
      </w:r>
      <w:r>
        <w:rPr>
          <w:rFonts w:hint="eastAsia" w:ascii="Times New Roman" w:hAnsi="Times New Roman" w:eastAsia="仿宋_GB2312" w:cs="Times New Roman"/>
          <w:sz w:val="32"/>
          <w:szCs w:val="32"/>
          <w:lang w:val="zh-CN"/>
        </w:rPr>
        <w:t>、</w:t>
      </w:r>
      <w:r>
        <w:rPr>
          <w:rFonts w:hint="eastAsia" w:ascii="Times New Roman" w:hAnsi="Times New Roman" w:eastAsia="仿宋_GB2312" w:cs="Times New Roman"/>
          <w:sz w:val="32"/>
          <w:szCs w:val="32"/>
        </w:rPr>
        <w:t>政府支持重点、产业支持政策符合</w:t>
      </w:r>
      <w:r>
        <w:rPr>
          <w:rFonts w:hint="eastAsia" w:eastAsia="仿宋_GB2312" w:cs="Times New Roman"/>
          <w:sz w:val="32"/>
          <w:szCs w:val="32"/>
          <w:lang w:val="en-US" w:eastAsia="zh-CN"/>
        </w:rPr>
        <w:t>,</w:t>
      </w:r>
      <w:bookmarkStart w:id="131" w:name="_GoBack"/>
      <w:bookmarkEnd w:id="131"/>
      <w:r>
        <w:rPr>
          <w:rFonts w:hint="eastAsia" w:ascii="Times New Roman" w:hAnsi="Times New Roman" w:eastAsia="仿宋_GB2312" w:cs="Times New Roman"/>
          <w:sz w:val="32"/>
          <w:szCs w:val="32"/>
        </w:rPr>
        <w:t>对相关企业（机构）成长性的促进作用。</w:t>
      </w:r>
    </w:p>
    <w:p>
      <w:pPr>
        <w:spacing w:line="578" w:lineRule="exact"/>
        <w:ind w:firstLine="640" w:firstLineChars="200"/>
        <w:rPr>
          <w:rFonts w:hint="default" w:ascii="Times New Roman" w:hAnsi="Times New Roman" w:eastAsia="仿宋_GB2312" w:cs="Times New Roman"/>
          <w:sz w:val="32"/>
          <w:szCs w:val="32"/>
          <w:lang w:val="en-US" w:eastAsia="zh-CN"/>
        </w:rPr>
      </w:pPr>
      <w:r>
        <w:rPr>
          <w:rFonts w:hint="eastAsia" w:ascii="楷体_GB2312" w:hAnsi="楷体_GB2312" w:eastAsia="楷体_GB2312" w:cs="楷体_GB2312"/>
          <w:sz w:val="32"/>
          <w:szCs w:val="32"/>
        </w:rPr>
        <w:t>2.</w:t>
      </w:r>
      <w:r>
        <w:rPr>
          <w:rFonts w:hint="eastAsia" w:ascii="楷体_GB2312" w:hAnsi="楷体_GB2312" w:eastAsia="楷体_GB2312" w:cs="楷体_GB2312"/>
          <w:sz w:val="32"/>
          <w:szCs w:val="32"/>
          <w:lang w:val="zh-CN"/>
        </w:rPr>
        <w:t>行政运转。</w:t>
      </w:r>
      <w:r>
        <w:rPr>
          <w:rFonts w:hint="eastAsia" w:ascii="Times New Roman" w:hAnsi="Times New Roman" w:eastAsia="仿宋_GB2312" w:cs="Times New Roman"/>
          <w:sz w:val="32"/>
          <w:szCs w:val="32"/>
          <w:lang w:val="zh-CN"/>
        </w:rPr>
        <w:t>按规定用途、适用范围进行本地区专项资金分配。</w:t>
      </w:r>
    </w:p>
    <w:p>
      <w:pPr>
        <w:spacing w:line="578" w:lineRule="exact"/>
        <w:ind w:firstLine="640"/>
        <w:rPr>
          <w:rFonts w:ascii="Times New Roman" w:hAnsi="Times New Roman" w:eastAsia="楷体_GB2312" w:cs="Times New Roman"/>
          <w:b/>
          <w:bCs/>
          <w:color w:val="000000"/>
          <w:kern w:val="0"/>
          <w:sz w:val="32"/>
          <w:szCs w:val="32"/>
          <w:shd w:val="clear" w:color="auto" w:fill="FFFFFF"/>
          <w:lang w:val="zh-CN"/>
        </w:rPr>
      </w:pPr>
      <w:r>
        <w:rPr>
          <w:rFonts w:hint="eastAsia" w:ascii="楷体_GB2312" w:hAnsi="宋体" w:eastAsia="楷体_GB2312" w:cs="Times New Roman"/>
          <w:b/>
          <w:sz w:val="32"/>
          <w:szCs w:val="32"/>
          <w:lang w:val="zh-CN"/>
        </w:rPr>
        <w:t>（三）</w:t>
      </w:r>
      <w:r>
        <w:rPr>
          <w:rFonts w:hint="eastAsia" w:ascii="楷体_GB2312" w:hAnsi="宋体" w:eastAsia="楷体_GB2312" w:cs="Times New Roman"/>
          <w:b/>
          <w:sz w:val="32"/>
          <w:szCs w:val="32"/>
        </w:rPr>
        <w:t>个性指标</w:t>
      </w:r>
      <w:r>
        <w:rPr>
          <w:rFonts w:ascii="Times New Roman" w:hAnsi="Times New Roman" w:eastAsia="楷体_GB2312" w:cs="Times New Roman"/>
          <w:b/>
          <w:bCs/>
          <w:color w:val="000000"/>
          <w:kern w:val="0"/>
          <w:sz w:val="32"/>
          <w:szCs w:val="32"/>
          <w:shd w:val="clear" w:color="auto" w:fill="FFFFFF"/>
          <w:lang w:val="zh-CN"/>
        </w:rPr>
        <w:t>绩效分析</w:t>
      </w:r>
    </w:p>
    <w:p>
      <w:pPr>
        <w:spacing w:line="578" w:lineRule="exact"/>
        <w:ind w:firstLine="640"/>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zh-CN"/>
        </w:rPr>
        <w:t>根据项目设定指标如实完成。</w:t>
      </w:r>
    </w:p>
    <w:p>
      <w:pPr>
        <w:widowControl/>
        <w:tabs>
          <w:tab w:val="left" w:pos="2160"/>
        </w:tabs>
        <w:spacing w:line="600" w:lineRule="exact"/>
        <w:ind w:firstLine="640" w:firstLineChars="200"/>
        <w:jc w:val="left"/>
        <w:rPr>
          <w:rFonts w:ascii="黑体" w:hAnsi="宋体" w:eastAsia="黑体" w:cs="Times New Roman"/>
          <w:kern w:val="0"/>
          <w:position w:val="3"/>
          <w:sz w:val="32"/>
          <w:szCs w:val="32"/>
          <w:lang w:val="en-US" w:eastAsia="zh-CN" w:bidi="ar-SA"/>
        </w:rPr>
      </w:pPr>
      <w:r>
        <w:rPr>
          <w:rFonts w:hint="eastAsia" w:ascii="黑体" w:hAnsi="宋体" w:eastAsia="黑体" w:cs="Times New Roman"/>
          <w:kern w:val="0"/>
          <w:position w:val="3"/>
          <w:sz w:val="32"/>
          <w:szCs w:val="32"/>
          <w:lang w:val="en-US" w:eastAsia="zh-CN" w:bidi="ar-SA"/>
        </w:rPr>
        <w:t>四、评价结论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rPr>
        <w:t>茂县供销合作社联合社2025年州级农资价格及储备补贴资金</w:t>
      </w:r>
      <w:r>
        <w:rPr>
          <w:rFonts w:hint="eastAsia" w:ascii="仿宋_GB2312" w:hAnsi="Times New Roman" w:eastAsia="仿宋_GB2312" w:cs="仿宋_GB2312"/>
          <w:color w:val="auto"/>
          <w:kern w:val="0"/>
          <w:position w:val="0"/>
          <w:sz w:val="32"/>
          <w:szCs w:val="32"/>
          <w:highlight w:val="none"/>
          <w:u w:val="none"/>
          <w:shd w:val="clear" w:color="auto" w:fill="FFFFFF"/>
          <w:lang w:val="zh-CN" w:eastAsia="zh-CN" w:bidi="ar-SA"/>
        </w:rPr>
        <w:t>严格按照</w:t>
      </w:r>
      <w:r>
        <w:rPr>
          <w:rFonts w:hint="eastAsia" w:ascii="仿宋_GB2312" w:hAnsi="仿宋_GB2312" w:eastAsia="仿宋_GB2312" w:cs="仿宋_GB2312"/>
          <w:b w:val="0"/>
          <w:kern w:val="0"/>
          <w:sz w:val="32"/>
          <w:szCs w:val="32"/>
          <w:shd w:val="clear" w:color="auto" w:fill="FFFFFF"/>
          <w:lang w:val="zh-CN" w:eastAsia="zh-CN" w:bidi="ar-SA"/>
        </w:rPr>
        <w:t>《阿坝州财政局关于下达2025年州级农资价格及储备补贴资金的通知》（阿州财</w:t>
      </w:r>
      <w:r>
        <w:rPr>
          <w:rFonts w:hint="eastAsia" w:ascii="仿宋_GB2312" w:hAnsi="仿宋_GB2312" w:eastAsia="仿宋_GB2312" w:cs="仿宋_GB2312"/>
          <w:b w:val="0"/>
          <w:kern w:val="0"/>
          <w:sz w:val="32"/>
          <w:szCs w:val="32"/>
          <w:shd w:val="clear" w:color="auto" w:fill="FFFFFF"/>
          <w:lang w:val="en-US" w:eastAsia="zh-CN" w:bidi="ar-SA"/>
        </w:rPr>
        <w:t>建</w:t>
      </w:r>
      <w:r>
        <w:rPr>
          <w:rFonts w:hint="eastAsia" w:ascii="仿宋_GB2312" w:hAnsi="仿宋_GB2312" w:eastAsia="仿宋_GB2312" w:cs="仿宋_GB2312"/>
          <w:b w:val="0"/>
          <w:kern w:val="0"/>
          <w:sz w:val="32"/>
          <w:szCs w:val="32"/>
          <w:shd w:val="clear" w:color="auto" w:fill="FFFFFF"/>
          <w:lang w:val="zh-CN" w:eastAsia="zh-CN" w:bidi="ar-SA"/>
        </w:rPr>
        <w:t>〔2025〕</w:t>
      </w:r>
      <w:r>
        <w:rPr>
          <w:rFonts w:hint="eastAsia" w:ascii="仿宋_GB2312" w:hAnsi="仿宋_GB2312" w:eastAsia="仿宋_GB2312" w:cs="仿宋_GB2312"/>
          <w:b w:val="0"/>
          <w:kern w:val="0"/>
          <w:sz w:val="32"/>
          <w:szCs w:val="32"/>
          <w:shd w:val="clear" w:color="auto" w:fill="FFFFFF"/>
          <w:lang w:val="en-US" w:eastAsia="zh-CN" w:bidi="ar-SA"/>
        </w:rPr>
        <w:t>68</w:t>
      </w:r>
      <w:r>
        <w:rPr>
          <w:rFonts w:hint="eastAsia" w:ascii="仿宋_GB2312" w:hAnsi="仿宋_GB2312" w:eastAsia="仿宋_GB2312" w:cs="仿宋_GB2312"/>
          <w:b w:val="0"/>
          <w:kern w:val="0"/>
          <w:sz w:val="32"/>
          <w:szCs w:val="32"/>
          <w:shd w:val="clear" w:color="auto" w:fill="FFFFFF"/>
          <w:lang w:val="zh-CN" w:eastAsia="zh-CN" w:bidi="ar-SA"/>
        </w:rPr>
        <w:t>号）、《阿坝州供销合作社联合社2025 年度农资价格及储备补贴办法》文件</w:t>
      </w:r>
      <w:r>
        <w:rPr>
          <w:rFonts w:hint="eastAsia" w:ascii="仿宋_GB2312" w:hAnsi="Times New Roman" w:eastAsia="仿宋_GB2312" w:cs="仿宋_GB2312"/>
          <w:color w:val="auto"/>
          <w:kern w:val="0"/>
          <w:position w:val="0"/>
          <w:sz w:val="32"/>
          <w:szCs w:val="32"/>
          <w:highlight w:val="none"/>
          <w:u w:val="none"/>
          <w:shd w:val="clear" w:color="auto" w:fill="FFFFFF"/>
          <w:lang w:val="zh-CN" w:eastAsia="zh-CN" w:bidi="ar-SA"/>
        </w:rPr>
        <w:t>精神实施，下达资金与规划一致，完成目标任务，完成绩效目标，资金使用合规。</w:t>
      </w:r>
      <w:r>
        <w:rPr>
          <w:rFonts w:hint="eastAsia" w:ascii="仿宋_GB2312" w:hAnsi="Times New Roman" w:eastAsia="仿宋_GB2312" w:cs="仿宋_GB2312"/>
          <w:kern w:val="0"/>
          <w:position w:val="0"/>
          <w:sz w:val="32"/>
          <w:szCs w:val="32"/>
          <w:highlight w:val="none"/>
          <w:u w:val="none"/>
          <w:shd w:val="clear" w:color="auto" w:fill="FFFFFF"/>
          <w:lang w:val="zh-CN" w:eastAsia="zh-CN" w:bidi="ar-SA"/>
        </w:rPr>
        <w:t>综合自评得分</w:t>
      </w:r>
      <w:r>
        <w:rPr>
          <w:rFonts w:hint="eastAsia" w:ascii="仿宋_GB2312" w:hAnsi="Times New Roman" w:eastAsia="仿宋_GB2312" w:cs="仿宋_GB2312"/>
          <w:kern w:val="0"/>
          <w:position w:val="0"/>
          <w:sz w:val="32"/>
          <w:szCs w:val="32"/>
          <w:highlight w:val="none"/>
          <w:u w:val="none"/>
          <w:shd w:val="clear" w:color="auto" w:fill="FFFFFF"/>
          <w:lang w:val="en-US" w:eastAsia="zh-CN" w:bidi="ar-SA"/>
        </w:rPr>
        <w:t>85</w:t>
      </w:r>
      <w:r>
        <w:rPr>
          <w:rFonts w:hint="eastAsia" w:ascii="仿宋_GB2312" w:hAnsi="Times New Roman" w:eastAsia="仿宋_GB2312" w:cs="仿宋_GB2312"/>
          <w:kern w:val="0"/>
          <w:position w:val="0"/>
          <w:sz w:val="32"/>
          <w:szCs w:val="32"/>
          <w:highlight w:val="none"/>
          <w:u w:val="none"/>
          <w:shd w:val="clear" w:color="auto" w:fill="FFFFFF"/>
          <w:lang w:val="zh-CN" w:eastAsia="zh-CN" w:bidi="ar-SA"/>
        </w:rPr>
        <w:t>分。</w:t>
      </w:r>
    </w:p>
    <w:p>
      <w:pPr>
        <w:snapToGrid w:val="0"/>
        <w:spacing w:line="578" w:lineRule="exact"/>
        <w:ind w:firstLine="1600" w:firstLineChars="500"/>
        <w:rPr>
          <w:rFonts w:hint="eastAsia" w:ascii="Times New Roman" w:hAnsi="Times New Roman" w:eastAsia="仿宋_GB2312" w:cs="Times New Roman"/>
          <w:color w:val="000000"/>
          <w:kern w:val="0"/>
          <w:sz w:val="32"/>
          <w:szCs w:val="32"/>
          <w:shd w:val="clear" w:color="auto" w:fill="FFFFFF"/>
          <w:lang w:val="zh-CN"/>
        </w:rPr>
      </w:pPr>
    </w:p>
    <w:p>
      <w:pPr>
        <w:snapToGrid w:val="0"/>
        <w:spacing w:line="578" w:lineRule="exact"/>
        <w:ind w:firstLine="1600" w:firstLineChars="500"/>
        <w:rPr>
          <w:rFonts w:hint="eastAsia" w:ascii="Times New Roman" w:hAnsi="Times New Roman" w:eastAsia="仿宋_GB2312" w:cs="Times New Roman"/>
          <w:color w:val="000000"/>
          <w:kern w:val="0"/>
          <w:sz w:val="32"/>
          <w:szCs w:val="32"/>
          <w:shd w:val="clear" w:color="auto" w:fill="FFFFFF"/>
          <w:lang w:val="zh-CN"/>
        </w:rPr>
      </w:pPr>
    </w:p>
    <w:p>
      <w:pPr>
        <w:snapToGrid w:val="0"/>
        <w:spacing w:line="578" w:lineRule="exact"/>
        <w:ind w:firstLine="4480" w:firstLineChars="1400"/>
        <w:rPr>
          <w:rFonts w:ascii="Times New Roman" w:hAnsi="Times New Roman" w:eastAsia="仿宋_GB2312" w:cs="Times New Roman"/>
          <w:color w:val="000000"/>
          <w:kern w:val="0"/>
          <w:sz w:val="32"/>
          <w:szCs w:val="32"/>
          <w:shd w:val="clear" w:color="auto" w:fill="FFFFFF"/>
          <w:lang w:val="zh-CN"/>
        </w:rPr>
      </w:pPr>
      <w:r>
        <w:rPr>
          <w:rFonts w:hint="eastAsia" w:ascii="Times New Roman" w:hAnsi="Times New Roman" w:eastAsia="仿宋_GB2312" w:cs="Times New Roman"/>
          <w:color w:val="000000"/>
          <w:kern w:val="0"/>
          <w:sz w:val="32"/>
          <w:szCs w:val="32"/>
          <w:shd w:val="clear" w:color="auto" w:fill="FFFFFF"/>
          <w:lang w:val="zh-CN"/>
        </w:rPr>
        <w:br w:type="page"/>
      </w:r>
    </w:p>
    <w:p>
      <w:pPr>
        <w:snapToGrid w:val="0"/>
        <w:spacing w:line="578" w:lineRule="exact"/>
        <w:rPr>
          <w:rFonts w:ascii="Times New Roman" w:hAnsi="Times New Roman" w:eastAsia="黑体" w:cs="Times New Roman"/>
          <w:kern w:val="0"/>
          <w:sz w:val="32"/>
          <w:szCs w:val="32"/>
          <w:shd w:val="clear" w:color="auto" w:fill="FFFFFF"/>
        </w:rPr>
      </w:pPr>
      <w:r>
        <w:rPr>
          <w:rFonts w:ascii="Times New Roman" w:hAnsi="Times New Roman" w:eastAsia="黑体" w:cs="Times New Roman"/>
          <w:kern w:val="0"/>
          <w:sz w:val="32"/>
          <w:szCs w:val="32"/>
          <w:shd w:val="clear" w:color="auto" w:fill="FFFFFF"/>
          <w:lang w:val="zh-CN"/>
        </w:rPr>
        <w:t>附表</w:t>
      </w:r>
      <w:r>
        <w:rPr>
          <w:rFonts w:ascii="Times New Roman" w:hAnsi="Times New Roman" w:eastAsia="黑体" w:cs="Times New Roman"/>
          <w:kern w:val="0"/>
          <w:sz w:val="32"/>
          <w:szCs w:val="32"/>
          <w:shd w:val="clear" w:color="auto" w:fill="FFFFFF"/>
        </w:rPr>
        <w:t>1</w:t>
      </w:r>
    </w:p>
    <w:p>
      <w:pPr>
        <w:spacing w:line="578" w:lineRule="exact"/>
        <w:jc w:val="center"/>
        <w:rPr>
          <w:rFonts w:ascii="Times New Roman" w:hAnsi="Times New Roman" w:eastAsia="方正小标宋_GBK" w:cs="Times New Roman"/>
          <w:b/>
          <w:bCs/>
          <w:sz w:val="32"/>
          <w:szCs w:val="32"/>
        </w:rPr>
      </w:pPr>
      <w:r>
        <w:rPr>
          <w:rFonts w:hint="eastAsia" w:ascii="Times New Roman" w:hAnsi="Times New Roman" w:eastAsia="方正小标宋_GBK" w:cs="Times New Roman"/>
          <w:b/>
          <w:bCs/>
          <w:sz w:val="32"/>
          <w:szCs w:val="32"/>
        </w:rPr>
        <w:t>专项</w:t>
      </w:r>
      <w:r>
        <w:rPr>
          <w:rFonts w:ascii="Times New Roman" w:hAnsi="Times New Roman" w:eastAsia="方正小标宋_GBK" w:cs="Times New Roman"/>
          <w:b/>
          <w:bCs/>
          <w:sz w:val="32"/>
          <w:szCs w:val="32"/>
        </w:rPr>
        <w:t>预算绩效自评打分表</w:t>
      </w:r>
    </w:p>
    <w:tbl>
      <w:tblPr>
        <w:tblStyle w:val="26"/>
        <w:tblW w:w="10901" w:type="dxa"/>
        <w:jc w:val="center"/>
        <w:tblLayout w:type="fixed"/>
        <w:tblCellMar>
          <w:top w:w="0" w:type="dxa"/>
          <w:left w:w="108" w:type="dxa"/>
          <w:bottom w:w="0" w:type="dxa"/>
          <w:right w:w="108" w:type="dxa"/>
        </w:tblCellMar>
      </w:tblPr>
      <w:tblGrid>
        <w:gridCol w:w="720"/>
        <w:gridCol w:w="765"/>
        <w:gridCol w:w="825"/>
        <w:gridCol w:w="1355"/>
        <w:gridCol w:w="696"/>
        <w:gridCol w:w="5340"/>
        <w:gridCol w:w="732"/>
        <w:gridCol w:w="468"/>
      </w:tblGrid>
      <w:tr>
        <w:tblPrEx>
          <w:tblCellMar>
            <w:top w:w="0" w:type="dxa"/>
            <w:left w:w="108" w:type="dxa"/>
            <w:bottom w:w="0" w:type="dxa"/>
            <w:right w:w="108" w:type="dxa"/>
          </w:tblCellMar>
        </w:tblPrEx>
        <w:trPr>
          <w:trHeight w:val="23" w:hRule="atLeast"/>
          <w:jc w:val="center"/>
        </w:trPr>
        <w:tc>
          <w:tcPr>
            <w:tcW w:w="4361" w:type="dxa"/>
            <w:gridSpan w:val="5"/>
            <w:tcBorders>
              <w:top w:val="single" w:color="000000" w:sz="4" w:space="0"/>
              <w:left w:val="single" w:color="000000" w:sz="4" w:space="0"/>
              <w:bottom w:val="nil"/>
              <w:right w:val="nil"/>
            </w:tcBorders>
            <w:noWrap w:val="0"/>
            <w:vAlign w:val="center"/>
          </w:tcPr>
          <w:p>
            <w:pPr>
              <w:widowControl/>
              <w:spacing w:line="240" w:lineRule="exact"/>
              <w:jc w:val="center"/>
              <w:textAlignment w:val="center"/>
              <w:rPr>
                <w:rFonts w:ascii="黑体" w:hAnsi="宋体" w:eastAsia="黑体" w:cs="黑体"/>
                <w:color w:val="000000"/>
                <w:sz w:val="18"/>
                <w:szCs w:val="18"/>
              </w:rPr>
            </w:pPr>
            <w:r>
              <w:rPr>
                <w:rFonts w:hint="eastAsia" w:ascii="黑体" w:hAnsi="宋体" w:eastAsia="黑体" w:cs="黑体"/>
                <w:color w:val="000000"/>
                <w:kern w:val="0"/>
                <w:sz w:val="18"/>
                <w:szCs w:val="18"/>
                <w:lang w:bidi="ar"/>
              </w:rPr>
              <w:t>绩效评价指标</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指标解释</w:t>
            </w:r>
          </w:p>
        </w:tc>
        <w:tc>
          <w:tcPr>
            <w:tcW w:w="732"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自评得分</w:t>
            </w:r>
          </w:p>
        </w:tc>
        <w:tc>
          <w:tcPr>
            <w:tcW w:w="468" w:type="dxa"/>
            <w:vMerge w:val="restart"/>
            <w:tcBorders>
              <w:top w:val="single" w:color="000000" w:sz="4" w:space="0"/>
              <w:left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kern w:val="0"/>
                <w:sz w:val="18"/>
                <w:szCs w:val="18"/>
                <w:lang w:bidi="ar"/>
              </w:rPr>
            </w:pPr>
            <w:r>
              <w:rPr>
                <w:rFonts w:hint="eastAsia" w:ascii="黑体" w:hAnsi="宋体" w:eastAsia="黑体" w:cs="黑体"/>
                <w:color w:val="000000"/>
                <w:kern w:val="0"/>
                <w:sz w:val="18"/>
                <w:szCs w:val="18"/>
                <w:lang w:bidi="ar"/>
              </w:rPr>
              <w:t>备注</w:t>
            </w:r>
          </w:p>
        </w:tc>
      </w:tr>
      <w:tr>
        <w:tblPrEx>
          <w:tblCellMar>
            <w:top w:w="0" w:type="dxa"/>
            <w:left w:w="108" w:type="dxa"/>
            <w:bottom w:w="0" w:type="dxa"/>
            <w:right w:w="108" w:type="dxa"/>
          </w:tblCellMar>
        </w:tblPrEx>
        <w:trPr>
          <w:trHeight w:val="23" w:hRule="atLeast"/>
          <w:jc w:val="center"/>
        </w:trPr>
        <w:tc>
          <w:tcPr>
            <w:tcW w:w="72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一级指标</w:t>
            </w:r>
          </w:p>
        </w:tc>
        <w:tc>
          <w:tcPr>
            <w:tcW w:w="1590"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二级指标</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三级指标</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黑体" w:hAnsi="宋体" w:eastAsia="黑体" w:cs="黑体"/>
                <w:color w:val="000000"/>
                <w:sz w:val="18"/>
                <w:szCs w:val="18"/>
              </w:rPr>
            </w:pPr>
            <w:r>
              <w:rPr>
                <w:rFonts w:hint="eastAsia" w:ascii="黑体" w:hAnsi="宋体" w:eastAsia="黑体" w:cs="黑体"/>
                <w:color w:val="000000"/>
                <w:kern w:val="0"/>
                <w:sz w:val="18"/>
                <w:szCs w:val="18"/>
                <w:lang w:bidi="ar"/>
              </w:rPr>
              <w:t>指标</w:t>
            </w:r>
            <w:r>
              <w:rPr>
                <w:rFonts w:hint="eastAsia" w:ascii="黑体" w:hAnsi="宋体" w:eastAsia="黑体" w:cs="黑体"/>
                <w:color w:val="000000"/>
                <w:kern w:val="0"/>
                <w:sz w:val="18"/>
                <w:szCs w:val="18"/>
                <w:lang w:bidi="ar"/>
              </w:rPr>
              <w:br w:type="textWrapping"/>
            </w:r>
            <w:r>
              <w:rPr>
                <w:rFonts w:hint="eastAsia" w:ascii="黑体" w:hAnsi="宋体" w:eastAsia="黑体" w:cs="黑体"/>
                <w:color w:val="000000"/>
                <w:kern w:val="0"/>
                <w:sz w:val="18"/>
                <w:szCs w:val="18"/>
                <w:lang w:bidi="ar"/>
              </w:rPr>
              <w:t>分值</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18"/>
                <w:szCs w:val="18"/>
              </w:rPr>
            </w:pPr>
          </w:p>
        </w:tc>
        <w:tc>
          <w:tcPr>
            <w:tcW w:w="732"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18"/>
                <w:szCs w:val="18"/>
              </w:rPr>
            </w:pPr>
          </w:p>
        </w:tc>
        <w:tc>
          <w:tcPr>
            <w:tcW w:w="468" w:type="dxa"/>
            <w:vMerge w:val="continue"/>
            <w:tcBorders>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黑体" w:hAnsi="宋体" w:eastAsia="黑体" w:cs="黑体"/>
                <w:color w:val="000000"/>
                <w:sz w:val="18"/>
                <w:szCs w:val="18"/>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通用指标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（54分）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项目决策</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决策程序</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项目决策程序是否严密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规划论证</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项目规划论证是否符合中省要求，项目绩效目标设置是否科学合理</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资金投向</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项目资金是否与项目总体规划、相关行业事业发展相匹配，是否聚焦重大任务、重点领域、重点环节和重点项目</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项目管理</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（18分）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制度办法</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2</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项目制度办法是否体系健全、要素完备</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分配管理</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项目资金分配因素选取、权重设置、区域分布，项目管理、审批是否符合管理要求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绩效监管</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管资金、项目、政策是否管绩效，项目绩效监管是否按要求开展，对下指导是否有力有效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项目实施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预算执行</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项目资金财政拨付、单位执行和地方配套到位情况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资金使用拨付、项目实施是否符合规定</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3</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项目结果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（9分）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目标完成</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6</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项目是否完成预期目标，实施结果是否与绩效目标相匹配，反映目标实现程度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完成时效</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3</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项目实际完成时间与计划完成时间的比较</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产业发展</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符合性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项目实施是否与省委省政府支持重点、产业支持政策符合</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成长性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项目实施对相关企业（机构）成长性的促进作用，主要反映支持对象创新创造创业能力情况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经济性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项目实施对相关企业（机构）主营业务收入、净利润、税收、产量等方面增长情况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民生保障</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区域均衡性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项目资金分配体现的均衡公平情况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对象精准性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资金实际支持对象是否符合管理要求，是否符合支持对象范围</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标准合理性</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资金实际补贴标准是否符合资金管理办法规定的补助标准，是否及时按标准兑现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群众满意度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资金涉及相关受益群体、支持对象的满意度调查访谈情况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76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基础</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设施</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在建</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工程进度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项目是否达到计划工程进度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资金拨付</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15</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项目是否达到预先确定的资金拨付进度</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825"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建成</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项目</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项目验收是否及时合格</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功能实现</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项目经济社会功能是否实现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6</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76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825"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后续管护</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项目后续维护是否实现</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专用指标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590"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行政运转</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（30分）</w:t>
            </w: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用途合规性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是否按规定用途、适用范围进行本地区专项资金分配</w:t>
            </w:r>
          </w:p>
        </w:tc>
        <w:tc>
          <w:tcPr>
            <w:tcW w:w="73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68" w:type="dxa"/>
            <w:tcBorders>
              <w:top w:val="nil"/>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程序合规性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资金管理程序是否符合专项资金管理要求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18"/>
                <w:szCs w:val="18"/>
                <w:lang w:val="en-US" w:eastAsia="zh-CN" w:bidi="ar"/>
              </w:rPr>
            </w:pPr>
            <w:r>
              <w:rPr>
                <w:rFonts w:hint="eastAsia" w:ascii="宋体" w:hAnsi="宋体" w:eastAsia="宋体" w:cs="宋体"/>
                <w:color w:val="000000"/>
                <w:kern w:val="0"/>
                <w:sz w:val="18"/>
                <w:szCs w:val="18"/>
                <w:lang w:val="en-US" w:eastAsia="zh-CN" w:bidi="ar"/>
              </w:rPr>
              <w:t>10</w:t>
            </w: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72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590"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标准合规性</w:t>
            </w:r>
          </w:p>
        </w:tc>
        <w:tc>
          <w:tcPr>
            <w:tcW w:w="696"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10</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资金分配标准是否符合专项资金管理要求</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default" w:ascii="宋体" w:hAnsi="宋体" w:eastAsia="宋体" w:cs="宋体"/>
                <w:color w:val="000000"/>
                <w:kern w:val="0"/>
                <w:sz w:val="18"/>
                <w:szCs w:val="18"/>
                <w:lang w:val="en-US" w:eastAsia="zh-CN"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个性指标</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（16分）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340"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根据项目个性自行设定部分指标，反映该项指标执行完成情况。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23" w:hRule="atLeast"/>
          <w:jc w:val="center"/>
        </w:trPr>
        <w:tc>
          <w:tcPr>
            <w:tcW w:w="2310" w:type="dxa"/>
            <w:gridSpan w:val="3"/>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rPr>
                <w:rFonts w:hint="eastAsia" w:ascii="宋体" w:hAnsi="宋体" w:eastAsia="宋体" w:cs="宋体"/>
                <w:b/>
                <w:color w:val="000000"/>
                <w:sz w:val="18"/>
                <w:szCs w:val="18"/>
              </w:rPr>
            </w:pP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340" w:type="dxa"/>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rPr>
                <w:rFonts w:hint="eastAsia" w:ascii="宋体" w:hAnsi="宋体" w:eastAsia="宋体" w:cs="宋体"/>
                <w:color w:val="000000"/>
                <w:sz w:val="18"/>
                <w:szCs w:val="18"/>
              </w:rPr>
            </w:pPr>
          </w:p>
        </w:tc>
      </w:tr>
      <w:tr>
        <w:tblPrEx>
          <w:tblCellMar>
            <w:top w:w="0" w:type="dxa"/>
            <w:left w:w="108" w:type="dxa"/>
            <w:bottom w:w="0" w:type="dxa"/>
            <w:right w:w="108" w:type="dxa"/>
          </w:tblCellMar>
        </w:tblPrEx>
        <w:trPr>
          <w:trHeight w:val="23" w:hRule="atLeast"/>
          <w:jc w:val="center"/>
        </w:trPr>
        <w:tc>
          <w:tcPr>
            <w:tcW w:w="2310"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b/>
                <w:color w:val="000000"/>
                <w:sz w:val="18"/>
                <w:szCs w:val="18"/>
              </w:rPr>
            </w:pPr>
            <w:r>
              <w:rPr>
                <w:rFonts w:hint="eastAsia" w:ascii="宋体" w:hAnsi="宋体" w:eastAsia="宋体" w:cs="宋体"/>
                <w:b/>
                <w:color w:val="000000"/>
                <w:kern w:val="0"/>
                <w:sz w:val="18"/>
                <w:szCs w:val="18"/>
                <w:lang w:bidi="ar"/>
              </w:rPr>
              <w:t>扣分项</w:t>
            </w:r>
            <w:r>
              <w:rPr>
                <w:rFonts w:hint="eastAsia" w:ascii="宋体" w:hAnsi="宋体" w:eastAsia="宋体" w:cs="宋体"/>
                <w:b/>
                <w:color w:val="000000"/>
                <w:kern w:val="0"/>
                <w:sz w:val="18"/>
                <w:szCs w:val="18"/>
                <w:lang w:bidi="ar"/>
              </w:rPr>
              <w:br w:type="textWrapping"/>
            </w:r>
            <w:r>
              <w:rPr>
                <w:rFonts w:hint="eastAsia" w:ascii="宋体" w:hAnsi="宋体" w:eastAsia="宋体" w:cs="宋体"/>
                <w:b/>
                <w:color w:val="000000"/>
                <w:kern w:val="0"/>
                <w:sz w:val="18"/>
                <w:szCs w:val="18"/>
                <w:lang w:bidi="ar"/>
              </w:rPr>
              <w:t>（10分）</w:t>
            </w:r>
          </w:p>
        </w:tc>
        <w:tc>
          <w:tcPr>
            <w:tcW w:w="1355"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w:t>
            </w:r>
            <w:r>
              <w:rPr>
                <w:rFonts w:hint="eastAsia" w:ascii="宋体" w:hAnsi="宋体" w:eastAsia="宋体" w:cs="宋体"/>
                <w:color w:val="000000"/>
                <w:kern w:val="0"/>
                <w:sz w:val="18"/>
                <w:szCs w:val="18"/>
                <w:lang w:bidi="ar"/>
              </w:rPr>
              <w:br w:type="textWrapping"/>
            </w:r>
            <w:r>
              <w:rPr>
                <w:rFonts w:hint="eastAsia" w:ascii="宋体" w:hAnsi="宋体" w:eastAsia="宋体" w:cs="宋体"/>
                <w:color w:val="000000"/>
                <w:kern w:val="0"/>
                <w:sz w:val="18"/>
                <w:szCs w:val="18"/>
                <w:lang w:bidi="ar"/>
              </w:rPr>
              <w:t>部门配合度</w:t>
            </w:r>
          </w:p>
        </w:tc>
        <w:tc>
          <w:tcPr>
            <w:tcW w:w="69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center"/>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w:t>
            </w:r>
          </w:p>
        </w:tc>
        <w:tc>
          <w:tcPr>
            <w:tcW w:w="534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sz w:val="18"/>
                <w:szCs w:val="18"/>
              </w:rPr>
            </w:pPr>
            <w:r>
              <w:rPr>
                <w:rFonts w:hint="eastAsia" w:ascii="宋体" w:hAnsi="宋体" w:eastAsia="宋体" w:cs="宋体"/>
                <w:color w:val="000000"/>
                <w:kern w:val="0"/>
                <w:sz w:val="18"/>
                <w:szCs w:val="18"/>
                <w:lang w:bidi="ar"/>
              </w:rPr>
              <w:t>被评价对象工作配合情况</w:t>
            </w:r>
          </w:p>
        </w:tc>
        <w:tc>
          <w:tcPr>
            <w:tcW w:w="73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c>
          <w:tcPr>
            <w:tcW w:w="46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exact"/>
              <w:jc w:val="left"/>
              <w:textAlignment w:val="center"/>
              <w:rPr>
                <w:rFonts w:hint="eastAsia" w:ascii="宋体" w:hAnsi="宋体" w:eastAsia="宋体" w:cs="宋体"/>
                <w:color w:val="000000"/>
                <w:kern w:val="0"/>
                <w:sz w:val="18"/>
                <w:szCs w:val="18"/>
                <w:lang w:bidi="ar"/>
              </w:rPr>
            </w:pPr>
          </w:p>
        </w:tc>
      </w:tr>
    </w:tbl>
    <w:p>
      <w:pPr>
        <w:widowControl w:val="0"/>
        <w:spacing w:after="0" w:line="578" w:lineRule="exact"/>
        <w:ind w:left="0" w:leftChars="0" w:firstLine="0" w:firstLineChars="0"/>
        <w:jc w:val="both"/>
        <w:rPr>
          <w:rFonts w:ascii="Times New Roman" w:hAnsi="Times New Roman" w:eastAsia="黑体" w:cs="Times New Roman"/>
          <w:kern w:val="2"/>
          <w:sz w:val="18"/>
          <w:szCs w:val="18"/>
          <w:lang w:val="en-US" w:eastAsia="zh-CN" w:bidi="ar-SA"/>
        </w:rPr>
      </w:pPr>
    </w:p>
    <w:p>
      <w:pPr>
        <w:widowControl w:val="0"/>
        <w:spacing w:after="0" w:line="578" w:lineRule="exact"/>
        <w:ind w:left="0" w:leftChars="0" w:firstLine="0" w:firstLineChars="0"/>
        <w:jc w:val="both"/>
        <w:rPr>
          <w:rFonts w:ascii="Times New Roman" w:hAnsi="Times New Roman" w:eastAsia="黑体" w:cs="Times New Roman"/>
          <w:kern w:val="2"/>
          <w:sz w:val="18"/>
          <w:szCs w:val="18"/>
          <w:lang w:val="en-US" w:eastAsia="zh-CN" w:bidi="ar-SA"/>
        </w:rPr>
      </w:pPr>
    </w:p>
    <w:p>
      <w:pPr>
        <w:widowControl w:val="0"/>
        <w:spacing w:after="0" w:line="578" w:lineRule="exact"/>
        <w:ind w:left="0" w:leftChars="0" w:firstLine="0" w:firstLineChars="0"/>
        <w:jc w:val="both"/>
        <w:rPr>
          <w:rFonts w:ascii="Times New Roman" w:hAnsi="Times New Roman" w:eastAsia="黑体" w:cs="Times New Roman"/>
          <w:kern w:val="2"/>
          <w:sz w:val="18"/>
          <w:szCs w:val="18"/>
          <w:lang w:val="en-US" w:eastAsia="zh-CN" w:bidi="ar-SA"/>
        </w:rPr>
      </w:pPr>
    </w:p>
    <w:p>
      <w:pPr>
        <w:widowControl w:val="0"/>
        <w:spacing w:after="0" w:line="578" w:lineRule="exact"/>
        <w:ind w:left="0" w:leftChars="0" w:firstLine="0" w:firstLineChars="0"/>
        <w:jc w:val="both"/>
        <w:rPr>
          <w:rFonts w:ascii="Times New Roman" w:hAnsi="Times New Roman" w:eastAsia="黑体" w:cs="Times New Roman"/>
          <w:kern w:val="2"/>
          <w:sz w:val="18"/>
          <w:szCs w:val="18"/>
          <w:lang w:val="en-US" w:eastAsia="zh-CN" w:bidi="ar-SA"/>
        </w:rPr>
      </w:pPr>
    </w:p>
    <w:p>
      <w:pPr>
        <w:snapToGrid w:val="0"/>
        <w:spacing w:line="578" w:lineRule="exact"/>
        <w:rPr>
          <w:rFonts w:ascii="Times New Roman" w:hAnsi="Times New Roman" w:eastAsia="黑体" w:cs="Times New Roman"/>
          <w:kern w:val="0"/>
          <w:sz w:val="32"/>
          <w:szCs w:val="32"/>
          <w:shd w:val="clear" w:color="auto" w:fill="FFFFFF"/>
          <w:lang w:val="en-US" w:eastAsia="zh-CN"/>
        </w:rPr>
      </w:pPr>
      <w:r>
        <w:rPr>
          <w:rFonts w:ascii="Times New Roman" w:hAnsi="Times New Roman" w:eastAsia="黑体" w:cs="Times New Roman"/>
          <w:kern w:val="0"/>
          <w:sz w:val="32"/>
          <w:szCs w:val="32"/>
          <w:shd w:val="clear" w:color="auto" w:fill="FFFFFF"/>
          <w:lang w:val="en-US" w:eastAsia="zh-CN"/>
        </w:rPr>
        <w:t>附表2</w:t>
      </w:r>
    </w:p>
    <w:tbl>
      <w:tblPr>
        <w:tblStyle w:val="26"/>
        <w:tblW w:w="10233" w:type="dxa"/>
        <w:jc w:val="center"/>
        <w:tblLayout w:type="fixed"/>
        <w:tblCellMar>
          <w:top w:w="15" w:type="dxa"/>
          <w:left w:w="15" w:type="dxa"/>
          <w:bottom w:w="15" w:type="dxa"/>
          <w:right w:w="15" w:type="dxa"/>
        </w:tblCellMar>
      </w:tblPr>
      <w:tblGrid>
        <w:gridCol w:w="501"/>
        <w:gridCol w:w="1000"/>
        <w:gridCol w:w="1016"/>
        <w:gridCol w:w="2552"/>
        <w:gridCol w:w="1098"/>
        <w:gridCol w:w="967"/>
        <w:gridCol w:w="1000"/>
        <w:gridCol w:w="633"/>
        <w:gridCol w:w="1466"/>
      </w:tblGrid>
      <w:tr>
        <w:tblPrEx>
          <w:tblCellMar>
            <w:top w:w="15" w:type="dxa"/>
            <w:left w:w="15" w:type="dxa"/>
            <w:bottom w:w="15" w:type="dxa"/>
            <w:right w:w="15" w:type="dxa"/>
          </w:tblCellMar>
        </w:tblPrEx>
        <w:trPr>
          <w:trHeight w:val="576" w:hRule="atLeast"/>
          <w:jc w:val="center"/>
        </w:trPr>
        <w:tc>
          <w:tcPr>
            <w:tcW w:w="10233" w:type="dxa"/>
            <w:gridSpan w:val="9"/>
            <w:noWrap w:val="0"/>
            <w:vAlign w:val="center"/>
          </w:tcPr>
          <w:p>
            <w:pPr>
              <w:widowControl/>
              <w:spacing w:line="600" w:lineRule="exact"/>
              <w:jc w:val="center"/>
              <w:textAlignment w:val="center"/>
              <w:rPr>
                <w:rFonts w:ascii="Times New Roman" w:hAnsi="Times New Roman" w:eastAsia="黑体" w:cs="Times New Roman"/>
                <w:color w:val="000000"/>
                <w:sz w:val="18"/>
                <w:szCs w:val="18"/>
              </w:rPr>
            </w:pPr>
            <w:r>
              <w:rPr>
                <w:rFonts w:ascii="Times New Roman" w:hAnsi="Times New Roman" w:eastAsia="方正小标宋简体" w:cs="Times New Roman"/>
                <w:b/>
                <w:bCs/>
                <w:color w:val="000000"/>
                <w:kern w:val="0"/>
                <w:sz w:val="32"/>
                <w:szCs w:val="32"/>
                <w:lang w:bidi="ar"/>
              </w:rPr>
              <w:t>专项预算项目绩效目标完成情况自评表</w:t>
            </w:r>
          </w:p>
        </w:tc>
      </w:tr>
      <w:tr>
        <w:tblPrEx>
          <w:tblCellMar>
            <w:top w:w="15" w:type="dxa"/>
            <w:left w:w="15" w:type="dxa"/>
            <w:bottom w:w="15" w:type="dxa"/>
            <w:right w:w="15" w:type="dxa"/>
          </w:tblCellMar>
        </w:tblPrEx>
        <w:trPr>
          <w:trHeight w:val="23" w:hRule="atLeast"/>
          <w:jc w:val="center"/>
        </w:trPr>
        <w:tc>
          <w:tcPr>
            <w:tcW w:w="5069"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项目名称</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2025年州级农资价格及储备补贴资金</w:t>
            </w:r>
          </w:p>
        </w:tc>
      </w:tr>
      <w:tr>
        <w:tblPrEx>
          <w:tblCellMar>
            <w:top w:w="15" w:type="dxa"/>
            <w:left w:w="15" w:type="dxa"/>
            <w:bottom w:w="15" w:type="dxa"/>
            <w:right w:w="15" w:type="dxa"/>
          </w:tblCellMar>
        </w:tblPrEx>
        <w:trPr>
          <w:trHeight w:val="458" w:hRule="atLeast"/>
          <w:jc w:val="center"/>
        </w:trPr>
        <w:tc>
          <w:tcPr>
            <w:tcW w:w="5069"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预算单位</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茂县供销合作社联合社</w:t>
            </w:r>
          </w:p>
        </w:tc>
      </w:tr>
      <w:tr>
        <w:tblPrEx>
          <w:tblCellMar>
            <w:top w:w="15" w:type="dxa"/>
            <w:left w:w="15" w:type="dxa"/>
            <w:bottom w:w="15" w:type="dxa"/>
            <w:right w:w="15" w:type="dxa"/>
          </w:tblCellMar>
        </w:tblPrEx>
        <w:trPr>
          <w:trHeight w:val="23" w:hRule="atLeast"/>
          <w:jc w:val="center"/>
        </w:trPr>
        <w:tc>
          <w:tcPr>
            <w:tcW w:w="5069"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项目类型</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 概况</w:t>
            </w: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中长期规划（名称、文号，仅指</w:t>
            </w:r>
          </w:p>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常年项目）</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zh-CN" w:eastAsia="zh-CN" w:bidi="ar"/>
              </w:rPr>
              <w:t>《阿坝州财政局关于下达2025年州级农资价格及储备补贴资金的通知》（阿州财</w:t>
            </w:r>
            <w:r>
              <w:rPr>
                <w:rFonts w:hint="eastAsia" w:ascii="Times New Roman" w:hAnsi="Times New Roman" w:eastAsia="宋体" w:cs="Times New Roman"/>
                <w:color w:val="000000"/>
                <w:kern w:val="0"/>
                <w:sz w:val="18"/>
                <w:szCs w:val="18"/>
                <w:lang w:val="en-US" w:eastAsia="zh-CN" w:bidi="ar"/>
              </w:rPr>
              <w:t>建</w:t>
            </w:r>
            <w:r>
              <w:rPr>
                <w:rFonts w:hint="eastAsia" w:ascii="Times New Roman" w:hAnsi="Times New Roman" w:eastAsia="宋体" w:cs="Times New Roman"/>
                <w:color w:val="000000"/>
                <w:kern w:val="0"/>
                <w:sz w:val="18"/>
                <w:szCs w:val="18"/>
                <w:lang w:val="zh-CN" w:eastAsia="zh-CN" w:bidi="ar"/>
              </w:rPr>
              <w:t>〔2025〕</w:t>
            </w:r>
            <w:r>
              <w:rPr>
                <w:rFonts w:hint="eastAsia" w:ascii="Times New Roman" w:hAnsi="Times New Roman" w:eastAsia="宋体" w:cs="Times New Roman"/>
                <w:color w:val="000000"/>
                <w:kern w:val="0"/>
                <w:sz w:val="18"/>
                <w:szCs w:val="18"/>
                <w:lang w:val="en-US" w:eastAsia="zh-CN" w:bidi="ar"/>
              </w:rPr>
              <w:t>68</w:t>
            </w:r>
            <w:r>
              <w:rPr>
                <w:rFonts w:hint="eastAsia" w:ascii="Times New Roman" w:hAnsi="Times New Roman" w:eastAsia="宋体" w:cs="Times New Roman"/>
                <w:color w:val="000000"/>
                <w:kern w:val="0"/>
                <w:sz w:val="18"/>
                <w:szCs w:val="18"/>
                <w:lang w:val="zh-CN" w:eastAsia="zh-CN" w:bidi="ar"/>
              </w:rPr>
              <w:t>号）</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资金管理办法（名称、文号）</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90"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绩效分配方式</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w:t>
            </w:r>
          </w:p>
        </w:tc>
        <w:tc>
          <w:tcPr>
            <w:tcW w:w="1967"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£项目法</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£据实据效</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£因素法与项目法相结合</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立项依据</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使用范围</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eastAsia="zh-CN" w:bidi="ar"/>
              </w:rPr>
            </w:pPr>
            <w:r>
              <w:rPr>
                <w:rFonts w:hint="eastAsia" w:ascii="Times New Roman" w:hAnsi="Times New Roman" w:eastAsia="宋体" w:cs="Times New Roman"/>
                <w:color w:val="000000"/>
                <w:kern w:val="0"/>
                <w:sz w:val="18"/>
                <w:szCs w:val="18"/>
                <w:lang w:eastAsia="zh-CN" w:bidi="ar"/>
              </w:rPr>
              <w:t>茂县</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申报（补助）条件</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要以户建立销售台帐，记载购买人姓名、所在村组、购买时间、购买品种、购买数量、销售价格、购买人签字并盖手印。</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4568"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项目起止年限</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2025年</w:t>
            </w:r>
          </w:p>
        </w:tc>
      </w:tr>
      <w:tr>
        <w:tblPrEx>
          <w:tblCellMar>
            <w:top w:w="15" w:type="dxa"/>
            <w:left w:w="15" w:type="dxa"/>
            <w:bottom w:w="15" w:type="dxa"/>
            <w:right w:w="15" w:type="dxa"/>
          </w:tblCellMar>
        </w:tblPrEx>
        <w:trPr>
          <w:trHeight w:val="23" w:hRule="atLeast"/>
          <w:jc w:val="center"/>
        </w:trPr>
        <w:tc>
          <w:tcPr>
            <w:tcW w:w="1501"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项目资金</w:t>
            </w:r>
          </w:p>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（万元）</w:t>
            </w:r>
          </w:p>
        </w:tc>
        <w:tc>
          <w:tcPr>
            <w:tcW w:w="35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  年度资金总额：</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39</w:t>
            </w:r>
          </w:p>
        </w:tc>
      </w:tr>
      <w:tr>
        <w:tblPrEx>
          <w:tblCellMar>
            <w:top w:w="15" w:type="dxa"/>
            <w:left w:w="15" w:type="dxa"/>
            <w:bottom w:w="15" w:type="dxa"/>
            <w:right w:w="15" w:type="dxa"/>
          </w:tblCellMar>
        </w:tblPrEx>
        <w:trPr>
          <w:trHeight w:val="23" w:hRule="atLeast"/>
          <w:jc w:val="center"/>
        </w:trPr>
        <w:tc>
          <w:tcPr>
            <w:tcW w:w="15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35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 xml:space="preserve">      其中：财政拨款</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hint="default" w:ascii="Times New Roman" w:hAnsi="Times New Roman" w:eastAsia="宋体" w:cs="Times New Roman"/>
                <w:color w:val="000000"/>
                <w:kern w:val="0"/>
                <w:sz w:val="18"/>
                <w:szCs w:val="18"/>
                <w:lang w:val="en-US" w:eastAsia="zh-CN" w:bidi="ar"/>
              </w:rPr>
            </w:pPr>
            <w:r>
              <w:rPr>
                <w:rFonts w:hint="eastAsia" w:ascii="Times New Roman" w:hAnsi="Times New Roman" w:eastAsia="宋体" w:cs="Times New Roman"/>
                <w:color w:val="000000"/>
                <w:kern w:val="0"/>
                <w:sz w:val="18"/>
                <w:szCs w:val="18"/>
                <w:lang w:val="en-US" w:eastAsia="zh-CN" w:bidi="ar"/>
              </w:rPr>
              <w:t>39</w:t>
            </w:r>
          </w:p>
        </w:tc>
      </w:tr>
      <w:tr>
        <w:tblPrEx>
          <w:tblCellMar>
            <w:top w:w="15" w:type="dxa"/>
            <w:left w:w="15" w:type="dxa"/>
            <w:bottom w:w="15" w:type="dxa"/>
            <w:right w:w="15" w:type="dxa"/>
          </w:tblCellMar>
        </w:tblPrEx>
        <w:trPr>
          <w:trHeight w:val="23" w:hRule="atLeast"/>
          <w:jc w:val="center"/>
        </w:trPr>
        <w:tc>
          <w:tcPr>
            <w:tcW w:w="1501"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3568" w:type="dxa"/>
            <w:gridSpan w:val="2"/>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 xml:space="preserve">            其他资金</w:t>
            </w:r>
          </w:p>
        </w:tc>
        <w:tc>
          <w:tcPr>
            <w:tcW w:w="5164" w:type="dxa"/>
            <w:gridSpan w:val="5"/>
            <w:tcBorders>
              <w:top w:val="single" w:color="000000" w:sz="4" w:space="0"/>
              <w:left w:val="single" w:color="000000" w:sz="4" w:space="0"/>
              <w:bottom w:val="single" w:color="000000" w:sz="4" w:space="0"/>
              <w:right w:val="single" w:color="000000" w:sz="4" w:space="0"/>
            </w:tcBorders>
            <w:noWrap w:val="0"/>
            <w:vAlign w:val="center"/>
          </w:tcPr>
          <w:p>
            <w:pPr>
              <w:spacing w:line="300" w:lineRule="exact"/>
              <w:jc w:val="right"/>
              <w:rPr>
                <w:rFonts w:ascii="Times New Roman" w:hAnsi="Times New Roman" w:eastAsia="宋体" w:cs="Times New Roman"/>
                <w:color w:val="000000"/>
                <w:sz w:val="18"/>
                <w:szCs w:val="18"/>
              </w:rPr>
            </w:pP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总体 目标</w:t>
            </w:r>
          </w:p>
        </w:tc>
        <w:tc>
          <w:tcPr>
            <w:tcW w:w="9732"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年度目标</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00" w:lineRule="exact"/>
              <w:rPr>
                <w:rFonts w:ascii="Times New Roman" w:hAnsi="Times New Roman" w:eastAsia="宋体" w:cs="Times New Roman"/>
                <w:color w:val="000000"/>
                <w:sz w:val="18"/>
                <w:szCs w:val="18"/>
              </w:rPr>
            </w:pPr>
          </w:p>
        </w:tc>
        <w:tc>
          <w:tcPr>
            <w:tcW w:w="9732" w:type="dxa"/>
            <w:gridSpan w:val="8"/>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left"/>
              <w:textAlignment w:val="center"/>
              <w:rPr>
                <w:rFonts w:ascii="Times New Roman" w:hAnsi="Times New Roman" w:eastAsia="宋体" w:cs="Times New Roman"/>
                <w:color w:val="000000"/>
                <w:kern w:val="0"/>
                <w:sz w:val="18"/>
                <w:szCs w:val="18"/>
                <w:lang w:bidi="ar"/>
              </w:rPr>
            </w:pPr>
            <w:r>
              <w:rPr>
                <w:rFonts w:hint="eastAsia" w:ascii="Times New Roman" w:hAnsi="Times New Roman" w:eastAsia="宋体" w:cs="Times New Roman"/>
                <w:color w:val="000000"/>
                <w:kern w:val="0"/>
                <w:sz w:val="18"/>
                <w:szCs w:val="18"/>
                <w:lang w:val="en-US" w:eastAsia="zh-CN" w:bidi="ar"/>
              </w:rPr>
              <w:t>申报项目预算金额为39万元                                                             一、价格补贴资金28万根据本县实际情况，在茂县供销合作社联合社社属企业及基层网点购买化肥每满100元享受5元现场直补并登记销售台账，做到让利于民、惠及于民。                                                                              二、储备补贴资金11万用于资金占用利息，农资储备补贴资金用于农资仓储租赁费用补贴、资金占用利息补贴和弥补价差损失。</w:t>
            </w:r>
          </w:p>
        </w:tc>
      </w:tr>
      <w:tr>
        <w:tblPrEx>
          <w:tblCellMar>
            <w:top w:w="15" w:type="dxa"/>
            <w:left w:w="15" w:type="dxa"/>
            <w:bottom w:w="15" w:type="dxa"/>
            <w:right w:w="15" w:type="dxa"/>
          </w:tblCellMar>
        </w:tblPrEx>
        <w:trPr>
          <w:trHeight w:val="23" w:hRule="atLeast"/>
          <w:jc w:val="center"/>
        </w:trPr>
        <w:tc>
          <w:tcPr>
            <w:tcW w:w="501" w:type="dxa"/>
            <w:vMerge w:val="restart"/>
            <w:tcBorders>
              <w:top w:val="single" w:color="000000" w:sz="4" w:space="0"/>
              <w:left w:val="single" w:color="000000" w:sz="4" w:space="0"/>
              <w:bottom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sz w:val="18"/>
                <w:szCs w:val="18"/>
              </w:rPr>
            </w:pPr>
            <w:r>
              <w:rPr>
                <w:rFonts w:ascii="Times New Roman" w:hAnsi="Times New Roman" w:eastAsia="宋体" w:cs="Times New Roman"/>
                <w:color w:val="000000"/>
                <w:kern w:val="0"/>
                <w:sz w:val="18"/>
                <w:szCs w:val="18"/>
                <w:lang w:bidi="ar"/>
              </w:rPr>
              <w:t>绩效 指标</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一级指标</w:t>
            </w:r>
          </w:p>
        </w:tc>
        <w:tc>
          <w:tcPr>
            <w:tcW w:w="1016" w:type="dxa"/>
            <w:tcBorders>
              <w:top w:val="single" w:color="000000" w:sz="4" w:space="0"/>
              <w:left w:val="single" w:color="000000" w:sz="4" w:space="0"/>
              <w:bottom w:val="single" w:color="auto"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二级指标</w:t>
            </w:r>
          </w:p>
        </w:tc>
        <w:tc>
          <w:tcPr>
            <w:tcW w:w="2552"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三级指标</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指标性质</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指标值</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度量单位</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权重</w:t>
            </w:r>
          </w:p>
        </w:tc>
        <w:tc>
          <w:tcPr>
            <w:tcW w:w="1466"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00" w:lineRule="exact"/>
              <w:jc w:val="center"/>
              <w:textAlignment w:val="center"/>
              <w:rPr>
                <w:rFonts w:ascii="Times New Roman" w:hAnsi="Times New Roman" w:eastAsia="宋体" w:cs="Times New Roman"/>
                <w:color w:val="000000"/>
                <w:kern w:val="0"/>
                <w:sz w:val="18"/>
                <w:szCs w:val="18"/>
                <w:lang w:bidi="ar"/>
              </w:rPr>
            </w:pPr>
            <w:r>
              <w:rPr>
                <w:rFonts w:ascii="Times New Roman" w:hAnsi="Times New Roman" w:eastAsia="宋体" w:cs="Times New Roman"/>
                <w:color w:val="000000"/>
                <w:kern w:val="0"/>
                <w:sz w:val="18"/>
                <w:szCs w:val="18"/>
                <w:lang w:bidi="ar"/>
              </w:rPr>
              <w:t>实际完成指标值</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restart"/>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产出指标</w:t>
            </w:r>
          </w:p>
        </w:tc>
        <w:tc>
          <w:tcPr>
            <w:tcW w:w="101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数量指标</w:t>
            </w:r>
          </w:p>
        </w:tc>
        <w:tc>
          <w:tcPr>
            <w:tcW w:w="2552"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农资储备数量</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1500</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吨</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≥1500吨</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2552"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补贴化肥种类</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2</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种</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≥2种</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000000"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时效指标</w:t>
            </w:r>
          </w:p>
        </w:tc>
        <w:tc>
          <w:tcPr>
            <w:tcW w:w="2552"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项目完成时限</w:t>
            </w:r>
          </w:p>
        </w:tc>
        <w:tc>
          <w:tcPr>
            <w:tcW w:w="109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≥100%</w:t>
            </w:r>
          </w:p>
        </w:tc>
      </w:tr>
      <w:tr>
        <w:tblPrEx>
          <w:tblCellMar>
            <w:top w:w="15" w:type="dxa"/>
            <w:left w:w="15" w:type="dxa"/>
            <w:bottom w:w="15" w:type="dxa"/>
            <w:right w:w="15" w:type="dxa"/>
          </w:tblCellMar>
        </w:tblPrEx>
        <w:trPr>
          <w:trHeight w:val="225"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效益指标</w:t>
            </w:r>
          </w:p>
        </w:tc>
        <w:tc>
          <w:tcPr>
            <w:tcW w:w="1016" w:type="dxa"/>
            <w:tcBorders>
              <w:top w:val="single" w:color="auto"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经济效益指标</w:t>
            </w:r>
          </w:p>
        </w:tc>
        <w:tc>
          <w:tcPr>
            <w:tcW w:w="2552" w:type="dxa"/>
            <w:tcBorders>
              <w:top w:val="single" w:color="000000" w:sz="4" w:space="0"/>
              <w:left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在理论销售价格的基础上扣减财政补贴，降低农户的购买价格</w:t>
            </w:r>
          </w:p>
        </w:tc>
        <w:tc>
          <w:tcPr>
            <w:tcW w:w="1098"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6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有较大提升</w:t>
            </w:r>
          </w:p>
        </w:tc>
        <w:tc>
          <w:tcPr>
            <w:tcW w:w="1000" w:type="dxa"/>
            <w:tcBorders>
              <w:top w:val="single" w:color="000000" w:sz="4" w:space="0"/>
              <w:left w:val="single" w:color="000000" w:sz="4" w:space="0"/>
              <w:right w:val="single" w:color="000000" w:sz="4" w:space="0"/>
            </w:tcBorders>
            <w:noWrap w:val="0"/>
            <w:vAlign w:val="center"/>
          </w:tcPr>
          <w:p>
            <w:pPr>
              <w:jc w:val="center"/>
              <w:rPr>
                <w:rFonts w:hint="default" w:ascii="Times New Roman" w:hAnsi="Times New Roman" w:eastAsia="宋体" w:cs="Times New Roman"/>
                <w:color w:val="000000"/>
                <w:kern w:val="0"/>
                <w:sz w:val="18"/>
                <w:szCs w:val="18"/>
                <w:lang w:val="en-US" w:eastAsia="zh-CN" w:bidi="ar"/>
              </w:rPr>
            </w:pPr>
          </w:p>
        </w:tc>
        <w:tc>
          <w:tcPr>
            <w:tcW w:w="633"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(定性)有较大提升</w:t>
            </w:r>
          </w:p>
        </w:tc>
      </w:tr>
      <w:tr>
        <w:tblPrEx>
          <w:tblCellMar>
            <w:top w:w="15" w:type="dxa"/>
            <w:left w:w="15" w:type="dxa"/>
            <w:bottom w:w="15" w:type="dxa"/>
            <w:right w:w="15" w:type="dxa"/>
          </w:tblCellMar>
        </w:tblPrEx>
        <w:trPr>
          <w:trHeight w:val="23" w:hRule="atLeast"/>
          <w:jc w:val="center"/>
        </w:trPr>
        <w:tc>
          <w:tcPr>
            <w:tcW w:w="501" w:type="dxa"/>
            <w:vMerge w:val="continue"/>
            <w:tcBorders>
              <w:top w:val="single" w:color="000000" w:sz="4" w:space="0"/>
              <w:left w:val="single" w:color="000000" w:sz="4" w:space="0"/>
              <w:bottom w:val="single" w:color="000000"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000000" w:sz="4" w:space="0"/>
              <w:left w:val="single" w:color="000000" w:sz="4" w:space="0"/>
              <w:bottom w:val="single" w:color="auto" w:sz="4" w:space="0"/>
              <w:right w:val="single" w:color="000000"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社会效益指标</w:t>
            </w:r>
          </w:p>
        </w:tc>
        <w:tc>
          <w:tcPr>
            <w:tcW w:w="2552"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通过降低化肥销售价格让农牧民直接享受补贴，从而降低生产成本</w:t>
            </w:r>
          </w:p>
        </w:tc>
        <w:tc>
          <w:tcPr>
            <w:tcW w:w="1098"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5</w:t>
            </w:r>
          </w:p>
        </w:tc>
        <w:tc>
          <w:tcPr>
            <w:tcW w:w="1000"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3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15</w:t>
            </w:r>
          </w:p>
        </w:tc>
        <w:tc>
          <w:tcPr>
            <w:tcW w:w="1466" w:type="dxa"/>
            <w:tcBorders>
              <w:top w:val="single" w:color="000000" w:sz="4" w:space="0"/>
              <w:left w:val="single" w:color="000000" w:sz="4" w:space="0"/>
              <w:bottom w:val="single" w:color="auto" w:sz="4" w:space="0"/>
              <w:right w:val="single" w:color="000000"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≤5%</w:t>
            </w:r>
          </w:p>
        </w:tc>
      </w:tr>
      <w:tr>
        <w:tblPrEx>
          <w:tblCellMar>
            <w:top w:w="15" w:type="dxa"/>
            <w:left w:w="15" w:type="dxa"/>
            <w:bottom w:w="15" w:type="dxa"/>
            <w:right w:w="15" w:type="dxa"/>
          </w:tblCellMar>
        </w:tblPrEx>
        <w:trPr>
          <w:trHeight w:val="740" w:hRule="atLeast"/>
          <w:jc w:val="center"/>
        </w:trPr>
        <w:tc>
          <w:tcPr>
            <w:tcW w:w="501"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vMerge w:val="continue"/>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生态效益指标</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引导我县农民群众使用配方肥和有机肥，降低土地面源污染，推动我县绿色生态农业发展</w:t>
            </w:r>
          </w:p>
        </w:tc>
        <w:tc>
          <w:tcPr>
            <w:tcW w:w="10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定性</w:t>
            </w:r>
          </w:p>
        </w:tc>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有较大提升</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imes New Roman" w:hAnsi="Times New Roman" w:eastAsia="宋体" w:cs="Times New Roman"/>
                <w:color w:val="000000"/>
                <w:kern w:val="0"/>
                <w:sz w:val="18"/>
                <w:szCs w:val="18"/>
                <w:lang w:val="en-US" w:eastAsia="zh-CN" w:bidi="ar"/>
              </w:rPr>
            </w:pPr>
          </w:p>
        </w:tc>
        <w:tc>
          <w:tcPr>
            <w:tcW w:w="6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(定性)有较大提升</w:t>
            </w:r>
          </w:p>
        </w:tc>
      </w:tr>
      <w:tr>
        <w:tblPrEx>
          <w:tblCellMar>
            <w:top w:w="15" w:type="dxa"/>
            <w:left w:w="15" w:type="dxa"/>
            <w:bottom w:w="15" w:type="dxa"/>
            <w:right w:w="15" w:type="dxa"/>
          </w:tblCellMar>
        </w:tblPrEx>
        <w:trPr>
          <w:trHeight w:val="635" w:hRule="atLeast"/>
          <w:jc w:val="center"/>
        </w:trPr>
        <w:tc>
          <w:tcPr>
            <w:tcW w:w="501" w:type="dxa"/>
            <w:vMerge w:val="continue"/>
            <w:tcBorders>
              <w:top w:val="single" w:color="000000" w:sz="4" w:space="0"/>
              <w:left w:val="single" w:color="000000" w:sz="4" w:space="0"/>
              <w:bottom w:val="single" w:color="000000" w:sz="4" w:space="0"/>
              <w:right w:val="single" w:color="auto" w:sz="4" w:space="0"/>
            </w:tcBorders>
            <w:noWrap w:val="0"/>
            <w:vAlign w:val="center"/>
          </w:tcPr>
          <w:p>
            <w:pPr>
              <w:widowControl/>
              <w:spacing w:line="300" w:lineRule="exact"/>
              <w:jc w:val="left"/>
              <w:textAlignment w:val="center"/>
              <w:rPr>
                <w:rFonts w:hint="eastAsia" w:ascii="Times New Roman" w:hAnsi="Times New Roman" w:eastAsia="宋体" w:cs="Times New Roman"/>
                <w:color w:val="000000"/>
                <w:kern w:val="0"/>
                <w:sz w:val="18"/>
                <w:szCs w:val="18"/>
                <w:lang w:val="en-US" w:eastAsia="zh-CN" w:bidi="ar"/>
              </w:rPr>
            </w:pPr>
          </w:p>
        </w:tc>
        <w:tc>
          <w:tcPr>
            <w:tcW w:w="1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满意度指标</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服务对象满意度指标</w:t>
            </w:r>
          </w:p>
        </w:tc>
        <w:tc>
          <w:tcPr>
            <w:tcW w:w="25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农户、受益群众对该项目的满意度</w:t>
            </w:r>
          </w:p>
        </w:tc>
        <w:tc>
          <w:tcPr>
            <w:tcW w:w="109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9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90</w:t>
            </w:r>
          </w:p>
        </w:tc>
        <w:tc>
          <w:tcPr>
            <w:tcW w:w="10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w:t>
            </w:r>
          </w:p>
        </w:tc>
        <w:tc>
          <w:tcPr>
            <w:tcW w:w="6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000000"/>
                <w:kern w:val="0"/>
                <w:sz w:val="18"/>
                <w:szCs w:val="18"/>
                <w:lang w:val="en-US" w:eastAsia="zh-CN" w:bidi="ar"/>
              </w:rPr>
            </w:pPr>
            <w:r>
              <w:rPr>
                <w:rFonts w:ascii="宋体" w:hAnsi="宋体" w:eastAsia="宋体" w:cs="宋体"/>
                <w:i w:val="0"/>
                <w:iCs w:val="0"/>
                <w:color w:val="000000"/>
                <w:kern w:val="0"/>
                <w:sz w:val="18"/>
                <w:szCs w:val="18"/>
                <w:u w:val="none"/>
                <w:lang w:val="en-US" w:eastAsia="zh-CN" w:bidi="ar"/>
              </w:rPr>
              <w:t>10</w:t>
            </w:r>
          </w:p>
        </w:tc>
        <w:tc>
          <w:tcPr>
            <w:tcW w:w="1466" w:type="dxa"/>
            <w:tcBorders>
              <w:top w:val="single" w:color="auto" w:sz="4" w:space="0"/>
              <w:left w:val="single" w:color="auto" w:sz="4" w:space="0"/>
              <w:bottom w:val="single" w:color="auto" w:sz="4" w:space="0"/>
              <w:right w:val="single" w:color="auto" w:sz="4" w:space="0"/>
            </w:tcBorders>
            <w:shd w:val="clear" w:color="auto" w:fill="auto"/>
            <w:noWrap w:val="0"/>
            <w:vAlign w:val="top"/>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≥90%</w:t>
            </w:r>
          </w:p>
        </w:tc>
      </w:tr>
    </w:tbl>
    <w:p>
      <w:pPr>
        <w:keepNext w:val="0"/>
        <w:keepLines w:val="0"/>
        <w:pageBreakBefore w:val="0"/>
        <w:widowControl w:val="0"/>
        <w:kinsoku/>
        <w:wordWrap/>
        <w:overflowPunct/>
        <w:topLinePunct w:val="0"/>
        <w:bidi w:val="0"/>
        <w:snapToGrid/>
        <w:spacing w:line="576" w:lineRule="exact"/>
        <w:jc w:val="both"/>
        <w:textAlignment w:val="auto"/>
        <w:outlineLvl w:val="0"/>
        <w:rPr>
          <w:rFonts w:hint="eastAsia" w:ascii="方正小标宋简体" w:hAnsi="方正小标宋简体" w:eastAsia="方正小标宋简体" w:cs="方正小标宋简体"/>
          <w:color w:val="000000"/>
          <w:sz w:val="44"/>
          <w:szCs w:val="44"/>
        </w:rPr>
      </w:pPr>
    </w:p>
    <w:p>
      <w:pPr>
        <w:keepNext w:val="0"/>
        <w:keepLines w:val="0"/>
        <w:pageBreakBefore w:val="0"/>
        <w:widowControl w:val="0"/>
        <w:kinsoku/>
        <w:wordWrap/>
        <w:overflowPunct/>
        <w:topLinePunct w:val="0"/>
        <w:bidi w:val="0"/>
        <w:snapToGrid/>
        <w:spacing w:line="576" w:lineRule="exact"/>
        <w:ind w:firstLine="1320" w:firstLineChars="300"/>
        <w:jc w:val="center"/>
        <w:textAlignment w:val="auto"/>
        <w:outlineLvl w:val="0"/>
        <w:rPr>
          <w:rStyle w:val="32"/>
          <w:rFonts w:ascii="方正小标宋简体" w:hAnsi="方正小标宋简体" w:eastAsia="方正小标宋简体" w:cs="方正小标宋简体"/>
          <w:b w:val="0"/>
        </w:rPr>
      </w:pPr>
      <w:r>
        <w:rPr>
          <w:rFonts w:hint="eastAsia" w:ascii="方正小标宋简体" w:hAnsi="方正小标宋简体" w:eastAsia="方正小标宋简体" w:cs="方正小标宋简体"/>
          <w:color w:val="000000"/>
          <w:sz w:val="44"/>
          <w:szCs w:val="44"/>
        </w:rPr>
        <w:t>第</w:t>
      </w:r>
      <w:r>
        <w:rPr>
          <w:rStyle w:val="32"/>
          <w:rFonts w:hint="eastAsia" w:ascii="方正小标宋简体" w:hAnsi="方正小标宋简体" w:eastAsia="方正小标宋简体" w:cs="方正小标宋简体"/>
          <w:b w:val="0"/>
        </w:rPr>
        <w:t>五部分 附表</w:t>
      </w:r>
      <w:bookmarkEnd w:id="101"/>
      <w:bookmarkEnd w:id="102"/>
      <w:bookmarkEnd w:id="103"/>
      <w:bookmarkEnd w:id="104"/>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_GB2312" w:hAnsi="Times New Roman" w:eastAsia="仿宋_GB2312" w:cs="Times New Roman"/>
          <w:color w:val="auto"/>
          <w:kern w:val="2"/>
          <w:sz w:val="32"/>
          <w:szCs w:val="32"/>
          <w:lang w:val="zh-CN"/>
        </w:rPr>
      </w:pPr>
      <w:bookmarkStart w:id="105" w:name="_Toc12986"/>
      <w:bookmarkStart w:id="106" w:name="_Toc26370"/>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r>
        <w:rPr>
          <w:rFonts w:hint="eastAsia" w:ascii="仿宋_GB2312" w:hAnsi="Times New Roman" w:eastAsia="仿宋_GB2312" w:cs="Times New Roman"/>
          <w:color w:val="auto"/>
          <w:kern w:val="2"/>
          <w:sz w:val="32"/>
          <w:szCs w:val="32"/>
          <w:lang w:val="zh-CN"/>
        </w:rPr>
        <w:t>一、收入支出决算总表</w:t>
      </w:r>
      <w:bookmarkEnd w:id="105"/>
      <w:bookmarkEnd w:id="106"/>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07" w:name="_Toc13591"/>
      <w:bookmarkStart w:id="108" w:name="_Toc13062"/>
      <w:r>
        <w:rPr>
          <w:rFonts w:hint="eastAsia" w:ascii="仿宋_GB2312" w:hAnsi="Times New Roman" w:eastAsia="仿宋_GB2312" w:cs="Times New Roman"/>
          <w:color w:val="auto"/>
          <w:kern w:val="2"/>
          <w:sz w:val="32"/>
          <w:szCs w:val="32"/>
          <w:lang w:val="zh-CN"/>
        </w:rPr>
        <w:t>二、收入决算表</w:t>
      </w:r>
      <w:bookmarkEnd w:id="107"/>
      <w:bookmarkEnd w:id="108"/>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09" w:name="_Toc29688"/>
      <w:bookmarkStart w:id="110" w:name="_Toc16600"/>
      <w:r>
        <w:rPr>
          <w:rFonts w:hint="eastAsia" w:ascii="仿宋_GB2312" w:hAnsi="Times New Roman" w:eastAsia="仿宋_GB2312" w:cs="Times New Roman"/>
          <w:color w:val="auto"/>
          <w:kern w:val="2"/>
          <w:sz w:val="32"/>
          <w:szCs w:val="32"/>
          <w:lang w:val="zh-CN"/>
        </w:rPr>
        <w:t>三、支出决算表</w:t>
      </w:r>
      <w:bookmarkEnd w:id="109"/>
      <w:bookmarkEnd w:id="110"/>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1" w:name="_Toc26630"/>
      <w:bookmarkStart w:id="112" w:name="_Toc5964"/>
      <w:r>
        <w:rPr>
          <w:rFonts w:hint="eastAsia" w:ascii="仿宋_GB2312" w:hAnsi="Times New Roman" w:eastAsia="仿宋_GB2312" w:cs="Times New Roman"/>
          <w:color w:val="auto"/>
          <w:kern w:val="2"/>
          <w:sz w:val="32"/>
          <w:szCs w:val="32"/>
          <w:lang w:val="zh-CN"/>
        </w:rPr>
        <w:t>四、财政拨款收入支出决算总表</w:t>
      </w:r>
      <w:bookmarkEnd w:id="111"/>
      <w:bookmarkEnd w:id="112"/>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3" w:name="_Toc14273"/>
      <w:bookmarkStart w:id="114" w:name="_Toc19934"/>
      <w:r>
        <w:rPr>
          <w:rFonts w:hint="eastAsia" w:ascii="仿宋_GB2312" w:hAnsi="Times New Roman" w:eastAsia="仿宋_GB2312" w:cs="Times New Roman"/>
          <w:color w:val="auto"/>
          <w:kern w:val="2"/>
          <w:sz w:val="32"/>
          <w:szCs w:val="32"/>
          <w:lang w:val="zh-CN"/>
        </w:rPr>
        <w:t>五、财政拨款支出决算明细表</w:t>
      </w:r>
      <w:bookmarkEnd w:id="113"/>
      <w:bookmarkEnd w:id="114"/>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5" w:name="_Toc16449"/>
      <w:bookmarkStart w:id="116" w:name="_Toc6686"/>
      <w:r>
        <w:rPr>
          <w:rFonts w:hint="eastAsia" w:ascii="仿宋_GB2312" w:hAnsi="Times New Roman" w:eastAsia="仿宋_GB2312" w:cs="Times New Roman"/>
          <w:color w:val="auto"/>
          <w:kern w:val="2"/>
          <w:sz w:val="32"/>
          <w:szCs w:val="32"/>
          <w:lang w:val="zh-CN"/>
        </w:rPr>
        <w:t>六、一般公共预算财政拨款支出决算表</w:t>
      </w:r>
      <w:bookmarkEnd w:id="115"/>
      <w:bookmarkEnd w:id="116"/>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7" w:name="_Toc19514"/>
      <w:bookmarkStart w:id="118" w:name="_Toc3478"/>
      <w:r>
        <w:rPr>
          <w:rFonts w:hint="eastAsia" w:ascii="仿宋_GB2312" w:hAnsi="Times New Roman" w:eastAsia="仿宋_GB2312" w:cs="Times New Roman"/>
          <w:color w:val="auto"/>
          <w:kern w:val="2"/>
          <w:sz w:val="32"/>
          <w:szCs w:val="32"/>
          <w:lang w:val="zh-CN"/>
        </w:rPr>
        <w:t>七、一般公共预算财政拨款支出决算明细表</w:t>
      </w:r>
      <w:bookmarkEnd w:id="117"/>
      <w:bookmarkEnd w:id="118"/>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19" w:name="_Toc191"/>
      <w:bookmarkStart w:id="120" w:name="_Toc17352"/>
      <w:r>
        <w:rPr>
          <w:rFonts w:hint="eastAsia" w:ascii="仿宋_GB2312" w:hAnsi="Times New Roman" w:eastAsia="仿宋_GB2312" w:cs="Times New Roman"/>
          <w:color w:val="auto"/>
          <w:kern w:val="2"/>
          <w:sz w:val="32"/>
          <w:szCs w:val="32"/>
          <w:lang w:val="zh-CN"/>
        </w:rPr>
        <w:t>八、一般公共预算财政拨款基本支出决算表</w:t>
      </w:r>
      <w:bookmarkEnd w:id="119"/>
      <w:bookmarkEnd w:id="120"/>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1" w:name="_Toc5204"/>
      <w:bookmarkStart w:id="122" w:name="_Toc3726"/>
      <w:r>
        <w:rPr>
          <w:rFonts w:hint="eastAsia" w:ascii="仿宋_GB2312" w:hAnsi="Times New Roman" w:eastAsia="仿宋_GB2312" w:cs="Times New Roman"/>
          <w:color w:val="auto"/>
          <w:kern w:val="2"/>
          <w:sz w:val="32"/>
          <w:szCs w:val="32"/>
          <w:lang w:val="zh-CN"/>
        </w:rPr>
        <w:t>九、一般公共预算财政拨款项目支出决算表</w:t>
      </w:r>
      <w:bookmarkEnd w:id="121"/>
      <w:bookmarkEnd w:id="122"/>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3" w:name="_Toc20756"/>
      <w:bookmarkStart w:id="124" w:name="_Toc20056"/>
      <w:r>
        <w:rPr>
          <w:rFonts w:hint="eastAsia" w:ascii="仿宋_GB2312" w:hAnsi="Times New Roman" w:eastAsia="仿宋_GB2312" w:cs="Times New Roman"/>
          <w:color w:val="auto"/>
          <w:kern w:val="2"/>
          <w:sz w:val="32"/>
          <w:szCs w:val="32"/>
          <w:lang w:val="zh-CN"/>
        </w:rPr>
        <w:t>十、政府性基金预算财政拨款收入支出决算表</w:t>
      </w:r>
      <w:bookmarkEnd w:id="123"/>
      <w:bookmarkEnd w:id="124"/>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5" w:name="_Toc13849"/>
      <w:bookmarkStart w:id="126" w:name="_Toc21387"/>
      <w:r>
        <w:rPr>
          <w:rFonts w:hint="eastAsia" w:ascii="仿宋_GB2312" w:hAnsi="Times New Roman" w:eastAsia="仿宋_GB2312" w:cs="Times New Roman"/>
          <w:color w:val="auto"/>
          <w:kern w:val="2"/>
          <w:sz w:val="32"/>
          <w:szCs w:val="32"/>
          <w:lang w:val="zh-CN"/>
        </w:rPr>
        <w:t>十一、国有资本经营预算财政拨款收入支出决算表</w:t>
      </w:r>
      <w:bookmarkEnd w:id="125"/>
      <w:bookmarkEnd w:id="126"/>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7" w:name="_Toc1140"/>
      <w:bookmarkStart w:id="128" w:name="_Toc13099"/>
      <w:r>
        <w:rPr>
          <w:rFonts w:hint="eastAsia" w:ascii="仿宋_GB2312" w:hAnsi="Times New Roman" w:eastAsia="仿宋_GB2312" w:cs="Times New Roman"/>
          <w:color w:val="auto"/>
          <w:kern w:val="2"/>
          <w:sz w:val="32"/>
          <w:szCs w:val="32"/>
          <w:lang w:val="zh-CN"/>
        </w:rPr>
        <w:t>十二、国有资本经营预算财政拨款支出决算表</w:t>
      </w:r>
      <w:bookmarkEnd w:id="127"/>
      <w:bookmarkEnd w:id="128"/>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bookmarkStart w:id="129" w:name="_Toc25065"/>
      <w:bookmarkStart w:id="130" w:name="_Toc24957"/>
      <w:r>
        <w:rPr>
          <w:rFonts w:hint="eastAsia" w:ascii="仿宋_GB2312" w:hAnsi="Times New Roman" w:eastAsia="仿宋_GB2312" w:cs="Times New Roman"/>
          <w:color w:val="auto"/>
          <w:kern w:val="2"/>
          <w:sz w:val="32"/>
          <w:szCs w:val="32"/>
          <w:lang w:val="zh-CN"/>
        </w:rPr>
        <w:t>十三、财政拨款“三公”经费支出决算表</w:t>
      </w:r>
      <w:bookmarkEnd w:id="129"/>
      <w:bookmarkEnd w:id="130"/>
    </w:p>
    <w:p>
      <w:pPr>
        <w:pStyle w:val="42"/>
        <w:keepNext w:val="0"/>
        <w:keepLines w:val="0"/>
        <w:pageBreakBefore w:val="0"/>
        <w:widowControl w:val="0"/>
        <w:kinsoku/>
        <w:wordWrap/>
        <w:overflowPunct/>
        <w:topLinePunct w:val="0"/>
        <w:bidi w:val="0"/>
        <w:snapToGrid/>
        <w:spacing w:line="576" w:lineRule="exact"/>
        <w:ind w:firstLine="640" w:firstLineChars="200"/>
        <w:textAlignment w:val="auto"/>
        <w:rPr>
          <w:rFonts w:ascii="仿宋_GB2312" w:hAnsi="Times New Roman" w:eastAsia="仿宋_GB2312" w:cs="Times New Roman"/>
          <w:color w:val="auto"/>
          <w:kern w:val="2"/>
          <w:sz w:val="32"/>
          <w:szCs w:val="32"/>
          <w:lang w:val="zh-CN"/>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3"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roman"/>
    <w:pitch w:val="default"/>
    <w:sig w:usb0="00000000" w:usb1="00000000" w:usb2="00000000" w:usb3="00000000" w:csb0="0000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t>42</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66F8851"/>
    <w:multiLevelType w:val="singleLevel"/>
    <w:tmpl w:val="866F8851"/>
    <w:lvl w:ilvl="0" w:tentative="0">
      <w:start w:val="1"/>
      <w:numFmt w:val="chineseCounting"/>
      <w:suff w:val="nothing"/>
      <w:lvlText w:val="%1、"/>
      <w:lvlJc w:val="left"/>
      <w:rPr>
        <w:rFonts w:hint="eastAsia"/>
      </w:rPr>
    </w:lvl>
  </w:abstractNum>
  <w:abstractNum w:abstractNumId="1">
    <w:nsid w:val="C2F4B4BF"/>
    <w:multiLevelType w:val="singleLevel"/>
    <w:tmpl w:val="C2F4B4BF"/>
    <w:lvl w:ilvl="0" w:tentative="0">
      <w:start w:val="2"/>
      <w:numFmt w:val="chineseCounting"/>
      <w:suff w:val="nothing"/>
      <w:lvlText w:val="（%1）"/>
      <w:lvlJc w:val="left"/>
      <w:rPr>
        <w:rFonts w:hint="eastAsia"/>
      </w:rPr>
    </w:lvl>
  </w:abstractNum>
  <w:abstractNum w:abstractNumId="2">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3">
    <w:nsid w:val="4EEF656E"/>
    <w:multiLevelType w:val="singleLevel"/>
    <w:tmpl w:val="4EEF656E"/>
    <w:lvl w:ilvl="0" w:tentative="0">
      <w:start w:val="2"/>
      <w:numFmt w:val="chineseCounting"/>
      <w:suff w:val="nothing"/>
      <w:lvlText w:val="（%1）"/>
      <w:lvlJc w:val="left"/>
      <w:rPr>
        <w:rFonts w:hint="eastAsia"/>
      </w:rPr>
    </w:lvl>
  </w:abstractNum>
  <w:abstractNum w:abstractNumId="4">
    <w:nsid w:val="755F5179"/>
    <w:multiLevelType w:val="singleLevel"/>
    <w:tmpl w:val="755F5179"/>
    <w:lvl w:ilvl="0" w:tentative="0">
      <w:start w:val="2"/>
      <w:numFmt w:val="chineseCounting"/>
      <w:suff w:val="nothing"/>
      <w:lvlText w:val="（%1）"/>
      <w:lvlJc w:val="left"/>
      <w:rPr>
        <w:rFonts w:hint="eastAsia"/>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M3ODVkZDQzMmMwZTY5MDM0NDIxMWYyNDdjYWI4MDEifQ=="/>
  </w:docVars>
  <w:rsids>
    <w:rsidRoot w:val="00F1361C"/>
    <w:rsid w:val="00021DB1"/>
    <w:rsid w:val="000222C6"/>
    <w:rsid w:val="0002549F"/>
    <w:rsid w:val="00027DEB"/>
    <w:rsid w:val="00044C87"/>
    <w:rsid w:val="000468DB"/>
    <w:rsid w:val="00053F64"/>
    <w:rsid w:val="00054949"/>
    <w:rsid w:val="0006487A"/>
    <w:rsid w:val="00065F8F"/>
    <w:rsid w:val="0006617C"/>
    <w:rsid w:val="00070545"/>
    <w:rsid w:val="00070A43"/>
    <w:rsid w:val="000768F2"/>
    <w:rsid w:val="0008563A"/>
    <w:rsid w:val="0009184B"/>
    <w:rsid w:val="00094236"/>
    <w:rsid w:val="0009593C"/>
    <w:rsid w:val="00097322"/>
    <w:rsid w:val="000A6A92"/>
    <w:rsid w:val="000B047F"/>
    <w:rsid w:val="000B5923"/>
    <w:rsid w:val="000B5A48"/>
    <w:rsid w:val="000B6FF3"/>
    <w:rsid w:val="000B7527"/>
    <w:rsid w:val="000C22C0"/>
    <w:rsid w:val="000C3467"/>
    <w:rsid w:val="000C3CA6"/>
    <w:rsid w:val="000D1267"/>
    <w:rsid w:val="000D1D50"/>
    <w:rsid w:val="000D5782"/>
    <w:rsid w:val="000E188B"/>
    <w:rsid w:val="000E6613"/>
    <w:rsid w:val="000E7119"/>
    <w:rsid w:val="000F20FF"/>
    <w:rsid w:val="001006D2"/>
    <w:rsid w:val="00114E9B"/>
    <w:rsid w:val="00115301"/>
    <w:rsid w:val="0012556E"/>
    <w:rsid w:val="0013189E"/>
    <w:rsid w:val="001319E1"/>
    <w:rsid w:val="00142216"/>
    <w:rsid w:val="00143AAE"/>
    <w:rsid w:val="00144D6A"/>
    <w:rsid w:val="0014729F"/>
    <w:rsid w:val="00157BAB"/>
    <w:rsid w:val="001654D1"/>
    <w:rsid w:val="00174518"/>
    <w:rsid w:val="0018106D"/>
    <w:rsid w:val="001877A7"/>
    <w:rsid w:val="00191536"/>
    <w:rsid w:val="001939B7"/>
    <w:rsid w:val="00195548"/>
    <w:rsid w:val="00196687"/>
    <w:rsid w:val="00196750"/>
    <w:rsid w:val="00197E9F"/>
    <w:rsid w:val="001C0962"/>
    <w:rsid w:val="001C2BFE"/>
    <w:rsid w:val="001D7531"/>
    <w:rsid w:val="001E737D"/>
    <w:rsid w:val="001F0592"/>
    <w:rsid w:val="001F7506"/>
    <w:rsid w:val="002006CD"/>
    <w:rsid w:val="00202B36"/>
    <w:rsid w:val="00204B7A"/>
    <w:rsid w:val="00204C46"/>
    <w:rsid w:val="00204CDE"/>
    <w:rsid w:val="0021101A"/>
    <w:rsid w:val="00217AE2"/>
    <w:rsid w:val="00220536"/>
    <w:rsid w:val="00222F69"/>
    <w:rsid w:val="00233F5B"/>
    <w:rsid w:val="00235629"/>
    <w:rsid w:val="00235CF9"/>
    <w:rsid w:val="0024785F"/>
    <w:rsid w:val="00256262"/>
    <w:rsid w:val="00260C38"/>
    <w:rsid w:val="002616C0"/>
    <w:rsid w:val="00265372"/>
    <w:rsid w:val="002662AA"/>
    <w:rsid w:val="0027224D"/>
    <w:rsid w:val="00280496"/>
    <w:rsid w:val="00294DC9"/>
    <w:rsid w:val="00295495"/>
    <w:rsid w:val="002A31DE"/>
    <w:rsid w:val="002B2613"/>
    <w:rsid w:val="002C6857"/>
    <w:rsid w:val="002D6D05"/>
    <w:rsid w:val="002F1818"/>
    <w:rsid w:val="002F567B"/>
    <w:rsid w:val="00306D06"/>
    <w:rsid w:val="00311FB8"/>
    <w:rsid w:val="00321685"/>
    <w:rsid w:val="003216A9"/>
    <w:rsid w:val="00335A74"/>
    <w:rsid w:val="00340765"/>
    <w:rsid w:val="003536E0"/>
    <w:rsid w:val="0036561B"/>
    <w:rsid w:val="0037013F"/>
    <w:rsid w:val="00380C92"/>
    <w:rsid w:val="00391FB4"/>
    <w:rsid w:val="00393C06"/>
    <w:rsid w:val="003A484F"/>
    <w:rsid w:val="003A4883"/>
    <w:rsid w:val="003B0BE0"/>
    <w:rsid w:val="003B0C1B"/>
    <w:rsid w:val="003B482C"/>
    <w:rsid w:val="003B688C"/>
    <w:rsid w:val="003C0291"/>
    <w:rsid w:val="003C39AE"/>
    <w:rsid w:val="003C7B60"/>
    <w:rsid w:val="003D0C0F"/>
    <w:rsid w:val="003D1310"/>
    <w:rsid w:val="003D1FB2"/>
    <w:rsid w:val="003D3783"/>
    <w:rsid w:val="003D66DA"/>
    <w:rsid w:val="003E1310"/>
    <w:rsid w:val="003E6189"/>
    <w:rsid w:val="003E6F55"/>
    <w:rsid w:val="003E6FE4"/>
    <w:rsid w:val="00406254"/>
    <w:rsid w:val="004223DE"/>
    <w:rsid w:val="0042503B"/>
    <w:rsid w:val="00432BDC"/>
    <w:rsid w:val="00434489"/>
    <w:rsid w:val="00437085"/>
    <w:rsid w:val="00443880"/>
    <w:rsid w:val="00445607"/>
    <w:rsid w:val="004464F4"/>
    <w:rsid w:val="0045405F"/>
    <w:rsid w:val="00466E72"/>
    <w:rsid w:val="00471401"/>
    <w:rsid w:val="00473F31"/>
    <w:rsid w:val="0048263A"/>
    <w:rsid w:val="00487E5D"/>
    <w:rsid w:val="00494545"/>
    <w:rsid w:val="0049684D"/>
    <w:rsid w:val="004A711F"/>
    <w:rsid w:val="004B199D"/>
    <w:rsid w:val="004B1A20"/>
    <w:rsid w:val="004B4690"/>
    <w:rsid w:val="004C2E2D"/>
    <w:rsid w:val="004D5479"/>
    <w:rsid w:val="004E0A2D"/>
    <w:rsid w:val="004E206B"/>
    <w:rsid w:val="004E49C5"/>
    <w:rsid w:val="004E6DF7"/>
    <w:rsid w:val="004F0FBD"/>
    <w:rsid w:val="00504E2E"/>
    <w:rsid w:val="00505A47"/>
    <w:rsid w:val="00512FDA"/>
    <w:rsid w:val="0051361B"/>
    <w:rsid w:val="00520DA0"/>
    <w:rsid w:val="005269A7"/>
    <w:rsid w:val="005269D7"/>
    <w:rsid w:val="005508BC"/>
    <w:rsid w:val="005664BB"/>
    <w:rsid w:val="00566FFA"/>
    <w:rsid w:val="0057481D"/>
    <w:rsid w:val="0058486E"/>
    <w:rsid w:val="00585B33"/>
    <w:rsid w:val="00587B68"/>
    <w:rsid w:val="0059014D"/>
    <w:rsid w:val="005A6340"/>
    <w:rsid w:val="005B5C64"/>
    <w:rsid w:val="005C5337"/>
    <w:rsid w:val="005C6BD0"/>
    <w:rsid w:val="005D1C8B"/>
    <w:rsid w:val="005D468D"/>
    <w:rsid w:val="005D5591"/>
    <w:rsid w:val="005D5CED"/>
    <w:rsid w:val="005F1A4C"/>
    <w:rsid w:val="005F34D0"/>
    <w:rsid w:val="006055E2"/>
    <w:rsid w:val="00605688"/>
    <w:rsid w:val="006070AF"/>
    <w:rsid w:val="00607E6C"/>
    <w:rsid w:val="006101B1"/>
    <w:rsid w:val="00614E44"/>
    <w:rsid w:val="006162E5"/>
    <w:rsid w:val="006178BA"/>
    <w:rsid w:val="0062270A"/>
    <w:rsid w:val="00622830"/>
    <w:rsid w:val="00623DA0"/>
    <w:rsid w:val="00627647"/>
    <w:rsid w:val="00627E95"/>
    <w:rsid w:val="006302ED"/>
    <w:rsid w:val="00630AEF"/>
    <w:rsid w:val="006325F8"/>
    <w:rsid w:val="00633463"/>
    <w:rsid w:val="00634C9A"/>
    <w:rsid w:val="00636199"/>
    <w:rsid w:val="006440E4"/>
    <w:rsid w:val="00645F81"/>
    <w:rsid w:val="0064742A"/>
    <w:rsid w:val="0066019E"/>
    <w:rsid w:val="0066343B"/>
    <w:rsid w:val="00664777"/>
    <w:rsid w:val="006748A4"/>
    <w:rsid w:val="00681A31"/>
    <w:rsid w:val="00683E73"/>
    <w:rsid w:val="00691398"/>
    <w:rsid w:val="00696595"/>
    <w:rsid w:val="006A3141"/>
    <w:rsid w:val="006A5E34"/>
    <w:rsid w:val="006B2422"/>
    <w:rsid w:val="006B2B9A"/>
    <w:rsid w:val="006C1937"/>
    <w:rsid w:val="006D157C"/>
    <w:rsid w:val="006E787E"/>
    <w:rsid w:val="006F020C"/>
    <w:rsid w:val="006F2EF2"/>
    <w:rsid w:val="00702B00"/>
    <w:rsid w:val="007127B7"/>
    <w:rsid w:val="0071798E"/>
    <w:rsid w:val="007232C4"/>
    <w:rsid w:val="00734A62"/>
    <w:rsid w:val="0074040A"/>
    <w:rsid w:val="007416B6"/>
    <w:rsid w:val="00746F48"/>
    <w:rsid w:val="0075404D"/>
    <w:rsid w:val="0076182A"/>
    <w:rsid w:val="00767B7E"/>
    <w:rsid w:val="007770C3"/>
    <w:rsid w:val="00784D24"/>
    <w:rsid w:val="00785FBA"/>
    <w:rsid w:val="00786E4A"/>
    <w:rsid w:val="007875EB"/>
    <w:rsid w:val="0079426B"/>
    <w:rsid w:val="007B2D0B"/>
    <w:rsid w:val="007D1682"/>
    <w:rsid w:val="007D312A"/>
    <w:rsid w:val="007D3F19"/>
    <w:rsid w:val="007E23B0"/>
    <w:rsid w:val="007E23E5"/>
    <w:rsid w:val="007F1991"/>
    <w:rsid w:val="007F2C2F"/>
    <w:rsid w:val="007F55FC"/>
    <w:rsid w:val="007F5665"/>
    <w:rsid w:val="00800112"/>
    <w:rsid w:val="00800D80"/>
    <w:rsid w:val="00813348"/>
    <w:rsid w:val="00822762"/>
    <w:rsid w:val="0082285F"/>
    <w:rsid w:val="008253BB"/>
    <w:rsid w:val="00834E0E"/>
    <w:rsid w:val="0083706E"/>
    <w:rsid w:val="008408F6"/>
    <w:rsid w:val="00840C7F"/>
    <w:rsid w:val="008423A5"/>
    <w:rsid w:val="00850625"/>
    <w:rsid w:val="00853718"/>
    <w:rsid w:val="00855221"/>
    <w:rsid w:val="00860645"/>
    <w:rsid w:val="00860647"/>
    <w:rsid w:val="00871F71"/>
    <w:rsid w:val="00872FD8"/>
    <w:rsid w:val="00885AF4"/>
    <w:rsid w:val="00885CA1"/>
    <w:rsid w:val="00892977"/>
    <w:rsid w:val="008939CD"/>
    <w:rsid w:val="008941F3"/>
    <w:rsid w:val="008A2AE7"/>
    <w:rsid w:val="008B17DE"/>
    <w:rsid w:val="008B768C"/>
    <w:rsid w:val="008C4DB1"/>
    <w:rsid w:val="008C4EAF"/>
    <w:rsid w:val="008C5176"/>
    <w:rsid w:val="008C7FD0"/>
    <w:rsid w:val="008D4D53"/>
    <w:rsid w:val="008E1DE7"/>
    <w:rsid w:val="008E707C"/>
    <w:rsid w:val="008F6523"/>
    <w:rsid w:val="008F6611"/>
    <w:rsid w:val="00900B08"/>
    <w:rsid w:val="00902155"/>
    <w:rsid w:val="00902FA3"/>
    <w:rsid w:val="00923564"/>
    <w:rsid w:val="0092392E"/>
    <w:rsid w:val="00927F58"/>
    <w:rsid w:val="009315F9"/>
    <w:rsid w:val="00933499"/>
    <w:rsid w:val="009334D8"/>
    <w:rsid w:val="00935C98"/>
    <w:rsid w:val="0093635C"/>
    <w:rsid w:val="00946945"/>
    <w:rsid w:val="00951248"/>
    <w:rsid w:val="0095152F"/>
    <w:rsid w:val="00954C49"/>
    <w:rsid w:val="00955E37"/>
    <w:rsid w:val="00960F5B"/>
    <w:rsid w:val="00962656"/>
    <w:rsid w:val="0097099F"/>
    <w:rsid w:val="00971997"/>
    <w:rsid w:val="00971FFC"/>
    <w:rsid w:val="0098607C"/>
    <w:rsid w:val="0098660A"/>
    <w:rsid w:val="00987007"/>
    <w:rsid w:val="009931C3"/>
    <w:rsid w:val="009A4458"/>
    <w:rsid w:val="009B2C43"/>
    <w:rsid w:val="009B4EAE"/>
    <w:rsid w:val="009B7573"/>
    <w:rsid w:val="009C22F4"/>
    <w:rsid w:val="009C2A4B"/>
    <w:rsid w:val="009C2E98"/>
    <w:rsid w:val="009D199C"/>
    <w:rsid w:val="009D3447"/>
    <w:rsid w:val="009D3AF1"/>
    <w:rsid w:val="009D4711"/>
    <w:rsid w:val="009D7E53"/>
    <w:rsid w:val="009F1185"/>
    <w:rsid w:val="009F18CD"/>
    <w:rsid w:val="009F2A13"/>
    <w:rsid w:val="009F7527"/>
    <w:rsid w:val="00A04EB0"/>
    <w:rsid w:val="00A130CC"/>
    <w:rsid w:val="00A13CC1"/>
    <w:rsid w:val="00A16847"/>
    <w:rsid w:val="00A20841"/>
    <w:rsid w:val="00A237D8"/>
    <w:rsid w:val="00A268C4"/>
    <w:rsid w:val="00A307CD"/>
    <w:rsid w:val="00A331C8"/>
    <w:rsid w:val="00A370FD"/>
    <w:rsid w:val="00A40A00"/>
    <w:rsid w:val="00A4142F"/>
    <w:rsid w:val="00A422EB"/>
    <w:rsid w:val="00A45BB7"/>
    <w:rsid w:val="00A56DF2"/>
    <w:rsid w:val="00A56E6E"/>
    <w:rsid w:val="00A6787D"/>
    <w:rsid w:val="00A67AB5"/>
    <w:rsid w:val="00A733B2"/>
    <w:rsid w:val="00A741C2"/>
    <w:rsid w:val="00A77616"/>
    <w:rsid w:val="00A91760"/>
    <w:rsid w:val="00A93B00"/>
    <w:rsid w:val="00A93C21"/>
    <w:rsid w:val="00AB262A"/>
    <w:rsid w:val="00AB3015"/>
    <w:rsid w:val="00AB64C9"/>
    <w:rsid w:val="00AB64F0"/>
    <w:rsid w:val="00AC098F"/>
    <w:rsid w:val="00AC3C6A"/>
    <w:rsid w:val="00AC7E5E"/>
    <w:rsid w:val="00AD5620"/>
    <w:rsid w:val="00AD656B"/>
    <w:rsid w:val="00AD7C1B"/>
    <w:rsid w:val="00AE0065"/>
    <w:rsid w:val="00AE16BA"/>
    <w:rsid w:val="00AE1EBE"/>
    <w:rsid w:val="00AF270C"/>
    <w:rsid w:val="00AF4E63"/>
    <w:rsid w:val="00B011E4"/>
    <w:rsid w:val="00B015C8"/>
    <w:rsid w:val="00B03C9D"/>
    <w:rsid w:val="00B060AE"/>
    <w:rsid w:val="00B07AA4"/>
    <w:rsid w:val="00B10517"/>
    <w:rsid w:val="00B11997"/>
    <w:rsid w:val="00B14E76"/>
    <w:rsid w:val="00B161B8"/>
    <w:rsid w:val="00B2048C"/>
    <w:rsid w:val="00B310B9"/>
    <w:rsid w:val="00B35F3F"/>
    <w:rsid w:val="00B36858"/>
    <w:rsid w:val="00B36CBB"/>
    <w:rsid w:val="00B425E0"/>
    <w:rsid w:val="00B440AA"/>
    <w:rsid w:val="00B44B70"/>
    <w:rsid w:val="00B46A0E"/>
    <w:rsid w:val="00B53C56"/>
    <w:rsid w:val="00B57DAF"/>
    <w:rsid w:val="00B63EA4"/>
    <w:rsid w:val="00B77EA6"/>
    <w:rsid w:val="00B81598"/>
    <w:rsid w:val="00B841F1"/>
    <w:rsid w:val="00B856CE"/>
    <w:rsid w:val="00B90E4E"/>
    <w:rsid w:val="00B93C78"/>
    <w:rsid w:val="00B94118"/>
    <w:rsid w:val="00B944D6"/>
    <w:rsid w:val="00B965DC"/>
    <w:rsid w:val="00BB4DF0"/>
    <w:rsid w:val="00BC1A18"/>
    <w:rsid w:val="00BC289F"/>
    <w:rsid w:val="00BC2D50"/>
    <w:rsid w:val="00BC5361"/>
    <w:rsid w:val="00BC5460"/>
    <w:rsid w:val="00BC6B50"/>
    <w:rsid w:val="00BD0E25"/>
    <w:rsid w:val="00BD3E3E"/>
    <w:rsid w:val="00BD418A"/>
    <w:rsid w:val="00BE7501"/>
    <w:rsid w:val="00BF2D94"/>
    <w:rsid w:val="00BF5BD6"/>
    <w:rsid w:val="00C03E31"/>
    <w:rsid w:val="00C273C1"/>
    <w:rsid w:val="00C27E95"/>
    <w:rsid w:val="00C331DE"/>
    <w:rsid w:val="00C33E72"/>
    <w:rsid w:val="00C354B2"/>
    <w:rsid w:val="00C35554"/>
    <w:rsid w:val="00C42709"/>
    <w:rsid w:val="00C533CC"/>
    <w:rsid w:val="00C5751C"/>
    <w:rsid w:val="00C61BFC"/>
    <w:rsid w:val="00C62B85"/>
    <w:rsid w:val="00C65438"/>
    <w:rsid w:val="00C71B53"/>
    <w:rsid w:val="00C7394F"/>
    <w:rsid w:val="00C87FD8"/>
    <w:rsid w:val="00C91381"/>
    <w:rsid w:val="00C91CBB"/>
    <w:rsid w:val="00CB4E70"/>
    <w:rsid w:val="00CB5399"/>
    <w:rsid w:val="00CC09B6"/>
    <w:rsid w:val="00CC666F"/>
    <w:rsid w:val="00CD1E3F"/>
    <w:rsid w:val="00CD4ED8"/>
    <w:rsid w:val="00CD64B4"/>
    <w:rsid w:val="00CE44F6"/>
    <w:rsid w:val="00CE49DA"/>
    <w:rsid w:val="00CE7B61"/>
    <w:rsid w:val="00D00095"/>
    <w:rsid w:val="00D013C8"/>
    <w:rsid w:val="00D114F0"/>
    <w:rsid w:val="00D20596"/>
    <w:rsid w:val="00D20620"/>
    <w:rsid w:val="00D2395F"/>
    <w:rsid w:val="00D254F7"/>
    <w:rsid w:val="00D26091"/>
    <w:rsid w:val="00D2685C"/>
    <w:rsid w:val="00D34E7C"/>
    <w:rsid w:val="00D35489"/>
    <w:rsid w:val="00D36AFE"/>
    <w:rsid w:val="00D51276"/>
    <w:rsid w:val="00D67A8B"/>
    <w:rsid w:val="00D7035F"/>
    <w:rsid w:val="00D81A47"/>
    <w:rsid w:val="00D84004"/>
    <w:rsid w:val="00D9195A"/>
    <w:rsid w:val="00DA634F"/>
    <w:rsid w:val="00DA65AC"/>
    <w:rsid w:val="00DB1913"/>
    <w:rsid w:val="00DB342F"/>
    <w:rsid w:val="00DC410D"/>
    <w:rsid w:val="00DC5A81"/>
    <w:rsid w:val="00DC68CA"/>
    <w:rsid w:val="00DC74B0"/>
    <w:rsid w:val="00DC7CBA"/>
    <w:rsid w:val="00DD35C5"/>
    <w:rsid w:val="00DD65F7"/>
    <w:rsid w:val="00DD73B7"/>
    <w:rsid w:val="00DE279C"/>
    <w:rsid w:val="00DF02CD"/>
    <w:rsid w:val="00DF28BC"/>
    <w:rsid w:val="00DF34B9"/>
    <w:rsid w:val="00DF750A"/>
    <w:rsid w:val="00E01053"/>
    <w:rsid w:val="00E07ACF"/>
    <w:rsid w:val="00E10730"/>
    <w:rsid w:val="00E31804"/>
    <w:rsid w:val="00E32CAD"/>
    <w:rsid w:val="00E331A1"/>
    <w:rsid w:val="00E33202"/>
    <w:rsid w:val="00E336A9"/>
    <w:rsid w:val="00E472B1"/>
    <w:rsid w:val="00E50624"/>
    <w:rsid w:val="00E568DF"/>
    <w:rsid w:val="00E64269"/>
    <w:rsid w:val="00E70975"/>
    <w:rsid w:val="00E82267"/>
    <w:rsid w:val="00E853CE"/>
    <w:rsid w:val="00E867B6"/>
    <w:rsid w:val="00E9002D"/>
    <w:rsid w:val="00EA010F"/>
    <w:rsid w:val="00EA3086"/>
    <w:rsid w:val="00EB64D9"/>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1480"/>
    <w:rsid w:val="00F36D8F"/>
    <w:rsid w:val="00F417B1"/>
    <w:rsid w:val="00F45853"/>
    <w:rsid w:val="00F514E6"/>
    <w:rsid w:val="00F528F3"/>
    <w:rsid w:val="00F53347"/>
    <w:rsid w:val="00F56B97"/>
    <w:rsid w:val="00F602DF"/>
    <w:rsid w:val="00F754A1"/>
    <w:rsid w:val="00F772E5"/>
    <w:rsid w:val="00F81FD9"/>
    <w:rsid w:val="00F841AA"/>
    <w:rsid w:val="00F84A94"/>
    <w:rsid w:val="00F87E96"/>
    <w:rsid w:val="00FA23E8"/>
    <w:rsid w:val="00FC2607"/>
    <w:rsid w:val="00FC286F"/>
    <w:rsid w:val="00FD3CC1"/>
    <w:rsid w:val="00FE4627"/>
    <w:rsid w:val="00FF0F79"/>
    <w:rsid w:val="00FF1E02"/>
    <w:rsid w:val="00FF30B4"/>
    <w:rsid w:val="01011432"/>
    <w:rsid w:val="01170C55"/>
    <w:rsid w:val="015069B8"/>
    <w:rsid w:val="02241FDF"/>
    <w:rsid w:val="046D360F"/>
    <w:rsid w:val="056D353A"/>
    <w:rsid w:val="06E53B5E"/>
    <w:rsid w:val="08384ACC"/>
    <w:rsid w:val="087E272D"/>
    <w:rsid w:val="088C61A1"/>
    <w:rsid w:val="09594501"/>
    <w:rsid w:val="0A2032A3"/>
    <w:rsid w:val="0B226B74"/>
    <w:rsid w:val="0BA80E28"/>
    <w:rsid w:val="0F44355D"/>
    <w:rsid w:val="10C055FF"/>
    <w:rsid w:val="118107EC"/>
    <w:rsid w:val="127D3A51"/>
    <w:rsid w:val="12CF0D01"/>
    <w:rsid w:val="12D313A1"/>
    <w:rsid w:val="16BB723D"/>
    <w:rsid w:val="178070FD"/>
    <w:rsid w:val="17BC16DE"/>
    <w:rsid w:val="183539C6"/>
    <w:rsid w:val="18EA45A0"/>
    <w:rsid w:val="1A4E7CD9"/>
    <w:rsid w:val="1A515655"/>
    <w:rsid w:val="1B355F99"/>
    <w:rsid w:val="1B7E1D32"/>
    <w:rsid w:val="1BDA5315"/>
    <w:rsid w:val="1D155CEE"/>
    <w:rsid w:val="1D7B6FB2"/>
    <w:rsid w:val="1DC13FCB"/>
    <w:rsid w:val="204E6B8F"/>
    <w:rsid w:val="21F568A6"/>
    <w:rsid w:val="223B434C"/>
    <w:rsid w:val="240371BF"/>
    <w:rsid w:val="24C36CD8"/>
    <w:rsid w:val="24D42622"/>
    <w:rsid w:val="2531293C"/>
    <w:rsid w:val="254B5170"/>
    <w:rsid w:val="281F026C"/>
    <w:rsid w:val="29FD04D3"/>
    <w:rsid w:val="2AF7727E"/>
    <w:rsid w:val="2B095BA0"/>
    <w:rsid w:val="2B634FBD"/>
    <w:rsid w:val="2DCB2AFA"/>
    <w:rsid w:val="2E423D71"/>
    <w:rsid w:val="2F05640D"/>
    <w:rsid w:val="2FB00A4B"/>
    <w:rsid w:val="319F7F4E"/>
    <w:rsid w:val="36653583"/>
    <w:rsid w:val="368D0A96"/>
    <w:rsid w:val="37060F75"/>
    <w:rsid w:val="39E62997"/>
    <w:rsid w:val="3A5F6FAF"/>
    <w:rsid w:val="3CCD349B"/>
    <w:rsid w:val="3DC70D32"/>
    <w:rsid w:val="3F586A69"/>
    <w:rsid w:val="3FAC0712"/>
    <w:rsid w:val="41984EBF"/>
    <w:rsid w:val="42796857"/>
    <w:rsid w:val="43367C52"/>
    <w:rsid w:val="44780010"/>
    <w:rsid w:val="473D3E13"/>
    <w:rsid w:val="491A265E"/>
    <w:rsid w:val="49887FE7"/>
    <w:rsid w:val="49995C78"/>
    <w:rsid w:val="4A0A26D2"/>
    <w:rsid w:val="4ACD5375"/>
    <w:rsid w:val="4BD55BDF"/>
    <w:rsid w:val="4D251398"/>
    <w:rsid w:val="4E3C6BD2"/>
    <w:rsid w:val="4E8F13F8"/>
    <w:rsid w:val="4ECE2238"/>
    <w:rsid w:val="4FE2511A"/>
    <w:rsid w:val="53D24869"/>
    <w:rsid w:val="53F92798"/>
    <w:rsid w:val="53FF595C"/>
    <w:rsid w:val="5516017D"/>
    <w:rsid w:val="55346B1F"/>
    <w:rsid w:val="55BF4A7F"/>
    <w:rsid w:val="56715961"/>
    <w:rsid w:val="57F954AD"/>
    <w:rsid w:val="594C028D"/>
    <w:rsid w:val="5B686F98"/>
    <w:rsid w:val="5BD14DFE"/>
    <w:rsid w:val="5BD43888"/>
    <w:rsid w:val="5D333022"/>
    <w:rsid w:val="5F77A4F4"/>
    <w:rsid w:val="60C71747"/>
    <w:rsid w:val="61DF3FED"/>
    <w:rsid w:val="62EE14A0"/>
    <w:rsid w:val="6424383C"/>
    <w:rsid w:val="65087B23"/>
    <w:rsid w:val="65C20D2F"/>
    <w:rsid w:val="67BB5E6B"/>
    <w:rsid w:val="68AB2E7A"/>
    <w:rsid w:val="68FC43C1"/>
    <w:rsid w:val="6905258B"/>
    <w:rsid w:val="69821E2D"/>
    <w:rsid w:val="69DF102E"/>
    <w:rsid w:val="6B2036AC"/>
    <w:rsid w:val="6C4A05C8"/>
    <w:rsid w:val="6F05509A"/>
    <w:rsid w:val="6F173306"/>
    <w:rsid w:val="6F504A21"/>
    <w:rsid w:val="6FA443D3"/>
    <w:rsid w:val="6FE976E5"/>
    <w:rsid w:val="70871AD7"/>
    <w:rsid w:val="72734D90"/>
    <w:rsid w:val="74D477FC"/>
    <w:rsid w:val="75FB71EF"/>
    <w:rsid w:val="77820706"/>
    <w:rsid w:val="778F30A6"/>
    <w:rsid w:val="78843083"/>
    <w:rsid w:val="7C842D94"/>
    <w:rsid w:val="7D17F982"/>
    <w:rsid w:val="7EAA0D95"/>
    <w:rsid w:val="7F2014E8"/>
    <w:rsid w:val="7F3E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34"/>
    <w:qFormat/>
    <w:uiPriority w:val="9"/>
    <w:pPr>
      <w:keepNext/>
      <w:keepLines/>
      <w:spacing w:before="260" w:after="260" w:line="416" w:lineRule="auto"/>
      <w:outlineLvl w:val="2"/>
    </w:pPr>
    <w:rPr>
      <w:b/>
      <w:bCs/>
      <w:sz w:val="32"/>
      <w:szCs w:val="32"/>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customStyle="1" w:styleId="2">
    <w:name w:val="图表目录1"/>
    <w:basedOn w:val="1"/>
    <w:next w:val="1"/>
    <w:qFormat/>
    <w:uiPriority w:val="0"/>
    <w:pPr>
      <w:ind w:left="400" w:leftChars="200" w:hanging="200" w:hangingChars="200"/>
    </w:pPr>
    <w:rPr>
      <w:rFonts w:eastAsia="仿宋_GB2312"/>
      <w:sz w:val="32"/>
      <w:szCs w:val="32"/>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Normal Indent"/>
    <w:qFormat/>
    <w:uiPriority w:val="0"/>
    <w:pPr>
      <w:widowControl w:val="0"/>
      <w:ind w:firstLine="200" w:firstLineChars="200"/>
      <w:jc w:val="both"/>
    </w:pPr>
    <w:rPr>
      <w:rFonts w:ascii="Times New Roman" w:hAnsi="Times New Roman" w:eastAsia="仿宋_GB2312" w:cs="Times New Roman"/>
      <w:kern w:val="2"/>
      <w:sz w:val="32"/>
      <w:szCs w:val="32"/>
      <w:lang w:val="en-US" w:eastAsia="zh-CN" w:bidi="ar-SA"/>
    </w:rPr>
  </w:style>
  <w:style w:type="paragraph" w:styleId="8">
    <w:name w:val="Body Text"/>
    <w:basedOn w:val="1"/>
    <w:link w:val="41"/>
    <w:qFormat/>
    <w:uiPriority w:val="0"/>
    <w:pPr>
      <w:spacing w:beforeLines="30"/>
    </w:pPr>
    <w:rPr>
      <w:rFonts w:ascii="仿宋_GB2312" w:eastAsia="仿宋_GB2312"/>
      <w:kern w:val="0"/>
      <w:sz w:val="24"/>
      <w:szCs w:val="20"/>
      <w:lang w:val="zh-CN"/>
    </w:rPr>
  </w:style>
  <w:style w:type="paragraph" w:styleId="9">
    <w:name w:val="Body Text Indent"/>
    <w:basedOn w:val="1"/>
    <w:next w:val="10"/>
    <w:qFormat/>
    <w:uiPriority w:val="0"/>
    <w:pPr>
      <w:spacing w:after="120"/>
      <w:ind w:leftChars="200"/>
    </w:pPr>
    <w:rPr>
      <w:rFonts w:ascii="仿宋_GB2312"/>
      <w:szCs w:val="32"/>
    </w:rPr>
  </w:style>
  <w:style w:type="paragraph" w:styleId="10">
    <w:name w:val="Body Text First Indent 2"/>
    <w:basedOn w:val="9"/>
    <w:unhideWhenUsed/>
    <w:qFormat/>
    <w:uiPriority w:val="99"/>
    <w:pPr>
      <w:ind w:firstLine="420" w:firstLineChars="200"/>
    </w:p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6"/>
    <w:semiHidden/>
    <w:unhideWhenUsed/>
    <w:qFormat/>
    <w:uiPriority w:val="99"/>
    <w:rPr>
      <w:sz w:val="18"/>
      <w:szCs w:val="18"/>
    </w:rPr>
  </w:style>
  <w:style w:type="paragraph" w:styleId="15">
    <w:name w:val="footer"/>
    <w:basedOn w:val="1"/>
    <w:link w:val="40"/>
    <w:qFormat/>
    <w:uiPriority w:val="99"/>
    <w:pPr>
      <w:tabs>
        <w:tab w:val="center" w:pos="4153"/>
        <w:tab w:val="right" w:pos="8306"/>
      </w:tabs>
      <w:snapToGrid w:val="0"/>
      <w:jc w:val="left"/>
    </w:pPr>
    <w:rPr>
      <w:rFonts w:ascii="Calibri" w:hAnsi="Calibri"/>
      <w:kern w:val="0"/>
      <w:sz w:val="18"/>
      <w:szCs w:val="20"/>
      <w:lang w:val="zh-CN"/>
    </w:rPr>
  </w:style>
  <w:style w:type="paragraph" w:styleId="16">
    <w:name w:val="header"/>
    <w:basedOn w:val="1"/>
    <w:link w:val="39"/>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footnote text"/>
    <w:basedOn w:val="1"/>
    <w:next w:val="10"/>
    <w:semiHidden/>
    <w:qFormat/>
    <w:uiPriority w:val="0"/>
    <w:pPr>
      <w:snapToGrid w:val="0"/>
      <w:jc w:val="left"/>
    </w:pPr>
    <w:rPr>
      <w:sz w:val="18"/>
      <w:szCs w:val="18"/>
    </w:rPr>
  </w:style>
  <w:style w:type="paragraph" w:styleId="20">
    <w:name w:val="toc 6"/>
    <w:basedOn w:val="1"/>
    <w:next w:val="1"/>
    <w:unhideWhenUsed/>
    <w:qFormat/>
    <w:uiPriority w:val="39"/>
    <w:pPr>
      <w:ind w:left="1050"/>
      <w:jc w:val="left"/>
    </w:pPr>
    <w:rPr>
      <w:rFonts w:asciiTheme="minorHAnsi" w:eastAsiaTheme="minorHAnsi"/>
      <w:sz w:val="18"/>
      <w:szCs w:val="18"/>
    </w:rPr>
  </w:style>
  <w:style w:type="paragraph" w:styleId="21">
    <w:name w:val="table of figures"/>
    <w:basedOn w:val="1"/>
    <w:next w:val="1"/>
    <w:unhideWhenUsed/>
    <w:qFormat/>
    <w:uiPriority w:val="0"/>
    <w:pPr>
      <w:ind w:left="200" w:leftChars="200" w:hanging="200" w:hangingChars="200"/>
    </w:pPr>
    <w:rPr>
      <w:rFonts w:eastAsia="仿宋_GB2312"/>
      <w:sz w:val="32"/>
    </w:rPr>
  </w:style>
  <w:style w:type="paragraph" w:styleId="22">
    <w:name w:val="toc 2"/>
    <w:basedOn w:val="1"/>
    <w:next w:val="1"/>
    <w:unhideWhenUsed/>
    <w:qFormat/>
    <w:uiPriority w:val="39"/>
    <w:pPr>
      <w:ind w:left="210"/>
      <w:jc w:val="left"/>
    </w:pPr>
    <w:rPr>
      <w:rFonts w:asciiTheme="minorHAnsi" w:eastAsiaTheme="minorHAnsi"/>
      <w:smallCaps/>
      <w:sz w:val="20"/>
      <w:szCs w:val="20"/>
    </w:rPr>
  </w:style>
  <w:style w:type="paragraph" w:styleId="23">
    <w:name w:val="toc 9"/>
    <w:basedOn w:val="1"/>
    <w:next w:val="1"/>
    <w:unhideWhenUsed/>
    <w:qFormat/>
    <w:uiPriority w:val="39"/>
    <w:pPr>
      <w:ind w:left="1680"/>
      <w:jc w:val="left"/>
    </w:pPr>
    <w:rPr>
      <w:rFonts w:asciiTheme="minorHAnsi" w:eastAsiaTheme="minorHAnsi"/>
      <w:sz w:val="18"/>
      <w:szCs w:val="18"/>
    </w:rPr>
  </w:style>
  <w:style w:type="paragraph" w:styleId="24">
    <w:name w:val="HTML Preformatted"/>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eastAsia="宋体" w:cs="宋体"/>
      <w:kern w:val="0"/>
      <w:sz w:val="24"/>
      <w:szCs w:val="24"/>
      <w:lang w:val="en-US" w:eastAsia="zh-CN" w:bidi="ar-SA"/>
    </w:rPr>
  </w:style>
  <w:style w:type="paragraph" w:styleId="25">
    <w:name w:val="Normal (Web)"/>
    <w:basedOn w:val="1"/>
    <w:qFormat/>
    <w:uiPriority w:val="0"/>
    <w:pPr>
      <w:spacing w:before="100" w:beforeAutospacing="1" w:after="100" w:afterAutospacing="1"/>
      <w:jc w:val="left"/>
    </w:pPr>
    <w:rPr>
      <w:rFonts w:ascii="Calibri" w:hAnsi="Calibri"/>
      <w:kern w:val="0"/>
      <w:sz w:val="24"/>
    </w:rPr>
  </w:style>
  <w:style w:type="table" w:styleId="2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rFonts w:cs="Times New Roman"/>
      <w:b/>
    </w:rPr>
  </w:style>
  <w:style w:type="character" w:styleId="30">
    <w:name w:val="Hyperlink"/>
    <w:basedOn w:val="28"/>
    <w:unhideWhenUsed/>
    <w:qFormat/>
    <w:uiPriority w:val="99"/>
    <w:rPr>
      <w:rFonts w:cs="Times New Roman"/>
      <w:color w:val="0000FF"/>
      <w:u w:val="single"/>
    </w:rPr>
  </w:style>
  <w:style w:type="paragraph" w:customStyle="1" w:styleId="3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32">
    <w:name w:val="标题 1 Char"/>
    <w:basedOn w:val="28"/>
    <w:link w:val="3"/>
    <w:qFormat/>
    <w:locked/>
    <w:uiPriority w:val="9"/>
    <w:rPr>
      <w:rFonts w:ascii="Times New Roman" w:hAnsi="Times New Roman" w:cs="Times New Roman"/>
      <w:b/>
      <w:bCs/>
      <w:kern w:val="44"/>
      <w:sz w:val="44"/>
      <w:szCs w:val="44"/>
    </w:rPr>
  </w:style>
  <w:style w:type="character" w:customStyle="1" w:styleId="33">
    <w:name w:val="标题 2 Char"/>
    <w:basedOn w:val="28"/>
    <w:link w:val="4"/>
    <w:qFormat/>
    <w:locked/>
    <w:uiPriority w:val="9"/>
    <w:rPr>
      <w:rFonts w:ascii="Cambria" w:hAnsi="Cambria" w:eastAsia="宋体" w:cs="Times New Roman"/>
      <w:b/>
      <w:bCs/>
      <w:kern w:val="2"/>
      <w:sz w:val="32"/>
      <w:szCs w:val="32"/>
    </w:rPr>
  </w:style>
  <w:style w:type="character" w:customStyle="1" w:styleId="34">
    <w:name w:val="标题 3 Char"/>
    <w:basedOn w:val="28"/>
    <w:link w:val="5"/>
    <w:qFormat/>
    <w:locked/>
    <w:uiPriority w:val="9"/>
    <w:rPr>
      <w:rFonts w:ascii="Times New Roman" w:hAnsi="Times New Roman" w:cs="Times New Roman"/>
      <w:b/>
      <w:bCs/>
      <w:kern w:val="2"/>
      <w:sz w:val="32"/>
      <w:szCs w:val="32"/>
    </w:rPr>
  </w:style>
  <w:style w:type="character" w:customStyle="1" w:styleId="35">
    <w:name w:val="Body Text Char"/>
    <w:basedOn w:val="28"/>
    <w:semiHidden/>
    <w:qFormat/>
    <w:uiPriority w:val="99"/>
    <w:rPr>
      <w:rFonts w:ascii="Times New Roman" w:hAnsi="Times New Roman" w:cs="Times New Roman"/>
      <w:sz w:val="24"/>
      <w:szCs w:val="24"/>
    </w:rPr>
  </w:style>
  <w:style w:type="character" w:customStyle="1" w:styleId="36">
    <w:name w:val="批注框文本 Char"/>
    <w:basedOn w:val="28"/>
    <w:link w:val="14"/>
    <w:semiHidden/>
    <w:qFormat/>
    <w:locked/>
    <w:uiPriority w:val="99"/>
    <w:rPr>
      <w:rFonts w:ascii="Times New Roman" w:hAnsi="Times New Roman" w:cs="Times New Roman"/>
      <w:kern w:val="2"/>
      <w:sz w:val="18"/>
      <w:szCs w:val="18"/>
    </w:rPr>
  </w:style>
  <w:style w:type="character" w:customStyle="1" w:styleId="37">
    <w:name w:val="Footer Char"/>
    <w:basedOn w:val="28"/>
    <w:semiHidden/>
    <w:qFormat/>
    <w:uiPriority w:val="99"/>
    <w:rPr>
      <w:rFonts w:ascii="Times New Roman" w:hAnsi="Times New Roman" w:cs="Times New Roman"/>
      <w:sz w:val="18"/>
      <w:szCs w:val="18"/>
    </w:rPr>
  </w:style>
  <w:style w:type="character" w:customStyle="1" w:styleId="38">
    <w:name w:val="Header Char"/>
    <w:basedOn w:val="28"/>
    <w:semiHidden/>
    <w:qFormat/>
    <w:uiPriority w:val="99"/>
    <w:rPr>
      <w:rFonts w:ascii="Times New Roman" w:hAnsi="Times New Roman" w:cs="Times New Roman"/>
      <w:sz w:val="18"/>
      <w:szCs w:val="18"/>
    </w:rPr>
  </w:style>
  <w:style w:type="character" w:customStyle="1" w:styleId="39">
    <w:name w:val="页眉 Char"/>
    <w:link w:val="16"/>
    <w:semiHidden/>
    <w:qFormat/>
    <w:locked/>
    <w:uiPriority w:val="99"/>
    <w:rPr>
      <w:sz w:val="18"/>
    </w:rPr>
  </w:style>
  <w:style w:type="character" w:customStyle="1" w:styleId="40">
    <w:name w:val="页脚 Char"/>
    <w:link w:val="15"/>
    <w:qFormat/>
    <w:locked/>
    <w:uiPriority w:val="99"/>
    <w:rPr>
      <w:sz w:val="18"/>
    </w:rPr>
  </w:style>
  <w:style w:type="character" w:customStyle="1" w:styleId="41">
    <w:name w:val="正文文本 Char"/>
    <w:link w:val="8"/>
    <w:qFormat/>
    <w:locked/>
    <w:uiPriority w:val="99"/>
    <w:rPr>
      <w:rFonts w:ascii="仿宋_GB2312" w:hAnsi="Times New Roman" w:eastAsia="仿宋_GB2312"/>
      <w:sz w:val="24"/>
    </w:rPr>
  </w:style>
  <w:style w:type="paragraph" w:customStyle="1" w:styleId="4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3">
    <w:name w:val="列表段落1"/>
    <w:basedOn w:val="1"/>
    <w:qFormat/>
    <w:uiPriority w:val="34"/>
    <w:pPr>
      <w:ind w:firstLine="420" w:firstLineChars="200"/>
    </w:pPr>
  </w:style>
  <w:style w:type="paragraph" w:customStyle="1" w:styleId="44">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5">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6">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styleId="47">
    <w:name w:val="List Paragraph"/>
    <w:basedOn w:val="1"/>
    <w:qFormat/>
    <w:uiPriority w:val="34"/>
    <w:pPr>
      <w:ind w:firstLine="420" w:firstLineChars="200"/>
    </w:pPr>
  </w:style>
  <w:style w:type="paragraph" w:customStyle="1" w:styleId="48">
    <w:name w:val="四号正文"/>
    <w:qFormat/>
    <w:uiPriority w:val="0"/>
    <w:pPr>
      <w:widowControl w:val="0"/>
      <w:spacing w:line="360" w:lineRule="auto"/>
      <w:jc w:val="both"/>
    </w:pPr>
    <w:rPr>
      <w:rFonts w:ascii="??" w:hAnsi="??" w:eastAsia="宋体" w:cs="Times New Roman"/>
      <w:color w:val="000000"/>
      <w:sz w:val="28"/>
      <w:szCs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025&#24180;&#20915;&#31639;\for%20&#26446;&#23159;&#2591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025&#24180;&#20915;&#31639;\for%20&#26446;&#23159;&#25913;.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025&#24180;&#20915;&#31639;\for%20&#26446;&#23159;&#25913;.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025&#24180;&#20915;&#31639;\for%20&#26446;&#23159;&#25913;.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025&#24180;&#20915;&#31639;\for%20&#26446;&#23159;&#2591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F:\UserData\My%20Documents\WeChat%20Files\wxid_5746557465412\FileStorage\File\2023-08\for%20&#26446;&#2315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李婷改.xlsx]Sheet1'!$B$3:$B$4</c:f>
              <c:numCache>
                <c:formatCode>General</c:formatCode>
                <c:ptCount val="2"/>
                <c:pt idx="0">
                  <c:v>536.21</c:v>
                </c:pt>
                <c:pt idx="1">
                  <c:v>301.62</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李婷改.xlsx]Sheet1'!$C$3:$C$4</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[工作簿1]Sheet1!$B$10</c:f>
              <c:strCache>
                <c:ptCount val="1"/>
                <c:pt idx="0">
                  <c:v>2019年度收入</c:v>
                </c:pt>
              </c:strCache>
            </c:strRef>
          </c:tx>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[工作簿1]Sheet1!$A$11:$A$17</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[工作簿1]Sheet1!$B$11:$B$17</c:f>
              <c:numCache>
                <c:formatCode>General</c:formatCode>
                <c:ptCount val="7"/>
                <c:pt idx="0">
                  <c:v>516.88</c:v>
                </c:pt>
                <c:pt idx="1">
                  <c:v>0</c:v>
                </c:pt>
                <c:pt idx="2">
                  <c:v>0</c:v>
                </c:pt>
                <c:pt idx="3">
                  <c:v>0</c:v>
                </c:pt>
                <c:pt idx="4">
                  <c:v>0</c:v>
                </c:pt>
                <c:pt idx="5">
                  <c:v>0</c:v>
                </c:pt>
                <c:pt idx="6">
                  <c:v>0</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egendEntry>
        <c:idx val="1"/>
        <c:delete val="1"/>
      </c:legendEntry>
      <c:legendEntry>
        <c:idx val="2"/>
        <c:delete val="1"/>
      </c:legendEntry>
      <c:legendEntry>
        <c:idx val="3"/>
        <c:delete val="1"/>
      </c:legendEntry>
      <c:legendEntry>
        <c:idx val="4"/>
        <c:delete val="1"/>
      </c:legendEntry>
      <c:legendEntry>
        <c:idx val="5"/>
        <c:delete val="1"/>
      </c:legendEntry>
      <c:legendEntry>
        <c:idx val="6"/>
        <c:delete val="1"/>
      </c:legendEntry>
      <c:layout>
        <c:manualLayout>
          <c:xMode val="edge"/>
          <c:yMode val="edge"/>
          <c:x val="0.6625"/>
          <c:y val="0.13831018518518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李婷改.xlsx]Sheet1'!$A$19:$A$20</c:f>
              <c:strCache>
                <c:ptCount val="2"/>
                <c:pt idx="0">
                  <c:v>基本支出</c:v>
                </c:pt>
                <c:pt idx="1">
                  <c:v>项目支出</c:v>
                </c:pt>
              </c:strCache>
            </c:strRef>
          </c:cat>
          <c:val>
            <c:numRef>
              <c:f>'[for 李婷改.xlsx]Sheet1'!$B$19:$B$20</c:f>
              <c:numCache>
                <c:formatCode>0.00%</c:formatCode>
                <c:ptCount val="2"/>
                <c:pt idx="0">
                  <c:v>0.792</c:v>
                </c:pt>
                <c:pt idx="1">
                  <c:v>0.208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"收入"</c:f>
              <c:strCache>
                <c:ptCount val="1"/>
                <c:pt idx="0">
                  <c:v>收入</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李婷改.xlsx]Sheet1'!$B$3:$B$4</c:f>
              <c:numCache>
                <c:formatCode>General</c:formatCode>
                <c:ptCount val="2"/>
                <c:pt idx="0">
                  <c:v>536.21</c:v>
                </c:pt>
                <c:pt idx="1">
                  <c:v>301.62</c:v>
                </c:pt>
              </c:numCache>
            </c:numRef>
          </c:val>
        </c:ser>
        <c:ser>
          <c:idx val="1"/>
          <c:order val="1"/>
          <c:tx>
            <c:strRef>
              <c:f>"支出"</c:f>
              <c:strCache>
                <c:ptCount val="1"/>
                <c:pt idx="0">
                  <c:v>支出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李婷改.xlsx]Sheet1'!$A$3:$A$4</c:f>
              <c:strCache>
                <c:ptCount val="2"/>
                <c:pt idx="0">
                  <c:v>2024年</c:v>
                </c:pt>
                <c:pt idx="1">
                  <c:v>2025年</c:v>
                </c:pt>
              </c:strCache>
            </c:strRef>
          </c:cat>
          <c:val>
            <c:numRef>
              <c:f>'[for 李婷改.xlsx]Sheet1'!$C$3:$C$4</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594560"/>
        <c:axId val="156596096"/>
      </c:barChart>
      <c:catAx>
        <c:axId val="15659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6096"/>
        <c:crosses val="autoZero"/>
        <c:auto val="1"/>
        <c:lblAlgn val="ctr"/>
        <c:lblOffset val="100"/>
        <c:noMultiLvlLbl val="0"/>
      </c:catAx>
      <c:valAx>
        <c:axId val="1565960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594560"/>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"一般公共预算财政拨款支出"</c:f>
              <c:strCache>
                <c:ptCount val="1"/>
                <c:pt idx="0">
                  <c:v>一般公共预算财政拨款支出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李婷改.xlsx]Sheet1'!$A$52:$A$53</c:f>
              <c:strCache>
                <c:ptCount val="2"/>
                <c:pt idx="0">
                  <c:v>2024年</c:v>
                </c:pt>
                <c:pt idx="1">
                  <c:v>2025年</c:v>
                </c:pt>
              </c:strCache>
            </c:strRef>
          </c:cat>
          <c:val>
            <c:numRef>
              <c:f>'[for 李婷改.xlsx]Sheet1'!$B$52:$B$53</c:f>
              <c:numCache>
                <c:formatCode>General</c:formatCode>
                <c:ptCount val="2"/>
                <c:pt idx="0">
                  <c:v>536.21</c:v>
                </c:pt>
                <c:pt idx="1">
                  <c:v>301.62</c:v>
                </c:pt>
              </c:numCache>
            </c:numRef>
          </c:val>
        </c:ser>
        <c:dLbls>
          <c:showLegendKey val="0"/>
          <c:showVal val="1"/>
          <c:showCatName val="0"/>
          <c:showSerName val="0"/>
          <c:showPercent val="0"/>
          <c:showBubbleSize val="0"/>
        </c:dLbls>
        <c:gapWidth val="219"/>
        <c:overlap val="-27"/>
        <c:axId val="156799744"/>
        <c:axId val="156801280"/>
      </c:barChart>
      <c:catAx>
        <c:axId val="15679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801280"/>
        <c:crosses val="autoZero"/>
        <c:auto val="1"/>
        <c:lblAlgn val="ctr"/>
        <c:lblOffset val="100"/>
        <c:noMultiLvlLbl val="0"/>
      </c:catAx>
      <c:valAx>
        <c:axId val="156801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567997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'[for 李婷改.xlsx]Sheet1'!$A$69:$A$73</c:f>
              <c:strCache>
                <c:ptCount val="5"/>
                <c:pt idx="0">
                  <c:v>社会保障和就业支出（类）</c:v>
                </c:pt>
                <c:pt idx="1">
                  <c:v>农林水支出（类）</c:v>
                </c:pt>
                <c:pt idx="2">
                  <c:v>商业服务业等支出（类）</c:v>
                </c:pt>
                <c:pt idx="3">
                  <c:v>住房保障支出（类）</c:v>
                </c:pt>
                <c:pt idx="4">
                  <c:v>卫生健康支出（类）</c:v>
                </c:pt>
              </c:strCache>
            </c:strRef>
          </c:cat>
          <c:val>
            <c:numRef>
              <c:f>'[for 李婷改.xlsx]Sheet1'!$B$69:$B$73</c:f>
              <c:numCache>
                <c:formatCode>0.00%</c:formatCode>
                <c:ptCount val="5"/>
                <c:pt idx="0">
                  <c:v>0.124</c:v>
                </c:pt>
                <c:pt idx="1">
                  <c:v>0.073</c:v>
                </c:pt>
                <c:pt idx="2">
                  <c:v>0.702</c:v>
                </c:pt>
                <c:pt idx="3">
                  <c:v>0.053</c:v>
                </c:pt>
                <c:pt idx="4">
                  <c:v>0.048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dPt>
          <c:dLbls>
            <c:spPr>
              <a:noFill/>
              <a:ln>
                <a:noFill/>
              </a:ln>
              <a:effectLst/>
            </c:spPr>
            <c:txPr>
              <a:bodyPr rot="0" spcFirstLastPara="1" vertOverflow="ellipsis" vert="horz" wrap="square" lIns="38100" tIns="19050" rIns="38100" bIns="19050" anchor="ctr" anchorCtr="1">
                <a:spAutoFit/>
              </a:bodyPr>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Sheet1!$A$19:$A$21</c:f>
              <c:strCache>
                <c:ptCount val="3"/>
                <c:pt idx="0">
                  <c:v>公务接待费</c:v>
                </c:pt>
                <c:pt idx="1">
                  <c:v>因公出国</c:v>
                </c:pt>
                <c:pt idx="2">
                  <c:v>公务用车购置及运行维护费</c:v>
                </c:pt>
              </c:strCache>
            </c:strRef>
          </c:cat>
          <c:val>
            <c:numRef>
              <c:f>Sheet1!$B$19:$B$21</c:f>
              <c:numCache>
                <c:formatCode>0.00%</c:formatCode>
                <c:ptCount val="3"/>
                <c:pt idx="0">
                  <c:v>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3096FD-59EE-4FD7-B65B-B1AAC58601E4}">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59</Pages>
  <Words>6845</Words>
  <Characters>7602</Characters>
  <Lines>136</Lines>
  <Paragraphs>38</Paragraphs>
  <TotalTime>0</TotalTime>
  <ScaleCrop>false</ScaleCrop>
  <LinksUpToDate>false</LinksUpToDate>
  <CharactersWithSpaces>7676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2023-09-07T03:49:00Z</dcterms:created>
  <dc:creator>曹颖</dc:creator>
  <cp:lastModifiedBy>Administrator</cp:lastModifiedBy>
  <cp:lastPrinted>2026-08-26T07:59:00Z</cp:lastPrinted>
  <dcterms:modified xsi:type="dcterms:W3CDTF">2026-08-27T02:50:51Z</dcterms:modified>
  <dc:title>阿坝州部门决算说明</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91F00E0D4C20415E89114B94FD6A3B1C_13</vt:lpwstr>
  </property>
  <property fmtid="{D5CDD505-2E9C-101B-9397-08002B2CF9AE}" pid="4" name="KSOTemplateDocerSaveRecord">
    <vt:lpwstr>eyJoZGlkIjoiM2M3ODVkZDQzMmMwZTY5MDM0NDIxMWYyNDdjYWI4MDEiLCJ1c2VySWQiOiI3Nzk4ODAwMzUifQ==</vt:lpwstr>
  </property>
</Properties>
</file>