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6F315">
      <w:pPr>
        <w:spacing w:line="600" w:lineRule="exact"/>
        <w:jc w:val="center"/>
        <w:outlineLvl w:val="0"/>
        <w:rPr>
          <w:rFonts w:hint="eastAsia" w:ascii="方正小标宋简体" w:hAnsi="宋体" w:eastAsia="方正小标宋简体"/>
          <w:color w:val="000000"/>
          <w:sz w:val="44"/>
          <w:szCs w:val="44"/>
        </w:rPr>
      </w:pPr>
      <w:bookmarkStart w:id="0" w:name="_Toc15377204"/>
      <w:bookmarkStart w:id="1" w:name="_Toc15396602"/>
    </w:p>
    <w:p w14:paraId="2C02EAB1">
      <w:pPr>
        <w:spacing w:line="600" w:lineRule="exact"/>
        <w:jc w:val="center"/>
        <w:outlineLvl w:val="0"/>
        <w:rPr>
          <w:rFonts w:hint="eastAsia" w:ascii="方正小标宋简体" w:hAnsi="宋体" w:eastAsia="方正小标宋简体"/>
          <w:color w:val="000000"/>
          <w:sz w:val="44"/>
          <w:szCs w:val="44"/>
        </w:rPr>
      </w:pPr>
    </w:p>
    <w:p w14:paraId="5D2EDB59">
      <w:pPr>
        <w:spacing w:line="600" w:lineRule="exact"/>
        <w:outlineLvl w:val="0"/>
        <w:rPr>
          <w:rFonts w:hint="eastAsia" w:ascii="方正小标宋简体" w:hAnsi="宋体" w:eastAsia="方正小标宋简体"/>
          <w:color w:val="000000"/>
          <w:sz w:val="44"/>
          <w:szCs w:val="44"/>
        </w:rPr>
      </w:pPr>
    </w:p>
    <w:p w14:paraId="533FFAF1">
      <w:pPr>
        <w:spacing w:line="600" w:lineRule="exact"/>
        <w:outlineLvl w:val="0"/>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 xml:space="preserve">                                                                                                                                                                                                                                                                                                                                                                  </w:t>
      </w:r>
    </w:p>
    <w:p w14:paraId="126CC98A">
      <w:pPr>
        <w:spacing w:line="600" w:lineRule="exact"/>
        <w:jc w:val="center"/>
        <w:outlineLvl w:val="0"/>
        <w:rPr>
          <w:rFonts w:ascii="方正小标宋简体" w:hAnsi="宋体" w:eastAsia="方正小标宋简体"/>
          <w:color w:val="000000"/>
          <w:sz w:val="72"/>
          <w:szCs w:val="72"/>
        </w:rPr>
      </w:pPr>
    </w:p>
    <w:p w14:paraId="474A2372">
      <w:pPr>
        <w:adjustRightInd w:val="0"/>
        <w:snapToGrid w:val="0"/>
        <w:spacing w:line="360" w:lineRule="auto"/>
        <w:jc w:val="center"/>
        <w:outlineLvl w:val="0"/>
        <w:rPr>
          <w:rFonts w:hint="eastAsia" w:ascii="方正小标宋简体" w:hAnsi="方正小标宋简体" w:eastAsia="方正小标宋简体" w:cs="方正小标宋简体"/>
          <w:color w:val="000000"/>
          <w:sz w:val="36"/>
          <w:szCs w:val="36"/>
        </w:rPr>
      </w:pPr>
      <w:bookmarkStart w:id="2" w:name="_Toc15396597"/>
      <w:bookmarkStart w:id="3" w:name="_Toc15378441"/>
      <w:bookmarkStart w:id="4" w:name="_Toc15377193"/>
      <w:bookmarkStart w:id="5" w:name="_Toc15396475"/>
      <w:bookmarkStart w:id="6" w:name="_Toc15377425"/>
      <w:r>
        <w:rPr>
          <w:rFonts w:hint="eastAsia" w:ascii="方正小标宋简体" w:hAnsi="方正小标宋简体" w:eastAsia="方正小标宋简体" w:cs="方正小标宋简体"/>
          <w:color w:val="000000"/>
          <w:sz w:val="36"/>
          <w:szCs w:val="36"/>
        </w:rPr>
        <w:t>2022年度</w:t>
      </w:r>
      <w:bookmarkEnd w:id="2"/>
      <w:bookmarkEnd w:id="3"/>
      <w:bookmarkEnd w:id="4"/>
      <w:bookmarkEnd w:id="5"/>
      <w:bookmarkEnd w:id="6"/>
      <w:bookmarkStart w:id="7" w:name="_Toc15377426"/>
      <w:bookmarkStart w:id="8" w:name="_Toc15378442"/>
      <w:bookmarkStart w:id="9" w:name="_Toc15377194"/>
      <w:bookmarkStart w:id="10" w:name="_Toc15396598"/>
      <w:bookmarkStart w:id="11" w:name="_Toc15396476"/>
    </w:p>
    <w:p w14:paraId="78DADE56">
      <w:pPr>
        <w:adjustRightInd w:val="0"/>
        <w:snapToGrid w:val="0"/>
        <w:spacing w:line="360" w:lineRule="auto"/>
        <w:jc w:val="center"/>
        <w:outlineLvl w:val="0"/>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36"/>
          <w:szCs w:val="36"/>
        </w:rPr>
        <w:t>四川省</w:t>
      </w:r>
      <w:bookmarkStart w:id="12" w:name="_Toc15306268"/>
      <w:r>
        <w:rPr>
          <w:rFonts w:hint="eastAsia" w:ascii="方正小标宋简体" w:hAnsi="方正小标宋简体" w:eastAsia="方正小标宋简体" w:cs="方正小标宋简体"/>
          <w:color w:val="000000"/>
          <w:sz w:val="36"/>
          <w:szCs w:val="36"/>
        </w:rPr>
        <w:t>阿坝州茂县防震减灾事务中心2022</w:t>
      </w:r>
      <w:r>
        <w:rPr>
          <w:rFonts w:hint="eastAsia" w:ascii="方正小标宋简体" w:hAnsi="方正小标宋简体" w:eastAsia="方正小标宋简体" w:cs="方正小标宋简体"/>
          <w:color w:val="000000"/>
          <w:sz w:val="44"/>
          <w:szCs w:val="44"/>
        </w:rPr>
        <w:t>年</w:t>
      </w:r>
    </w:p>
    <w:p w14:paraId="147B68EF">
      <w:pPr>
        <w:adjustRightInd w:val="0"/>
        <w:snapToGrid w:val="0"/>
        <w:spacing w:line="360" w:lineRule="auto"/>
        <w:jc w:val="center"/>
        <w:outlineLvl w:val="0"/>
        <w:rPr>
          <w:rFonts w:hint="eastAsia" w:ascii="方正小标宋简体" w:hAnsi="宋体" w:eastAsia="方正小标宋简体"/>
          <w:color w:val="000000"/>
          <w:sz w:val="44"/>
          <w:szCs w:val="44"/>
        </w:rPr>
      </w:pPr>
      <w:r>
        <w:rPr>
          <w:rFonts w:hint="eastAsia" w:ascii="方正小标宋简体" w:hAnsi="方正小标宋简体" w:eastAsia="方正小标宋简体" w:cs="方正小标宋简体"/>
          <w:color w:val="000000"/>
          <w:sz w:val="44"/>
          <w:szCs w:val="44"/>
        </w:rPr>
        <w:t>部门决算</w:t>
      </w:r>
    </w:p>
    <w:p w14:paraId="2A98F10D">
      <w:pPr>
        <w:adjustRightInd w:val="0"/>
        <w:snapToGrid w:val="0"/>
        <w:spacing w:line="360" w:lineRule="auto"/>
        <w:jc w:val="center"/>
        <w:outlineLvl w:val="0"/>
        <w:rPr>
          <w:rFonts w:hint="eastAsia" w:ascii="方正小标宋简体" w:hAnsi="方正小标宋简体" w:eastAsia="方正小标宋简体" w:cs="方正小标宋简体"/>
          <w:color w:val="000000"/>
          <w:sz w:val="44"/>
          <w:szCs w:val="44"/>
        </w:rPr>
      </w:pPr>
    </w:p>
    <w:bookmarkEnd w:id="7"/>
    <w:bookmarkEnd w:id="8"/>
    <w:bookmarkEnd w:id="9"/>
    <w:bookmarkEnd w:id="10"/>
    <w:bookmarkEnd w:id="11"/>
    <w:bookmarkEnd w:id="12"/>
    <w:p w14:paraId="46674F47">
      <w:pPr>
        <w:autoSpaceDE w:val="0"/>
        <w:autoSpaceDN w:val="0"/>
        <w:adjustRightInd w:val="0"/>
        <w:ind w:firstLine="1276"/>
        <w:jc w:val="left"/>
        <w:rPr>
          <w:rFonts w:hint="eastAsia" w:ascii="仿宋_GB2312" w:hAnsi="Calibri" w:eastAsia="仿宋_GB2312" w:cs="仿宋_GB2312"/>
          <w:sz w:val="32"/>
          <w:szCs w:val="32"/>
        </w:rPr>
      </w:pPr>
    </w:p>
    <w:p w14:paraId="56A09531">
      <w:pPr>
        <w:autoSpaceDE w:val="0"/>
        <w:autoSpaceDN w:val="0"/>
        <w:adjustRightInd w:val="0"/>
        <w:ind w:firstLine="1276"/>
        <w:jc w:val="left"/>
        <w:rPr>
          <w:rFonts w:hint="eastAsia" w:ascii="仿宋_GB2312" w:hAnsi="Calibri" w:eastAsia="仿宋_GB2312" w:cs="仿宋_GB2312"/>
          <w:sz w:val="32"/>
          <w:szCs w:val="32"/>
        </w:rPr>
      </w:pPr>
    </w:p>
    <w:p w14:paraId="4D0860C0">
      <w:pPr>
        <w:autoSpaceDE w:val="0"/>
        <w:autoSpaceDN w:val="0"/>
        <w:adjustRightInd w:val="0"/>
        <w:ind w:firstLine="1276"/>
        <w:jc w:val="left"/>
        <w:rPr>
          <w:rFonts w:hint="eastAsia" w:ascii="仿宋_GB2312" w:hAnsi="Calibri" w:eastAsia="仿宋_GB2312" w:cs="仿宋_GB2312"/>
          <w:sz w:val="32"/>
          <w:szCs w:val="32"/>
        </w:rPr>
      </w:pPr>
    </w:p>
    <w:p w14:paraId="44FCD9C2">
      <w:pPr>
        <w:autoSpaceDE w:val="0"/>
        <w:autoSpaceDN w:val="0"/>
        <w:adjustRightInd w:val="0"/>
        <w:ind w:firstLine="1276"/>
        <w:jc w:val="left"/>
        <w:rPr>
          <w:rFonts w:hint="eastAsia" w:ascii="仿宋_GB2312" w:hAnsi="Calibri" w:eastAsia="仿宋_GB2312" w:cs="仿宋_GB2312"/>
          <w:sz w:val="32"/>
          <w:szCs w:val="32"/>
        </w:rPr>
      </w:pPr>
    </w:p>
    <w:p w14:paraId="1A1D6678">
      <w:pPr>
        <w:autoSpaceDE w:val="0"/>
        <w:autoSpaceDN w:val="0"/>
        <w:adjustRightInd w:val="0"/>
        <w:jc w:val="left"/>
        <w:rPr>
          <w:rFonts w:hint="eastAsia" w:ascii="仿宋_GB2312" w:hAnsi="Calibri" w:eastAsia="仿宋_GB2312" w:cs="仿宋_GB2312"/>
          <w:sz w:val="32"/>
          <w:szCs w:val="32"/>
        </w:rPr>
      </w:pPr>
    </w:p>
    <w:p w14:paraId="536AC8B0">
      <w:pPr>
        <w:autoSpaceDE w:val="0"/>
        <w:autoSpaceDN w:val="0"/>
        <w:adjustRightInd w:val="0"/>
        <w:jc w:val="left"/>
        <w:rPr>
          <w:rFonts w:hint="eastAsia" w:ascii="仿宋_GB2312" w:hAnsi="Calibri" w:eastAsia="仿宋_GB2312" w:cs="仿宋_GB2312"/>
          <w:sz w:val="32"/>
          <w:szCs w:val="32"/>
        </w:rPr>
      </w:pPr>
    </w:p>
    <w:p w14:paraId="7E2B6917">
      <w:pPr>
        <w:autoSpaceDE w:val="0"/>
        <w:autoSpaceDN w:val="0"/>
        <w:adjustRightInd w:val="0"/>
        <w:jc w:val="left"/>
        <w:rPr>
          <w:rFonts w:hint="eastAsia" w:ascii="仿宋_GB2312" w:hAnsi="Calibri" w:eastAsia="仿宋_GB2312" w:cs="仿宋_GB2312"/>
          <w:sz w:val="32"/>
          <w:szCs w:val="32"/>
        </w:rPr>
      </w:pPr>
    </w:p>
    <w:p w14:paraId="6210A02C">
      <w:pPr>
        <w:autoSpaceDE w:val="0"/>
        <w:autoSpaceDN w:val="0"/>
        <w:adjustRightInd w:val="0"/>
        <w:jc w:val="left"/>
        <w:rPr>
          <w:rFonts w:hint="eastAsia" w:ascii="仿宋_GB2312" w:hAnsi="Calibri" w:eastAsia="仿宋_GB2312" w:cs="仿宋_GB2312"/>
          <w:sz w:val="32"/>
          <w:szCs w:val="32"/>
        </w:rPr>
      </w:pPr>
    </w:p>
    <w:p w14:paraId="2B698789">
      <w:pPr>
        <w:autoSpaceDE w:val="0"/>
        <w:autoSpaceDN w:val="0"/>
        <w:adjustRightInd w:val="0"/>
        <w:spacing w:line="576" w:lineRule="exact"/>
        <w:ind w:left="420" w:leftChars="200" w:firstLine="1280" w:firstLineChars="400"/>
        <w:jc w:val="left"/>
        <w:rPr>
          <w:rFonts w:hint="eastAsia" w:ascii="宋体" w:cs="仿宋_GB2312"/>
          <w:sz w:val="32"/>
          <w:szCs w:val="32"/>
        </w:rPr>
      </w:pPr>
      <w:r>
        <w:rPr>
          <w:rFonts w:hint="eastAsia" w:ascii="宋体" w:cs="仿宋_GB2312"/>
          <w:sz w:val="32"/>
          <w:szCs w:val="32"/>
        </w:rPr>
        <w:t>已经保密审查、内容审定，同意对外公开</w:t>
      </w:r>
    </w:p>
    <w:p w14:paraId="7F0EE56E">
      <w:pPr>
        <w:adjustRightInd w:val="0"/>
        <w:snapToGrid w:val="0"/>
        <w:spacing w:line="360" w:lineRule="auto"/>
        <w:jc w:val="center"/>
        <w:outlineLvl w:val="0"/>
        <w:rPr>
          <w:rFonts w:hint="eastAsia" w:ascii="方正小标宋简体" w:hAnsi="黑体" w:eastAsia="方正小标宋简体"/>
          <w:color w:val="000000"/>
          <w:sz w:val="44"/>
          <w:szCs w:val="44"/>
        </w:rPr>
      </w:pPr>
    </w:p>
    <w:p w14:paraId="5DB82851">
      <w:pPr>
        <w:adjustRightInd w:val="0"/>
        <w:snapToGrid w:val="0"/>
        <w:spacing w:line="360" w:lineRule="auto"/>
        <w:jc w:val="center"/>
        <w:outlineLvl w:val="0"/>
        <w:rPr>
          <w:rFonts w:hint="eastAsia" w:ascii="方正小标宋简体" w:hAnsi="黑体" w:eastAsia="方正小标宋简体"/>
          <w:color w:val="000000"/>
          <w:sz w:val="44"/>
          <w:szCs w:val="44"/>
        </w:rPr>
      </w:pPr>
      <w:r>
        <w:rPr>
          <w:rFonts w:hint="eastAsia" w:ascii="方正小标宋简体" w:hAnsi="黑体" w:eastAsia="方正小标宋简体"/>
          <w:color w:val="000000"/>
          <w:sz w:val="44"/>
          <w:szCs w:val="44"/>
        </w:rPr>
        <w:t xml:space="preserve"> </w:t>
      </w:r>
    </w:p>
    <w:p w14:paraId="19F52019">
      <w:pPr>
        <w:adjustRightInd w:val="0"/>
        <w:snapToGrid w:val="0"/>
        <w:spacing w:line="576" w:lineRule="exact"/>
        <w:jc w:val="center"/>
        <w:outlineLvl w:val="0"/>
        <w:rPr>
          <w:rFonts w:ascii="仿宋" w:hAnsi="仿宋" w:eastAsia="仿宋"/>
          <w:sz w:val="28"/>
          <w:szCs w:val="28"/>
        </w:rPr>
      </w:pPr>
      <w:r>
        <w:rPr>
          <w:rFonts w:hint="eastAsia" w:ascii="方正小标宋简体" w:hAnsi="黑体" w:eastAsia="方正小标宋简体"/>
          <w:color w:val="000000"/>
          <w:sz w:val="44"/>
          <w:szCs w:val="44"/>
        </w:rPr>
        <w:t>目  录</w:t>
      </w:r>
      <w:r>
        <w:rPr>
          <w:rFonts w:ascii="仿宋" w:hAnsi="仿宋" w:eastAsia="仿宋"/>
          <w:color w:val="000000"/>
          <w:sz w:val="28"/>
          <w:szCs w:val="28"/>
        </w:rPr>
        <w:fldChar w:fldCharType="begin"/>
      </w:r>
      <w:r>
        <w:rPr>
          <w:rFonts w:ascii="仿宋" w:hAnsi="仿宋" w:eastAsia="仿宋"/>
          <w:color w:val="000000"/>
          <w:sz w:val="28"/>
          <w:szCs w:val="28"/>
        </w:rPr>
        <w:instrText xml:space="preserve"> TOC \o "1-2" \h \z \u </w:instrText>
      </w:r>
      <w:r>
        <w:rPr>
          <w:rFonts w:ascii="仿宋" w:hAnsi="仿宋" w:eastAsia="仿宋"/>
          <w:color w:val="000000"/>
          <w:sz w:val="28"/>
          <w:szCs w:val="28"/>
        </w:rPr>
        <w:fldChar w:fldCharType="separate"/>
      </w:r>
    </w:p>
    <w:p w14:paraId="5D91BF93">
      <w:pPr>
        <w:pStyle w:val="7"/>
        <w:spacing w:before="0" w:line="576" w:lineRule="exact"/>
        <w:jc w:val="left"/>
        <w:rPr>
          <w:rFonts w:hint="eastAsia" w:cs="仿宋_GB2312"/>
        </w:rPr>
      </w:pPr>
      <w:r>
        <w:fldChar w:fldCharType="begin"/>
      </w:r>
      <w:r>
        <w:instrText xml:space="preserve"> HYPERLINK \l "_Toc15396599" </w:instrText>
      </w:r>
      <w:r>
        <w:fldChar w:fldCharType="separate"/>
      </w:r>
      <w:r>
        <w:rPr>
          <w:rStyle w:val="13"/>
          <w:rFonts w:hint="eastAsia" w:cs="仿宋_GB2312"/>
        </w:rPr>
        <w:t>第一部分  单位概况</w:t>
      </w:r>
      <w:r>
        <w:rPr>
          <w:rFonts w:hint="eastAsia" w:cs="仿宋_GB2312"/>
        </w:rPr>
        <w:tab/>
      </w:r>
      <w:r>
        <w:rPr>
          <w:rFonts w:hint="eastAsia" w:cs="仿宋_GB2312"/>
        </w:rPr>
        <w:t>4</w:t>
      </w:r>
      <w:r>
        <w:rPr>
          <w:rFonts w:hint="eastAsia" w:cs="仿宋_GB2312"/>
        </w:rPr>
        <w:fldChar w:fldCharType="end"/>
      </w:r>
    </w:p>
    <w:p w14:paraId="2E135E64">
      <w:pPr>
        <w:pStyle w:val="8"/>
        <w:spacing w:line="576" w:lineRule="exact"/>
        <w:ind w:left="0" w:leftChars="0" w:firstLine="0" w:firstLineChars="0"/>
        <w:jc w:val="left"/>
        <w:rPr>
          <w:rFonts w:hint="eastAsia" w:ascii="仿宋" w:hAnsi="仿宋" w:eastAsia="仿宋" w:cs="仿宋_GB2312"/>
          <w:sz w:val="28"/>
          <w:szCs w:val="28"/>
        </w:rPr>
      </w:pPr>
      <w:r>
        <w:fldChar w:fldCharType="begin"/>
      </w:r>
      <w:r>
        <w:instrText xml:space="preserve"> HYPERLINK \l "_Toc15396600" </w:instrText>
      </w:r>
      <w:r>
        <w:fldChar w:fldCharType="separate"/>
      </w:r>
      <w:r>
        <w:rPr>
          <w:rStyle w:val="13"/>
          <w:rFonts w:hint="eastAsia" w:ascii="仿宋" w:hAnsi="仿宋" w:eastAsia="仿宋" w:cs="仿宋_GB2312"/>
          <w:sz w:val="28"/>
          <w:szCs w:val="28"/>
        </w:rPr>
        <w:t>一、主要职责</w:t>
      </w:r>
      <w:r>
        <w:rPr>
          <w:rFonts w:hint="eastAsia" w:ascii="仿宋" w:hAnsi="仿宋" w:eastAsia="仿宋" w:cs="仿宋_GB2312"/>
          <w:sz w:val="28"/>
          <w:szCs w:val="28"/>
        </w:rPr>
        <w:tab/>
      </w:r>
      <w:r>
        <w:rPr>
          <w:rFonts w:hint="eastAsia" w:ascii="仿宋" w:hAnsi="仿宋" w:eastAsia="仿宋" w:cs="仿宋_GB2312"/>
          <w:sz w:val="28"/>
          <w:szCs w:val="28"/>
        </w:rPr>
        <w:fldChar w:fldCharType="end"/>
      </w:r>
      <w:r>
        <w:rPr>
          <w:rFonts w:hint="eastAsia" w:ascii="仿宋" w:hAnsi="仿宋" w:eastAsia="仿宋" w:cs="仿宋_GB2312"/>
          <w:sz w:val="28"/>
          <w:szCs w:val="28"/>
        </w:rPr>
        <w:t>4</w:t>
      </w:r>
    </w:p>
    <w:p w14:paraId="2999B0A7">
      <w:pPr>
        <w:pStyle w:val="8"/>
        <w:spacing w:line="576" w:lineRule="exact"/>
        <w:ind w:left="0" w:leftChars="0" w:firstLine="0" w:firstLineChars="0"/>
        <w:jc w:val="left"/>
        <w:rPr>
          <w:rFonts w:hint="eastAsia" w:ascii="仿宋" w:hAnsi="仿宋" w:eastAsia="仿宋"/>
          <w:iCs/>
          <w:smallCaps/>
          <w:sz w:val="28"/>
          <w:szCs w:val="28"/>
        </w:rPr>
      </w:pPr>
      <w:r>
        <w:rPr>
          <w:rFonts w:hint="eastAsia" w:ascii="仿宋" w:hAnsi="仿宋" w:eastAsia="仿宋"/>
          <w:iCs/>
          <w:smallCaps/>
          <w:sz w:val="28"/>
          <w:szCs w:val="28"/>
          <w:lang w:val="en-US" w:eastAsia="zh-CN"/>
        </w:rPr>
        <w:t>（一）</w:t>
      </w:r>
      <w:r>
        <w:rPr>
          <w:rFonts w:hint="eastAsia" w:ascii="仿宋" w:hAnsi="仿宋" w:eastAsia="仿宋"/>
          <w:iCs/>
          <w:smallCaps/>
          <w:sz w:val="28"/>
          <w:szCs w:val="28"/>
          <w:lang w:val="en-US"/>
        </w:rPr>
        <w:t>主要</w:t>
      </w:r>
      <w:r>
        <w:rPr>
          <w:rFonts w:hint="eastAsia" w:ascii="仿宋" w:hAnsi="仿宋" w:eastAsia="仿宋"/>
          <w:iCs/>
          <w:smallCaps/>
          <w:sz w:val="28"/>
          <w:szCs w:val="28"/>
          <w:lang w:val="en-US" w:eastAsia="zh-CN"/>
        </w:rPr>
        <w:t>职能</w:t>
      </w:r>
      <w:r>
        <w:rPr>
          <w:rFonts w:ascii="仿宋" w:hAnsi="仿宋" w:eastAsia="仿宋"/>
          <w:iCs/>
          <w:smallCaps/>
          <w:sz w:val="28"/>
          <w:szCs w:val="28"/>
          <w:lang w:val="en-US" w:eastAsia="zh-CN"/>
        </w:rPr>
        <w:tab/>
      </w:r>
      <w:r>
        <w:rPr>
          <w:rFonts w:hint="eastAsia" w:ascii="仿宋" w:hAnsi="仿宋" w:eastAsia="仿宋"/>
          <w:iCs/>
          <w:smallCaps/>
          <w:sz w:val="28"/>
          <w:szCs w:val="28"/>
        </w:rPr>
        <w:t>4</w:t>
      </w:r>
    </w:p>
    <w:p w14:paraId="641E6FD6">
      <w:pPr>
        <w:pStyle w:val="8"/>
        <w:spacing w:line="576" w:lineRule="exact"/>
        <w:ind w:left="0" w:leftChars="0" w:firstLine="0" w:firstLineChars="0"/>
        <w:jc w:val="left"/>
        <w:rPr>
          <w:rFonts w:hint="eastAsia" w:ascii="仿宋" w:hAnsi="仿宋" w:eastAsia="仿宋"/>
          <w:iCs/>
          <w:smallCaps/>
          <w:sz w:val="28"/>
          <w:szCs w:val="28"/>
        </w:rPr>
      </w:pPr>
      <w:r>
        <w:rPr>
          <w:rFonts w:hint="eastAsia" w:ascii="仿宋" w:hAnsi="仿宋" w:eastAsia="仿宋"/>
          <w:sz w:val="28"/>
          <w:szCs w:val="28"/>
          <w:lang w:val="en-US" w:eastAsia="zh-CN"/>
        </w:rPr>
        <w:t>（二）</w:t>
      </w:r>
      <w:r>
        <w:rPr>
          <w:rFonts w:ascii="仿宋" w:hAnsi="仿宋" w:eastAsia="仿宋"/>
          <w:sz w:val="28"/>
          <w:szCs w:val="28"/>
          <w:lang w:val="en-US" w:eastAsia="zh-CN"/>
        </w:rPr>
        <w:t>202</w:t>
      </w:r>
      <w:r>
        <w:rPr>
          <w:rFonts w:hint="eastAsia" w:ascii="仿宋" w:hAnsi="仿宋" w:eastAsia="仿宋"/>
          <w:sz w:val="28"/>
          <w:szCs w:val="28"/>
        </w:rPr>
        <w:t>2</w:t>
      </w:r>
      <w:r>
        <w:rPr>
          <w:rFonts w:hint="eastAsia" w:ascii="仿宋" w:hAnsi="仿宋" w:eastAsia="仿宋"/>
          <w:sz w:val="28"/>
          <w:szCs w:val="28"/>
          <w:lang w:val="en-US" w:eastAsia="zh-CN"/>
        </w:rPr>
        <w:t>年重点工作完成情况</w:t>
      </w:r>
      <w:r>
        <w:rPr>
          <w:rFonts w:ascii="仿宋" w:hAnsi="仿宋" w:eastAsia="仿宋"/>
          <w:sz w:val="28"/>
          <w:szCs w:val="28"/>
          <w:lang w:val="en-US" w:eastAsia="zh-CN"/>
        </w:rPr>
        <w:tab/>
      </w:r>
      <w:r>
        <w:rPr>
          <w:rFonts w:hint="eastAsia" w:ascii="仿宋" w:hAnsi="仿宋" w:eastAsia="仿宋"/>
          <w:sz w:val="28"/>
          <w:szCs w:val="28"/>
        </w:rPr>
        <w:t>4</w:t>
      </w:r>
    </w:p>
    <w:p w14:paraId="7A43AA37">
      <w:pPr>
        <w:pStyle w:val="8"/>
        <w:spacing w:line="576" w:lineRule="exact"/>
        <w:ind w:left="0" w:leftChars="0" w:firstLine="0" w:firstLineChars="0"/>
        <w:jc w:val="left"/>
        <w:rPr>
          <w:rFonts w:hint="eastAsia" w:ascii="仿宋" w:hAnsi="仿宋" w:eastAsia="仿宋" w:cs="仿宋_GB2312"/>
          <w:sz w:val="28"/>
          <w:szCs w:val="28"/>
        </w:rPr>
      </w:pPr>
      <w:r>
        <w:fldChar w:fldCharType="begin"/>
      </w:r>
      <w:r>
        <w:instrText xml:space="preserve"> HYPERLINK \l "_Toc15396601" </w:instrText>
      </w:r>
      <w:r>
        <w:fldChar w:fldCharType="separate"/>
      </w:r>
      <w:r>
        <w:rPr>
          <w:rStyle w:val="13"/>
          <w:rFonts w:hint="eastAsia" w:ascii="仿宋" w:hAnsi="仿宋" w:eastAsia="仿宋" w:cs="仿宋_GB2312"/>
          <w:sz w:val="28"/>
          <w:szCs w:val="28"/>
        </w:rPr>
        <w:t>二、机构设置</w:t>
      </w:r>
      <w:r>
        <w:rPr>
          <w:rFonts w:hint="eastAsia" w:ascii="仿宋" w:hAnsi="仿宋" w:eastAsia="仿宋" w:cs="仿宋_GB2312"/>
          <w:sz w:val="28"/>
          <w:szCs w:val="28"/>
        </w:rPr>
        <w:tab/>
      </w:r>
      <w:r>
        <w:rPr>
          <w:rFonts w:hint="eastAsia" w:ascii="仿宋" w:hAnsi="仿宋" w:eastAsia="仿宋" w:cs="仿宋_GB2312"/>
          <w:sz w:val="28"/>
          <w:szCs w:val="28"/>
        </w:rPr>
        <w:fldChar w:fldCharType="begin"/>
      </w:r>
      <w:r>
        <w:rPr>
          <w:rFonts w:hint="eastAsia" w:ascii="仿宋" w:hAnsi="仿宋" w:eastAsia="仿宋" w:cs="仿宋_GB2312"/>
          <w:sz w:val="28"/>
          <w:szCs w:val="28"/>
        </w:rPr>
        <w:instrText xml:space="preserve"> PAGEREF _Toc15396601 \h </w:instrText>
      </w:r>
      <w:r>
        <w:rPr>
          <w:rFonts w:hint="eastAsia" w:ascii="仿宋" w:hAnsi="仿宋" w:eastAsia="仿宋" w:cs="仿宋_GB2312"/>
          <w:sz w:val="28"/>
          <w:szCs w:val="28"/>
        </w:rPr>
        <w:fldChar w:fldCharType="separate"/>
      </w:r>
      <w:r>
        <w:rPr>
          <w:rFonts w:hint="eastAsia" w:ascii="仿宋" w:hAnsi="仿宋" w:eastAsia="仿宋" w:cs="仿宋_GB2312"/>
          <w:sz w:val="28"/>
          <w:szCs w:val="28"/>
        </w:rPr>
        <w:t>6</w:t>
      </w:r>
      <w:r>
        <w:rPr>
          <w:rFonts w:hint="eastAsia" w:ascii="仿宋" w:hAnsi="仿宋" w:eastAsia="仿宋" w:cs="仿宋_GB2312"/>
          <w:sz w:val="28"/>
          <w:szCs w:val="28"/>
        </w:rPr>
        <w:fldChar w:fldCharType="end"/>
      </w:r>
      <w:r>
        <w:rPr>
          <w:rFonts w:hint="eastAsia" w:ascii="仿宋" w:hAnsi="仿宋" w:eastAsia="仿宋" w:cs="仿宋_GB2312"/>
          <w:sz w:val="28"/>
          <w:szCs w:val="28"/>
        </w:rPr>
        <w:fldChar w:fldCharType="end"/>
      </w:r>
    </w:p>
    <w:p w14:paraId="182102B8">
      <w:pPr>
        <w:pStyle w:val="7"/>
        <w:spacing w:before="0" w:line="576" w:lineRule="exact"/>
        <w:jc w:val="left"/>
        <w:rPr>
          <w:rFonts w:hint="eastAsia" w:cs="仿宋_GB2312"/>
        </w:rPr>
      </w:pPr>
      <w:r>
        <w:fldChar w:fldCharType="begin"/>
      </w:r>
      <w:r>
        <w:instrText xml:space="preserve"> HYPERLINK \l "_Toc15396602" </w:instrText>
      </w:r>
      <w:r>
        <w:fldChar w:fldCharType="separate"/>
      </w:r>
      <w:r>
        <w:rPr>
          <w:rStyle w:val="13"/>
          <w:rFonts w:hint="eastAsia" w:cs="仿宋_GB2312"/>
        </w:rPr>
        <w:t>第二部分  2022年度单位决算情况说明</w:t>
      </w:r>
      <w:r>
        <w:rPr>
          <w:rFonts w:hint="eastAsia" w:cs="仿宋_GB2312"/>
        </w:rPr>
        <w:tab/>
      </w:r>
      <w:r>
        <w:rPr>
          <w:rFonts w:hint="eastAsia" w:cs="仿宋_GB2312"/>
        </w:rPr>
        <w:t>7</w:t>
      </w:r>
      <w:r>
        <w:rPr>
          <w:rFonts w:hint="eastAsia" w:cs="仿宋_GB2312"/>
        </w:rPr>
        <w:fldChar w:fldCharType="end"/>
      </w:r>
    </w:p>
    <w:p w14:paraId="1FA8E1D1">
      <w:pPr>
        <w:pStyle w:val="8"/>
        <w:spacing w:line="576" w:lineRule="exact"/>
        <w:ind w:left="0" w:leftChars="0" w:firstLine="0" w:firstLineChars="0"/>
        <w:jc w:val="left"/>
        <w:rPr>
          <w:rFonts w:hint="eastAsia" w:ascii="仿宋" w:hAnsi="仿宋" w:eastAsia="仿宋" w:cs="仿宋_GB2312"/>
          <w:sz w:val="28"/>
          <w:szCs w:val="28"/>
        </w:rPr>
      </w:pPr>
      <w:r>
        <w:fldChar w:fldCharType="begin"/>
      </w:r>
      <w:r>
        <w:instrText xml:space="preserve"> HYPERLINK \l "_Toc15396603" </w:instrText>
      </w:r>
      <w:r>
        <w:fldChar w:fldCharType="separate"/>
      </w:r>
      <w:r>
        <w:rPr>
          <w:rStyle w:val="13"/>
          <w:rFonts w:hint="eastAsia" w:ascii="仿宋" w:hAnsi="仿宋" w:eastAsia="仿宋" w:cs="仿宋_GB2312"/>
          <w:bCs/>
          <w:sz w:val="28"/>
          <w:szCs w:val="28"/>
        </w:rPr>
        <w:t>一、</w:t>
      </w:r>
      <w:r>
        <w:rPr>
          <w:rStyle w:val="13"/>
          <w:rFonts w:hint="eastAsia" w:ascii="仿宋" w:hAnsi="仿宋" w:eastAsia="仿宋" w:cs="仿宋_GB2312"/>
          <w:sz w:val="28"/>
          <w:szCs w:val="28"/>
        </w:rPr>
        <w:t>收</w:t>
      </w:r>
      <w:r>
        <w:rPr>
          <w:rStyle w:val="13"/>
          <w:rFonts w:hint="eastAsia" w:ascii="仿宋" w:hAnsi="仿宋" w:eastAsia="仿宋" w:cs="仿宋_GB2312"/>
          <w:bCs/>
          <w:sz w:val="28"/>
          <w:szCs w:val="28"/>
        </w:rPr>
        <w:t>入支出决算总体情况说明</w:t>
      </w:r>
      <w:r>
        <w:rPr>
          <w:rFonts w:hint="eastAsia" w:ascii="仿宋" w:hAnsi="仿宋" w:eastAsia="仿宋" w:cs="仿宋_GB2312"/>
          <w:sz w:val="28"/>
          <w:szCs w:val="28"/>
        </w:rPr>
        <w:tab/>
      </w:r>
      <w:r>
        <w:rPr>
          <w:rFonts w:hint="eastAsia" w:ascii="仿宋" w:hAnsi="仿宋" w:eastAsia="仿宋" w:cs="仿宋_GB2312"/>
          <w:sz w:val="28"/>
          <w:szCs w:val="28"/>
        </w:rPr>
        <w:t>7</w:t>
      </w:r>
      <w:r>
        <w:rPr>
          <w:rFonts w:hint="eastAsia" w:ascii="仿宋" w:hAnsi="仿宋" w:eastAsia="仿宋" w:cs="仿宋_GB2312"/>
          <w:sz w:val="28"/>
          <w:szCs w:val="28"/>
        </w:rPr>
        <w:fldChar w:fldCharType="end"/>
      </w:r>
    </w:p>
    <w:p w14:paraId="342E82C0">
      <w:pPr>
        <w:pStyle w:val="8"/>
        <w:spacing w:line="576" w:lineRule="exact"/>
        <w:ind w:left="0" w:leftChars="0" w:firstLine="0" w:firstLineChars="0"/>
        <w:jc w:val="left"/>
        <w:rPr>
          <w:rFonts w:hint="eastAsia" w:ascii="仿宋" w:hAnsi="仿宋" w:eastAsia="仿宋" w:cs="仿宋_GB2312"/>
          <w:sz w:val="28"/>
          <w:szCs w:val="28"/>
        </w:rPr>
      </w:pPr>
      <w:r>
        <w:fldChar w:fldCharType="begin"/>
      </w:r>
      <w:r>
        <w:instrText xml:space="preserve"> HYPERLINK \l "_Toc15396604" </w:instrText>
      </w:r>
      <w:r>
        <w:fldChar w:fldCharType="separate"/>
      </w:r>
      <w:r>
        <w:rPr>
          <w:rStyle w:val="13"/>
          <w:rFonts w:hint="eastAsia" w:ascii="仿宋" w:hAnsi="仿宋" w:eastAsia="仿宋" w:cs="仿宋_GB2312"/>
          <w:bCs/>
          <w:sz w:val="28"/>
          <w:szCs w:val="28"/>
        </w:rPr>
        <w:t>二、</w:t>
      </w:r>
      <w:r>
        <w:rPr>
          <w:rStyle w:val="13"/>
          <w:rFonts w:hint="eastAsia" w:ascii="仿宋" w:hAnsi="仿宋" w:eastAsia="仿宋" w:cs="仿宋_GB2312"/>
          <w:sz w:val="28"/>
          <w:szCs w:val="28"/>
        </w:rPr>
        <w:t>收</w:t>
      </w:r>
      <w:r>
        <w:rPr>
          <w:rStyle w:val="13"/>
          <w:rFonts w:hint="eastAsia" w:ascii="仿宋" w:hAnsi="仿宋" w:eastAsia="仿宋" w:cs="仿宋_GB2312"/>
          <w:bCs/>
          <w:sz w:val="28"/>
          <w:szCs w:val="28"/>
        </w:rPr>
        <w:t>入决算情况说明</w:t>
      </w:r>
      <w:r>
        <w:rPr>
          <w:rFonts w:hint="eastAsia" w:ascii="仿宋" w:hAnsi="仿宋" w:eastAsia="仿宋" w:cs="仿宋_GB2312"/>
          <w:sz w:val="28"/>
          <w:szCs w:val="28"/>
        </w:rPr>
        <w:tab/>
      </w:r>
      <w:r>
        <w:rPr>
          <w:rFonts w:hint="eastAsia" w:ascii="仿宋" w:hAnsi="仿宋" w:eastAsia="仿宋" w:cs="仿宋_GB2312"/>
          <w:sz w:val="28"/>
          <w:szCs w:val="28"/>
        </w:rPr>
        <w:t>7</w:t>
      </w:r>
      <w:r>
        <w:rPr>
          <w:rFonts w:hint="eastAsia" w:ascii="仿宋" w:hAnsi="仿宋" w:eastAsia="仿宋" w:cs="仿宋_GB2312"/>
          <w:sz w:val="28"/>
          <w:szCs w:val="28"/>
        </w:rPr>
        <w:fldChar w:fldCharType="end"/>
      </w:r>
    </w:p>
    <w:p w14:paraId="1D658CAC">
      <w:pPr>
        <w:pStyle w:val="8"/>
        <w:spacing w:line="576" w:lineRule="exact"/>
        <w:ind w:left="0" w:leftChars="0" w:firstLine="0" w:firstLineChars="0"/>
        <w:jc w:val="left"/>
        <w:rPr>
          <w:rFonts w:hint="eastAsia" w:ascii="仿宋" w:hAnsi="仿宋" w:eastAsia="仿宋" w:cs="仿宋_GB2312"/>
          <w:sz w:val="28"/>
          <w:szCs w:val="28"/>
        </w:rPr>
      </w:pPr>
      <w:r>
        <w:fldChar w:fldCharType="begin"/>
      </w:r>
      <w:r>
        <w:instrText xml:space="preserve"> HYPERLINK \l "_Toc15396605" </w:instrText>
      </w:r>
      <w:r>
        <w:fldChar w:fldCharType="separate"/>
      </w:r>
      <w:r>
        <w:rPr>
          <w:rStyle w:val="13"/>
          <w:rFonts w:hint="eastAsia" w:ascii="仿宋" w:hAnsi="仿宋" w:eastAsia="仿宋" w:cs="仿宋_GB2312"/>
          <w:bCs/>
          <w:sz w:val="28"/>
          <w:szCs w:val="28"/>
        </w:rPr>
        <w:t>三、</w:t>
      </w:r>
      <w:r>
        <w:rPr>
          <w:rStyle w:val="13"/>
          <w:rFonts w:hint="eastAsia" w:ascii="仿宋" w:hAnsi="仿宋" w:eastAsia="仿宋" w:cs="仿宋_GB2312"/>
          <w:sz w:val="28"/>
          <w:szCs w:val="28"/>
        </w:rPr>
        <w:t>支</w:t>
      </w:r>
      <w:r>
        <w:rPr>
          <w:rStyle w:val="13"/>
          <w:rFonts w:hint="eastAsia" w:ascii="仿宋" w:hAnsi="仿宋" w:eastAsia="仿宋" w:cs="仿宋_GB2312"/>
          <w:bCs/>
          <w:sz w:val="28"/>
          <w:szCs w:val="28"/>
        </w:rPr>
        <w:t>出决算情况说明</w:t>
      </w:r>
      <w:r>
        <w:rPr>
          <w:rFonts w:hint="eastAsia" w:ascii="仿宋" w:hAnsi="仿宋" w:eastAsia="仿宋" w:cs="仿宋_GB2312"/>
          <w:sz w:val="28"/>
          <w:szCs w:val="28"/>
        </w:rPr>
        <w:tab/>
      </w:r>
      <w:r>
        <w:rPr>
          <w:rFonts w:hint="eastAsia" w:ascii="仿宋" w:hAnsi="仿宋" w:eastAsia="仿宋" w:cs="仿宋_GB2312"/>
          <w:sz w:val="28"/>
          <w:szCs w:val="28"/>
        </w:rPr>
        <w:t>8</w:t>
      </w:r>
      <w:r>
        <w:rPr>
          <w:rFonts w:hint="eastAsia" w:ascii="仿宋" w:hAnsi="仿宋" w:eastAsia="仿宋" w:cs="仿宋_GB2312"/>
          <w:sz w:val="28"/>
          <w:szCs w:val="28"/>
        </w:rPr>
        <w:fldChar w:fldCharType="end"/>
      </w:r>
    </w:p>
    <w:p w14:paraId="57D06091">
      <w:pPr>
        <w:pStyle w:val="8"/>
        <w:spacing w:line="576" w:lineRule="exact"/>
        <w:ind w:left="0" w:leftChars="0" w:firstLine="0" w:firstLineChars="0"/>
        <w:jc w:val="left"/>
        <w:rPr>
          <w:rFonts w:hint="eastAsia" w:ascii="仿宋" w:hAnsi="仿宋" w:eastAsia="仿宋" w:cs="仿宋_GB2312"/>
          <w:sz w:val="28"/>
          <w:szCs w:val="28"/>
        </w:rPr>
      </w:pPr>
      <w:r>
        <w:fldChar w:fldCharType="begin"/>
      </w:r>
      <w:r>
        <w:instrText xml:space="preserve"> HYPERLINK \l "_Toc15396606" </w:instrText>
      </w:r>
      <w:r>
        <w:fldChar w:fldCharType="separate"/>
      </w:r>
      <w:r>
        <w:rPr>
          <w:rStyle w:val="13"/>
          <w:rFonts w:hint="eastAsia" w:ascii="仿宋" w:hAnsi="仿宋" w:eastAsia="仿宋" w:cs="仿宋_GB2312"/>
          <w:sz w:val="28"/>
          <w:szCs w:val="28"/>
        </w:rPr>
        <w:t>四、财</w:t>
      </w:r>
      <w:r>
        <w:rPr>
          <w:rStyle w:val="13"/>
          <w:rFonts w:hint="eastAsia" w:ascii="仿宋" w:hAnsi="仿宋" w:eastAsia="仿宋" w:cs="仿宋_GB2312"/>
          <w:bCs/>
          <w:sz w:val="28"/>
          <w:szCs w:val="28"/>
        </w:rPr>
        <w:t>政拨款收入支出决算总体情况说明</w:t>
      </w:r>
      <w:r>
        <w:rPr>
          <w:rFonts w:hint="eastAsia" w:ascii="仿宋" w:hAnsi="仿宋" w:eastAsia="仿宋" w:cs="仿宋_GB2312"/>
          <w:sz w:val="28"/>
          <w:szCs w:val="28"/>
        </w:rPr>
        <w:tab/>
      </w:r>
      <w:r>
        <w:rPr>
          <w:rFonts w:hint="eastAsia" w:ascii="仿宋" w:hAnsi="仿宋" w:eastAsia="仿宋" w:cs="仿宋_GB2312"/>
          <w:sz w:val="28"/>
          <w:szCs w:val="28"/>
        </w:rPr>
        <w:t>9</w:t>
      </w:r>
      <w:r>
        <w:rPr>
          <w:rFonts w:hint="eastAsia" w:ascii="仿宋" w:hAnsi="仿宋" w:eastAsia="仿宋" w:cs="仿宋_GB2312"/>
          <w:sz w:val="28"/>
          <w:szCs w:val="28"/>
        </w:rPr>
        <w:fldChar w:fldCharType="end"/>
      </w:r>
    </w:p>
    <w:p w14:paraId="2E80BB93">
      <w:pPr>
        <w:pStyle w:val="7"/>
        <w:rPr>
          <w:rFonts w:hint="eastAsia" w:cs="仿宋_GB2312"/>
        </w:rPr>
      </w:pPr>
      <w:r>
        <w:fldChar w:fldCharType="begin"/>
      </w:r>
      <w:r>
        <w:instrText xml:space="preserve"> HYPERLINK \l "_Toc15396607" </w:instrText>
      </w:r>
      <w:r>
        <w:fldChar w:fldCharType="separate"/>
      </w:r>
      <w:r>
        <w:rPr>
          <w:rStyle w:val="13"/>
          <w:rFonts w:hint="eastAsia" w:cs="仿宋_GB2312"/>
        </w:rPr>
        <w:t>五、一</w:t>
      </w:r>
      <w:r>
        <w:rPr>
          <w:rStyle w:val="13"/>
          <w:rFonts w:hint="eastAsia" w:cs="仿宋_GB2312"/>
          <w:bCs/>
        </w:rPr>
        <w:t>般公共预算财政拨款支出决算情况说明</w:t>
      </w:r>
      <w:r>
        <w:rPr>
          <w:rFonts w:hint="eastAsia" w:cs="仿宋_GB2312"/>
        </w:rPr>
        <w:tab/>
      </w:r>
      <w:r>
        <w:rPr>
          <w:rFonts w:hint="eastAsia" w:cs="仿宋_GB2312"/>
        </w:rPr>
        <w:t>9</w:t>
      </w:r>
      <w:r>
        <w:rPr>
          <w:rFonts w:hint="eastAsia" w:cs="仿宋_GB2312"/>
        </w:rPr>
        <w:fldChar w:fldCharType="end"/>
      </w:r>
    </w:p>
    <w:p w14:paraId="4FEB2D23">
      <w:pPr>
        <w:pStyle w:val="7"/>
        <w:rPr>
          <w:rFonts w:hint="eastAsia" w:ascii="仿宋" w:hAnsi="仿宋" w:eastAsia="仿宋"/>
          <w:iCs/>
          <w:smallCaps/>
          <w:sz w:val="28"/>
          <w:szCs w:val="28"/>
          <w:lang w:val="en-US" w:eastAsia="zh-CN"/>
        </w:rPr>
      </w:pPr>
      <w:r>
        <w:rPr>
          <w:rFonts w:hint="eastAsia" w:ascii="仿宋" w:hAnsi="仿宋" w:eastAsia="仿宋"/>
          <w:iCs/>
          <w:smallCaps/>
          <w:sz w:val="28"/>
          <w:szCs w:val="28"/>
          <w:lang w:val="en-US" w:eastAsia="zh-CN"/>
        </w:rPr>
        <w:t>（一）一般公共预算财政拨款支出决算总体情况</w:t>
      </w:r>
      <w:r>
        <w:rPr>
          <w:rFonts w:ascii="仿宋" w:hAnsi="仿宋" w:eastAsia="仿宋"/>
          <w:iCs/>
          <w:smallCaps/>
          <w:sz w:val="28"/>
          <w:szCs w:val="28"/>
          <w:lang w:val="en-US" w:eastAsia="zh-CN"/>
        </w:rPr>
        <w:tab/>
      </w:r>
      <w:r>
        <w:rPr>
          <w:rFonts w:hint="eastAsia" w:ascii="仿宋" w:hAnsi="仿宋" w:eastAsia="仿宋"/>
          <w:iCs/>
          <w:smallCaps/>
          <w:sz w:val="28"/>
          <w:szCs w:val="28"/>
          <w:lang w:val="en-US" w:eastAsia="zh-CN"/>
        </w:rPr>
        <w:t>9</w:t>
      </w:r>
    </w:p>
    <w:p w14:paraId="54F10415">
      <w:pPr>
        <w:pStyle w:val="7"/>
        <w:rPr>
          <w:rFonts w:hint="eastAsia" w:ascii="仿宋" w:hAnsi="仿宋" w:eastAsia="仿宋"/>
          <w:iCs/>
          <w:smallCaps/>
          <w:sz w:val="28"/>
          <w:szCs w:val="28"/>
          <w:lang w:val="en-US"/>
        </w:rPr>
      </w:pPr>
      <w:r>
        <w:rPr>
          <w:rFonts w:hint="eastAsia" w:ascii="仿宋" w:hAnsi="仿宋" w:eastAsia="仿宋"/>
          <w:iCs/>
          <w:smallCaps/>
          <w:sz w:val="28"/>
          <w:szCs w:val="28"/>
          <w:lang w:val="en-US" w:eastAsia="zh-CN"/>
        </w:rPr>
        <w:t>（二）一般公共预算财政拨款支出决算结构情况</w:t>
      </w:r>
      <w:r>
        <w:rPr>
          <w:rFonts w:ascii="仿宋" w:hAnsi="仿宋" w:eastAsia="仿宋"/>
          <w:iCs/>
          <w:smallCaps/>
          <w:sz w:val="28"/>
          <w:szCs w:val="28"/>
          <w:lang w:val="en-US" w:eastAsia="zh-CN"/>
        </w:rPr>
        <w:tab/>
      </w:r>
      <w:r>
        <w:rPr>
          <w:rFonts w:hint="eastAsia" w:ascii="仿宋" w:hAnsi="仿宋" w:eastAsia="仿宋"/>
          <w:iCs/>
          <w:smallCaps/>
          <w:sz w:val="28"/>
          <w:szCs w:val="28"/>
        </w:rPr>
        <w:t>9</w:t>
      </w:r>
    </w:p>
    <w:p w14:paraId="2ED351EC">
      <w:pPr>
        <w:pStyle w:val="4"/>
        <w:tabs>
          <w:tab w:val="right" w:leader="dot" w:pos="8296"/>
        </w:tabs>
        <w:spacing w:line="576" w:lineRule="exact"/>
        <w:ind w:left="0" w:leftChars="0" w:firstLine="0" w:firstLineChars="0"/>
        <w:jc w:val="left"/>
        <w:rPr>
          <w:rFonts w:hint="eastAsia" w:ascii="仿宋" w:hAnsi="仿宋" w:eastAsia="仿宋"/>
          <w:iCs/>
          <w:smallCaps/>
          <w:sz w:val="28"/>
          <w:szCs w:val="28"/>
          <w:lang w:val="en-US" w:eastAsia="zh-CN"/>
        </w:rPr>
      </w:pPr>
      <w:r>
        <w:rPr>
          <w:rFonts w:hint="eastAsia" w:ascii="仿宋" w:hAnsi="仿宋" w:eastAsia="仿宋"/>
          <w:iCs/>
          <w:smallCaps/>
          <w:sz w:val="28"/>
          <w:szCs w:val="28"/>
          <w:lang w:val="en-US" w:eastAsia="zh-CN"/>
        </w:rPr>
        <w:t>（三）一般公共预算财政拨款支出决算具体情况</w:t>
      </w:r>
      <w:r>
        <w:rPr>
          <w:rFonts w:ascii="仿宋" w:hAnsi="仿宋" w:eastAsia="仿宋"/>
          <w:iCs/>
          <w:smallCaps/>
          <w:sz w:val="28"/>
          <w:szCs w:val="28"/>
          <w:lang w:val="en-US" w:eastAsia="zh-CN"/>
        </w:rPr>
        <w:tab/>
      </w:r>
      <w:r>
        <w:rPr>
          <w:rFonts w:hint="eastAsia" w:ascii="仿宋" w:hAnsi="仿宋" w:eastAsia="仿宋"/>
          <w:iCs/>
          <w:smallCaps/>
          <w:sz w:val="28"/>
          <w:szCs w:val="28"/>
          <w:lang w:val="en-US" w:eastAsia="zh-CN"/>
        </w:rPr>
        <w:t>10</w:t>
      </w:r>
    </w:p>
    <w:p w14:paraId="65BBF107">
      <w:pPr>
        <w:pStyle w:val="8"/>
        <w:spacing w:line="576" w:lineRule="exact"/>
        <w:ind w:left="0" w:leftChars="0" w:firstLine="0" w:firstLineChars="0"/>
        <w:jc w:val="left"/>
        <w:rPr>
          <w:rFonts w:hint="eastAsia" w:ascii="仿宋" w:hAnsi="仿宋" w:eastAsia="仿宋" w:cs="仿宋_GB2312"/>
          <w:sz w:val="28"/>
          <w:szCs w:val="28"/>
        </w:rPr>
      </w:pPr>
      <w:r>
        <w:fldChar w:fldCharType="begin"/>
      </w:r>
      <w:r>
        <w:instrText xml:space="preserve"> HYPERLINK \l "_Toc15396608" </w:instrText>
      </w:r>
      <w:r>
        <w:fldChar w:fldCharType="separate"/>
      </w:r>
      <w:r>
        <w:rPr>
          <w:rStyle w:val="13"/>
          <w:rFonts w:hint="eastAsia" w:ascii="仿宋" w:hAnsi="仿宋" w:eastAsia="仿宋" w:cs="仿宋_GB2312"/>
          <w:sz w:val="28"/>
          <w:szCs w:val="28"/>
        </w:rPr>
        <w:t>六、一</w:t>
      </w:r>
      <w:r>
        <w:rPr>
          <w:rStyle w:val="13"/>
          <w:rFonts w:hint="eastAsia" w:ascii="仿宋" w:hAnsi="仿宋" w:eastAsia="仿宋" w:cs="仿宋_GB2312"/>
          <w:bCs/>
          <w:sz w:val="28"/>
          <w:szCs w:val="28"/>
        </w:rPr>
        <w:t>般公共预算财政拨款基本支出决算情况说明</w:t>
      </w:r>
      <w:r>
        <w:rPr>
          <w:rFonts w:hint="eastAsia" w:ascii="仿宋" w:hAnsi="仿宋" w:eastAsia="仿宋" w:cs="仿宋_GB2312"/>
          <w:sz w:val="28"/>
          <w:szCs w:val="28"/>
        </w:rPr>
        <w:tab/>
      </w:r>
      <w:r>
        <w:rPr>
          <w:rFonts w:hint="eastAsia" w:ascii="仿宋" w:hAnsi="仿宋" w:eastAsia="仿宋" w:cs="仿宋_GB2312"/>
          <w:sz w:val="28"/>
          <w:szCs w:val="28"/>
        </w:rPr>
        <w:fldChar w:fldCharType="end"/>
      </w:r>
      <w:r>
        <w:rPr>
          <w:rFonts w:hint="eastAsia" w:ascii="仿宋" w:hAnsi="仿宋" w:eastAsia="仿宋" w:cs="仿宋_GB2312"/>
          <w:sz w:val="28"/>
          <w:szCs w:val="28"/>
        </w:rPr>
        <w:t>11</w:t>
      </w:r>
    </w:p>
    <w:p w14:paraId="686AFC1F">
      <w:pPr>
        <w:pStyle w:val="8"/>
        <w:spacing w:line="576" w:lineRule="exact"/>
        <w:ind w:left="0" w:leftChars="0" w:firstLine="0" w:firstLineChars="0"/>
        <w:jc w:val="left"/>
        <w:rPr>
          <w:rFonts w:hint="eastAsia" w:ascii="仿宋" w:hAnsi="仿宋" w:eastAsia="仿宋" w:cs="仿宋_GB2312"/>
          <w:sz w:val="28"/>
          <w:szCs w:val="28"/>
        </w:rPr>
      </w:pPr>
      <w:r>
        <w:fldChar w:fldCharType="begin"/>
      </w:r>
      <w:r>
        <w:instrText xml:space="preserve"> HYPERLINK \l "_Toc15396609" </w:instrText>
      </w:r>
      <w:r>
        <w:fldChar w:fldCharType="separate"/>
      </w:r>
      <w:r>
        <w:rPr>
          <w:rStyle w:val="13"/>
          <w:rFonts w:hint="eastAsia" w:ascii="仿宋" w:hAnsi="仿宋" w:eastAsia="仿宋" w:cs="仿宋_GB2312"/>
          <w:sz w:val="28"/>
          <w:szCs w:val="28"/>
        </w:rPr>
        <w:t>七、“</w:t>
      </w:r>
      <w:r>
        <w:rPr>
          <w:rStyle w:val="13"/>
          <w:rFonts w:hint="eastAsia" w:ascii="仿宋" w:hAnsi="仿宋" w:eastAsia="仿宋" w:cs="仿宋_GB2312"/>
          <w:bCs/>
          <w:sz w:val="28"/>
          <w:szCs w:val="28"/>
        </w:rPr>
        <w:t>三公”经费财政拨款支出决算情况说明</w:t>
      </w:r>
      <w:r>
        <w:rPr>
          <w:rFonts w:hint="eastAsia" w:ascii="仿宋" w:hAnsi="仿宋" w:eastAsia="仿宋" w:cs="仿宋_GB2312"/>
          <w:sz w:val="28"/>
          <w:szCs w:val="28"/>
        </w:rPr>
        <w:tab/>
      </w:r>
      <w:r>
        <w:rPr>
          <w:rFonts w:hint="eastAsia" w:ascii="仿宋" w:hAnsi="仿宋" w:eastAsia="仿宋" w:cs="仿宋_GB2312"/>
          <w:sz w:val="28"/>
          <w:szCs w:val="28"/>
        </w:rPr>
        <w:t>11</w:t>
      </w:r>
      <w:r>
        <w:rPr>
          <w:rFonts w:hint="eastAsia" w:ascii="仿宋" w:hAnsi="仿宋" w:eastAsia="仿宋" w:cs="仿宋_GB2312"/>
          <w:sz w:val="28"/>
          <w:szCs w:val="28"/>
        </w:rPr>
        <w:fldChar w:fldCharType="end"/>
      </w:r>
    </w:p>
    <w:p w14:paraId="2B4403F0">
      <w:pPr>
        <w:pStyle w:val="4"/>
        <w:tabs>
          <w:tab w:val="right" w:leader="dot" w:pos="8296"/>
        </w:tabs>
        <w:spacing w:line="576" w:lineRule="exact"/>
        <w:ind w:left="0" w:leftChars="0" w:firstLine="0" w:firstLineChars="0"/>
        <w:jc w:val="left"/>
        <w:rPr>
          <w:rFonts w:hint="eastAsia" w:ascii="仿宋" w:hAnsi="仿宋" w:eastAsia="仿宋"/>
          <w:iCs/>
          <w:smallCaps/>
          <w:sz w:val="28"/>
          <w:szCs w:val="28"/>
        </w:rPr>
      </w:pPr>
      <w:r>
        <w:rPr>
          <w:rFonts w:hint="eastAsia" w:ascii="仿宋" w:hAnsi="仿宋" w:eastAsia="仿宋"/>
          <w:iCs/>
          <w:smallCaps/>
          <w:spacing w:val="-20"/>
          <w:sz w:val="28"/>
          <w:szCs w:val="28"/>
          <w:lang w:val="en-US" w:eastAsia="zh-CN"/>
        </w:rPr>
        <w:t>（一）“三公”经费财政拨款支出决算总体情况说明</w:t>
      </w:r>
      <w:r>
        <w:rPr>
          <w:rFonts w:ascii="仿宋" w:hAnsi="仿宋" w:eastAsia="仿宋"/>
          <w:iCs/>
          <w:smallCaps/>
          <w:spacing w:val="-20"/>
          <w:w w:val="80"/>
          <w:sz w:val="28"/>
          <w:szCs w:val="28"/>
          <w:lang w:val="en-US" w:eastAsia="zh-CN"/>
        </w:rPr>
        <w:tab/>
      </w:r>
      <w:r>
        <w:rPr>
          <w:rFonts w:hint="eastAsia" w:ascii="仿宋" w:hAnsi="仿宋" w:eastAsia="仿宋"/>
          <w:iCs/>
          <w:smallCaps/>
          <w:sz w:val="28"/>
          <w:szCs w:val="28"/>
          <w:lang w:val="en-US" w:eastAsia="zh-CN"/>
        </w:rPr>
        <w:t>1</w:t>
      </w:r>
      <w:r>
        <w:rPr>
          <w:rFonts w:hint="eastAsia" w:ascii="仿宋" w:hAnsi="仿宋" w:eastAsia="仿宋"/>
          <w:iCs/>
          <w:smallCaps/>
          <w:sz w:val="28"/>
          <w:szCs w:val="28"/>
        </w:rPr>
        <w:t>1</w:t>
      </w:r>
    </w:p>
    <w:p w14:paraId="6283539C">
      <w:pPr>
        <w:pStyle w:val="8"/>
        <w:spacing w:line="576" w:lineRule="exact"/>
        <w:ind w:left="0" w:leftChars="0" w:firstLine="0" w:firstLineChars="0"/>
        <w:jc w:val="left"/>
        <w:rPr>
          <w:rFonts w:hint="eastAsia" w:ascii="仿宋" w:hAnsi="仿宋" w:eastAsia="仿宋" w:cs="仿宋_GB2312"/>
          <w:spacing w:val="-20"/>
          <w:sz w:val="28"/>
          <w:szCs w:val="28"/>
        </w:rPr>
      </w:pPr>
      <w:r>
        <w:rPr>
          <w:rFonts w:hint="eastAsia" w:ascii="仿宋" w:hAnsi="仿宋" w:eastAsia="仿宋"/>
          <w:iCs/>
          <w:smallCaps/>
          <w:spacing w:val="-20"/>
          <w:sz w:val="28"/>
          <w:szCs w:val="28"/>
          <w:lang w:val="en-US" w:eastAsia="zh-CN"/>
        </w:rPr>
        <w:t>（二）“三公”经费财政拨款支出决算具体情况说明</w:t>
      </w:r>
      <w:r>
        <w:rPr>
          <w:rFonts w:ascii="仿宋" w:hAnsi="仿宋" w:eastAsia="仿宋"/>
          <w:iCs/>
          <w:smallCaps/>
          <w:spacing w:val="-20"/>
          <w:w w:val="80"/>
          <w:sz w:val="28"/>
          <w:szCs w:val="28"/>
          <w:lang w:val="en-US" w:eastAsia="zh-CN"/>
        </w:rPr>
        <w:tab/>
      </w:r>
      <w:r>
        <w:rPr>
          <w:rFonts w:hint="eastAsia" w:ascii="仿宋" w:hAnsi="仿宋" w:eastAsia="仿宋"/>
          <w:iCs/>
          <w:smallCaps/>
          <w:sz w:val="28"/>
          <w:szCs w:val="28"/>
          <w:lang w:val="en-US" w:eastAsia="zh-CN"/>
        </w:rPr>
        <w:t>1</w:t>
      </w:r>
      <w:r>
        <w:rPr>
          <w:rFonts w:hint="eastAsia" w:ascii="仿宋" w:hAnsi="仿宋" w:eastAsia="仿宋"/>
          <w:iCs/>
          <w:smallCaps/>
          <w:sz w:val="28"/>
          <w:szCs w:val="28"/>
        </w:rPr>
        <w:t>1</w:t>
      </w:r>
    </w:p>
    <w:p w14:paraId="26B0E99D">
      <w:pPr>
        <w:pStyle w:val="8"/>
        <w:spacing w:line="576" w:lineRule="exact"/>
        <w:ind w:left="0" w:leftChars="0" w:firstLine="0" w:firstLineChars="0"/>
        <w:jc w:val="left"/>
        <w:rPr>
          <w:rFonts w:hint="eastAsia" w:ascii="仿宋" w:hAnsi="仿宋" w:eastAsia="仿宋" w:cs="仿宋_GB2312"/>
          <w:sz w:val="28"/>
          <w:szCs w:val="28"/>
        </w:rPr>
      </w:pPr>
      <w:r>
        <w:fldChar w:fldCharType="begin"/>
      </w:r>
      <w:r>
        <w:instrText xml:space="preserve"> HYPERLINK \l "_Toc15396610" </w:instrText>
      </w:r>
      <w:r>
        <w:fldChar w:fldCharType="separate"/>
      </w:r>
      <w:r>
        <w:rPr>
          <w:rStyle w:val="13"/>
          <w:rFonts w:hint="eastAsia" w:ascii="仿宋" w:hAnsi="仿宋" w:eastAsia="仿宋" w:cs="仿宋_GB2312"/>
          <w:sz w:val="28"/>
          <w:szCs w:val="28"/>
        </w:rPr>
        <w:t>八、</w:t>
      </w:r>
      <w:r>
        <w:rPr>
          <w:rStyle w:val="13"/>
          <w:rFonts w:hint="eastAsia" w:ascii="仿宋" w:hAnsi="仿宋" w:eastAsia="仿宋" w:cs="仿宋_GB2312"/>
          <w:bCs/>
          <w:sz w:val="28"/>
          <w:szCs w:val="28"/>
        </w:rPr>
        <w:t>政府性基金预算支出决算情况说明</w:t>
      </w:r>
      <w:r>
        <w:rPr>
          <w:rFonts w:hint="eastAsia" w:ascii="仿宋" w:hAnsi="仿宋" w:eastAsia="仿宋" w:cs="仿宋_GB2312"/>
          <w:sz w:val="28"/>
          <w:szCs w:val="28"/>
        </w:rPr>
        <w:tab/>
      </w:r>
      <w:r>
        <w:rPr>
          <w:rFonts w:hint="eastAsia" w:ascii="仿宋" w:hAnsi="仿宋" w:eastAsia="仿宋" w:cs="仿宋_GB2312"/>
          <w:sz w:val="28"/>
          <w:szCs w:val="28"/>
        </w:rPr>
        <w:t>13</w:t>
      </w:r>
      <w:r>
        <w:rPr>
          <w:rFonts w:hint="eastAsia" w:ascii="仿宋" w:hAnsi="仿宋" w:eastAsia="仿宋" w:cs="仿宋_GB2312"/>
          <w:sz w:val="28"/>
          <w:szCs w:val="28"/>
        </w:rPr>
        <w:fldChar w:fldCharType="end"/>
      </w:r>
    </w:p>
    <w:p w14:paraId="343129C7">
      <w:pPr>
        <w:pStyle w:val="8"/>
        <w:spacing w:line="576" w:lineRule="exact"/>
        <w:ind w:left="0" w:leftChars="0" w:firstLine="0" w:firstLineChars="0"/>
        <w:jc w:val="left"/>
        <w:rPr>
          <w:rFonts w:hint="eastAsia" w:ascii="仿宋" w:hAnsi="仿宋" w:eastAsia="仿宋" w:cs="仿宋_GB2312"/>
          <w:sz w:val="28"/>
          <w:szCs w:val="28"/>
        </w:rPr>
      </w:pPr>
      <w:r>
        <w:fldChar w:fldCharType="begin"/>
      </w:r>
      <w:r>
        <w:instrText xml:space="preserve"> HYPERLINK \l "_Toc15396611" </w:instrText>
      </w:r>
      <w:r>
        <w:fldChar w:fldCharType="separate"/>
      </w:r>
      <w:r>
        <w:rPr>
          <w:rStyle w:val="13"/>
          <w:rFonts w:hint="eastAsia" w:ascii="仿宋" w:hAnsi="仿宋" w:eastAsia="仿宋" w:cs="仿宋_GB2312"/>
          <w:bCs/>
          <w:sz w:val="28"/>
          <w:szCs w:val="28"/>
        </w:rPr>
        <w:t>九、</w:t>
      </w:r>
      <w:r>
        <w:rPr>
          <w:rStyle w:val="13"/>
          <w:rFonts w:hint="eastAsia" w:ascii="仿宋" w:hAnsi="仿宋" w:eastAsia="仿宋" w:cs="仿宋_GB2312"/>
          <w:sz w:val="28"/>
          <w:szCs w:val="28"/>
        </w:rPr>
        <w:t>国</w:t>
      </w:r>
      <w:r>
        <w:rPr>
          <w:rStyle w:val="13"/>
          <w:rFonts w:hint="eastAsia" w:ascii="仿宋" w:hAnsi="仿宋" w:eastAsia="仿宋" w:cs="仿宋_GB2312"/>
          <w:bCs/>
          <w:sz w:val="28"/>
          <w:szCs w:val="28"/>
        </w:rPr>
        <w:t>有资本经营预算支出决算情况说明</w:t>
      </w:r>
      <w:r>
        <w:rPr>
          <w:rFonts w:hint="eastAsia" w:ascii="仿宋" w:hAnsi="仿宋" w:eastAsia="仿宋" w:cs="仿宋_GB2312"/>
          <w:sz w:val="28"/>
          <w:szCs w:val="28"/>
        </w:rPr>
        <w:tab/>
      </w:r>
      <w:r>
        <w:rPr>
          <w:rFonts w:hint="eastAsia" w:ascii="仿宋" w:hAnsi="仿宋" w:eastAsia="仿宋" w:cs="仿宋_GB2312"/>
          <w:sz w:val="28"/>
          <w:szCs w:val="28"/>
        </w:rPr>
        <w:t>13</w:t>
      </w:r>
      <w:r>
        <w:rPr>
          <w:rFonts w:hint="eastAsia" w:ascii="仿宋" w:hAnsi="仿宋" w:eastAsia="仿宋" w:cs="仿宋_GB2312"/>
          <w:sz w:val="28"/>
          <w:szCs w:val="28"/>
        </w:rPr>
        <w:fldChar w:fldCharType="end"/>
      </w:r>
    </w:p>
    <w:p w14:paraId="035EF113">
      <w:pPr>
        <w:pStyle w:val="8"/>
        <w:spacing w:line="576" w:lineRule="exact"/>
        <w:ind w:left="0" w:leftChars="0" w:firstLine="0" w:firstLineChars="0"/>
        <w:jc w:val="left"/>
        <w:rPr>
          <w:rFonts w:hint="eastAsia" w:ascii="仿宋" w:hAnsi="仿宋" w:eastAsia="仿宋" w:cs="仿宋_GB2312"/>
          <w:sz w:val="28"/>
          <w:szCs w:val="28"/>
        </w:rPr>
      </w:pPr>
      <w:r>
        <w:fldChar w:fldCharType="begin"/>
      </w:r>
      <w:r>
        <w:instrText xml:space="preserve"> HYPERLINK \l "_Toc15396612" </w:instrText>
      </w:r>
      <w:r>
        <w:fldChar w:fldCharType="separate"/>
      </w:r>
      <w:r>
        <w:rPr>
          <w:rStyle w:val="13"/>
          <w:rFonts w:hint="eastAsia" w:ascii="仿宋" w:hAnsi="仿宋" w:eastAsia="仿宋" w:cs="仿宋_GB2312"/>
          <w:sz w:val="28"/>
          <w:szCs w:val="28"/>
        </w:rPr>
        <w:t>十</w:t>
      </w:r>
      <w:r>
        <w:rPr>
          <w:rStyle w:val="13"/>
          <w:rFonts w:hint="eastAsia" w:ascii="仿宋" w:hAnsi="仿宋" w:eastAsia="仿宋" w:cs="仿宋_GB2312"/>
          <w:bCs/>
          <w:sz w:val="28"/>
          <w:szCs w:val="28"/>
        </w:rPr>
        <w:t>、其他重要事项的情况说明</w:t>
      </w:r>
      <w:r>
        <w:rPr>
          <w:rFonts w:hint="eastAsia" w:ascii="仿宋" w:hAnsi="仿宋" w:eastAsia="仿宋" w:cs="仿宋_GB2312"/>
          <w:sz w:val="28"/>
          <w:szCs w:val="28"/>
        </w:rPr>
        <w:tab/>
      </w:r>
      <w:r>
        <w:rPr>
          <w:rFonts w:hint="eastAsia" w:ascii="仿宋" w:hAnsi="仿宋" w:eastAsia="仿宋" w:cs="仿宋_GB2312"/>
          <w:sz w:val="28"/>
          <w:szCs w:val="28"/>
        </w:rPr>
        <w:t>13</w:t>
      </w:r>
      <w:r>
        <w:rPr>
          <w:rFonts w:hint="eastAsia" w:ascii="仿宋" w:hAnsi="仿宋" w:eastAsia="仿宋" w:cs="仿宋_GB2312"/>
          <w:sz w:val="28"/>
          <w:szCs w:val="28"/>
        </w:rPr>
        <w:fldChar w:fldCharType="end"/>
      </w:r>
    </w:p>
    <w:p w14:paraId="254C2483">
      <w:pPr>
        <w:pStyle w:val="4"/>
        <w:tabs>
          <w:tab w:val="right" w:leader="dot" w:pos="8296"/>
        </w:tabs>
        <w:spacing w:line="576" w:lineRule="exact"/>
        <w:ind w:left="0" w:leftChars="0" w:firstLine="0" w:firstLineChars="0"/>
        <w:jc w:val="left"/>
        <w:rPr>
          <w:rFonts w:hint="eastAsia" w:ascii="仿宋" w:hAnsi="仿宋" w:eastAsia="仿宋"/>
          <w:iCs/>
          <w:smallCaps/>
          <w:sz w:val="28"/>
          <w:szCs w:val="28"/>
        </w:rPr>
      </w:pPr>
      <w:r>
        <w:rPr>
          <w:rFonts w:hint="eastAsia" w:ascii="仿宋" w:hAnsi="仿宋" w:eastAsia="仿宋"/>
          <w:iCs/>
          <w:smallCaps/>
          <w:sz w:val="28"/>
          <w:szCs w:val="28"/>
          <w:lang w:val="en-US" w:eastAsia="zh-CN"/>
        </w:rPr>
        <w:t>（一）机关运行经费支出情况</w:t>
      </w:r>
      <w:r>
        <w:rPr>
          <w:rFonts w:ascii="仿宋" w:hAnsi="仿宋" w:eastAsia="仿宋"/>
          <w:iCs/>
          <w:smallCaps/>
          <w:sz w:val="28"/>
          <w:szCs w:val="28"/>
          <w:lang w:val="en-US" w:eastAsia="zh-CN"/>
        </w:rPr>
        <w:tab/>
      </w:r>
      <w:r>
        <w:rPr>
          <w:rFonts w:hint="eastAsia" w:ascii="仿宋" w:hAnsi="仿宋" w:eastAsia="仿宋"/>
          <w:iCs/>
          <w:smallCaps/>
          <w:sz w:val="28"/>
          <w:szCs w:val="28"/>
          <w:lang w:val="en-US" w:eastAsia="zh-CN"/>
        </w:rPr>
        <w:t>1</w:t>
      </w:r>
      <w:r>
        <w:rPr>
          <w:rFonts w:hint="eastAsia" w:ascii="仿宋" w:hAnsi="仿宋" w:eastAsia="仿宋"/>
          <w:iCs/>
          <w:smallCaps/>
          <w:sz w:val="28"/>
          <w:szCs w:val="28"/>
        </w:rPr>
        <w:t>3</w:t>
      </w:r>
    </w:p>
    <w:p w14:paraId="0C6719D1">
      <w:pPr>
        <w:pStyle w:val="4"/>
        <w:tabs>
          <w:tab w:val="right" w:leader="dot" w:pos="8296"/>
        </w:tabs>
        <w:spacing w:line="576" w:lineRule="exact"/>
        <w:ind w:left="0" w:leftChars="0" w:firstLine="0" w:firstLineChars="0"/>
        <w:jc w:val="left"/>
        <w:rPr>
          <w:rFonts w:hint="eastAsia" w:ascii="仿宋" w:hAnsi="仿宋" w:eastAsia="仿宋"/>
          <w:iCs/>
          <w:smallCaps/>
          <w:sz w:val="28"/>
          <w:szCs w:val="28"/>
          <w:lang w:val="en-US"/>
        </w:rPr>
      </w:pPr>
      <w:r>
        <w:rPr>
          <w:rFonts w:hint="eastAsia" w:ascii="仿宋" w:hAnsi="仿宋" w:eastAsia="仿宋"/>
          <w:iCs/>
          <w:smallCaps/>
          <w:sz w:val="28"/>
          <w:szCs w:val="28"/>
          <w:lang w:val="en-US" w:eastAsia="zh-CN"/>
        </w:rPr>
        <w:t>（二）政府采购支出情况</w:t>
      </w:r>
      <w:r>
        <w:rPr>
          <w:rFonts w:ascii="仿宋" w:hAnsi="仿宋" w:eastAsia="仿宋"/>
          <w:iCs/>
          <w:smallCaps/>
          <w:sz w:val="28"/>
          <w:szCs w:val="28"/>
          <w:lang w:val="en-US" w:eastAsia="zh-CN"/>
        </w:rPr>
        <w:tab/>
      </w:r>
      <w:r>
        <w:rPr>
          <w:rFonts w:hint="eastAsia" w:ascii="仿宋" w:hAnsi="仿宋" w:eastAsia="仿宋"/>
          <w:iCs/>
          <w:smallCaps/>
          <w:sz w:val="28"/>
          <w:szCs w:val="28"/>
          <w:lang w:val="en-US" w:eastAsia="zh-CN"/>
        </w:rPr>
        <w:t>1</w:t>
      </w:r>
      <w:r>
        <w:rPr>
          <w:rFonts w:hint="eastAsia" w:ascii="仿宋" w:hAnsi="仿宋" w:eastAsia="仿宋"/>
          <w:iCs/>
          <w:smallCaps/>
          <w:sz w:val="28"/>
          <w:szCs w:val="28"/>
        </w:rPr>
        <w:t>3</w:t>
      </w:r>
    </w:p>
    <w:p w14:paraId="1D082124">
      <w:pPr>
        <w:pStyle w:val="4"/>
        <w:tabs>
          <w:tab w:val="right" w:leader="dot" w:pos="8296"/>
        </w:tabs>
        <w:spacing w:line="576" w:lineRule="exact"/>
        <w:ind w:left="0" w:leftChars="0" w:firstLine="0" w:firstLineChars="0"/>
        <w:jc w:val="left"/>
        <w:rPr>
          <w:rFonts w:hint="eastAsia" w:ascii="仿宋" w:hAnsi="仿宋" w:eastAsia="仿宋"/>
          <w:iCs/>
          <w:smallCaps/>
          <w:sz w:val="28"/>
          <w:szCs w:val="28"/>
          <w:lang w:val="en-US"/>
        </w:rPr>
      </w:pPr>
      <w:r>
        <w:rPr>
          <w:rFonts w:hint="eastAsia" w:ascii="仿宋" w:hAnsi="仿宋" w:eastAsia="仿宋"/>
          <w:iCs/>
          <w:smallCaps/>
          <w:sz w:val="28"/>
          <w:szCs w:val="28"/>
          <w:lang w:val="en-US" w:eastAsia="zh-CN"/>
        </w:rPr>
        <w:t>（三）国有资产占有使用情况</w:t>
      </w:r>
      <w:r>
        <w:rPr>
          <w:rFonts w:ascii="仿宋" w:hAnsi="仿宋" w:eastAsia="仿宋"/>
          <w:iCs/>
          <w:smallCaps/>
          <w:sz w:val="28"/>
          <w:szCs w:val="28"/>
          <w:lang w:val="en-US" w:eastAsia="zh-CN"/>
        </w:rPr>
        <w:tab/>
      </w:r>
      <w:r>
        <w:rPr>
          <w:rFonts w:hint="eastAsia" w:ascii="仿宋" w:hAnsi="仿宋" w:eastAsia="仿宋"/>
          <w:iCs/>
          <w:smallCaps/>
          <w:sz w:val="28"/>
          <w:szCs w:val="28"/>
          <w:lang w:val="en-US" w:eastAsia="zh-CN"/>
        </w:rPr>
        <w:t>1</w:t>
      </w:r>
      <w:r>
        <w:rPr>
          <w:rFonts w:hint="eastAsia" w:ascii="仿宋" w:hAnsi="仿宋" w:eastAsia="仿宋"/>
          <w:iCs/>
          <w:smallCaps/>
          <w:sz w:val="28"/>
          <w:szCs w:val="28"/>
        </w:rPr>
        <w:t>3</w:t>
      </w:r>
    </w:p>
    <w:p w14:paraId="13B6D31F">
      <w:pPr>
        <w:pStyle w:val="7"/>
        <w:spacing w:before="0" w:line="576" w:lineRule="exact"/>
        <w:jc w:val="left"/>
        <w:rPr>
          <w:rFonts w:hint="eastAsia" w:cs="仿宋_GB2312"/>
        </w:rPr>
      </w:pPr>
      <w:r>
        <w:rPr>
          <w:rFonts w:hint="eastAsia"/>
          <w:iCs/>
          <w:smallCaps/>
          <w:lang w:val="en-US" w:eastAsia="zh-CN"/>
        </w:rPr>
        <w:t>（四）预算绩效管理情况</w:t>
      </w:r>
      <w:r>
        <w:rPr>
          <w:iCs/>
          <w:smallCaps/>
          <w:lang w:val="en-US" w:eastAsia="zh-CN"/>
        </w:rPr>
        <w:tab/>
      </w:r>
      <w:r>
        <w:rPr>
          <w:rFonts w:hint="eastAsia"/>
          <w:iCs/>
          <w:smallCaps/>
          <w:lang w:val="en-US" w:eastAsia="zh-CN"/>
        </w:rPr>
        <w:t>14</w:t>
      </w:r>
    </w:p>
    <w:p w14:paraId="21CF8865">
      <w:pPr>
        <w:pStyle w:val="7"/>
        <w:spacing w:before="0" w:line="576" w:lineRule="exact"/>
        <w:jc w:val="left"/>
        <w:rPr>
          <w:rFonts w:hint="eastAsia" w:cs="仿宋_GB2312"/>
        </w:rPr>
      </w:pPr>
      <w:r>
        <w:fldChar w:fldCharType="begin"/>
      </w:r>
      <w:r>
        <w:instrText xml:space="preserve"> HYPERLINK \l "_Toc15396613" </w:instrText>
      </w:r>
      <w:r>
        <w:fldChar w:fldCharType="separate"/>
      </w:r>
      <w:r>
        <w:rPr>
          <w:rStyle w:val="13"/>
          <w:rFonts w:hint="eastAsia" w:cs="仿宋_GB2312"/>
          <w:bCs/>
          <w:kern w:val="44"/>
        </w:rPr>
        <w:t>第三部分</w:t>
      </w:r>
      <w:r>
        <w:rPr>
          <w:rStyle w:val="13"/>
          <w:rFonts w:hint="eastAsia" w:cs="仿宋_GB2312"/>
        </w:rPr>
        <w:t xml:space="preserve">  名</w:t>
      </w:r>
      <w:r>
        <w:rPr>
          <w:rStyle w:val="13"/>
          <w:rFonts w:hint="eastAsia" w:cs="仿宋_GB2312"/>
          <w:bCs/>
          <w:kern w:val="44"/>
        </w:rPr>
        <w:t>词解释</w:t>
      </w:r>
      <w:r>
        <w:rPr>
          <w:rFonts w:hint="eastAsia" w:cs="仿宋_GB2312"/>
        </w:rPr>
        <w:tab/>
      </w:r>
      <w:r>
        <w:rPr>
          <w:rFonts w:hint="eastAsia" w:cs="仿宋_GB2312"/>
        </w:rPr>
        <w:t>15</w:t>
      </w:r>
      <w:r>
        <w:rPr>
          <w:rFonts w:hint="eastAsia" w:cs="仿宋_GB2312"/>
        </w:rPr>
        <w:fldChar w:fldCharType="end"/>
      </w:r>
    </w:p>
    <w:p w14:paraId="326B1BF7">
      <w:pPr>
        <w:pStyle w:val="7"/>
        <w:spacing w:before="0" w:line="576" w:lineRule="exact"/>
        <w:jc w:val="left"/>
        <w:rPr>
          <w:rFonts w:hint="eastAsia" w:cs="仿宋_GB2312"/>
        </w:rPr>
      </w:pPr>
      <w:r>
        <w:fldChar w:fldCharType="begin"/>
      </w:r>
      <w:r>
        <w:instrText xml:space="preserve"> HYPERLINK \l "_Toc15396614" </w:instrText>
      </w:r>
      <w:r>
        <w:fldChar w:fldCharType="separate"/>
      </w:r>
      <w:r>
        <w:rPr>
          <w:rStyle w:val="13"/>
          <w:rFonts w:hint="eastAsia" w:cs="仿宋_GB2312"/>
        </w:rPr>
        <w:t>第</w:t>
      </w:r>
      <w:r>
        <w:rPr>
          <w:rStyle w:val="13"/>
          <w:rFonts w:hint="eastAsia" w:cs="仿宋_GB2312"/>
          <w:bCs/>
          <w:kern w:val="44"/>
        </w:rPr>
        <w:t>四部分  附件</w:t>
      </w:r>
      <w:r>
        <w:rPr>
          <w:rFonts w:hint="eastAsia" w:cs="仿宋_GB2312"/>
        </w:rPr>
        <w:tab/>
      </w:r>
      <w:r>
        <w:rPr>
          <w:rFonts w:hint="eastAsia" w:cs="仿宋_GB2312"/>
        </w:rPr>
        <w:t>1</w:t>
      </w:r>
      <w:r>
        <w:rPr>
          <w:rFonts w:hint="eastAsia" w:cs="仿宋_GB2312"/>
        </w:rPr>
        <w:fldChar w:fldCharType="end"/>
      </w:r>
      <w:r>
        <w:rPr>
          <w:rFonts w:hint="eastAsia" w:cs="仿宋_GB2312"/>
        </w:rPr>
        <w:t>8</w:t>
      </w:r>
    </w:p>
    <w:p w14:paraId="1FC72523">
      <w:pPr>
        <w:pStyle w:val="7"/>
        <w:spacing w:before="0" w:line="576" w:lineRule="exact"/>
        <w:jc w:val="left"/>
        <w:rPr>
          <w:rFonts w:cs="仿宋_GB2312"/>
        </w:rPr>
      </w:pPr>
      <w:r>
        <w:rPr>
          <w:rFonts w:hint="eastAsia" w:cs="仿宋_GB2312"/>
        </w:rPr>
        <w:t>部门预算项目支出绩效自评表（2022度）......................18</w:t>
      </w:r>
    </w:p>
    <w:p w14:paraId="4AAD7F45">
      <w:pPr>
        <w:pStyle w:val="7"/>
        <w:spacing w:before="0" w:line="576" w:lineRule="exact"/>
        <w:jc w:val="left"/>
        <w:rPr>
          <w:rFonts w:cs="仿宋_GB2312"/>
        </w:rPr>
      </w:pPr>
      <w:r>
        <w:fldChar w:fldCharType="begin"/>
      </w:r>
      <w:r>
        <w:instrText xml:space="preserve"> HYPERLINK \l "_Toc15396618" </w:instrText>
      </w:r>
      <w:r>
        <w:fldChar w:fldCharType="separate"/>
      </w:r>
      <w:r>
        <w:rPr>
          <w:rStyle w:val="13"/>
          <w:rFonts w:hint="eastAsia" w:cs="仿宋_GB2312"/>
        </w:rPr>
        <w:t>第</w:t>
      </w:r>
      <w:r>
        <w:rPr>
          <w:rStyle w:val="13"/>
          <w:rFonts w:hint="eastAsia" w:cs="仿宋_GB2312"/>
          <w:bCs/>
          <w:kern w:val="44"/>
        </w:rPr>
        <w:t>五部分  附表</w:t>
      </w:r>
      <w:r>
        <w:rPr>
          <w:rFonts w:hint="eastAsia" w:cs="仿宋_GB2312"/>
        </w:rPr>
        <w:tab/>
      </w:r>
      <w:r>
        <w:rPr>
          <w:rFonts w:hint="eastAsia" w:cs="仿宋_GB2312"/>
        </w:rPr>
        <w:fldChar w:fldCharType="end"/>
      </w:r>
      <w:r>
        <w:rPr>
          <w:rFonts w:hint="eastAsia" w:cs="仿宋_GB2312"/>
        </w:rPr>
        <w:t>25</w:t>
      </w:r>
    </w:p>
    <w:p w14:paraId="3B4CA19D">
      <w:pPr>
        <w:pStyle w:val="8"/>
        <w:spacing w:line="576" w:lineRule="exact"/>
        <w:ind w:left="0" w:leftChars="0"/>
        <w:jc w:val="left"/>
        <w:rPr>
          <w:rFonts w:hint="eastAsia" w:ascii="仿宋" w:hAnsi="仿宋" w:eastAsia="仿宋" w:cs="仿宋_GB2312"/>
          <w:sz w:val="28"/>
          <w:szCs w:val="28"/>
        </w:rPr>
      </w:pPr>
      <w:r>
        <w:rPr>
          <w:rFonts w:hint="eastAsia" w:ascii="仿宋" w:hAnsi="仿宋" w:eastAsia="仿宋" w:cs="仿宋_GB2312"/>
          <w:sz w:val="28"/>
          <w:szCs w:val="28"/>
        </w:rPr>
        <w:t>一、</w:t>
      </w:r>
      <w:r>
        <w:fldChar w:fldCharType="begin"/>
      </w:r>
      <w:r>
        <w:instrText xml:space="preserve"> HYPERLINK \l "_Toc15396619" </w:instrText>
      </w:r>
      <w:r>
        <w:fldChar w:fldCharType="separate"/>
      </w:r>
      <w:r>
        <w:rPr>
          <w:rStyle w:val="13"/>
          <w:rFonts w:hint="eastAsia" w:ascii="仿宋" w:hAnsi="仿宋" w:eastAsia="仿宋" w:cs="仿宋_GB2312"/>
          <w:sz w:val="28"/>
          <w:szCs w:val="28"/>
        </w:rPr>
        <w:t>收入支出决算总表</w:t>
      </w:r>
      <w:r>
        <w:rPr>
          <w:rFonts w:hint="eastAsia" w:ascii="仿宋" w:hAnsi="仿宋" w:eastAsia="仿宋" w:cs="仿宋_GB2312"/>
          <w:sz w:val="28"/>
          <w:szCs w:val="28"/>
        </w:rPr>
        <w:tab/>
      </w:r>
      <w:r>
        <w:rPr>
          <w:rFonts w:hint="eastAsia" w:ascii="仿宋" w:hAnsi="仿宋" w:eastAsia="仿宋" w:cs="仿宋_GB2312"/>
          <w:sz w:val="28"/>
          <w:szCs w:val="28"/>
        </w:rPr>
        <w:t>25</w:t>
      </w:r>
      <w:r>
        <w:rPr>
          <w:rFonts w:hint="eastAsia" w:ascii="仿宋" w:hAnsi="仿宋" w:eastAsia="仿宋" w:cs="仿宋_GB2312"/>
          <w:sz w:val="28"/>
          <w:szCs w:val="28"/>
        </w:rPr>
        <w:fldChar w:fldCharType="end"/>
      </w:r>
    </w:p>
    <w:p w14:paraId="689C73FF">
      <w:pPr>
        <w:pStyle w:val="8"/>
        <w:spacing w:line="576" w:lineRule="exact"/>
        <w:ind w:left="0" w:leftChars="0"/>
        <w:jc w:val="left"/>
        <w:rPr>
          <w:rFonts w:hint="eastAsia" w:ascii="仿宋" w:hAnsi="仿宋" w:eastAsia="仿宋" w:cs="仿宋_GB2312"/>
          <w:sz w:val="28"/>
          <w:szCs w:val="28"/>
        </w:rPr>
      </w:pPr>
      <w:r>
        <w:rPr>
          <w:rFonts w:hint="eastAsia" w:ascii="仿宋" w:hAnsi="仿宋" w:eastAsia="仿宋" w:cs="仿宋_GB2312"/>
          <w:sz w:val="28"/>
          <w:szCs w:val="28"/>
        </w:rPr>
        <w:t>二、</w:t>
      </w:r>
      <w:r>
        <w:fldChar w:fldCharType="begin"/>
      </w:r>
      <w:r>
        <w:instrText xml:space="preserve"> HYPERLINK \l "_Toc15396620" </w:instrText>
      </w:r>
      <w:r>
        <w:fldChar w:fldCharType="separate"/>
      </w:r>
      <w:r>
        <w:rPr>
          <w:rStyle w:val="13"/>
          <w:rFonts w:hint="eastAsia" w:ascii="仿宋" w:hAnsi="仿宋" w:eastAsia="仿宋" w:cs="仿宋_GB2312"/>
          <w:sz w:val="28"/>
          <w:szCs w:val="28"/>
        </w:rPr>
        <w:t>收入决算表</w:t>
      </w:r>
      <w:r>
        <w:rPr>
          <w:rFonts w:hint="eastAsia" w:ascii="仿宋" w:hAnsi="仿宋" w:eastAsia="仿宋" w:cs="仿宋_GB2312"/>
          <w:sz w:val="28"/>
          <w:szCs w:val="28"/>
        </w:rPr>
        <w:tab/>
      </w:r>
      <w:r>
        <w:rPr>
          <w:rFonts w:hint="eastAsia" w:ascii="仿宋" w:hAnsi="仿宋" w:eastAsia="仿宋" w:cs="仿宋_GB2312"/>
          <w:sz w:val="28"/>
          <w:szCs w:val="28"/>
        </w:rPr>
        <w:t>25</w:t>
      </w:r>
      <w:r>
        <w:rPr>
          <w:rFonts w:hint="eastAsia" w:ascii="仿宋" w:hAnsi="仿宋" w:eastAsia="仿宋" w:cs="仿宋_GB2312"/>
          <w:sz w:val="28"/>
          <w:szCs w:val="28"/>
        </w:rPr>
        <w:fldChar w:fldCharType="end"/>
      </w:r>
    </w:p>
    <w:p w14:paraId="03FC738A">
      <w:pPr>
        <w:pStyle w:val="8"/>
        <w:spacing w:line="576" w:lineRule="exact"/>
        <w:ind w:left="0" w:leftChars="0"/>
        <w:jc w:val="left"/>
        <w:rPr>
          <w:rFonts w:hint="eastAsia" w:ascii="仿宋" w:hAnsi="仿宋" w:eastAsia="仿宋" w:cs="仿宋_GB2312"/>
          <w:sz w:val="28"/>
          <w:szCs w:val="28"/>
        </w:rPr>
      </w:pPr>
      <w:r>
        <w:rPr>
          <w:rFonts w:hint="eastAsia" w:ascii="仿宋" w:hAnsi="仿宋" w:eastAsia="仿宋" w:cs="仿宋_GB2312"/>
          <w:sz w:val="28"/>
          <w:szCs w:val="28"/>
        </w:rPr>
        <w:t>三、</w:t>
      </w:r>
      <w:r>
        <w:fldChar w:fldCharType="begin"/>
      </w:r>
      <w:r>
        <w:instrText xml:space="preserve"> HYPERLINK \l "_Toc15396621" </w:instrText>
      </w:r>
      <w:r>
        <w:fldChar w:fldCharType="separate"/>
      </w:r>
      <w:r>
        <w:rPr>
          <w:rStyle w:val="13"/>
          <w:rFonts w:hint="eastAsia" w:ascii="仿宋" w:hAnsi="仿宋" w:eastAsia="仿宋" w:cs="仿宋_GB2312"/>
          <w:sz w:val="28"/>
          <w:szCs w:val="28"/>
        </w:rPr>
        <w:t>支出总表</w:t>
      </w:r>
      <w:r>
        <w:rPr>
          <w:rFonts w:hint="eastAsia" w:ascii="仿宋" w:hAnsi="仿宋" w:eastAsia="仿宋" w:cs="仿宋_GB2312"/>
          <w:sz w:val="28"/>
          <w:szCs w:val="28"/>
        </w:rPr>
        <w:tab/>
      </w:r>
      <w:r>
        <w:rPr>
          <w:rFonts w:hint="eastAsia" w:ascii="仿宋" w:hAnsi="仿宋" w:eastAsia="仿宋" w:cs="仿宋_GB2312"/>
          <w:sz w:val="28"/>
          <w:szCs w:val="28"/>
        </w:rPr>
        <w:fldChar w:fldCharType="end"/>
      </w:r>
      <w:r>
        <w:rPr>
          <w:rFonts w:hint="eastAsia" w:ascii="仿宋" w:hAnsi="仿宋" w:eastAsia="仿宋" w:cs="仿宋_GB2312"/>
          <w:sz w:val="28"/>
          <w:szCs w:val="28"/>
        </w:rPr>
        <w:t>25</w:t>
      </w:r>
    </w:p>
    <w:p w14:paraId="00FE3C66">
      <w:pPr>
        <w:pStyle w:val="8"/>
        <w:spacing w:line="576" w:lineRule="exact"/>
        <w:ind w:left="0" w:leftChars="0"/>
        <w:jc w:val="left"/>
        <w:rPr>
          <w:rFonts w:hint="eastAsia" w:ascii="仿宋" w:hAnsi="仿宋" w:eastAsia="仿宋" w:cs="仿宋_GB2312"/>
          <w:sz w:val="28"/>
          <w:szCs w:val="28"/>
        </w:rPr>
      </w:pPr>
      <w:r>
        <w:rPr>
          <w:rFonts w:hint="eastAsia" w:ascii="仿宋" w:hAnsi="仿宋" w:eastAsia="仿宋" w:cs="仿宋_GB2312"/>
          <w:sz w:val="28"/>
          <w:szCs w:val="28"/>
        </w:rPr>
        <w:t>四、</w:t>
      </w:r>
      <w:r>
        <w:fldChar w:fldCharType="begin"/>
      </w:r>
      <w:r>
        <w:instrText xml:space="preserve"> HYPERLINK \l "_Toc15396622" </w:instrText>
      </w:r>
      <w:r>
        <w:fldChar w:fldCharType="separate"/>
      </w:r>
      <w:r>
        <w:rPr>
          <w:rStyle w:val="13"/>
          <w:rFonts w:hint="eastAsia" w:ascii="仿宋" w:hAnsi="仿宋" w:eastAsia="仿宋" w:cs="仿宋_GB2312"/>
          <w:sz w:val="28"/>
          <w:szCs w:val="28"/>
        </w:rPr>
        <w:t>财政拨款收入支出决算总表</w:t>
      </w:r>
      <w:r>
        <w:rPr>
          <w:rFonts w:hint="eastAsia" w:ascii="仿宋" w:hAnsi="仿宋" w:eastAsia="仿宋" w:cs="仿宋_GB2312"/>
          <w:sz w:val="28"/>
          <w:szCs w:val="28"/>
        </w:rPr>
        <w:tab/>
      </w:r>
      <w:r>
        <w:rPr>
          <w:rFonts w:hint="eastAsia" w:ascii="仿宋" w:hAnsi="仿宋" w:eastAsia="仿宋" w:cs="仿宋_GB2312"/>
          <w:sz w:val="28"/>
          <w:szCs w:val="28"/>
        </w:rPr>
        <w:t>25</w:t>
      </w:r>
      <w:r>
        <w:rPr>
          <w:rFonts w:hint="eastAsia" w:ascii="仿宋" w:hAnsi="仿宋" w:eastAsia="仿宋" w:cs="仿宋_GB2312"/>
          <w:sz w:val="28"/>
          <w:szCs w:val="28"/>
        </w:rPr>
        <w:fldChar w:fldCharType="end"/>
      </w:r>
    </w:p>
    <w:p w14:paraId="6412252A">
      <w:pPr>
        <w:pStyle w:val="8"/>
        <w:spacing w:line="576" w:lineRule="exact"/>
        <w:ind w:left="0" w:leftChars="0"/>
        <w:jc w:val="left"/>
        <w:rPr>
          <w:rFonts w:hint="eastAsia" w:ascii="仿宋" w:hAnsi="仿宋" w:eastAsia="仿宋" w:cs="仿宋_GB2312"/>
          <w:sz w:val="28"/>
          <w:szCs w:val="28"/>
        </w:rPr>
      </w:pPr>
      <w:r>
        <w:rPr>
          <w:rFonts w:hint="eastAsia" w:ascii="仿宋" w:hAnsi="仿宋" w:eastAsia="仿宋" w:cs="仿宋_GB2312"/>
          <w:sz w:val="28"/>
          <w:szCs w:val="28"/>
        </w:rPr>
        <w:t>五、</w:t>
      </w:r>
      <w:r>
        <w:fldChar w:fldCharType="begin"/>
      </w:r>
      <w:r>
        <w:instrText xml:space="preserve"> HYPERLINK \l "_Toc15396623" </w:instrText>
      </w:r>
      <w:r>
        <w:fldChar w:fldCharType="separate"/>
      </w:r>
      <w:r>
        <w:rPr>
          <w:rFonts w:hint="eastAsia" w:ascii="仿宋" w:hAnsi="仿宋" w:eastAsia="仿宋" w:cs="仿宋_GB2312"/>
          <w:sz w:val="28"/>
          <w:szCs w:val="28"/>
        </w:rPr>
        <w:t>财政拨款支出决算明细表</w:t>
      </w:r>
      <w:r>
        <w:rPr>
          <w:rFonts w:hint="eastAsia" w:ascii="仿宋" w:hAnsi="仿宋" w:eastAsia="仿宋" w:cs="仿宋_GB2312"/>
          <w:sz w:val="28"/>
          <w:szCs w:val="28"/>
        </w:rPr>
        <w:tab/>
      </w:r>
      <w:r>
        <w:rPr>
          <w:rFonts w:hint="eastAsia" w:ascii="仿宋" w:hAnsi="仿宋" w:eastAsia="仿宋" w:cs="仿宋_GB2312"/>
          <w:sz w:val="28"/>
          <w:szCs w:val="28"/>
        </w:rPr>
        <w:t>25</w:t>
      </w:r>
      <w:r>
        <w:rPr>
          <w:rFonts w:hint="eastAsia" w:ascii="仿宋" w:hAnsi="仿宋" w:eastAsia="仿宋" w:cs="仿宋_GB2312"/>
          <w:sz w:val="28"/>
          <w:szCs w:val="28"/>
        </w:rPr>
        <w:fldChar w:fldCharType="end"/>
      </w:r>
    </w:p>
    <w:p w14:paraId="49690F88">
      <w:pPr>
        <w:pStyle w:val="8"/>
        <w:spacing w:line="576" w:lineRule="exact"/>
        <w:ind w:left="0" w:leftChars="0"/>
        <w:jc w:val="left"/>
        <w:rPr>
          <w:rFonts w:hint="eastAsia" w:ascii="仿宋" w:hAnsi="仿宋" w:eastAsia="仿宋" w:cs="仿宋_GB2312"/>
          <w:sz w:val="28"/>
          <w:szCs w:val="28"/>
        </w:rPr>
      </w:pPr>
      <w:r>
        <w:rPr>
          <w:rFonts w:hint="eastAsia" w:ascii="仿宋" w:hAnsi="仿宋" w:eastAsia="仿宋" w:cs="仿宋_GB2312"/>
          <w:sz w:val="28"/>
          <w:szCs w:val="28"/>
        </w:rPr>
        <w:t>六、</w:t>
      </w:r>
      <w:r>
        <w:fldChar w:fldCharType="begin"/>
      </w:r>
      <w:r>
        <w:instrText xml:space="preserve"> HYPERLINK \l "_Toc15396624" </w:instrText>
      </w:r>
      <w:r>
        <w:fldChar w:fldCharType="separate"/>
      </w:r>
      <w:r>
        <w:rPr>
          <w:rStyle w:val="13"/>
          <w:rFonts w:hint="eastAsia" w:ascii="仿宋" w:hAnsi="仿宋" w:eastAsia="仿宋" w:cs="仿宋_GB2312"/>
          <w:sz w:val="28"/>
          <w:szCs w:val="28"/>
        </w:rPr>
        <w:t>一般公共预算财政拨款支出决算表</w:t>
      </w:r>
      <w:r>
        <w:rPr>
          <w:rFonts w:hint="eastAsia" w:ascii="仿宋" w:hAnsi="仿宋" w:eastAsia="仿宋" w:cs="仿宋_GB2312"/>
          <w:sz w:val="28"/>
          <w:szCs w:val="28"/>
        </w:rPr>
        <w:tab/>
      </w:r>
      <w:r>
        <w:rPr>
          <w:rFonts w:hint="eastAsia" w:ascii="仿宋" w:hAnsi="仿宋" w:eastAsia="仿宋" w:cs="仿宋_GB2312"/>
          <w:sz w:val="28"/>
          <w:szCs w:val="28"/>
        </w:rPr>
        <w:t>25</w:t>
      </w:r>
      <w:r>
        <w:rPr>
          <w:rFonts w:hint="eastAsia" w:ascii="仿宋" w:hAnsi="仿宋" w:eastAsia="仿宋" w:cs="仿宋_GB2312"/>
          <w:sz w:val="28"/>
          <w:szCs w:val="28"/>
        </w:rPr>
        <w:fldChar w:fldCharType="end"/>
      </w:r>
    </w:p>
    <w:p w14:paraId="4A04305F">
      <w:pPr>
        <w:pStyle w:val="8"/>
        <w:spacing w:line="576" w:lineRule="exact"/>
        <w:ind w:left="0" w:leftChars="0"/>
        <w:jc w:val="left"/>
        <w:rPr>
          <w:rFonts w:hint="eastAsia" w:ascii="仿宋" w:hAnsi="仿宋" w:eastAsia="仿宋" w:cs="仿宋_GB2312"/>
          <w:sz w:val="28"/>
          <w:szCs w:val="28"/>
        </w:rPr>
      </w:pPr>
      <w:r>
        <w:rPr>
          <w:rFonts w:hint="eastAsia" w:ascii="仿宋" w:hAnsi="仿宋" w:eastAsia="仿宋" w:cs="仿宋_GB2312"/>
          <w:sz w:val="28"/>
          <w:szCs w:val="28"/>
        </w:rPr>
        <w:t>七、</w:t>
      </w:r>
      <w:r>
        <w:fldChar w:fldCharType="begin"/>
      </w:r>
      <w:r>
        <w:instrText xml:space="preserve"> HYPERLINK \l "_Toc15396625" </w:instrText>
      </w:r>
      <w:r>
        <w:fldChar w:fldCharType="separate"/>
      </w:r>
      <w:r>
        <w:rPr>
          <w:rStyle w:val="13"/>
          <w:rFonts w:hint="eastAsia" w:ascii="仿宋" w:hAnsi="仿宋" w:eastAsia="仿宋" w:cs="仿宋_GB2312"/>
          <w:sz w:val="28"/>
          <w:szCs w:val="28"/>
        </w:rPr>
        <w:t>一般公共预算财政拨款支出决算明细表</w:t>
      </w:r>
      <w:r>
        <w:rPr>
          <w:rFonts w:hint="eastAsia" w:ascii="仿宋" w:hAnsi="仿宋" w:eastAsia="仿宋" w:cs="仿宋_GB2312"/>
          <w:sz w:val="28"/>
          <w:szCs w:val="28"/>
        </w:rPr>
        <w:tab/>
      </w:r>
      <w:r>
        <w:rPr>
          <w:rFonts w:hint="eastAsia" w:ascii="仿宋" w:hAnsi="仿宋" w:eastAsia="仿宋" w:cs="仿宋_GB2312"/>
          <w:sz w:val="28"/>
          <w:szCs w:val="28"/>
        </w:rPr>
        <w:t>25</w:t>
      </w:r>
      <w:r>
        <w:rPr>
          <w:rFonts w:hint="eastAsia" w:ascii="仿宋" w:hAnsi="仿宋" w:eastAsia="仿宋" w:cs="仿宋_GB2312"/>
          <w:sz w:val="28"/>
          <w:szCs w:val="28"/>
        </w:rPr>
        <w:fldChar w:fldCharType="end"/>
      </w:r>
    </w:p>
    <w:p w14:paraId="68079E67">
      <w:pPr>
        <w:pStyle w:val="8"/>
        <w:spacing w:line="576" w:lineRule="exact"/>
        <w:ind w:left="0" w:leftChars="0"/>
        <w:jc w:val="left"/>
        <w:rPr>
          <w:rFonts w:hint="eastAsia" w:ascii="仿宋" w:hAnsi="仿宋" w:eastAsia="仿宋" w:cs="仿宋_GB2312"/>
          <w:sz w:val="28"/>
          <w:szCs w:val="28"/>
        </w:rPr>
      </w:pPr>
      <w:r>
        <w:rPr>
          <w:rFonts w:hint="eastAsia" w:ascii="仿宋" w:hAnsi="仿宋" w:eastAsia="仿宋" w:cs="仿宋_GB2312"/>
          <w:sz w:val="28"/>
          <w:szCs w:val="28"/>
        </w:rPr>
        <w:t>八、</w:t>
      </w:r>
      <w:r>
        <w:fldChar w:fldCharType="begin"/>
      </w:r>
      <w:r>
        <w:instrText xml:space="preserve"> HYPERLINK \l "_Toc15396626" </w:instrText>
      </w:r>
      <w:r>
        <w:fldChar w:fldCharType="separate"/>
      </w:r>
      <w:r>
        <w:rPr>
          <w:rStyle w:val="13"/>
          <w:rFonts w:hint="eastAsia" w:ascii="仿宋" w:hAnsi="仿宋" w:eastAsia="仿宋" w:cs="仿宋_GB2312"/>
          <w:sz w:val="28"/>
          <w:szCs w:val="28"/>
        </w:rPr>
        <w:t>一般公共预算财政拨款基本支出决算表</w:t>
      </w:r>
      <w:r>
        <w:rPr>
          <w:rFonts w:hint="eastAsia" w:ascii="仿宋" w:hAnsi="仿宋" w:eastAsia="仿宋" w:cs="仿宋_GB2312"/>
          <w:sz w:val="28"/>
          <w:szCs w:val="28"/>
        </w:rPr>
        <w:tab/>
      </w:r>
      <w:r>
        <w:rPr>
          <w:rFonts w:hint="eastAsia" w:ascii="仿宋" w:hAnsi="仿宋" w:eastAsia="仿宋" w:cs="仿宋_GB2312"/>
          <w:sz w:val="28"/>
          <w:szCs w:val="28"/>
        </w:rPr>
        <w:t>25</w:t>
      </w:r>
      <w:r>
        <w:rPr>
          <w:rFonts w:hint="eastAsia" w:ascii="仿宋" w:hAnsi="仿宋" w:eastAsia="仿宋" w:cs="仿宋_GB2312"/>
          <w:sz w:val="28"/>
          <w:szCs w:val="28"/>
        </w:rPr>
        <w:fldChar w:fldCharType="end"/>
      </w:r>
    </w:p>
    <w:p w14:paraId="2C48FCB5">
      <w:pPr>
        <w:pStyle w:val="8"/>
        <w:spacing w:line="576" w:lineRule="exact"/>
        <w:ind w:left="0" w:leftChars="0"/>
        <w:jc w:val="left"/>
        <w:rPr>
          <w:rFonts w:hint="eastAsia" w:ascii="仿宋" w:hAnsi="仿宋" w:eastAsia="仿宋" w:cs="仿宋_GB2312"/>
          <w:sz w:val="28"/>
          <w:szCs w:val="28"/>
        </w:rPr>
      </w:pPr>
      <w:r>
        <w:rPr>
          <w:rFonts w:hint="eastAsia" w:ascii="仿宋" w:hAnsi="仿宋" w:eastAsia="仿宋" w:cs="仿宋_GB2312"/>
          <w:sz w:val="28"/>
          <w:szCs w:val="28"/>
        </w:rPr>
        <w:t>九、</w:t>
      </w:r>
      <w:r>
        <w:fldChar w:fldCharType="begin"/>
      </w:r>
      <w:r>
        <w:instrText xml:space="preserve"> HYPERLINK \l "_Toc15396627" </w:instrText>
      </w:r>
      <w:r>
        <w:fldChar w:fldCharType="separate"/>
      </w:r>
      <w:r>
        <w:rPr>
          <w:rStyle w:val="13"/>
          <w:rFonts w:hint="eastAsia" w:ascii="仿宋" w:hAnsi="仿宋" w:eastAsia="仿宋" w:cs="仿宋_GB2312"/>
          <w:sz w:val="28"/>
          <w:szCs w:val="28"/>
        </w:rPr>
        <w:t>一般公共预算财政拨款项目支出决算表</w:t>
      </w:r>
      <w:r>
        <w:rPr>
          <w:rFonts w:hint="eastAsia" w:ascii="仿宋" w:hAnsi="仿宋" w:eastAsia="仿宋" w:cs="仿宋_GB2312"/>
          <w:sz w:val="28"/>
          <w:szCs w:val="28"/>
        </w:rPr>
        <w:tab/>
      </w:r>
      <w:r>
        <w:rPr>
          <w:rFonts w:hint="eastAsia" w:ascii="仿宋" w:hAnsi="仿宋" w:eastAsia="仿宋" w:cs="仿宋_GB2312"/>
          <w:sz w:val="28"/>
          <w:szCs w:val="28"/>
        </w:rPr>
        <w:t>25</w:t>
      </w:r>
      <w:r>
        <w:rPr>
          <w:rFonts w:hint="eastAsia" w:ascii="仿宋" w:hAnsi="仿宋" w:eastAsia="仿宋" w:cs="仿宋_GB2312"/>
          <w:sz w:val="28"/>
          <w:szCs w:val="28"/>
        </w:rPr>
        <w:fldChar w:fldCharType="end"/>
      </w:r>
    </w:p>
    <w:p w14:paraId="52D0C34C">
      <w:pPr>
        <w:pStyle w:val="8"/>
        <w:spacing w:line="576" w:lineRule="exact"/>
        <w:ind w:left="0" w:leftChars="0"/>
        <w:jc w:val="left"/>
        <w:rPr>
          <w:rFonts w:hint="eastAsia" w:ascii="仿宋" w:hAnsi="仿宋" w:eastAsia="仿宋" w:cs="仿宋_GB2312"/>
          <w:sz w:val="28"/>
          <w:szCs w:val="28"/>
        </w:rPr>
      </w:pPr>
      <w:r>
        <w:rPr>
          <w:rFonts w:hint="eastAsia" w:ascii="仿宋" w:hAnsi="仿宋" w:eastAsia="仿宋" w:cs="仿宋_GB2312"/>
          <w:sz w:val="28"/>
          <w:szCs w:val="28"/>
        </w:rPr>
        <w:t>十、</w:t>
      </w:r>
      <w:r>
        <w:fldChar w:fldCharType="begin"/>
      </w:r>
      <w:r>
        <w:instrText xml:space="preserve"> HYPERLINK \l "_Toc15396629" </w:instrText>
      </w:r>
      <w:r>
        <w:fldChar w:fldCharType="separate"/>
      </w:r>
      <w:r>
        <w:rPr>
          <w:rStyle w:val="13"/>
          <w:rFonts w:hint="eastAsia" w:ascii="仿宋" w:hAnsi="仿宋" w:eastAsia="仿宋" w:cs="仿宋_GB2312"/>
          <w:sz w:val="28"/>
          <w:szCs w:val="28"/>
        </w:rPr>
        <w:t>政府性基金预算财政拨款收入支出决算表</w:t>
      </w:r>
      <w:r>
        <w:rPr>
          <w:rFonts w:hint="eastAsia" w:ascii="仿宋" w:hAnsi="仿宋" w:eastAsia="仿宋" w:cs="仿宋_GB2312"/>
          <w:sz w:val="28"/>
          <w:szCs w:val="28"/>
        </w:rPr>
        <w:tab/>
      </w:r>
      <w:r>
        <w:rPr>
          <w:rFonts w:hint="eastAsia" w:ascii="仿宋" w:hAnsi="仿宋" w:eastAsia="仿宋" w:cs="仿宋_GB2312"/>
          <w:sz w:val="28"/>
          <w:szCs w:val="28"/>
        </w:rPr>
        <w:t>25</w:t>
      </w:r>
      <w:r>
        <w:rPr>
          <w:rFonts w:hint="eastAsia" w:ascii="仿宋" w:hAnsi="仿宋" w:eastAsia="仿宋" w:cs="仿宋_GB2312"/>
          <w:sz w:val="28"/>
          <w:szCs w:val="28"/>
        </w:rPr>
        <w:fldChar w:fldCharType="end"/>
      </w:r>
    </w:p>
    <w:p w14:paraId="2FD4EA23">
      <w:pPr>
        <w:pStyle w:val="8"/>
        <w:spacing w:line="576" w:lineRule="exact"/>
        <w:ind w:left="0" w:leftChars="0"/>
        <w:jc w:val="left"/>
        <w:rPr>
          <w:rFonts w:hint="eastAsia" w:ascii="仿宋" w:hAnsi="仿宋" w:eastAsia="仿宋" w:cs="仿宋_GB2312"/>
          <w:spacing w:val="-20"/>
          <w:sz w:val="28"/>
          <w:szCs w:val="28"/>
        </w:rPr>
      </w:pPr>
      <w:r>
        <w:rPr>
          <w:rFonts w:hint="eastAsia" w:ascii="仿宋" w:hAnsi="仿宋" w:eastAsia="仿宋" w:cs="仿宋_GB2312"/>
          <w:spacing w:val="-20"/>
          <w:sz w:val="28"/>
          <w:szCs w:val="28"/>
        </w:rPr>
        <w:t>十一、</w:t>
      </w:r>
      <w:r>
        <w:fldChar w:fldCharType="begin"/>
      </w:r>
      <w:r>
        <w:instrText xml:space="preserve"> HYPERLINK \l "_Toc15396630" </w:instrText>
      </w:r>
      <w:r>
        <w:fldChar w:fldCharType="separate"/>
      </w:r>
      <w:r>
        <w:rPr>
          <w:rStyle w:val="13"/>
          <w:rFonts w:hint="eastAsia" w:ascii="仿宋" w:hAnsi="仿宋" w:eastAsia="仿宋" w:cs="仿宋_GB2312"/>
          <w:color w:val="auto"/>
          <w:sz w:val="28"/>
          <w:szCs w:val="28"/>
          <w:u w:val="none"/>
        </w:rPr>
        <w:t>国有资本经营预算</w:t>
      </w:r>
      <w:r>
        <w:rPr>
          <w:rFonts w:hint="eastAsia" w:ascii="仿宋" w:hAnsi="仿宋" w:eastAsia="仿宋"/>
          <w:color w:val="000000"/>
          <w:sz w:val="28"/>
          <w:szCs w:val="28"/>
        </w:rPr>
        <w:t>财政拨款收入</w:t>
      </w:r>
      <w:r>
        <w:rPr>
          <w:rStyle w:val="13"/>
          <w:rFonts w:hint="eastAsia" w:ascii="仿宋" w:hAnsi="仿宋" w:eastAsia="仿宋" w:cs="仿宋_GB2312"/>
          <w:color w:val="auto"/>
          <w:sz w:val="28"/>
          <w:szCs w:val="28"/>
          <w:u w:val="none"/>
        </w:rPr>
        <w:t>支出决算表</w:t>
      </w:r>
      <w:r>
        <w:rPr>
          <w:rFonts w:hint="eastAsia" w:ascii="仿宋" w:hAnsi="仿宋" w:eastAsia="仿宋" w:cs="仿宋_GB2312"/>
          <w:spacing w:val="-20"/>
          <w:sz w:val="28"/>
          <w:szCs w:val="28"/>
        </w:rPr>
        <w:tab/>
      </w:r>
      <w:r>
        <w:rPr>
          <w:rFonts w:hint="eastAsia" w:ascii="仿宋" w:hAnsi="仿宋" w:eastAsia="仿宋" w:cs="仿宋_GB2312"/>
          <w:spacing w:val="-20"/>
          <w:sz w:val="28"/>
          <w:szCs w:val="28"/>
        </w:rPr>
        <w:t>25</w:t>
      </w:r>
      <w:r>
        <w:rPr>
          <w:rFonts w:hint="eastAsia" w:ascii="仿宋" w:hAnsi="仿宋" w:eastAsia="仿宋" w:cs="仿宋_GB2312"/>
          <w:spacing w:val="-20"/>
          <w:sz w:val="28"/>
          <w:szCs w:val="28"/>
        </w:rPr>
        <w:fldChar w:fldCharType="end"/>
      </w:r>
    </w:p>
    <w:p w14:paraId="772060D3">
      <w:pPr>
        <w:pStyle w:val="8"/>
        <w:spacing w:line="576" w:lineRule="exact"/>
        <w:ind w:left="0" w:leftChars="0"/>
        <w:jc w:val="left"/>
        <w:rPr>
          <w:rFonts w:ascii="仿宋" w:hAnsi="仿宋" w:eastAsia="仿宋"/>
          <w:sz w:val="28"/>
          <w:szCs w:val="28"/>
        </w:rPr>
      </w:pPr>
      <w:r>
        <w:rPr>
          <w:rFonts w:hint="eastAsia" w:ascii="仿宋" w:hAnsi="仿宋" w:eastAsia="仿宋" w:cs="仿宋_GB2312"/>
          <w:sz w:val="28"/>
          <w:szCs w:val="28"/>
        </w:rPr>
        <w:t>十二、</w:t>
      </w:r>
      <w:r>
        <w:rPr>
          <w:rStyle w:val="13"/>
          <w:rFonts w:hint="eastAsia" w:ascii="仿宋" w:hAnsi="仿宋" w:eastAsia="仿宋" w:cs="仿宋_GB2312"/>
          <w:color w:val="auto"/>
          <w:sz w:val="28"/>
          <w:szCs w:val="28"/>
          <w:u w:val="none"/>
        </w:rPr>
        <w:t>国有资本经营预算</w:t>
      </w:r>
      <w:r>
        <w:rPr>
          <w:rFonts w:hint="eastAsia" w:ascii="仿宋" w:hAnsi="仿宋" w:eastAsia="仿宋"/>
          <w:color w:val="000000"/>
          <w:sz w:val="28"/>
          <w:szCs w:val="28"/>
        </w:rPr>
        <w:t>财政拨款</w:t>
      </w:r>
      <w:r>
        <w:rPr>
          <w:rStyle w:val="13"/>
          <w:rFonts w:hint="eastAsia" w:ascii="仿宋" w:hAnsi="仿宋" w:eastAsia="仿宋" w:cs="仿宋_GB2312"/>
          <w:color w:val="auto"/>
          <w:sz w:val="28"/>
          <w:szCs w:val="28"/>
          <w:u w:val="none"/>
        </w:rPr>
        <w:t>支出决算表</w:t>
      </w:r>
      <w:r>
        <w:fldChar w:fldCharType="begin"/>
      </w:r>
      <w:r>
        <w:instrText xml:space="preserve"> HYPERLINK \l "_Toc15396631" </w:instrText>
      </w:r>
      <w:r>
        <w:fldChar w:fldCharType="separate"/>
      </w:r>
      <w:r>
        <w:rPr>
          <w:rFonts w:hint="eastAsia" w:ascii="仿宋" w:hAnsi="仿宋" w:eastAsia="仿宋" w:cs="仿宋_GB2312"/>
          <w:sz w:val="28"/>
          <w:szCs w:val="28"/>
        </w:rPr>
        <w:tab/>
      </w:r>
      <w:r>
        <w:rPr>
          <w:rFonts w:hint="eastAsia" w:ascii="仿宋" w:hAnsi="仿宋" w:eastAsia="仿宋" w:cs="仿宋_GB2312"/>
          <w:sz w:val="28"/>
          <w:szCs w:val="28"/>
        </w:rPr>
        <w:t>25</w:t>
      </w:r>
      <w:r>
        <w:rPr>
          <w:rFonts w:hint="eastAsia" w:ascii="仿宋" w:hAnsi="仿宋" w:eastAsia="仿宋" w:cs="仿宋_GB2312"/>
          <w:sz w:val="28"/>
          <w:szCs w:val="28"/>
        </w:rPr>
        <w:fldChar w:fldCharType="end"/>
      </w:r>
    </w:p>
    <w:p w14:paraId="3E124B28">
      <w:pPr>
        <w:pStyle w:val="8"/>
        <w:spacing w:line="576" w:lineRule="exact"/>
        <w:ind w:left="0" w:leftChars="0"/>
        <w:jc w:val="left"/>
        <w:rPr>
          <w:rFonts w:ascii="仿宋" w:hAnsi="仿宋" w:eastAsia="仿宋"/>
          <w:sz w:val="28"/>
          <w:szCs w:val="28"/>
        </w:rPr>
      </w:pPr>
      <w:r>
        <w:rPr>
          <w:rFonts w:ascii="仿宋" w:hAnsi="仿宋" w:eastAsia="仿宋"/>
          <w:color w:val="000000"/>
          <w:sz w:val="28"/>
          <w:szCs w:val="28"/>
        </w:rPr>
        <w:fldChar w:fldCharType="end"/>
      </w:r>
      <w:r>
        <w:rPr>
          <w:rFonts w:hint="eastAsia" w:ascii="仿宋" w:hAnsi="仿宋" w:eastAsia="仿宋" w:cs="仿宋_GB2312"/>
          <w:sz w:val="28"/>
          <w:szCs w:val="28"/>
        </w:rPr>
        <w:t>十三、财政拨款“三公”经费支出决算表</w:t>
      </w:r>
      <w:r>
        <w:fldChar w:fldCharType="begin"/>
      </w:r>
      <w:r>
        <w:instrText xml:space="preserve"> HYPERLINK \l "_Toc15396631" </w:instrText>
      </w:r>
      <w:r>
        <w:fldChar w:fldCharType="separate"/>
      </w:r>
      <w:r>
        <w:rPr>
          <w:rFonts w:hint="eastAsia" w:ascii="仿宋" w:hAnsi="仿宋" w:eastAsia="仿宋" w:cs="仿宋_GB2312"/>
          <w:sz w:val="28"/>
          <w:szCs w:val="28"/>
        </w:rPr>
        <w:tab/>
      </w:r>
      <w:r>
        <w:rPr>
          <w:rFonts w:hint="eastAsia" w:ascii="仿宋" w:hAnsi="仿宋" w:eastAsia="仿宋" w:cs="仿宋_GB2312"/>
          <w:sz w:val="28"/>
          <w:szCs w:val="28"/>
        </w:rPr>
        <w:t>25</w:t>
      </w:r>
      <w:r>
        <w:rPr>
          <w:rFonts w:hint="eastAsia" w:ascii="仿宋" w:hAnsi="仿宋" w:eastAsia="仿宋" w:cs="仿宋_GB2312"/>
          <w:sz w:val="28"/>
          <w:szCs w:val="28"/>
        </w:rPr>
        <w:fldChar w:fldCharType="end"/>
      </w:r>
    </w:p>
    <w:p w14:paraId="66E000B7">
      <w:pPr>
        <w:adjustRightInd w:val="0"/>
        <w:snapToGrid w:val="0"/>
        <w:spacing w:line="560" w:lineRule="exact"/>
        <w:jc w:val="left"/>
        <w:outlineLvl w:val="0"/>
        <w:rPr>
          <w:rFonts w:hint="eastAsia" w:ascii="方正小标宋简体" w:hAnsi="黑体" w:eastAsia="方正小标宋简体"/>
          <w:sz w:val="44"/>
          <w:szCs w:val="44"/>
        </w:rPr>
      </w:pPr>
      <w:bookmarkStart w:id="13" w:name="_Toc15377196"/>
      <w:bookmarkStart w:id="14" w:name="_Toc15396599"/>
    </w:p>
    <w:p w14:paraId="534ADB10">
      <w:pPr>
        <w:adjustRightInd w:val="0"/>
        <w:snapToGrid w:val="0"/>
        <w:spacing w:line="560" w:lineRule="exact"/>
        <w:outlineLvl w:val="0"/>
        <w:rPr>
          <w:rFonts w:hint="eastAsia" w:ascii="方正小标宋简体" w:hAnsi="黑体" w:eastAsia="方正小标宋简体"/>
          <w:sz w:val="44"/>
          <w:szCs w:val="44"/>
        </w:rPr>
      </w:pPr>
    </w:p>
    <w:p w14:paraId="29FDD1D3">
      <w:pPr>
        <w:ind w:left="880" w:hanging="880" w:hangingChars="200"/>
        <w:jc w:val="center"/>
        <w:rPr>
          <w:rFonts w:hint="eastAsia"/>
          <w:sz w:val="44"/>
          <w:szCs w:val="44"/>
        </w:rPr>
      </w:pPr>
      <w:r>
        <w:rPr>
          <w:rFonts w:hint="eastAsia" w:ascii="方正小标宋简体" w:eastAsia="方正小标宋简体"/>
          <w:sz w:val="44"/>
          <w:szCs w:val="44"/>
        </w:rPr>
        <w:t>第一部分 部门概况</w:t>
      </w:r>
      <w:bookmarkEnd w:id="13"/>
      <w:bookmarkEnd w:id="14"/>
      <w:bookmarkStart w:id="15" w:name="_Toc15378446"/>
      <w:bookmarkStart w:id="16" w:name="_Toc15377199"/>
    </w:p>
    <w:p w14:paraId="5A5FE458">
      <w:pPr>
        <w:ind w:firstLine="640" w:firstLineChars="200"/>
        <w:rPr>
          <w:rFonts w:hint="eastAsia" w:ascii="黑体" w:hAnsi="黑体" w:eastAsia="黑体"/>
          <w:sz w:val="32"/>
          <w:szCs w:val="32"/>
        </w:rPr>
      </w:pPr>
    </w:p>
    <w:p w14:paraId="01576ACB">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一、主要</w:t>
      </w:r>
      <w:bookmarkStart w:id="17" w:name="_Toc15377198"/>
      <w:bookmarkStart w:id="18" w:name="_Toc15378445"/>
      <w:r>
        <w:rPr>
          <w:rFonts w:hint="eastAsia" w:ascii="黑体" w:hAnsi="黑体" w:eastAsia="黑体"/>
          <w:sz w:val="32"/>
          <w:szCs w:val="32"/>
        </w:rPr>
        <w:t>职责</w:t>
      </w:r>
    </w:p>
    <w:p w14:paraId="24BD0827">
      <w:pPr>
        <w:spacing w:line="560" w:lineRule="exact"/>
        <w:ind w:left="420" w:leftChars="200"/>
        <w:rPr>
          <w:rFonts w:hint="eastAsia" w:ascii="楷体_GB2312" w:eastAsia="楷体_GB2312"/>
          <w:b/>
          <w:sz w:val="32"/>
          <w:szCs w:val="32"/>
        </w:rPr>
      </w:pPr>
      <w:r>
        <w:rPr>
          <w:rFonts w:hint="eastAsia" w:ascii="楷体_GB2312" w:eastAsia="楷体_GB2312"/>
          <w:b/>
          <w:sz w:val="32"/>
          <w:szCs w:val="32"/>
        </w:rPr>
        <w:t>（一）主要职能</w:t>
      </w:r>
      <w:bookmarkEnd w:id="17"/>
      <w:bookmarkEnd w:id="18"/>
    </w:p>
    <w:p w14:paraId="4FFCBAC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贯彻执行国家和省、州、县有关防震减灾工作方针、政策、法律、规范和标准；组织起草茂县防震减灾发展规划，编制茂县防震减灾工作年度计划并组织实施；地震台站的管理和地震监测设施及观测环境保护工作；做好地震应急工作的管理，制定茂县破坏性地震应急预案，落实应急措施，开展震后各项应急工作开展防震减灾教育工作；负责茂县群测群防“三网一员”建设的管理、指导工作；完成茂县人民政府防震减灾工作领导小组办公室日常工作，发生破坏性地震后履行政府抗震救灾指挥机构办事部门职责。</w:t>
      </w:r>
    </w:p>
    <w:p w14:paraId="6A8D402C">
      <w:pPr>
        <w:adjustRightInd w:val="0"/>
        <w:snapToGrid w:val="0"/>
        <w:spacing w:line="560" w:lineRule="exact"/>
        <w:ind w:firstLine="321" w:firstLineChars="100"/>
        <w:outlineLvl w:val="0"/>
        <w:rPr>
          <w:rFonts w:hint="eastAsia" w:ascii="楷体_GB2312" w:hAnsi="仿宋" w:eastAsia="楷体_GB2312"/>
          <w:b/>
          <w:bCs/>
          <w:color w:val="000000"/>
          <w:sz w:val="32"/>
          <w:szCs w:val="32"/>
        </w:rPr>
      </w:pPr>
      <w:r>
        <w:rPr>
          <w:rFonts w:hint="eastAsia" w:ascii="楷体_GB2312" w:hAnsi="仿宋" w:eastAsia="楷体_GB2312"/>
          <w:b/>
          <w:bCs/>
          <w:color w:val="000000"/>
          <w:sz w:val="32"/>
          <w:szCs w:val="32"/>
        </w:rPr>
        <w:t>（二）2022年重点工作完成情况</w:t>
      </w:r>
      <w:bookmarkEnd w:id="15"/>
      <w:bookmarkEnd w:id="16"/>
    </w:p>
    <w:p w14:paraId="017308AC">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1.加强地震监测能力建设</w:t>
      </w:r>
      <w:r>
        <w:rPr>
          <w:rFonts w:hint="eastAsia" w:ascii="仿宋_GB2312" w:hAnsi="仿宋_GB2312" w:eastAsia="仿宋_GB2312" w:cs="仿宋_GB2312"/>
          <w:b/>
          <w:sz w:val="32"/>
          <w:szCs w:val="32"/>
        </w:rPr>
        <w:t>，不断提升地震监测水平</w:t>
      </w:r>
    </w:p>
    <w:p w14:paraId="1B9EF07F">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切实做好震情监视与短临跟踪工作，坚持定期对辖区内及邻区地震趋势的分析，主动把握震情趋势动向，为县委、县政府科学决策提供依据。认真做好监测仪器的维护工作，及时处理各种监测设备的故障，确保仪器正常运行。加强群测群防工作和“三网一员”建设，巩固地震宏观观测员队伍，对各宏观点反映的宏观异常情况要及时调查核实，充分发挥群测群防在地震短临预报、灾情速报和普及地震知识中的重要作用。</w:t>
      </w:r>
    </w:p>
    <w:p w14:paraId="4B13D308">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2.加大抗震设防监管力度，提高建设工程抗震能力</w:t>
      </w:r>
    </w:p>
    <w:p w14:paraId="695406DD">
      <w:pPr>
        <w:spacing w:line="560" w:lineRule="exact"/>
        <w:ind w:firstLine="643" w:firstLineChars="200"/>
        <w:rPr>
          <w:rFonts w:ascii="仿宋_GB2312" w:hAnsi="仿宋" w:eastAsia="仿宋_GB2312" w:cs="仿宋_GB2312"/>
          <w:sz w:val="32"/>
          <w:szCs w:val="32"/>
        </w:rPr>
      </w:pPr>
      <w:r>
        <w:rPr>
          <w:rFonts w:hint="eastAsia" w:ascii="仿宋_GB2312" w:hAnsi="仿宋" w:eastAsia="仿宋_GB2312" w:cs="仿宋_GB2312"/>
          <w:b/>
          <w:sz w:val="32"/>
          <w:szCs w:val="32"/>
        </w:rPr>
        <w:t>一是</w:t>
      </w:r>
      <w:r>
        <w:rPr>
          <w:rFonts w:hint="eastAsia" w:ascii="仿宋_GB2312" w:hAnsi="仿宋" w:eastAsia="仿宋_GB2312" w:cs="仿宋_GB2312"/>
          <w:sz w:val="32"/>
          <w:szCs w:val="32"/>
        </w:rPr>
        <w:t>继续认真做好抗震设防宣传工作，提高社会公众对抗震设防重要性的认识，确保抗震设防的思想观念深入人心。</w:t>
      </w:r>
      <w:r>
        <w:rPr>
          <w:rFonts w:hint="eastAsia" w:ascii="仿宋_GB2312" w:hAnsi="仿宋" w:eastAsia="仿宋_GB2312" w:cs="仿宋_GB2312"/>
          <w:b/>
          <w:sz w:val="32"/>
          <w:szCs w:val="32"/>
        </w:rPr>
        <w:t>二是</w:t>
      </w:r>
      <w:r>
        <w:rPr>
          <w:rFonts w:hint="eastAsia" w:ascii="仿宋_GB2312" w:hAnsi="仿宋" w:eastAsia="仿宋_GB2312" w:cs="仿宋_GB2312"/>
          <w:sz w:val="32"/>
          <w:szCs w:val="32"/>
        </w:rPr>
        <w:t>进一步落实《阿坝州建设工程抗震设防备案制度》，加强部门间的协作，切实发挥《阿坝州建设工程抗震设防备案制度》的作用。在日常工作中主动与业主单位加强联系，保证所有项目备案审查，积极参与项目实施及验收等工作，确保新建、改建工程达到抗震设防要求。</w:t>
      </w:r>
      <w:r>
        <w:rPr>
          <w:rFonts w:hint="eastAsia" w:ascii="仿宋_GB2312" w:hAnsi="仿宋" w:eastAsia="仿宋_GB2312" w:cs="仿宋_GB2312"/>
          <w:b/>
          <w:sz w:val="32"/>
          <w:szCs w:val="32"/>
        </w:rPr>
        <w:t>三是</w:t>
      </w:r>
      <w:r>
        <w:rPr>
          <w:rFonts w:hint="eastAsia" w:ascii="仿宋_GB2312" w:hAnsi="仿宋" w:eastAsia="仿宋_GB2312" w:cs="仿宋_GB2312"/>
          <w:sz w:val="32"/>
          <w:szCs w:val="32"/>
        </w:rPr>
        <w:t>加大执法检查力度，积极开展对重大工程和生命线工程的抗震设防执法检查，提高工程建筑质量。</w:t>
      </w:r>
      <w:r>
        <w:rPr>
          <w:rFonts w:hint="eastAsia" w:ascii="仿宋_GB2312" w:hAnsi="仿宋" w:eastAsia="仿宋_GB2312" w:cs="仿宋_GB2312"/>
          <w:b/>
          <w:sz w:val="32"/>
          <w:szCs w:val="32"/>
        </w:rPr>
        <w:t>四是</w:t>
      </w:r>
      <w:r>
        <w:rPr>
          <w:rFonts w:hint="eastAsia" w:ascii="仿宋_GB2312" w:hAnsi="仿宋" w:eastAsia="仿宋_GB2312" w:cs="仿宋_GB2312"/>
          <w:sz w:val="32"/>
          <w:szCs w:val="32"/>
        </w:rPr>
        <w:t>加强农村民居防震抗震知识宣传教育和抗震设防技术指导，积极推广使用地震安全农居示范工程技术，提高农居建设施工质量及抗震能力。</w:t>
      </w:r>
    </w:p>
    <w:p w14:paraId="58DD332F">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3.开展防震灾知识宣传活动，增强公众防震减灾意识</w:t>
      </w:r>
    </w:p>
    <w:p w14:paraId="6C08F996">
      <w:pPr>
        <w:spacing w:line="560" w:lineRule="exact"/>
        <w:ind w:firstLine="640" w:firstLineChars="200"/>
        <w:rPr>
          <w:rFonts w:ascii="仿宋" w:hAnsi="仿宋" w:eastAsia="仿宋" w:cs="仿宋_GB2312"/>
          <w:sz w:val="32"/>
          <w:szCs w:val="32"/>
        </w:rPr>
      </w:pPr>
      <w:r>
        <w:rPr>
          <w:rFonts w:hint="eastAsia" w:ascii="仿宋_GB2312" w:hAnsi="仿宋" w:eastAsia="仿宋_GB2312" w:cs="仿宋_GB2312"/>
          <w:sz w:val="32"/>
          <w:szCs w:val="32"/>
        </w:rPr>
        <w:t>充分利用“科技周、科技三下乡、国家防灾减灾日、国际减灾日、法制宣传日”，广泛开展《中华人民共和国防震减灾法》和防震减灾科普知识“进机关、进学校、进社区、进企业、进农村”宣传教育活动，推进防震减灾宣传工作制度化、常态化。积极拓宽防震减灾科普宣传渠道，完善宣传网络，利用网络、电视等新闻媒体，加强防震减灾知识的普及和宣传，不断增强公众防震减灾意识。大力开展创建防震减灾科普示范学校、社区活动，探索创建活动新路子。</w:t>
      </w:r>
      <w:r>
        <w:rPr>
          <w:rFonts w:ascii="仿宋_GB2312" w:hAnsi="仿宋" w:eastAsia="仿宋_GB2312" w:cs="仿宋_GB2312"/>
          <w:sz w:val="32"/>
          <w:szCs w:val="32"/>
        </w:rPr>
        <w:t xml:space="preserve">  </w:t>
      </w:r>
      <w:r>
        <w:rPr>
          <w:rFonts w:ascii="仿宋" w:hAnsi="仿宋" w:eastAsia="仿宋" w:cs="仿宋_GB2312"/>
          <w:sz w:val="32"/>
          <w:szCs w:val="32"/>
        </w:rPr>
        <w:t xml:space="preserve"> </w:t>
      </w:r>
    </w:p>
    <w:p w14:paraId="4B3D1F51">
      <w:pPr>
        <w:spacing w:line="560" w:lineRule="exact"/>
        <w:ind w:firstLine="643" w:firstLineChars="200"/>
        <w:rPr>
          <w:rFonts w:ascii="仿宋" w:hAnsi="仿宋" w:eastAsia="仿宋"/>
          <w:b/>
          <w:sz w:val="32"/>
          <w:szCs w:val="32"/>
        </w:rPr>
      </w:pPr>
      <w:r>
        <w:rPr>
          <w:rFonts w:hint="eastAsia" w:ascii="仿宋_GB2312" w:hAnsi="仿宋_GB2312" w:eastAsia="仿宋_GB2312" w:cs="仿宋_GB2312"/>
          <w:b/>
          <w:bCs/>
          <w:sz w:val="32"/>
          <w:szCs w:val="32"/>
        </w:rPr>
        <w:t>4.强化地震应急管理，</w:t>
      </w:r>
      <w:r>
        <w:rPr>
          <w:rFonts w:hint="eastAsia" w:ascii="仿宋_GB2312" w:hAnsi="仿宋_GB2312" w:eastAsia="仿宋_GB2312" w:cs="仿宋_GB2312"/>
          <w:b/>
          <w:sz w:val="32"/>
          <w:szCs w:val="32"/>
        </w:rPr>
        <w:t xml:space="preserve">提高处置地震灾害能力 </w:t>
      </w:r>
    </w:p>
    <w:p w14:paraId="6DEB68A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建立健全茂县地震应急预案管理信息系统，指导全县各机关、学校、医院、企业、商场等根据地震应急预案开展应急演练。对重点单位加强地震应急知识培训，定期开展地震应急工作监督、检查和评比。抓好本县应急救援志愿者队伍建设，积极配合有关部门搞好地震应急避难场所建设。加快</w:t>
      </w:r>
      <w:r>
        <w:rPr>
          <w:rFonts w:hint="eastAsia" w:ascii="仿宋_GB2312" w:eastAsia="仿宋_GB2312" w:cs="宋体"/>
          <w:sz w:val="32"/>
          <w:szCs w:val="32"/>
        </w:rPr>
        <w:t>防震减灾综合信息服务系统短信发送平台</w:t>
      </w:r>
      <w:r>
        <w:rPr>
          <w:rFonts w:hint="eastAsia" w:ascii="仿宋_GB2312" w:eastAsia="仿宋_GB2312"/>
          <w:sz w:val="32"/>
          <w:szCs w:val="32"/>
        </w:rPr>
        <w:t xml:space="preserve">建设，不断提高处置地震灾害能力。 </w:t>
      </w:r>
      <w:bookmarkStart w:id="19" w:name="_Toc15396601"/>
      <w:bookmarkStart w:id="20" w:name="_Toc15377200"/>
    </w:p>
    <w:p w14:paraId="2D50D546">
      <w:pPr>
        <w:spacing w:line="560" w:lineRule="exact"/>
        <w:ind w:firstLine="640" w:firstLineChars="200"/>
        <w:rPr>
          <w:rStyle w:val="16"/>
          <w:rFonts w:ascii="仿宋_GB2312" w:eastAsia="仿宋_GB2312"/>
          <w:b w:val="0"/>
          <w:bCs w:val="0"/>
        </w:rPr>
      </w:pPr>
      <w:r>
        <w:rPr>
          <w:rFonts w:hint="eastAsia" w:ascii="黑体" w:hAnsi="黑体" w:eastAsia="黑体"/>
          <w:sz w:val="32"/>
          <w:szCs w:val="32"/>
        </w:rPr>
        <w:t>二</w:t>
      </w:r>
      <w:r>
        <w:rPr>
          <w:rFonts w:hint="eastAsia" w:ascii="黑体" w:hAnsi="黑体" w:eastAsia="黑体"/>
          <w:color w:val="000000"/>
          <w:sz w:val="32"/>
          <w:szCs w:val="32"/>
        </w:rPr>
        <w:t>、机</w:t>
      </w:r>
      <w:r>
        <w:rPr>
          <w:rStyle w:val="16"/>
          <w:rFonts w:hint="eastAsia" w:ascii="黑体" w:hAnsi="黑体" w:eastAsia="黑体"/>
          <w:b w:val="0"/>
          <w:bCs w:val="0"/>
        </w:rPr>
        <w:t>构设置</w:t>
      </w:r>
      <w:bookmarkEnd w:id="19"/>
      <w:bookmarkEnd w:id="20"/>
    </w:p>
    <w:p w14:paraId="1149B5A5">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茂县防震减灾事务中心属一级预算参照公务员管理的事业单位，下属二级单位0个，其中行政单位0个，参照公务员法管理的事业单位</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个，其他事业单位0个。</w:t>
      </w:r>
    </w:p>
    <w:p w14:paraId="4A4C708C">
      <w:pPr>
        <w:spacing w:line="560" w:lineRule="exact"/>
        <w:ind w:firstLine="640" w:firstLineChars="200"/>
        <w:rPr>
          <w:rFonts w:hint="eastAsia" w:ascii="仿宋_GB2312" w:hAnsi="仿宋" w:eastAsia="仿宋_GB2312"/>
          <w:sz w:val="32"/>
          <w:szCs w:val="32"/>
        </w:rPr>
      </w:pPr>
    </w:p>
    <w:p w14:paraId="332F246D">
      <w:pPr>
        <w:spacing w:line="560" w:lineRule="exact"/>
        <w:ind w:firstLine="800" w:firstLineChars="250"/>
        <w:rPr>
          <w:rFonts w:hint="eastAsia" w:ascii="仿宋_GB2312" w:hAnsi="仿宋" w:eastAsia="仿宋_GB2312"/>
          <w:sz w:val="32"/>
          <w:szCs w:val="32"/>
        </w:rPr>
      </w:pPr>
    </w:p>
    <w:p w14:paraId="2DCE2F09">
      <w:pPr>
        <w:adjustRightInd w:val="0"/>
        <w:snapToGrid w:val="0"/>
        <w:spacing w:line="560" w:lineRule="exact"/>
        <w:jc w:val="center"/>
        <w:outlineLvl w:val="0"/>
        <w:rPr>
          <w:rFonts w:hint="eastAsia" w:ascii="方正小标宋简体" w:hAnsi="黑体" w:eastAsia="方正小标宋简体"/>
          <w:sz w:val="44"/>
          <w:szCs w:val="44"/>
        </w:rPr>
      </w:pPr>
    </w:p>
    <w:p w14:paraId="60D58D88">
      <w:pPr>
        <w:adjustRightInd w:val="0"/>
        <w:snapToGrid w:val="0"/>
        <w:spacing w:line="560" w:lineRule="exact"/>
        <w:jc w:val="center"/>
        <w:outlineLvl w:val="0"/>
        <w:rPr>
          <w:rFonts w:hint="eastAsia" w:ascii="方正小标宋简体" w:hAnsi="黑体" w:eastAsia="方正小标宋简体"/>
          <w:sz w:val="44"/>
          <w:szCs w:val="44"/>
        </w:rPr>
      </w:pPr>
    </w:p>
    <w:p w14:paraId="0CCD2892">
      <w:pPr>
        <w:adjustRightInd w:val="0"/>
        <w:snapToGrid w:val="0"/>
        <w:spacing w:line="560" w:lineRule="exact"/>
        <w:jc w:val="center"/>
        <w:outlineLvl w:val="0"/>
        <w:rPr>
          <w:rFonts w:hint="eastAsia" w:ascii="方正小标宋简体" w:hAnsi="黑体" w:eastAsia="方正小标宋简体"/>
          <w:sz w:val="44"/>
          <w:szCs w:val="44"/>
        </w:rPr>
      </w:pPr>
    </w:p>
    <w:p w14:paraId="0DE9F9E1">
      <w:pPr>
        <w:adjustRightInd w:val="0"/>
        <w:snapToGrid w:val="0"/>
        <w:spacing w:line="560" w:lineRule="exact"/>
        <w:jc w:val="center"/>
        <w:outlineLvl w:val="0"/>
        <w:rPr>
          <w:rFonts w:hint="eastAsia" w:ascii="方正小标宋简体" w:hAnsi="黑体" w:eastAsia="方正小标宋简体"/>
          <w:sz w:val="44"/>
          <w:szCs w:val="44"/>
        </w:rPr>
      </w:pPr>
    </w:p>
    <w:p w14:paraId="1C22B542">
      <w:pPr>
        <w:adjustRightInd w:val="0"/>
        <w:snapToGrid w:val="0"/>
        <w:spacing w:line="560" w:lineRule="exact"/>
        <w:jc w:val="center"/>
        <w:outlineLvl w:val="0"/>
        <w:rPr>
          <w:rFonts w:hint="eastAsia" w:ascii="方正小标宋简体" w:hAnsi="黑体" w:eastAsia="方正小标宋简体"/>
          <w:sz w:val="44"/>
          <w:szCs w:val="44"/>
        </w:rPr>
      </w:pPr>
    </w:p>
    <w:p w14:paraId="15A4812E">
      <w:pPr>
        <w:adjustRightInd w:val="0"/>
        <w:snapToGrid w:val="0"/>
        <w:spacing w:line="560" w:lineRule="exact"/>
        <w:jc w:val="center"/>
        <w:outlineLvl w:val="0"/>
        <w:rPr>
          <w:rFonts w:hint="eastAsia" w:ascii="方正小标宋简体" w:hAnsi="黑体" w:eastAsia="方正小标宋简体"/>
          <w:sz w:val="44"/>
          <w:szCs w:val="44"/>
        </w:rPr>
      </w:pPr>
    </w:p>
    <w:p w14:paraId="6EEA90F8">
      <w:pPr>
        <w:adjustRightInd w:val="0"/>
        <w:snapToGrid w:val="0"/>
        <w:spacing w:line="560" w:lineRule="exact"/>
        <w:jc w:val="center"/>
        <w:outlineLvl w:val="0"/>
        <w:rPr>
          <w:rFonts w:hint="eastAsia" w:ascii="方正小标宋简体" w:hAnsi="黑体" w:eastAsia="方正小标宋简体"/>
          <w:sz w:val="44"/>
          <w:szCs w:val="44"/>
        </w:rPr>
      </w:pPr>
    </w:p>
    <w:p w14:paraId="40A7443E">
      <w:pPr>
        <w:adjustRightInd w:val="0"/>
        <w:snapToGrid w:val="0"/>
        <w:spacing w:line="560" w:lineRule="exact"/>
        <w:jc w:val="center"/>
        <w:outlineLvl w:val="0"/>
        <w:rPr>
          <w:rFonts w:hint="eastAsia" w:ascii="方正小标宋简体" w:hAnsi="黑体" w:eastAsia="方正小标宋简体"/>
          <w:sz w:val="44"/>
          <w:szCs w:val="44"/>
        </w:rPr>
      </w:pPr>
    </w:p>
    <w:p w14:paraId="19990CB0">
      <w:pPr>
        <w:adjustRightInd w:val="0"/>
        <w:snapToGrid w:val="0"/>
        <w:spacing w:line="560" w:lineRule="exact"/>
        <w:jc w:val="center"/>
        <w:outlineLvl w:val="0"/>
        <w:rPr>
          <w:rFonts w:hint="eastAsia" w:ascii="方正小标宋简体" w:hAnsi="黑体" w:eastAsia="方正小标宋简体"/>
          <w:sz w:val="44"/>
          <w:szCs w:val="44"/>
        </w:rPr>
      </w:pPr>
    </w:p>
    <w:p w14:paraId="62B38D30">
      <w:pPr>
        <w:adjustRightInd w:val="0"/>
        <w:snapToGrid w:val="0"/>
        <w:spacing w:line="560" w:lineRule="exact"/>
        <w:jc w:val="center"/>
        <w:outlineLvl w:val="0"/>
        <w:rPr>
          <w:rFonts w:hint="eastAsia" w:ascii="方正小标宋简体" w:hAnsi="黑体" w:eastAsia="方正小标宋简体"/>
          <w:sz w:val="44"/>
          <w:szCs w:val="44"/>
        </w:rPr>
      </w:pPr>
    </w:p>
    <w:p w14:paraId="1D6F53A2">
      <w:pPr>
        <w:adjustRightInd w:val="0"/>
        <w:snapToGrid w:val="0"/>
        <w:spacing w:line="560" w:lineRule="exact"/>
        <w:jc w:val="center"/>
        <w:outlineLvl w:val="0"/>
        <w:rPr>
          <w:rFonts w:hint="eastAsia" w:ascii="方正小标宋简体" w:hAnsi="黑体" w:eastAsia="方正小标宋简体"/>
          <w:sz w:val="44"/>
          <w:szCs w:val="44"/>
        </w:rPr>
      </w:pPr>
    </w:p>
    <w:p w14:paraId="47AEEEB4">
      <w:pPr>
        <w:adjustRightInd w:val="0"/>
        <w:snapToGrid w:val="0"/>
        <w:spacing w:line="560" w:lineRule="exact"/>
        <w:jc w:val="center"/>
        <w:outlineLvl w:val="0"/>
        <w:rPr>
          <w:rFonts w:hint="eastAsia" w:ascii="方正小标宋简体" w:hAnsi="黑体" w:eastAsia="方正小标宋简体"/>
          <w:sz w:val="44"/>
          <w:szCs w:val="44"/>
        </w:rPr>
      </w:pPr>
    </w:p>
    <w:p w14:paraId="4E1C979D">
      <w:pPr>
        <w:adjustRightInd w:val="0"/>
        <w:snapToGrid w:val="0"/>
        <w:spacing w:line="560" w:lineRule="exact"/>
        <w:jc w:val="center"/>
        <w:outlineLvl w:val="0"/>
        <w:rPr>
          <w:rFonts w:hint="eastAsia" w:ascii="方正小标宋简体" w:hAnsi="黑体" w:eastAsia="方正小标宋简体"/>
          <w:sz w:val="44"/>
          <w:szCs w:val="44"/>
        </w:rPr>
      </w:pPr>
    </w:p>
    <w:p w14:paraId="607EBD23">
      <w:pPr>
        <w:adjustRightInd w:val="0"/>
        <w:snapToGrid w:val="0"/>
        <w:spacing w:line="560" w:lineRule="exact"/>
        <w:jc w:val="center"/>
        <w:outlineLvl w:val="0"/>
        <w:rPr>
          <w:rFonts w:hint="eastAsia" w:ascii="方正小标宋简体" w:hAnsi="黑体" w:eastAsia="方正小标宋简体"/>
          <w:sz w:val="44"/>
          <w:szCs w:val="44"/>
        </w:rPr>
      </w:pPr>
    </w:p>
    <w:p w14:paraId="333F391E">
      <w:pPr>
        <w:adjustRightInd w:val="0"/>
        <w:snapToGrid w:val="0"/>
        <w:spacing w:line="560" w:lineRule="exact"/>
        <w:jc w:val="center"/>
        <w:outlineLvl w:val="0"/>
        <w:rPr>
          <w:rStyle w:val="15"/>
          <w:rFonts w:hint="eastAsia" w:ascii="方正小标宋简体" w:hAnsi="黑体" w:eastAsia="方正小标宋简体"/>
          <w:b w:val="0"/>
          <w:bCs w:val="0"/>
        </w:rPr>
      </w:pPr>
      <w:r>
        <w:rPr>
          <w:rFonts w:hint="eastAsia" w:ascii="方正小标宋简体" w:hAnsi="黑体" w:eastAsia="方正小标宋简体"/>
          <w:sz w:val="44"/>
          <w:szCs w:val="44"/>
        </w:rPr>
        <w:t xml:space="preserve">第二部分  </w:t>
      </w:r>
      <w:r>
        <w:rPr>
          <w:rStyle w:val="15"/>
          <w:rFonts w:hint="eastAsia" w:ascii="方正小标宋简体" w:hAnsi="黑体" w:eastAsia="方正小标宋简体"/>
          <w:b w:val="0"/>
          <w:bCs w:val="0"/>
        </w:rPr>
        <w:t>2022年度单位决算情况说明</w:t>
      </w:r>
      <w:bookmarkEnd w:id="0"/>
      <w:bookmarkEnd w:id="1"/>
    </w:p>
    <w:p w14:paraId="6831E900">
      <w:pPr>
        <w:spacing w:line="560" w:lineRule="exact"/>
      </w:pPr>
    </w:p>
    <w:p w14:paraId="2DD3FDE3">
      <w:pPr>
        <w:pStyle w:val="17"/>
        <w:numPr>
          <w:ilvl w:val="0"/>
          <w:numId w:val="1"/>
        </w:numPr>
        <w:spacing w:line="560" w:lineRule="exact"/>
        <w:ind w:firstLineChars="0"/>
        <w:outlineLvl w:val="1"/>
        <w:rPr>
          <w:rStyle w:val="16"/>
          <w:rFonts w:ascii="黑体" w:hAnsi="黑体" w:eastAsia="黑体"/>
          <w:b w:val="0"/>
        </w:rPr>
      </w:pPr>
      <w:bookmarkStart w:id="21" w:name="_Toc15396603"/>
      <w:bookmarkStart w:id="22" w:name="_Toc15377205"/>
      <w:r>
        <w:rPr>
          <w:rFonts w:hint="eastAsia" w:ascii="黑体" w:hAnsi="黑体" w:eastAsia="黑体"/>
          <w:color w:val="000000"/>
          <w:sz w:val="32"/>
          <w:szCs w:val="32"/>
        </w:rPr>
        <w:t>收</w:t>
      </w:r>
      <w:r>
        <w:rPr>
          <w:rStyle w:val="16"/>
          <w:rFonts w:hint="eastAsia" w:ascii="黑体" w:hAnsi="黑体" w:eastAsia="黑体"/>
          <w:b w:val="0"/>
        </w:rPr>
        <w:t>入支出决算总体情况说明</w:t>
      </w:r>
      <w:bookmarkEnd w:id="21"/>
      <w:bookmarkEnd w:id="22"/>
    </w:p>
    <w:p w14:paraId="75C62697">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2022年度收入总计231.91万元；支出总计231.91万元。与2021年相比，收入总计增加35.86万元，上升18.29%。主要变动原因是人员费用增加，支出总计增加35.86万元，上升18.29%。主要变动原因是</w:t>
      </w:r>
      <w:r>
        <w:rPr>
          <w:rFonts w:hint="eastAsia" w:ascii="仿宋_GB2312" w:hAnsi="仿宋" w:eastAsia="仿宋_GB2312"/>
          <w:color w:val="000000"/>
          <w:sz w:val="32"/>
          <w:szCs w:val="32"/>
          <w:lang w:eastAsia="zh-CN"/>
        </w:rPr>
        <w:t>人员工资、保险、住房保障等</w:t>
      </w:r>
      <w:r>
        <w:rPr>
          <w:rFonts w:hint="eastAsia" w:ascii="仿宋_GB2312" w:hAnsi="仿宋" w:eastAsia="仿宋_GB2312"/>
          <w:color w:val="000000"/>
          <w:sz w:val="32"/>
          <w:szCs w:val="32"/>
        </w:rPr>
        <w:t>费用</w:t>
      </w:r>
      <w:r>
        <w:rPr>
          <w:rFonts w:hint="eastAsia" w:ascii="仿宋_GB2312" w:hAnsi="仿宋" w:eastAsia="仿宋_GB2312"/>
          <w:color w:val="000000"/>
          <w:sz w:val="32"/>
          <w:szCs w:val="32"/>
          <w:lang w:eastAsia="zh-CN"/>
        </w:rPr>
        <w:t>及新购置</w:t>
      </w:r>
      <w:r>
        <w:rPr>
          <w:rFonts w:hint="eastAsia" w:ascii="仿宋_GB2312" w:eastAsia="仿宋_GB2312"/>
          <w:sz w:val="32"/>
          <w:szCs w:val="32"/>
        </w:rPr>
        <w:t>车辆</w:t>
      </w:r>
      <w:r>
        <w:rPr>
          <w:rFonts w:hint="eastAsia" w:ascii="仿宋_GB2312" w:eastAsia="仿宋_GB2312"/>
          <w:sz w:val="32"/>
          <w:szCs w:val="32"/>
          <w:lang w:eastAsia="zh-CN"/>
        </w:rPr>
        <w:t>费用</w:t>
      </w:r>
      <w:r>
        <w:rPr>
          <w:rFonts w:hint="eastAsia" w:ascii="仿宋_GB2312" w:hAnsi="仿宋" w:eastAsia="仿宋_GB2312"/>
          <w:color w:val="000000"/>
          <w:sz w:val="32"/>
          <w:szCs w:val="32"/>
        </w:rPr>
        <w:t>增加。</w:t>
      </w:r>
    </w:p>
    <w:p w14:paraId="46748E5C">
      <w:pPr>
        <w:spacing w:line="560" w:lineRule="exact"/>
        <w:ind w:firstLine="640" w:firstLineChars="200"/>
        <w:rPr>
          <w:rFonts w:hint="eastAsia" w:ascii="宋体" w:hAnsi="宋体" w:cs="宋体"/>
          <w:b/>
          <w:bCs/>
          <w:color w:val="000000"/>
          <w:kern w:val="0"/>
          <w:sz w:val="28"/>
          <w:szCs w:val="28"/>
        </w:rPr>
      </w:pPr>
      <w:r>
        <w:rPr>
          <w:rFonts w:hint="eastAsia" w:ascii="仿宋_GB2312" w:hAnsi="仿宋" w:eastAsia="仿宋_GB2312"/>
          <w:color w:val="000000"/>
          <w:sz w:val="32"/>
          <w:szCs w:val="32"/>
        </w:rPr>
        <w:drawing>
          <wp:anchor distT="0" distB="0" distL="114300" distR="114300" simplePos="0" relativeHeight="251659264" behindDoc="1" locked="0" layoutInCell="1" allowOverlap="1">
            <wp:simplePos x="0" y="0"/>
            <wp:positionH relativeFrom="column">
              <wp:posOffset>-59055</wp:posOffset>
            </wp:positionH>
            <wp:positionV relativeFrom="paragraph">
              <wp:posOffset>1279525</wp:posOffset>
            </wp:positionV>
            <wp:extent cx="5264150" cy="3188335"/>
            <wp:effectExtent l="19050" t="0" r="12700" b="0"/>
            <wp:wrapTight wrapText="bothSides">
              <wp:wrapPolygon>
                <wp:start x="-78" y="0"/>
                <wp:lineTo x="-78" y="21553"/>
                <wp:lineTo x="21652" y="21553"/>
                <wp:lineTo x="21652" y="0"/>
                <wp:lineTo x="-78" y="0"/>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ascii="仿宋_GB2312" w:hAnsi="仿宋" w:eastAsia="仿宋_GB2312"/>
          <w:color w:val="000000"/>
          <w:sz w:val="32"/>
          <w:szCs w:val="32"/>
        </w:rPr>
        <w:t>2022年财政拨款收入231.91万元，与2021年相比，财政拨款支出总计增加35.86万元，上升18.29%。主要变动原因是人员工资、</w:t>
      </w:r>
      <w:r>
        <w:rPr>
          <w:rFonts w:hint="eastAsia" w:ascii="仿宋_GB2312" w:eastAsia="仿宋_GB2312"/>
          <w:sz w:val="32"/>
          <w:szCs w:val="32"/>
        </w:rPr>
        <w:t>车辆购置</w:t>
      </w:r>
      <w:r>
        <w:rPr>
          <w:rFonts w:hint="eastAsia" w:ascii="仿宋_GB2312" w:hAnsi="仿宋" w:eastAsia="仿宋_GB2312"/>
          <w:color w:val="000000"/>
          <w:sz w:val="32"/>
          <w:szCs w:val="32"/>
        </w:rPr>
        <w:t>增加。</w:t>
      </w:r>
      <w:r>
        <w:rPr>
          <w:rFonts w:ascii="宋体" w:hAnsi="宋体" w:cs="宋体"/>
          <w:b/>
          <w:bCs/>
          <w:color w:val="000000"/>
          <w:kern w:val="0"/>
          <w:sz w:val="28"/>
          <w:szCs w:val="28"/>
        </w:rPr>
        <w:t xml:space="preserve"> </w:t>
      </w:r>
    </w:p>
    <w:p w14:paraId="102EBE7E">
      <w:pPr>
        <w:spacing w:line="560" w:lineRule="exact"/>
        <w:ind w:firstLine="640" w:firstLineChars="200"/>
        <w:jc w:val="left"/>
        <w:rPr>
          <w:rStyle w:val="16"/>
          <w:rFonts w:ascii="黑体" w:hAnsi="黑体" w:eastAsia="黑体"/>
          <w:b w:val="0"/>
        </w:rPr>
      </w:pPr>
      <w:bookmarkStart w:id="23" w:name="_Toc15377206"/>
      <w:bookmarkStart w:id="24" w:name="_Toc15396604"/>
      <w:r>
        <w:rPr>
          <w:rFonts w:hint="eastAsia" w:ascii="黑体" w:hAnsi="黑体" w:eastAsia="黑体"/>
          <w:color w:val="000000"/>
          <w:sz w:val="32"/>
          <w:szCs w:val="32"/>
        </w:rPr>
        <w:t>二、收</w:t>
      </w:r>
      <w:r>
        <w:rPr>
          <w:rStyle w:val="16"/>
          <w:rFonts w:hint="eastAsia" w:ascii="黑体" w:hAnsi="黑体" w:eastAsia="黑体"/>
          <w:b w:val="0"/>
        </w:rPr>
        <w:t>入决算情况说明</w:t>
      </w:r>
      <w:bookmarkEnd w:id="23"/>
      <w:bookmarkEnd w:id="24"/>
    </w:p>
    <w:p w14:paraId="090569D3">
      <w:pPr>
        <w:spacing w:line="560" w:lineRule="exact"/>
        <w:ind w:firstLine="640" w:firstLineChars="200"/>
        <w:outlineLvl w:val="1"/>
        <w:rPr>
          <w:rFonts w:hint="eastAsia" w:ascii="仿宋_GB2312" w:hAnsi="仿宋" w:eastAsia="仿宋_GB2312"/>
          <w:color w:val="000000"/>
          <w:sz w:val="32"/>
          <w:szCs w:val="32"/>
        </w:rPr>
      </w:pPr>
      <w:r>
        <w:rPr>
          <w:rFonts w:hint="eastAsia" w:ascii="仿宋_GB2312" w:hAnsi="仿宋" w:eastAsia="仿宋_GB2312"/>
          <w:color w:val="000000"/>
          <w:sz w:val="32"/>
          <w:szCs w:val="32"/>
        </w:rPr>
        <w:t>2022年本年收入合计231.91万元，其中：一般公共预算财政拨款收入231.91万元，占100%；项目收入0万元；政府性基金预算财政拨款收入0万元；国有资本经营预算财政拨款收入0万元；事业收入0万元；经营收入0万元；附</w:t>
      </w:r>
      <w:r>
        <w:rPr>
          <w:rFonts w:hint="eastAsia" w:ascii="仿宋_GB2312" w:hAnsi="仿宋" w:eastAsia="仿宋_GB2312"/>
          <w:color w:val="000000"/>
          <w:sz w:val="32"/>
          <w:szCs w:val="32"/>
        </w:rPr>
        <w:drawing>
          <wp:anchor distT="0" distB="0" distL="114300" distR="114300" simplePos="0" relativeHeight="251660288" behindDoc="1" locked="0" layoutInCell="1" allowOverlap="1">
            <wp:simplePos x="0" y="0"/>
            <wp:positionH relativeFrom="column">
              <wp:posOffset>203835</wp:posOffset>
            </wp:positionH>
            <wp:positionV relativeFrom="paragraph">
              <wp:posOffset>818515</wp:posOffset>
            </wp:positionV>
            <wp:extent cx="4853940" cy="2509520"/>
            <wp:effectExtent l="19050" t="0" r="22860" b="5080"/>
            <wp:wrapTight wrapText="bothSides">
              <wp:wrapPolygon>
                <wp:start x="-85" y="0"/>
                <wp:lineTo x="-85" y="21644"/>
                <wp:lineTo x="21702" y="21644"/>
                <wp:lineTo x="21702" y="0"/>
                <wp:lineTo x="-85" y="0"/>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_GB2312" w:hAnsi="仿宋" w:eastAsia="仿宋_GB2312"/>
          <w:color w:val="000000"/>
          <w:sz w:val="32"/>
          <w:szCs w:val="32"/>
        </w:rPr>
        <w:t>属单位上缴收入0万元；其他收入0万元。</w:t>
      </w:r>
    </w:p>
    <w:p w14:paraId="0F51C4D4">
      <w:pPr>
        <w:spacing w:line="560" w:lineRule="exact"/>
        <w:ind w:firstLine="640" w:firstLineChars="200"/>
        <w:rPr>
          <w:rStyle w:val="16"/>
          <w:rFonts w:ascii="黑体" w:hAnsi="黑体" w:eastAsia="黑体"/>
          <w:b w:val="0"/>
        </w:rPr>
      </w:pPr>
      <w:r>
        <w:rPr>
          <w:rFonts w:hint="eastAsia" w:ascii="黑体" w:hAnsi="黑体" w:eastAsia="黑体"/>
          <w:color w:val="000000"/>
          <w:sz w:val="32"/>
          <w:szCs w:val="32"/>
        </w:rPr>
        <w:t>三、支</w:t>
      </w:r>
      <w:r>
        <w:rPr>
          <w:rStyle w:val="16"/>
          <w:rFonts w:hint="eastAsia" w:ascii="黑体" w:hAnsi="黑体" w:eastAsia="黑体"/>
          <w:b w:val="0"/>
        </w:rPr>
        <w:t>出决算情况说明</w:t>
      </w:r>
    </w:p>
    <w:p w14:paraId="1EFDE73A">
      <w:pPr>
        <w:spacing w:line="56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drawing>
          <wp:anchor distT="0" distB="0" distL="114300" distR="114300" simplePos="0" relativeHeight="251661312" behindDoc="1" locked="0" layoutInCell="1" allowOverlap="1">
            <wp:simplePos x="0" y="0"/>
            <wp:positionH relativeFrom="column">
              <wp:posOffset>84455</wp:posOffset>
            </wp:positionH>
            <wp:positionV relativeFrom="paragraph">
              <wp:posOffset>1232535</wp:posOffset>
            </wp:positionV>
            <wp:extent cx="4929505" cy="2560320"/>
            <wp:effectExtent l="19050" t="0" r="23495" b="0"/>
            <wp:wrapTight wrapText="bothSides">
              <wp:wrapPolygon>
                <wp:start x="-83" y="0"/>
                <wp:lineTo x="-83" y="21536"/>
                <wp:lineTo x="21703" y="21536"/>
                <wp:lineTo x="21703" y="0"/>
                <wp:lineTo x="-83" y="0"/>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_GB2312" w:hAnsi="仿宋" w:eastAsia="仿宋_GB2312"/>
          <w:color w:val="000000"/>
          <w:sz w:val="32"/>
          <w:szCs w:val="32"/>
        </w:rPr>
        <w:t>2022年本年支出合计231.91万元。其中：基本支出231.91万元，占100%；项目支出0万元；上缴上级支出0万元；经营支出0万元；对附属单位补助支出0万元。</w:t>
      </w:r>
    </w:p>
    <w:p w14:paraId="2B6557BC">
      <w:pPr>
        <w:spacing w:line="560" w:lineRule="exact"/>
        <w:ind w:firstLine="640" w:firstLineChars="200"/>
        <w:jc w:val="left"/>
        <w:rPr>
          <w:rStyle w:val="16"/>
          <w:rFonts w:ascii="仿宋_GB2312" w:eastAsia="仿宋_GB2312"/>
          <w:b w:val="0"/>
          <w:bCs w:val="0"/>
          <w:color w:val="FF0000"/>
        </w:rPr>
      </w:pPr>
      <w:r>
        <w:rPr>
          <w:rFonts w:hint="eastAsia" w:ascii="黑体" w:hAnsi="黑体" w:eastAsia="黑体"/>
          <w:color w:val="000000"/>
          <w:sz w:val="32"/>
          <w:szCs w:val="32"/>
        </w:rPr>
        <w:t>四、财</w:t>
      </w:r>
      <w:r>
        <w:rPr>
          <w:rStyle w:val="16"/>
          <w:rFonts w:hint="eastAsia" w:ascii="黑体" w:hAnsi="黑体" w:eastAsia="黑体"/>
          <w:b w:val="0"/>
        </w:rPr>
        <w:t>政拨款收入支出决算总体情况说明</w:t>
      </w:r>
    </w:p>
    <w:p w14:paraId="654F3869">
      <w:pPr>
        <w:spacing w:line="560" w:lineRule="exact"/>
        <w:ind w:firstLine="640" w:firstLineChars="200"/>
        <w:rPr>
          <w:rStyle w:val="16"/>
          <w:rFonts w:hint="eastAsia" w:ascii="仿宋_GB2312" w:hAnsi="仿宋" w:eastAsia="仿宋_GB2312"/>
          <w:b w:val="0"/>
          <w:bCs w:val="0"/>
          <w:color w:val="000000"/>
        </w:rPr>
      </w:pPr>
      <w:r>
        <w:rPr>
          <w:rFonts w:hint="eastAsia" w:ascii="仿宋_GB2312" w:hAnsi="仿宋" w:eastAsia="仿宋_GB2312"/>
          <w:color w:val="000000"/>
          <w:sz w:val="32"/>
          <w:szCs w:val="32"/>
        </w:rPr>
        <w:t>2022年财政拨款收入231.91万元，与2021年相比，财政拨款收入总计增加35.86万元，上升18.29%。主要变动原因是人员</w:t>
      </w:r>
      <w:r>
        <w:rPr>
          <w:rFonts w:hint="eastAsia" w:ascii="仿宋_GB2312" w:hAnsi="仿宋" w:eastAsia="仿宋_GB2312"/>
          <w:color w:val="000000"/>
          <w:sz w:val="32"/>
          <w:szCs w:val="32"/>
          <w:lang w:eastAsia="zh-CN"/>
        </w:rPr>
        <w:t>工资、保险、住房保障等</w:t>
      </w:r>
      <w:r>
        <w:rPr>
          <w:rFonts w:hint="eastAsia" w:ascii="仿宋_GB2312" w:hAnsi="仿宋" w:eastAsia="仿宋_GB2312"/>
          <w:color w:val="000000"/>
          <w:sz w:val="32"/>
          <w:szCs w:val="32"/>
        </w:rPr>
        <w:t>费用</w:t>
      </w:r>
      <w:r>
        <w:rPr>
          <w:rFonts w:hint="eastAsia" w:ascii="仿宋_GB2312" w:hAnsi="仿宋" w:eastAsia="仿宋_GB2312"/>
          <w:color w:val="000000"/>
          <w:sz w:val="32"/>
          <w:szCs w:val="32"/>
          <w:lang w:eastAsia="zh-CN"/>
        </w:rPr>
        <w:t>及新购置</w:t>
      </w:r>
      <w:r>
        <w:rPr>
          <w:rFonts w:hint="eastAsia" w:ascii="仿宋_GB2312" w:eastAsia="仿宋_GB2312"/>
          <w:sz w:val="32"/>
          <w:szCs w:val="32"/>
        </w:rPr>
        <w:t>车辆</w:t>
      </w:r>
      <w:r>
        <w:rPr>
          <w:rFonts w:hint="eastAsia" w:ascii="仿宋_GB2312" w:eastAsia="仿宋_GB2312"/>
          <w:sz w:val="32"/>
          <w:szCs w:val="32"/>
          <w:lang w:eastAsia="zh-CN"/>
        </w:rPr>
        <w:t>费用</w:t>
      </w:r>
      <w:r>
        <w:rPr>
          <w:rFonts w:hint="eastAsia" w:ascii="仿宋_GB2312" w:hAnsi="仿宋" w:eastAsia="仿宋_GB2312"/>
          <w:color w:val="000000"/>
          <w:sz w:val="32"/>
          <w:szCs w:val="32"/>
        </w:rPr>
        <w:t>增加。</w:t>
      </w:r>
    </w:p>
    <w:p w14:paraId="25935B90">
      <w:pPr>
        <w:spacing w:line="560" w:lineRule="exact"/>
        <w:ind w:firstLine="640" w:firstLineChars="200"/>
        <w:rPr>
          <w:rStyle w:val="16"/>
          <w:rFonts w:hint="eastAsia" w:ascii="仿宋_GB2312" w:hAnsi="仿宋" w:eastAsia="仿宋_GB2312"/>
          <w:b w:val="0"/>
          <w:bCs w:val="0"/>
          <w:color w:val="000000"/>
        </w:rPr>
      </w:pPr>
      <w:r>
        <w:rPr>
          <w:rFonts w:hint="eastAsia" w:ascii="仿宋_GB2312" w:hAnsi="仿宋" w:eastAsia="仿宋_GB2312"/>
          <w:color w:val="000000"/>
          <w:sz w:val="32"/>
          <w:szCs w:val="32"/>
        </w:rPr>
        <w:drawing>
          <wp:anchor distT="0" distB="0" distL="114300" distR="114300" simplePos="0" relativeHeight="251662336" behindDoc="1" locked="0" layoutInCell="1" allowOverlap="1">
            <wp:simplePos x="0" y="0"/>
            <wp:positionH relativeFrom="column">
              <wp:posOffset>60325</wp:posOffset>
            </wp:positionH>
            <wp:positionV relativeFrom="paragraph">
              <wp:posOffset>1212850</wp:posOffset>
            </wp:positionV>
            <wp:extent cx="5165090" cy="3013075"/>
            <wp:effectExtent l="19050" t="0" r="16510" b="0"/>
            <wp:wrapTight wrapText="bothSides">
              <wp:wrapPolygon>
                <wp:start x="-80" y="0"/>
                <wp:lineTo x="-80" y="21577"/>
                <wp:lineTo x="21669" y="21577"/>
                <wp:lineTo x="21669" y="0"/>
                <wp:lineTo x="-80" y="0"/>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_GB2312" w:hAnsi="仿宋" w:eastAsia="仿宋_GB2312"/>
          <w:color w:val="000000"/>
          <w:sz w:val="32"/>
          <w:szCs w:val="32"/>
        </w:rPr>
        <w:t>支出总计231.91万元。与2021年相比，财政拨款支出总计增加35.86万元，上升18.29%。主要变动原因是人员</w:t>
      </w:r>
      <w:r>
        <w:rPr>
          <w:rFonts w:hint="eastAsia" w:ascii="仿宋_GB2312" w:hAnsi="仿宋" w:eastAsia="仿宋_GB2312"/>
          <w:color w:val="000000"/>
          <w:sz w:val="32"/>
          <w:szCs w:val="32"/>
          <w:lang w:eastAsia="zh-CN"/>
        </w:rPr>
        <w:t>工资、保险、住房保障等</w:t>
      </w:r>
      <w:r>
        <w:rPr>
          <w:rFonts w:hint="eastAsia" w:ascii="仿宋_GB2312" w:hAnsi="仿宋" w:eastAsia="仿宋_GB2312"/>
          <w:color w:val="000000"/>
          <w:sz w:val="32"/>
          <w:szCs w:val="32"/>
        </w:rPr>
        <w:t>费用</w:t>
      </w:r>
      <w:r>
        <w:rPr>
          <w:rFonts w:hint="eastAsia" w:ascii="仿宋_GB2312" w:hAnsi="仿宋" w:eastAsia="仿宋_GB2312"/>
          <w:color w:val="000000"/>
          <w:sz w:val="32"/>
          <w:szCs w:val="32"/>
          <w:lang w:eastAsia="zh-CN"/>
        </w:rPr>
        <w:t>及新购置</w:t>
      </w:r>
      <w:r>
        <w:rPr>
          <w:rFonts w:hint="eastAsia" w:ascii="仿宋_GB2312" w:eastAsia="仿宋_GB2312"/>
          <w:sz w:val="32"/>
          <w:szCs w:val="32"/>
        </w:rPr>
        <w:t>车辆</w:t>
      </w:r>
      <w:r>
        <w:rPr>
          <w:rFonts w:hint="eastAsia" w:ascii="仿宋_GB2312" w:eastAsia="仿宋_GB2312"/>
          <w:sz w:val="32"/>
          <w:szCs w:val="32"/>
          <w:lang w:eastAsia="zh-CN"/>
        </w:rPr>
        <w:t>费用</w:t>
      </w:r>
      <w:r>
        <w:rPr>
          <w:rFonts w:hint="eastAsia" w:ascii="仿宋_GB2312" w:hAnsi="仿宋" w:eastAsia="仿宋_GB2312"/>
          <w:color w:val="000000"/>
          <w:sz w:val="32"/>
          <w:szCs w:val="32"/>
        </w:rPr>
        <w:t>增加。</w:t>
      </w:r>
    </w:p>
    <w:p w14:paraId="3F46E309">
      <w:pPr>
        <w:spacing w:line="560" w:lineRule="exact"/>
        <w:ind w:firstLine="640" w:firstLineChars="200"/>
        <w:rPr>
          <w:rStyle w:val="16"/>
          <w:rFonts w:hint="eastAsia" w:ascii="仿宋_GB2312" w:hAnsi="仿宋" w:eastAsia="仿宋_GB2312"/>
          <w:b w:val="0"/>
          <w:bCs w:val="0"/>
          <w:color w:val="000000"/>
        </w:rPr>
      </w:pPr>
    </w:p>
    <w:p w14:paraId="479003EF">
      <w:pPr>
        <w:spacing w:line="560" w:lineRule="exact"/>
        <w:ind w:firstLine="640" w:firstLineChars="200"/>
        <w:rPr>
          <w:rStyle w:val="16"/>
          <w:rFonts w:hint="eastAsia" w:ascii="仿宋_GB2312" w:hAnsi="仿宋" w:eastAsia="仿宋_GB2312"/>
          <w:b w:val="0"/>
          <w:bCs w:val="0"/>
          <w:color w:val="000000"/>
        </w:rPr>
      </w:pPr>
      <w:r>
        <w:rPr>
          <w:rStyle w:val="16"/>
          <w:rFonts w:hint="eastAsia" w:ascii="黑体" w:hAnsi="黑体" w:eastAsia="黑体"/>
          <w:b w:val="0"/>
        </w:rPr>
        <w:t>五、一般公共预算财政拨款支出决算情况说明</w:t>
      </w:r>
      <w:bookmarkStart w:id="25" w:name="_Toc15377210"/>
    </w:p>
    <w:p w14:paraId="50DD2A96">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（一）一般公共预算财政拨款支出决算总体情况</w:t>
      </w:r>
    </w:p>
    <w:p w14:paraId="3EC262B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2022年一般公共预算财政拨款支出231.91万元，占本年支出合计的100%。与2021年相比，一般公共预算财政拨款支出</w:t>
      </w:r>
      <w:r>
        <w:rPr>
          <w:rFonts w:hint="eastAsia" w:ascii="仿宋_GB2312" w:hAnsi="仿宋" w:eastAsia="仿宋_GB2312"/>
          <w:color w:val="000000"/>
          <w:sz w:val="32"/>
          <w:szCs w:val="32"/>
        </w:rPr>
        <w:t>增加35.86万元，上升18.29%</w:t>
      </w:r>
      <w:r>
        <w:rPr>
          <w:rFonts w:hint="eastAsia" w:ascii="仿宋_GB2312" w:eastAsia="仿宋_GB2312"/>
          <w:sz w:val="32"/>
          <w:szCs w:val="32"/>
        </w:rPr>
        <w:t>。主要变动原因是人员</w:t>
      </w:r>
      <w:r>
        <w:rPr>
          <w:rFonts w:hint="eastAsia" w:ascii="仿宋_GB2312" w:hAnsi="仿宋" w:eastAsia="仿宋_GB2312"/>
          <w:color w:val="000000"/>
          <w:sz w:val="32"/>
          <w:szCs w:val="32"/>
          <w:lang w:eastAsia="zh-CN"/>
        </w:rPr>
        <w:t>工资、保险、住房保障等</w:t>
      </w:r>
      <w:r>
        <w:rPr>
          <w:rFonts w:hint="eastAsia" w:ascii="仿宋_GB2312" w:hAnsi="仿宋" w:eastAsia="仿宋_GB2312"/>
          <w:color w:val="000000"/>
          <w:sz w:val="32"/>
          <w:szCs w:val="32"/>
        </w:rPr>
        <w:t>费用</w:t>
      </w:r>
      <w:r>
        <w:rPr>
          <w:rFonts w:hint="eastAsia" w:ascii="仿宋_GB2312" w:hAnsi="仿宋" w:eastAsia="仿宋_GB2312"/>
          <w:color w:val="000000"/>
          <w:sz w:val="32"/>
          <w:szCs w:val="32"/>
          <w:lang w:eastAsia="zh-CN"/>
        </w:rPr>
        <w:t>及新购置</w:t>
      </w:r>
      <w:r>
        <w:rPr>
          <w:rFonts w:hint="eastAsia" w:ascii="仿宋_GB2312" w:eastAsia="仿宋_GB2312"/>
          <w:sz w:val="32"/>
          <w:szCs w:val="32"/>
        </w:rPr>
        <w:t>车辆</w:t>
      </w:r>
      <w:r>
        <w:rPr>
          <w:rFonts w:hint="eastAsia" w:ascii="仿宋_GB2312" w:eastAsia="仿宋_GB2312"/>
          <w:sz w:val="32"/>
          <w:szCs w:val="32"/>
          <w:lang w:eastAsia="zh-CN"/>
        </w:rPr>
        <w:t>费用</w:t>
      </w:r>
      <w:r>
        <w:rPr>
          <w:rFonts w:hint="eastAsia" w:ascii="仿宋_GB2312" w:hAnsi="仿宋" w:eastAsia="仿宋_GB2312"/>
          <w:color w:val="000000"/>
          <w:sz w:val="32"/>
          <w:szCs w:val="32"/>
        </w:rPr>
        <w:t>增加。</w:t>
      </w:r>
    </w:p>
    <w:bookmarkEnd w:id="25"/>
    <w:p w14:paraId="06A5B75B">
      <w:pPr>
        <w:spacing w:line="560" w:lineRule="exact"/>
        <w:ind w:firstLine="643" w:firstLineChars="200"/>
        <w:rPr>
          <w:rFonts w:hint="eastAsia" w:ascii="楷体_GB2312" w:hAnsi="仿宋" w:eastAsia="楷体_GB2312"/>
          <w:color w:val="000000"/>
          <w:sz w:val="32"/>
          <w:szCs w:val="32"/>
        </w:rPr>
      </w:pPr>
      <w:bookmarkStart w:id="26" w:name="_Toc15377211"/>
      <w:r>
        <w:rPr>
          <w:rFonts w:hint="eastAsia" w:ascii="楷体_GB2312" w:hAnsi="仿宋" w:eastAsia="楷体_GB2312"/>
          <w:b/>
          <w:color w:val="000000"/>
          <w:sz w:val="32"/>
          <w:szCs w:val="32"/>
        </w:rPr>
        <w:t>（二）一般公共预算财政拨款支出决算结构情况</w:t>
      </w:r>
      <w:bookmarkEnd w:id="26"/>
    </w:p>
    <w:p w14:paraId="631BB7A2">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2022年一般公共预算财政拨款支出231.91万元：其中基本支出231.91万元，主要用于以下方面:灾害防治及应急管理（类）支出187.57万元，占81%；社会保障就业（类）</w:t>
      </w:r>
    </w:p>
    <w:p w14:paraId="58ACF59E">
      <w:pPr>
        <w:spacing w:line="560" w:lineRule="exact"/>
        <w:ind w:firstLine="640"/>
        <w:rPr>
          <w:rFonts w:hint="eastAsia" w:ascii="仿宋_GB2312" w:hAnsi="仿宋" w:eastAsia="仿宋_GB2312"/>
          <w:color w:val="000000"/>
          <w:sz w:val="32"/>
          <w:szCs w:val="32"/>
        </w:rPr>
      </w:pPr>
      <w:r>
        <w:rPr>
          <w:rFonts w:hint="eastAsia" w:ascii="仿宋_GB2312" w:hAnsi="仿宋" w:eastAsia="仿宋_GB2312"/>
          <w:color w:val="000000"/>
          <w:sz w:val="32"/>
          <w:szCs w:val="32"/>
        </w:rPr>
        <w:t>支出21.93万元</w:t>
      </w:r>
      <w:r>
        <w:rPr>
          <w:rFonts w:hint="eastAsia" w:ascii="仿宋_GB2312" w:hAnsi="仿宋" w:eastAsia="仿宋_GB2312"/>
          <w:b/>
          <w:color w:val="000000"/>
          <w:sz w:val="32"/>
          <w:szCs w:val="32"/>
        </w:rPr>
        <w:t>，</w:t>
      </w:r>
      <w:r>
        <w:rPr>
          <w:rFonts w:hint="eastAsia" w:ascii="仿宋_GB2312" w:hAnsi="仿宋" w:eastAsia="仿宋_GB2312"/>
          <w:color w:val="000000"/>
          <w:sz w:val="32"/>
          <w:szCs w:val="32"/>
        </w:rPr>
        <w:t>占9%；卫生与健康（类）支出9.24万元，占4%；住房保障（类）支出13.17万元，占6%。</w:t>
      </w:r>
    </w:p>
    <w:p w14:paraId="3851F5D3">
      <w:pPr>
        <w:spacing w:line="560" w:lineRule="exact"/>
        <w:ind w:firstLine="643" w:firstLineChars="200"/>
        <w:rPr>
          <w:rFonts w:ascii="仿宋_GB2312" w:hAnsi="仿宋" w:eastAsia="仿宋_GB2312"/>
          <w:color w:val="000000"/>
          <w:sz w:val="32"/>
          <w:szCs w:val="32"/>
        </w:rPr>
      </w:pPr>
      <w:bookmarkStart w:id="27" w:name="_Toc15377212"/>
      <w:r>
        <w:rPr>
          <w:rFonts w:hint="eastAsia" w:ascii="楷体_GB2312" w:hAnsi="仿宋" w:eastAsia="楷体_GB2312"/>
          <w:b/>
          <w:color w:val="000000"/>
          <w:sz w:val="32"/>
          <w:szCs w:val="32"/>
        </w:rPr>
        <w:t>（三）一般公共预算财政拨款支出决算具体情况</w:t>
      </w:r>
      <w:bookmarkEnd w:id="27"/>
    </w:p>
    <w:p w14:paraId="21C34085">
      <w:pPr>
        <w:spacing w:line="560" w:lineRule="exact"/>
        <w:ind w:firstLine="640" w:firstLineChars="200"/>
        <w:outlineLvl w:val="2"/>
        <w:rPr>
          <w:rFonts w:hint="eastAsia" w:ascii="仿宋_GB2312" w:hAnsi="仿宋" w:eastAsia="仿宋_GB2312"/>
          <w:b/>
          <w:color w:val="FF0000"/>
          <w:sz w:val="32"/>
          <w:szCs w:val="32"/>
        </w:rPr>
      </w:pPr>
      <w:bookmarkStart w:id="28" w:name="_Toc15377444"/>
      <w:bookmarkStart w:id="29" w:name="_Toc15377213"/>
      <w:bookmarkStart w:id="30" w:name="_Toc15378460"/>
      <w:r>
        <w:rPr>
          <w:rFonts w:hint="eastAsia" w:ascii="仿宋_GB2312" w:hAnsi="仿宋" w:eastAsia="仿宋_GB2312"/>
          <w:color w:val="000000"/>
          <w:sz w:val="32"/>
          <w:szCs w:val="32"/>
        </w:rPr>
        <w:drawing>
          <wp:anchor distT="0" distB="0" distL="114300" distR="114300" simplePos="0" relativeHeight="251663360" behindDoc="1" locked="0" layoutInCell="1" allowOverlap="1">
            <wp:simplePos x="0" y="0"/>
            <wp:positionH relativeFrom="column">
              <wp:posOffset>60325</wp:posOffset>
            </wp:positionH>
            <wp:positionV relativeFrom="paragraph">
              <wp:posOffset>793750</wp:posOffset>
            </wp:positionV>
            <wp:extent cx="5266055" cy="3188335"/>
            <wp:effectExtent l="19050" t="0" r="10795" b="0"/>
            <wp:wrapTight wrapText="bothSides">
              <wp:wrapPolygon>
                <wp:start x="-78" y="0"/>
                <wp:lineTo x="-78" y="21553"/>
                <wp:lineTo x="21644" y="21553"/>
                <wp:lineTo x="21644" y="0"/>
                <wp:lineTo x="-78" y="0"/>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hAnsi="仿宋" w:eastAsia="仿宋_GB2312"/>
          <w:color w:val="000000"/>
          <w:sz w:val="32"/>
          <w:szCs w:val="32"/>
        </w:rPr>
        <w:t>2022年般公共预算支出决算数为231.91万元，</w:t>
      </w:r>
      <w:r>
        <w:rPr>
          <w:rStyle w:val="12"/>
          <w:rFonts w:hint="eastAsia" w:ascii="仿宋_GB2312" w:hAnsi="仿宋" w:eastAsia="仿宋_GB2312"/>
          <w:b w:val="0"/>
          <w:bCs/>
          <w:color w:val="000000"/>
          <w:sz w:val="32"/>
          <w:szCs w:val="32"/>
        </w:rPr>
        <w:t>完成预算100%。其中：</w:t>
      </w:r>
      <w:bookmarkEnd w:id="28"/>
      <w:bookmarkEnd w:id="29"/>
      <w:bookmarkEnd w:id="30"/>
    </w:p>
    <w:p w14:paraId="5C58DF64">
      <w:pPr>
        <w:spacing w:line="560" w:lineRule="exact"/>
        <w:ind w:firstLine="643" w:firstLineChars="200"/>
        <w:rPr>
          <w:rFonts w:hint="eastAsia" w:ascii="仿宋_GB2312" w:hAnsi="仿宋" w:eastAsia="仿宋_GB2312"/>
          <w:b/>
          <w:color w:val="000000"/>
          <w:sz w:val="32"/>
          <w:szCs w:val="32"/>
        </w:rPr>
      </w:pPr>
      <w:r>
        <w:rPr>
          <w:rStyle w:val="12"/>
          <w:rFonts w:hint="eastAsia" w:ascii="仿宋_GB2312" w:hAnsi="仿宋" w:eastAsia="仿宋_GB2312"/>
          <w:bCs/>
          <w:color w:val="000000"/>
          <w:sz w:val="32"/>
          <w:szCs w:val="32"/>
        </w:rPr>
        <w:t>1.</w:t>
      </w:r>
      <w:r>
        <w:rPr>
          <w:rFonts w:hint="eastAsia" w:ascii="仿宋_GB2312" w:hAnsi="仿宋" w:eastAsia="仿宋_GB2312"/>
          <w:color w:val="000000"/>
          <w:sz w:val="32"/>
          <w:szCs w:val="32"/>
        </w:rPr>
        <w:t xml:space="preserve"> 灾害防治及应急管理</w:t>
      </w:r>
      <w:r>
        <w:rPr>
          <w:rStyle w:val="12"/>
          <w:rFonts w:hint="eastAsia" w:ascii="仿宋_GB2312" w:hAnsi="仿宋" w:eastAsia="仿宋_GB2312"/>
          <w:bCs/>
          <w:color w:val="000000"/>
          <w:sz w:val="32"/>
          <w:szCs w:val="32"/>
        </w:rPr>
        <w:t>（类）地震事务（款）行政运行（项）:</w:t>
      </w:r>
      <w:r>
        <w:rPr>
          <w:rStyle w:val="12"/>
          <w:rFonts w:hint="eastAsia" w:ascii="仿宋_GB2312" w:hAnsi="仿宋" w:eastAsia="仿宋_GB2312"/>
          <w:b w:val="0"/>
          <w:bCs/>
          <w:color w:val="000000"/>
          <w:sz w:val="32"/>
          <w:szCs w:val="32"/>
        </w:rPr>
        <w:t>支出决算为187.57万元，完成预算100%，决算数与预算数持平。</w:t>
      </w:r>
    </w:p>
    <w:p w14:paraId="3AAD7CA0">
      <w:pPr>
        <w:spacing w:line="560" w:lineRule="exact"/>
        <w:ind w:firstLine="643" w:firstLineChars="200"/>
        <w:rPr>
          <w:rFonts w:hint="eastAsia" w:ascii="仿宋_GB2312" w:hAnsi="仿宋" w:eastAsia="仿宋_GB2312"/>
          <w:b/>
          <w:color w:val="000000"/>
          <w:sz w:val="32"/>
          <w:szCs w:val="32"/>
        </w:rPr>
      </w:pPr>
      <w:r>
        <w:rPr>
          <w:rStyle w:val="12"/>
          <w:rFonts w:hint="eastAsia" w:ascii="仿宋_GB2312" w:hAnsi="仿宋" w:eastAsia="仿宋_GB2312"/>
          <w:bCs/>
          <w:color w:val="000000"/>
          <w:sz w:val="32"/>
          <w:szCs w:val="32"/>
        </w:rPr>
        <w:t>2.社会保障和就业（类）行政事业单位离退休（款）机关事业单位基本养老保险缴费（项）:</w:t>
      </w:r>
      <w:r>
        <w:rPr>
          <w:rStyle w:val="12"/>
          <w:rFonts w:hint="eastAsia" w:ascii="仿宋_GB2312" w:hAnsi="仿宋" w:eastAsia="仿宋_GB2312"/>
          <w:b w:val="0"/>
          <w:bCs/>
          <w:color w:val="000000"/>
          <w:sz w:val="32"/>
          <w:szCs w:val="32"/>
        </w:rPr>
        <w:t>支出决算为14.62万元，完成预算100%，决算数与预算数持平。</w:t>
      </w:r>
    </w:p>
    <w:p w14:paraId="35210121">
      <w:pPr>
        <w:spacing w:line="560" w:lineRule="exact"/>
        <w:ind w:firstLine="643" w:firstLineChars="200"/>
        <w:rPr>
          <w:rStyle w:val="12"/>
          <w:rFonts w:hint="eastAsia" w:ascii="仿宋_GB2312" w:hAnsi="仿宋" w:eastAsia="仿宋_GB2312"/>
          <w:b w:val="0"/>
          <w:bCs/>
          <w:color w:val="000000"/>
          <w:sz w:val="32"/>
          <w:szCs w:val="32"/>
        </w:rPr>
      </w:pPr>
      <w:r>
        <w:rPr>
          <w:rStyle w:val="12"/>
          <w:rFonts w:hint="eastAsia" w:ascii="仿宋_GB2312" w:hAnsi="仿宋" w:eastAsia="仿宋_GB2312"/>
          <w:bCs/>
          <w:color w:val="000000"/>
          <w:sz w:val="32"/>
          <w:szCs w:val="32"/>
        </w:rPr>
        <w:t>3.社会保障和就业（类）行政事业单位离退休（款）机关事业单位职业年金缴费（项）:</w:t>
      </w:r>
      <w:r>
        <w:rPr>
          <w:rStyle w:val="12"/>
          <w:rFonts w:hint="eastAsia" w:ascii="仿宋_GB2312" w:hAnsi="仿宋" w:eastAsia="仿宋_GB2312"/>
          <w:b w:val="0"/>
          <w:bCs/>
          <w:color w:val="000000"/>
          <w:sz w:val="32"/>
          <w:szCs w:val="32"/>
        </w:rPr>
        <w:t>支出决算为7.31万元，完成预算100%，决算数与预算数持平。</w:t>
      </w:r>
    </w:p>
    <w:p w14:paraId="40BEA4D1">
      <w:pPr>
        <w:spacing w:line="560" w:lineRule="exact"/>
        <w:ind w:firstLine="643" w:firstLineChars="200"/>
        <w:rPr>
          <w:rFonts w:hint="eastAsia" w:ascii="仿宋_GB2312" w:hAnsi="仿宋" w:eastAsia="仿宋_GB2312"/>
          <w:b/>
          <w:color w:val="000000"/>
          <w:sz w:val="32"/>
          <w:szCs w:val="32"/>
        </w:rPr>
      </w:pPr>
      <w:r>
        <w:rPr>
          <w:rStyle w:val="12"/>
          <w:rFonts w:hint="eastAsia" w:ascii="仿宋_GB2312" w:hAnsi="仿宋" w:eastAsia="仿宋_GB2312"/>
          <w:bCs/>
          <w:color w:val="000000"/>
          <w:sz w:val="32"/>
          <w:szCs w:val="32"/>
        </w:rPr>
        <w:t>4.卫生与健康（类）行政事业单位医疗（款）行政单位医疗（项）:</w:t>
      </w:r>
      <w:r>
        <w:rPr>
          <w:rStyle w:val="12"/>
          <w:rFonts w:hint="eastAsia" w:ascii="仿宋_GB2312" w:hAnsi="仿宋" w:eastAsia="仿宋_GB2312"/>
          <w:b w:val="0"/>
          <w:bCs/>
          <w:color w:val="000000"/>
          <w:sz w:val="32"/>
          <w:szCs w:val="32"/>
        </w:rPr>
        <w:t>支出决算为9.24万元，完成预算100%，决算数与预算数持平。</w:t>
      </w:r>
    </w:p>
    <w:p w14:paraId="226D435A">
      <w:pPr>
        <w:spacing w:line="560" w:lineRule="exact"/>
        <w:ind w:firstLine="643" w:firstLineChars="200"/>
        <w:rPr>
          <w:rStyle w:val="12"/>
          <w:rFonts w:hint="eastAsia" w:ascii="仿宋_GB2312" w:hAnsi="仿宋" w:eastAsia="仿宋_GB2312"/>
          <w:b w:val="0"/>
          <w:bCs/>
          <w:color w:val="000000"/>
          <w:sz w:val="32"/>
          <w:szCs w:val="32"/>
        </w:rPr>
      </w:pPr>
      <w:r>
        <w:rPr>
          <w:rStyle w:val="12"/>
          <w:rFonts w:hint="eastAsia" w:ascii="仿宋_GB2312" w:hAnsi="仿宋" w:eastAsia="仿宋_GB2312"/>
          <w:bCs/>
          <w:color w:val="000000"/>
          <w:sz w:val="32"/>
          <w:szCs w:val="32"/>
        </w:rPr>
        <w:t>5.住房保障支出（类）住房改革支出（款）住房公积金（项）:</w:t>
      </w:r>
      <w:r>
        <w:rPr>
          <w:rStyle w:val="12"/>
          <w:rFonts w:hint="eastAsia" w:ascii="仿宋_GB2312" w:hAnsi="仿宋" w:eastAsia="仿宋_GB2312"/>
          <w:b w:val="0"/>
          <w:bCs/>
          <w:color w:val="000000"/>
          <w:sz w:val="32"/>
          <w:szCs w:val="32"/>
        </w:rPr>
        <w:t>支出决算为13.17万元，完成预算100%，决算数与预算数持平。</w:t>
      </w:r>
      <w:bookmarkStart w:id="31" w:name="_Toc15377214"/>
      <w:bookmarkStart w:id="32" w:name="_Toc15396608"/>
    </w:p>
    <w:p w14:paraId="01959738">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六、一般公共预算财政拨款基本支出决算情况说明</w:t>
      </w:r>
      <w:bookmarkEnd w:id="31"/>
      <w:bookmarkEnd w:id="32"/>
    </w:p>
    <w:p w14:paraId="6234674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2022年一般公共预算财政拨款基本支出231.91万元，其中：人员经费181.07万元，主要包括：基本工资、津贴补贴、奖金、机关事业单位基本养老保险缴费、职业年金缴费、其他社会保障缴费、其他工资福利支出、生活补助、医疗费、奖励金、住房公积金、其他对个人和家庭的补助支出等。</w:t>
      </w:r>
    </w:p>
    <w:p w14:paraId="72C4280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公用经费50.84万元，主要包括：办公费、邮电费、取暖费、差旅费、培训费、公务接待费、公务用车购置及运行维护费。</w:t>
      </w:r>
      <w:bookmarkStart w:id="33" w:name="_Toc15377215"/>
      <w:bookmarkStart w:id="34" w:name="_Toc15396609"/>
    </w:p>
    <w:p w14:paraId="06493BBC">
      <w:pPr>
        <w:spacing w:line="560" w:lineRule="exact"/>
        <w:ind w:firstLine="600" w:firstLineChars="200"/>
        <w:rPr>
          <w:rStyle w:val="16"/>
          <w:rFonts w:hint="eastAsia" w:ascii="黑体" w:hAnsi="黑体" w:eastAsia="黑体"/>
          <w:b w:val="0"/>
          <w:sz w:val="30"/>
          <w:szCs w:val="30"/>
        </w:rPr>
      </w:pPr>
      <w:r>
        <w:rPr>
          <w:rFonts w:hint="eastAsia" w:ascii="黑体" w:hAnsi="黑体" w:eastAsia="黑体"/>
          <w:sz w:val="30"/>
          <w:szCs w:val="30"/>
        </w:rPr>
        <w:t>七、</w:t>
      </w:r>
      <w:r>
        <w:rPr>
          <w:rStyle w:val="16"/>
          <w:rFonts w:hint="eastAsia" w:ascii="黑体" w:hAnsi="黑体" w:eastAsia="黑体"/>
          <w:sz w:val="30"/>
          <w:szCs w:val="30"/>
        </w:rPr>
        <w:t>“</w:t>
      </w:r>
      <w:r>
        <w:rPr>
          <w:rStyle w:val="16"/>
          <w:rFonts w:hint="eastAsia" w:ascii="黑体" w:hAnsi="黑体" w:eastAsia="黑体"/>
          <w:b w:val="0"/>
          <w:sz w:val="30"/>
          <w:szCs w:val="30"/>
        </w:rPr>
        <w:t>三公”经费财政拨款支出决算情况说明</w:t>
      </w:r>
      <w:bookmarkEnd w:id="33"/>
      <w:bookmarkEnd w:id="34"/>
      <w:bookmarkStart w:id="35" w:name="_Toc15377216"/>
    </w:p>
    <w:p w14:paraId="2C1966E0">
      <w:pPr>
        <w:spacing w:line="560" w:lineRule="exact"/>
        <w:ind w:firstLine="643" w:firstLineChars="200"/>
        <w:rPr>
          <w:rFonts w:hint="eastAsia" w:ascii="楷体_GB2312" w:hAnsi="仿宋" w:eastAsia="楷体_GB2312"/>
          <w:b/>
          <w:color w:val="000000"/>
          <w:sz w:val="32"/>
          <w:szCs w:val="32"/>
        </w:rPr>
      </w:pPr>
      <w:r>
        <w:rPr>
          <w:rFonts w:hint="eastAsia" w:ascii="楷体_GB2312" w:hAnsi="仿宋" w:eastAsia="楷体_GB2312"/>
          <w:b/>
          <w:color w:val="000000"/>
          <w:sz w:val="32"/>
          <w:szCs w:val="32"/>
        </w:rPr>
        <w:t>（一）“三公”经费财政拨款支出决算总体情况说明</w:t>
      </w:r>
      <w:bookmarkEnd w:id="35"/>
    </w:p>
    <w:p w14:paraId="1CC21A58">
      <w:pPr>
        <w:spacing w:line="560" w:lineRule="exact"/>
        <w:ind w:firstLine="640"/>
        <w:rPr>
          <w:rFonts w:hint="eastAsia" w:ascii="仿宋_GB2312" w:hAnsi="仿宋" w:eastAsia="仿宋_GB2312"/>
          <w:color w:val="000000"/>
          <w:sz w:val="32"/>
          <w:szCs w:val="32"/>
        </w:rPr>
      </w:pPr>
      <w:r>
        <w:rPr>
          <w:rFonts w:hint="eastAsia" w:ascii="仿宋_GB2312" w:hAnsi="仿宋" w:eastAsia="仿宋_GB2312"/>
          <w:color w:val="000000"/>
          <w:sz w:val="32"/>
          <w:szCs w:val="32"/>
        </w:rPr>
        <w:t>2022年“三公”经费财政拨款支出决算为43.84万元，完成预算100%，</w:t>
      </w:r>
      <w:r>
        <w:rPr>
          <w:rStyle w:val="12"/>
          <w:rFonts w:hint="eastAsia" w:ascii="仿宋_GB2312" w:hAnsi="仿宋" w:eastAsia="仿宋_GB2312"/>
          <w:b w:val="0"/>
          <w:bCs/>
          <w:color w:val="000000"/>
          <w:sz w:val="32"/>
          <w:szCs w:val="32"/>
        </w:rPr>
        <w:t>决算数与预算数持平</w:t>
      </w:r>
      <w:r>
        <w:rPr>
          <w:rFonts w:hint="eastAsia" w:ascii="仿宋_GB2312" w:hAnsi="仿宋" w:eastAsia="仿宋_GB2312"/>
          <w:color w:val="000000"/>
          <w:sz w:val="32"/>
          <w:szCs w:val="32"/>
        </w:rPr>
        <w:t>。</w:t>
      </w:r>
    </w:p>
    <w:p w14:paraId="49C0D744">
      <w:pPr>
        <w:spacing w:line="560" w:lineRule="exact"/>
        <w:ind w:firstLine="643" w:firstLineChars="200"/>
        <w:outlineLvl w:val="1"/>
        <w:rPr>
          <w:rFonts w:hint="eastAsia" w:ascii="仿宋_GB2312" w:hAnsi="仿宋_GB2312" w:eastAsia="仿宋_GB2312" w:cs="仿宋_GB2312"/>
          <w:b/>
          <w:color w:val="000000"/>
          <w:sz w:val="32"/>
          <w:szCs w:val="32"/>
        </w:rPr>
      </w:pPr>
      <w:bookmarkStart w:id="36" w:name="_Toc15377217"/>
      <w:r>
        <w:rPr>
          <w:rFonts w:hint="eastAsia" w:ascii="楷体_GB2312" w:hAnsi="仿宋" w:eastAsia="楷体_GB2312"/>
          <w:b/>
          <w:color w:val="000000"/>
          <w:sz w:val="32"/>
          <w:szCs w:val="32"/>
        </w:rPr>
        <w:t>（二）“三公”经费财政拨款支出决算具体情况说明</w:t>
      </w:r>
      <w:bookmarkEnd w:id="36"/>
    </w:p>
    <w:p w14:paraId="7F995491">
      <w:pPr>
        <w:spacing w:line="560" w:lineRule="exact"/>
        <w:ind w:firstLine="640" w:firstLineChars="200"/>
        <w:rPr>
          <w:rFonts w:ascii="黑体" w:hAnsi="黑体" w:eastAsia="黑体"/>
          <w:sz w:val="32"/>
          <w:szCs w:val="32"/>
        </w:rPr>
      </w:pPr>
      <w:r>
        <w:rPr>
          <w:rFonts w:hint="eastAsia" w:ascii="仿宋_GB2312" w:hAnsi="仿宋" w:eastAsia="仿宋_GB2312"/>
          <w:color w:val="000000"/>
          <w:sz w:val="32"/>
          <w:szCs w:val="32"/>
        </w:rPr>
        <w:t>2022年“三公”经费财政拨款支出决算中，因公出国（境）费支出决算</w:t>
      </w:r>
      <w:r>
        <w:rPr>
          <w:rFonts w:hint="eastAsia" w:ascii="仿宋_GB2312" w:eastAsia="仿宋_GB2312"/>
          <w:color w:val="000000"/>
          <w:sz w:val="32"/>
          <w:szCs w:val="32"/>
        </w:rPr>
        <w:t>0万元</w:t>
      </w:r>
      <w:r>
        <w:rPr>
          <w:rFonts w:hint="eastAsia" w:ascii="仿宋_GB2312" w:hAnsi="仿宋" w:eastAsia="仿宋_GB2312"/>
          <w:color w:val="000000"/>
          <w:sz w:val="32"/>
          <w:szCs w:val="32"/>
        </w:rPr>
        <w:t xml:space="preserve">；公务用车购置及运行维护费支出决算                                                                                                                                                                                                                                                                                                                                                                                                                                                                                                                                                                                                                                                                                                                                                                                                                                                                                                                                                                                                                                                                                                                                                                                                                                                                                                                                                                                                                                                                                                                                                                                                                                                                                                                                                                                                                                                                                                                                                                                                                                                                                                                                                                                                                                                                                                                                                                                                                                                            </w:t>
      </w:r>
    </w:p>
    <w:p w14:paraId="4354DF63">
      <w:pPr>
        <w:spacing w:line="560" w:lineRule="exact"/>
        <w:rPr>
          <w:rFonts w:hint="eastAsia" w:ascii="仿宋_GB2312" w:hAnsi="仿宋" w:eastAsia="仿宋_GB2312"/>
          <w:color w:val="000000"/>
          <w:sz w:val="32"/>
          <w:szCs w:val="32"/>
        </w:rPr>
      </w:pPr>
      <w:r>
        <w:rPr>
          <w:rFonts w:hint="eastAsia" w:ascii="仿宋_GB2312" w:hAnsi="仿宋" w:eastAsia="仿宋_GB2312"/>
          <w:color w:val="000000"/>
          <w:sz w:val="32"/>
          <w:szCs w:val="32"/>
        </w:rPr>
        <w:t>43.79万元，占99.9%；公务接待费支出决算0.05万元,占</w:t>
      </w:r>
      <w:r>
        <w:rPr>
          <w:rFonts w:hint="eastAsia" w:ascii="仿宋_GB2312" w:hAnsi="仿宋" w:eastAsia="仿宋_GB2312"/>
          <w:color w:val="000000"/>
          <w:sz w:val="32"/>
          <w:szCs w:val="32"/>
        </w:rPr>
        <w:drawing>
          <wp:anchor distT="0" distB="0" distL="114300" distR="114300" simplePos="0" relativeHeight="251664384" behindDoc="1" locked="0" layoutInCell="1" allowOverlap="1">
            <wp:simplePos x="0" y="0"/>
            <wp:positionH relativeFrom="column">
              <wp:posOffset>84455</wp:posOffset>
            </wp:positionH>
            <wp:positionV relativeFrom="paragraph">
              <wp:posOffset>484505</wp:posOffset>
            </wp:positionV>
            <wp:extent cx="5148580" cy="2941955"/>
            <wp:effectExtent l="19050" t="0" r="13970" b="0"/>
            <wp:wrapTight wrapText="bothSides">
              <wp:wrapPolygon>
                <wp:start x="-19" y="-33"/>
                <wp:lineTo x="-19" y="21507"/>
                <wp:lineTo x="21560" y="21507"/>
                <wp:lineTo x="21560" y="-33"/>
                <wp:lineTo x="-19" y="-33"/>
              </wp:wrapPolygon>
            </wp:wrapTight>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仿宋" w:eastAsia="仿宋_GB2312"/>
          <w:color w:val="000000"/>
          <w:sz w:val="32"/>
          <w:szCs w:val="32"/>
        </w:rPr>
        <w:t>0.1%。具体情况如下：</w:t>
      </w:r>
    </w:p>
    <w:p w14:paraId="4D5DD1C5">
      <w:pPr>
        <w:spacing w:line="560" w:lineRule="exac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 xml:space="preserve">    </w:t>
      </w:r>
      <w:r>
        <w:rPr>
          <w:rFonts w:hint="eastAsia" w:ascii="仿宋_GB2312" w:eastAsia="仿宋_GB2312"/>
          <w:b/>
          <w:color w:val="000000"/>
          <w:sz w:val="32"/>
          <w:szCs w:val="32"/>
        </w:rPr>
        <w:t>1.因公出国（境）经费支出</w:t>
      </w:r>
      <w:r>
        <w:rPr>
          <w:rFonts w:hint="eastAsia" w:ascii="仿宋_GB2312" w:eastAsia="仿宋_GB2312"/>
          <w:color w:val="000000"/>
          <w:sz w:val="32"/>
          <w:szCs w:val="32"/>
        </w:rPr>
        <w:t>0</w:t>
      </w:r>
      <w:r>
        <w:rPr>
          <w:rFonts w:hint="eastAsia" w:ascii="仿宋_GB2312" w:eastAsia="仿宋_GB2312"/>
          <w:color w:val="000000"/>
          <w:sz w:val="32"/>
          <w:szCs w:val="32"/>
          <w:lang w:val="en-US" w:eastAsia="zh-CN"/>
        </w:rPr>
        <w:t>.00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，无变化。</w:t>
      </w:r>
    </w:p>
    <w:p w14:paraId="3725487A">
      <w:pPr>
        <w:spacing w:line="560" w:lineRule="exact"/>
        <w:ind w:firstLine="640"/>
        <w:rPr>
          <w:rFonts w:hint="eastAsia" w:ascii="仿宋_GB2312" w:eastAsia="仿宋_GB2312"/>
          <w:b/>
          <w:color w:val="000000"/>
          <w:sz w:val="32"/>
          <w:szCs w:val="32"/>
        </w:rPr>
      </w:pPr>
      <w:r>
        <w:rPr>
          <w:rFonts w:hint="eastAsia" w:ascii="仿宋_GB2312" w:eastAsia="仿宋_GB2312"/>
          <w:b/>
          <w:color w:val="000000"/>
          <w:sz w:val="32"/>
          <w:szCs w:val="32"/>
        </w:rPr>
        <w:t>2.公务用车购置及运行维护费支出</w:t>
      </w:r>
      <w:r>
        <w:rPr>
          <w:rFonts w:hint="eastAsia" w:ascii="仿宋_GB2312" w:eastAsia="仿宋_GB2312"/>
          <w:color w:val="000000"/>
          <w:sz w:val="32"/>
          <w:szCs w:val="32"/>
        </w:rPr>
        <w:t>43.78万元,其中：</w:t>
      </w:r>
      <w:r>
        <w:rPr>
          <w:rFonts w:hint="eastAsia" w:ascii="仿宋_GB2312" w:hAnsi="仿宋_GB2312" w:eastAsia="仿宋_GB2312" w:cs="仿宋_GB2312"/>
          <w:b w:val="0"/>
          <w:bCs/>
          <w:color w:val="000000"/>
          <w:sz w:val="32"/>
          <w:szCs w:val="32"/>
        </w:rPr>
        <w:t>公务用车购置</w:t>
      </w:r>
      <w:r>
        <w:rPr>
          <w:rFonts w:hint="eastAsia" w:ascii="仿宋_GB2312" w:hAnsi="仿宋_GB2312" w:eastAsia="仿宋_GB2312" w:cs="仿宋_GB2312"/>
          <w:b w:val="0"/>
          <w:bCs/>
          <w:color w:val="000000"/>
          <w:sz w:val="32"/>
          <w:szCs w:val="32"/>
          <w:lang w:eastAsia="zh-CN"/>
        </w:rPr>
        <w:t>费</w:t>
      </w:r>
      <w:r>
        <w:rPr>
          <w:rFonts w:hint="eastAsia" w:ascii="仿宋_GB2312" w:hAnsi="仿宋_GB2312" w:eastAsia="仿宋_GB2312" w:cs="仿宋_GB2312"/>
          <w:b w:val="0"/>
          <w:bCs/>
          <w:color w:val="000000"/>
          <w:sz w:val="32"/>
          <w:szCs w:val="32"/>
        </w:rPr>
        <w:t>支出39.89万</w:t>
      </w:r>
      <w:r>
        <w:rPr>
          <w:rFonts w:hint="eastAsia" w:ascii="仿宋_GB2312" w:eastAsia="仿宋_GB2312"/>
          <w:color w:val="000000"/>
          <w:sz w:val="32"/>
          <w:szCs w:val="32"/>
        </w:rPr>
        <w:t>元</w:t>
      </w:r>
      <w:r>
        <w:rPr>
          <w:rFonts w:hint="eastAsia" w:ascii="仿宋_GB2312" w:eastAsia="仿宋_GB2312"/>
          <w:color w:val="000000"/>
          <w:sz w:val="32"/>
          <w:szCs w:val="32"/>
          <w:lang w:eastAsia="zh-CN"/>
        </w:rPr>
        <w:t>，公务用车运行维护费支出</w:t>
      </w:r>
      <w:r>
        <w:rPr>
          <w:rFonts w:hint="eastAsia" w:ascii="仿宋_GB2312" w:eastAsia="仿宋_GB2312"/>
          <w:color w:val="000000"/>
          <w:sz w:val="32"/>
          <w:szCs w:val="32"/>
          <w:lang w:val="en-US" w:eastAsia="zh-CN"/>
        </w:rPr>
        <w:t>3.89万元，</w:t>
      </w:r>
      <w:r>
        <w:rPr>
          <w:rStyle w:val="12"/>
          <w:rFonts w:hint="eastAsia" w:ascii="仿宋_GB2312" w:hAnsi="仿宋" w:eastAsia="仿宋_GB2312"/>
          <w:b w:val="0"/>
          <w:bCs/>
          <w:color w:val="000000"/>
          <w:sz w:val="32"/>
          <w:szCs w:val="32"/>
        </w:rPr>
        <w:t>完成预算100%。</w:t>
      </w:r>
      <w:r>
        <w:rPr>
          <w:rFonts w:hint="eastAsia" w:ascii="仿宋_GB2312" w:eastAsia="仿宋_GB2312"/>
          <w:color w:val="000000"/>
          <w:sz w:val="32"/>
          <w:szCs w:val="32"/>
        </w:rPr>
        <w:t>公务用车购置及运行维护费支出决算比2021年增加42.88万元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本年新</w:t>
      </w:r>
      <w:r>
        <w:rPr>
          <w:rFonts w:hint="eastAsia" w:ascii="仿宋_GB2312" w:eastAsia="仿宋_GB2312"/>
          <w:color w:val="000000"/>
          <w:sz w:val="32"/>
          <w:szCs w:val="32"/>
        </w:rPr>
        <w:t>购置车辆，</w:t>
      </w:r>
      <w:r>
        <w:rPr>
          <w:rFonts w:hint="eastAsia" w:ascii="仿宋_GB2312" w:eastAsia="仿宋_GB2312"/>
          <w:color w:val="000000"/>
          <w:sz w:val="32"/>
          <w:szCs w:val="32"/>
          <w:lang w:eastAsia="zh-CN"/>
        </w:rPr>
        <w:t>办公</w:t>
      </w:r>
      <w:r>
        <w:rPr>
          <w:rFonts w:hint="eastAsia" w:ascii="仿宋_GB2312" w:eastAsia="仿宋_GB2312"/>
          <w:color w:val="000000"/>
          <w:sz w:val="32"/>
          <w:szCs w:val="32"/>
        </w:rPr>
        <w:t>业务工作等所需的公务用车燃料费、维修费、过路过桥费、保险费等支出。截至2022年12月底，单位共有公务用车1辆，其中：轿车0辆、越野车1辆、载客汽车0辆。</w:t>
      </w:r>
    </w:p>
    <w:p w14:paraId="74EC5981">
      <w:pPr>
        <w:spacing w:line="560" w:lineRule="exact"/>
        <w:ind w:firstLine="630" w:firstLineChars="196"/>
        <w:rPr>
          <w:rFonts w:ascii="仿宋_GB2312" w:eastAsia="仿宋_GB2312"/>
          <w:color w:val="000000"/>
          <w:sz w:val="32"/>
          <w:szCs w:val="32"/>
        </w:rPr>
      </w:pPr>
      <w:r>
        <w:rPr>
          <w:rFonts w:hint="eastAsia" w:ascii="仿宋_GB2312" w:eastAsia="仿宋_GB2312"/>
          <w:b/>
          <w:color w:val="000000"/>
          <w:sz w:val="32"/>
          <w:szCs w:val="32"/>
        </w:rPr>
        <w:t>3.公务接待费支出</w:t>
      </w:r>
      <w:r>
        <w:rPr>
          <w:rFonts w:hint="eastAsia" w:ascii="仿宋_GB2312" w:eastAsia="仿宋_GB2312"/>
          <w:color w:val="000000"/>
          <w:sz w:val="32"/>
          <w:szCs w:val="32"/>
        </w:rPr>
        <w:t>0.05万元，</w:t>
      </w:r>
      <w:r>
        <w:rPr>
          <w:rStyle w:val="12"/>
          <w:rFonts w:hint="eastAsia" w:ascii="仿宋_GB2312" w:hAnsi="仿宋" w:eastAsia="仿宋_GB2312"/>
          <w:b w:val="0"/>
          <w:bCs/>
          <w:color w:val="000000"/>
          <w:sz w:val="32"/>
          <w:szCs w:val="32"/>
        </w:rPr>
        <w:t>完成预算100%。</w:t>
      </w:r>
      <w:r>
        <w:rPr>
          <w:rFonts w:hint="eastAsia" w:ascii="仿宋_GB2312" w:eastAsia="仿宋_GB2312"/>
          <w:color w:val="000000"/>
          <w:sz w:val="32"/>
          <w:szCs w:val="32"/>
        </w:rPr>
        <w:t>公务接待费支出决算比2021年减少0.05万元，下降50%。主要原因是公务接待</w:t>
      </w:r>
      <w:r>
        <w:rPr>
          <w:rFonts w:hint="eastAsia" w:ascii="仿宋_GB2312" w:eastAsia="仿宋_GB2312"/>
          <w:color w:val="000000"/>
          <w:sz w:val="32"/>
          <w:szCs w:val="32"/>
          <w:lang w:eastAsia="zh-CN"/>
        </w:rPr>
        <w:t>减少</w:t>
      </w:r>
      <w:r>
        <w:rPr>
          <w:rFonts w:hint="eastAsia" w:ascii="仿宋_GB2312" w:eastAsia="仿宋_GB2312"/>
          <w:color w:val="000000"/>
          <w:sz w:val="32"/>
          <w:szCs w:val="32"/>
        </w:rPr>
        <w:t>。</w:t>
      </w:r>
    </w:p>
    <w:p w14:paraId="792BB4D1">
      <w:pPr>
        <w:spacing w:line="560" w:lineRule="exact"/>
        <w:ind w:firstLine="640" w:firstLineChars="200"/>
        <w:rPr>
          <w:rFonts w:hint="eastAsia" w:ascii="仿宋_GB2312" w:eastAsia="仿宋_GB2312"/>
          <w:b w:val="0"/>
          <w:bCs/>
          <w:color w:val="000000"/>
          <w:sz w:val="32"/>
          <w:szCs w:val="32"/>
        </w:rPr>
      </w:pPr>
      <w:r>
        <w:rPr>
          <w:rFonts w:hint="eastAsia" w:ascii="仿宋_GB2312" w:eastAsia="仿宋_GB2312"/>
          <w:color w:val="000000"/>
          <w:sz w:val="32"/>
          <w:szCs w:val="32"/>
        </w:rPr>
        <w:t>国内公务接待主要用于执行公务、开展业务活动开支的交通费、住宿费、用餐费等。国内公务接待1批次，7人次（不包括陪同人员），共计支出</w:t>
      </w:r>
      <w:r>
        <w:rPr>
          <w:rFonts w:ascii="仿宋_GB2312" w:eastAsia="仿宋_GB2312"/>
          <w:color w:val="000000"/>
          <w:sz w:val="32"/>
          <w:szCs w:val="32"/>
        </w:rPr>
        <w:t>0</w:t>
      </w: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万元。</w:t>
      </w:r>
      <w:r>
        <w:rPr>
          <w:rFonts w:hint="eastAsia" w:ascii="仿宋_GB2312" w:hAnsi="仿宋_GB2312" w:eastAsia="仿宋_GB2312" w:cs="仿宋_GB2312"/>
          <w:b w:val="0"/>
          <w:bCs/>
          <w:color w:val="000000"/>
          <w:sz w:val="32"/>
          <w:szCs w:val="32"/>
        </w:rPr>
        <w:t>外事接待支出0</w:t>
      </w:r>
      <w:r>
        <w:rPr>
          <w:rFonts w:hint="eastAsia" w:ascii="仿宋_GB2312" w:hAnsi="仿宋_GB2312" w:eastAsia="仿宋_GB2312" w:cs="仿宋_GB2312"/>
          <w:b w:val="0"/>
          <w:bCs/>
          <w:color w:val="000000"/>
          <w:sz w:val="32"/>
          <w:szCs w:val="32"/>
          <w:lang w:val="en-US" w:eastAsia="zh-CN"/>
        </w:rPr>
        <w:t>.00</w:t>
      </w:r>
      <w:r>
        <w:rPr>
          <w:rFonts w:hint="eastAsia" w:ascii="仿宋_GB2312" w:hAnsi="仿宋_GB2312" w:eastAsia="仿宋_GB2312" w:cs="仿宋_GB2312"/>
          <w:b w:val="0"/>
          <w:bCs/>
          <w:color w:val="000000"/>
          <w:sz w:val="32"/>
          <w:szCs w:val="32"/>
        </w:rPr>
        <w:t>万元。</w:t>
      </w:r>
      <w:r>
        <w:rPr>
          <w:rFonts w:hint="eastAsia" w:ascii="仿宋_GB2312" w:eastAsia="仿宋_GB2312"/>
          <w:b w:val="0"/>
          <w:bCs/>
          <w:color w:val="000000"/>
          <w:sz w:val="32"/>
          <w:szCs w:val="32"/>
        </w:rPr>
        <w:t>其他国内公务接待支出0</w:t>
      </w:r>
      <w:r>
        <w:rPr>
          <w:rFonts w:hint="eastAsia" w:ascii="仿宋_GB2312" w:eastAsia="仿宋_GB2312"/>
          <w:b w:val="0"/>
          <w:bCs/>
          <w:color w:val="000000"/>
          <w:sz w:val="32"/>
          <w:szCs w:val="32"/>
          <w:lang w:val="en-US" w:eastAsia="zh-CN"/>
        </w:rPr>
        <w:t>.00</w:t>
      </w:r>
      <w:r>
        <w:rPr>
          <w:rFonts w:hint="eastAsia" w:ascii="仿宋_GB2312" w:eastAsia="仿宋_GB2312"/>
          <w:b w:val="0"/>
          <w:bCs/>
          <w:color w:val="000000"/>
          <w:sz w:val="32"/>
          <w:szCs w:val="32"/>
        </w:rPr>
        <w:t>万元。</w:t>
      </w:r>
      <w:bookmarkStart w:id="58" w:name="_GoBack"/>
      <w:bookmarkEnd w:id="58"/>
      <w:bookmarkStart w:id="37" w:name="_Toc15377218"/>
      <w:bookmarkStart w:id="38" w:name="_Toc15396610"/>
    </w:p>
    <w:p w14:paraId="4A9B67E4">
      <w:pPr>
        <w:spacing w:line="560" w:lineRule="exact"/>
        <w:ind w:left="643" w:leftChars="306"/>
        <w:rPr>
          <w:rFonts w:hint="eastAsia"/>
        </w:rPr>
      </w:pPr>
      <w:r>
        <w:rPr>
          <w:rFonts w:hint="eastAsia" w:ascii="黑体" w:hAnsi="黑体" w:eastAsia="黑体"/>
          <w:sz w:val="32"/>
          <w:szCs w:val="32"/>
        </w:rPr>
        <w:t>八、政府性基金预算支出决算情况说明</w:t>
      </w:r>
      <w:bookmarkEnd w:id="37"/>
      <w:bookmarkEnd w:id="38"/>
    </w:p>
    <w:p w14:paraId="7B499F5E">
      <w:pPr>
        <w:spacing w:line="560" w:lineRule="exact"/>
        <w:ind w:left="643" w:leftChars="306"/>
        <w:rPr>
          <w:rFonts w:hint="eastAsia" w:ascii="仿宋_GB2312" w:eastAsia="仿宋_GB2312"/>
          <w:sz w:val="32"/>
          <w:szCs w:val="32"/>
          <w:lang w:eastAsia="zh-CN"/>
        </w:rPr>
      </w:pPr>
      <w:r>
        <w:rPr>
          <w:rFonts w:hint="eastAsia" w:ascii="仿宋_GB2312" w:eastAsia="仿宋_GB2312"/>
          <w:sz w:val="32"/>
          <w:szCs w:val="32"/>
        </w:rPr>
        <w:t>茂县防震减事务中心2022年无政府性基金预算拨款支出。</w:t>
      </w:r>
      <w:r>
        <w:rPr>
          <w:rFonts w:hint="eastAsia" w:ascii="仿宋_GB2312" w:eastAsia="仿宋_GB2312"/>
          <w:sz w:val="32"/>
          <w:szCs w:val="32"/>
          <w:lang w:eastAsia="zh-CN"/>
        </w:rPr>
        <w:t>不涉及政府性基金预算拨款支出，与上年持平，无变化。</w:t>
      </w:r>
    </w:p>
    <w:p w14:paraId="523FF0E4">
      <w:pPr>
        <w:spacing w:line="560" w:lineRule="exact"/>
        <w:ind w:firstLine="640" w:firstLineChars="200"/>
        <w:rPr>
          <w:rFonts w:ascii="黑体" w:hAnsi="黑体" w:eastAsia="黑体"/>
          <w:sz w:val="32"/>
          <w:szCs w:val="32"/>
        </w:rPr>
      </w:pPr>
      <w:bookmarkStart w:id="39" w:name="_Toc15377219"/>
      <w:bookmarkStart w:id="40" w:name="_Toc15396611"/>
      <w:r>
        <w:rPr>
          <w:rFonts w:hint="eastAsia" w:ascii="黑体" w:hAnsi="黑体" w:eastAsia="黑体"/>
          <w:sz w:val="32"/>
          <w:szCs w:val="32"/>
        </w:rPr>
        <w:t>九、国有资本经营预算支出决算情况说明</w:t>
      </w:r>
      <w:bookmarkEnd w:id="39"/>
      <w:bookmarkEnd w:id="40"/>
    </w:p>
    <w:p w14:paraId="27548E8F">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茂县防震减灾事务中心2022年无国有资本经营预算拨款支出。</w:t>
      </w:r>
      <w:r>
        <w:rPr>
          <w:rFonts w:hint="eastAsia" w:ascii="仿宋_GB2312" w:eastAsia="仿宋_GB2312"/>
          <w:sz w:val="32"/>
          <w:szCs w:val="32"/>
          <w:lang w:eastAsia="zh-CN"/>
        </w:rPr>
        <w:t>不涉及国有资本经营预算拨款支出，与上年持平，无变化。</w:t>
      </w:r>
    </w:p>
    <w:p w14:paraId="59283388">
      <w:pPr>
        <w:spacing w:line="560" w:lineRule="exact"/>
        <w:ind w:firstLine="800" w:firstLineChars="250"/>
        <w:outlineLvl w:val="1"/>
        <w:rPr>
          <w:rStyle w:val="16"/>
          <w:rFonts w:ascii="黑体" w:hAnsi="黑体" w:eastAsia="黑体"/>
        </w:rPr>
      </w:pPr>
      <w:r>
        <w:rPr>
          <w:rFonts w:hint="eastAsia" w:ascii="黑体" w:hAnsi="黑体" w:eastAsia="黑体"/>
          <w:color w:val="000000"/>
          <w:sz w:val="32"/>
          <w:szCs w:val="32"/>
        </w:rPr>
        <w:t>十</w:t>
      </w:r>
      <w:r>
        <w:rPr>
          <w:rStyle w:val="16"/>
          <w:rFonts w:hint="eastAsia" w:ascii="黑体" w:hAnsi="黑体" w:eastAsia="黑体"/>
        </w:rPr>
        <w:t>、</w:t>
      </w:r>
      <w:r>
        <w:rPr>
          <w:rStyle w:val="16"/>
          <w:rFonts w:hint="eastAsia" w:ascii="黑体" w:hAnsi="黑体" w:eastAsia="黑体"/>
          <w:b w:val="0"/>
        </w:rPr>
        <w:t>其他重要事项的情况说明</w:t>
      </w:r>
    </w:p>
    <w:p w14:paraId="663D07E1">
      <w:pPr>
        <w:spacing w:line="560" w:lineRule="exact"/>
        <w:ind w:firstLine="643" w:firstLineChars="200"/>
        <w:outlineLvl w:val="2"/>
        <w:rPr>
          <w:rFonts w:hint="eastAsia" w:ascii="仿宋_GB2312" w:hAnsi="仿宋_GB2312" w:eastAsia="仿宋_GB2312" w:cs="仿宋_GB2312"/>
          <w:color w:val="000000"/>
          <w:sz w:val="32"/>
          <w:szCs w:val="32"/>
        </w:rPr>
      </w:pPr>
      <w:r>
        <w:rPr>
          <w:rFonts w:hint="eastAsia" w:ascii="楷体_GB2312" w:hAnsi="仿宋" w:eastAsia="楷体_GB2312"/>
          <w:b/>
          <w:color w:val="000000"/>
          <w:sz w:val="32"/>
          <w:szCs w:val="32"/>
        </w:rPr>
        <w:t>（一）机关运行经费支出情况</w:t>
      </w:r>
    </w:p>
    <w:p w14:paraId="57795B1B">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22年，茂县防震减灾事务中心机关运行经费支出50.84万元，比</w:t>
      </w:r>
      <w:r>
        <w:rPr>
          <w:rFonts w:ascii="仿宋_GB2312" w:eastAsia="仿宋_GB2312"/>
          <w:color w:val="000000"/>
          <w:sz w:val="32"/>
          <w:szCs w:val="32"/>
        </w:rPr>
        <w:t>20</w:t>
      </w:r>
      <w:r>
        <w:rPr>
          <w:rFonts w:hint="eastAsia" w:ascii="仿宋_GB2312" w:eastAsia="仿宋_GB2312"/>
          <w:color w:val="000000"/>
          <w:sz w:val="32"/>
          <w:szCs w:val="32"/>
        </w:rPr>
        <w:t>21年增加42.18万元，增加487</w:t>
      </w:r>
      <w:r>
        <w:rPr>
          <w:rFonts w:ascii="仿宋_GB2312" w:eastAsia="仿宋_GB2312"/>
          <w:color w:val="000000"/>
          <w:sz w:val="32"/>
          <w:szCs w:val="32"/>
        </w:rPr>
        <w:t>%</w:t>
      </w:r>
      <w:r>
        <w:rPr>
          <w:rFonts w:hint="eastAsia" w:ascii="仿宋_GB2312" w:eastAsia="仿宋_GB2312"/>
          <w:color w:val="000000"/>
          <w:sz w:val="32"/>
          <w:szCs w:val="32"/>
        </w:rPr>
        <w:t>。主要原因是新购置车辆1辆。</w:t>
      </w:r>
    </w:p>
    <w:p w14:paraId="425CC28B">
      <w:pPr>
        <w:autoSpaceDE w:val="0"/>
        <w:autoSpaceDN w:val="0"/>
        <w:adjustRightInd w:val="0"/>
        <w:spacing w:line="560" w:lineRule="exact"/>
        <w:ind w:firstLine="643" w:firstLineChars="200"/>
        <w:jc w:val="left"/>
        <w:outlineLvl w:val="2"/>
        <w:rPr>
          <w:rFonts w:hint="eastAsia" w:ascii="楷体_GB2312" w:hAnsi="仿宋" w:eastAsia="楷体_GB2312"/>
          <w:b/>
          <w:color w:val="000000"/>
          <w:sz w:val="32"/>
          <w:szCs w:val="32"/>
        </w:rPr>
      </w:pPr>
      <w:r>
        <w:rPr>
          <w:rFonts w:hint="eastAsia" w:ascii="仿宋_GB2312" w:hAnsi="仿宋_GB2312" w:eastAsia="仿宋_GB2312" w:cs="仿宋_GB2312"/>
          <w:b/>
          <w:color w:val="000000"/>
          <w:sz w:val="32"/>
          <w:szCs w:val="32"/>
        </w:rPr>
        <w:t>（</w:t>
      </w:r>
      <w:r>
        <w:rPr>
          <w:rFonts w:hint="eastAsia" w:ascii="楷体_GB2312" w:hAnsi="仿宋" w:eastAsia="楷体_GB2312"/>
          <w:b/>
          <w:color w:val="000000"/>
          <w:sz w:val="32"/>
          <w:szCs w:val="32"/>
        </w:rPr>
        <w:t>二）政府采购支出情况</w:t>
      </w:r>
    </w:p>
    <w:p w14:paraId="002146BE">
      <w:pPr>
        <w:spacing w:line="560" w:lineRule="exact"/>
        <w:ind w:firstLine="640" w:firstLineChars="200"/>
        <w:rPr>
          <w:rFonts w:hint="eastAsia"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22年，茂县防震减灾事务中心政府采购支出总额39.89万元，其中：政府采购货物支出</w:t>
      </w:r>
      <w:r>
        <w:rPr>
          <w:rFonts w:ascii="仿宋_GB2312" w:eastAsia="仿宋_GB2312"/>
          <w:color w:val="000000"/>
          <w:sz w:val="32"/>
          <w:szCs w:val="32"/>
        </w:rPr>
        <w:t>0</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万元。授予中小企业合同金额</w:t>
      </w:r>
      <w:r>
        <w:rPr>
          <w:rFonts w:ascii="仿宋_GB2312" w:eastAsia="仿宋_GB2312"/>
          <w:color w:val="000000"/>
          <w:sz w:val="32"/>
          <w:szCs w:val="32"/>
        </w:rPr>
        <w:t>0</w:t>
      </w:r>
      <w:r>
        <w:rPr>
          <w:rFonts w:hint="eastAsia" w:ascii="仿宋_GB2312" w:eastAsia="仿宋_GB2312"/>
          <w:color w:val="000000"/>
          <w:sz w:val="32"/>
          <w:szCs w:val="32"/>
        </w:rPr>
        <w:t>万元，占政府采购支出总额的</w:t>
      </w:r>
      <w:r>
        <w:rPr>
          <w:rFonts w:ascii="仿宋_GB2312" w:eastAsia="仿宋_GB2312"/>
          <w:color w:val="000000"/>
          <w:sz w:val="32"/>
          <w:szCs w:val="32"/>
        </w:rPr>
        <w:t>0%</w:t>
      </w:r>
      <w:r>
        <w:rPr>
          <w:rFonts w:hint="eastAsia" w:ascii="仿宋_GB2312" w:eastAsia="仿宋_GB2312"/>
          <w:color w:val="000000"/>
          <w:sz w:val="32"/>
          <w:szCs w:val="32"/>
        </w:rPr>
        <w:t>，其中：授予小微企业合同金额</w:t>
      </w:r>
      <w:r>
        <w:rPr>
          <w:rFonts w:ascii="仿宋_GB2312" w:eastAsia="仿宋_GB2312"/>
          <w:color w:val="000000"/>
          <w:sz w:val="32"/>
          <w:szCs w:val="32"/>
        </w:rPr>
        <w:t>0</w:t>
      </w:r>
      <w:r>
        <w:rPr>
          <w:rFonts w:hint="eastAsia" w:ascii="仿宋_GB2312" w:eastAsia="仿宋_GB2312"/>
          <w:color w:val="000000"/>
          <w:sz w:val="32"/>
          <w:szCs w:val="32"/>
        </w:rPr>
        <w:t>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14:paraId="5996775D">
      <w:pPr>
        <w:autoSpaceDE w:val="0"/>
        <w:autoSpaceDN w:val="0"/>
        <w:adjustRightInd w:val="0"/>
        <w:spacing w:line="560" w:lineRule="exact"/>
        <w:ind w:firstLine="643" w:firstLineChars="200"/>
        <w:jc w:val="left"/>
        <w:outlineLvl w:val="2"/>
        <w:rPr>
          <w:rFonts w:hint="eastAsia" w:ascii="楷体_GB2312" w:hAnsi="仿宋" w:eastAsia="楷体_GB2312"/>
          <w:b/>
          <w:color w:val="000000"/>
          <w:sz w:val="32"/>
          <w:szCs w:val="32"/>
        </w:rPr>
      </w:pPr>
      <w:r>
        <w:rPr>
          <w:rFonts w:hint="eastAsia" w:ascii="楷体_GB2312" w:hAnsi="仿宋" w:eastAsia="楷体_GB2312"/>
          <w:b/>
          <w:color w:val="000000"/>
          <w:sz w:val="32"/>
          <w:szCs w:val="32"/>
        </w:rPr>
        <w:t>（三）国有资产占有使用情况</w:t>
      </w:r>
    </w:p>
    <w:p w14:paraId="6EED3C07">
      <w:pPr>
        <w:autoSpaceDE w:val="0"/>
        <w:autoSpaceDN w:val="0"/>
        <w:adjustRightInd w:val="0"/>
        <w:spacing w:line="56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22年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日，茂县防震减灾事务中心共有车辆</w:t>
      </w:r>
      <w:r>
        <w:rPr>
          <w:rFonts w:ascii="仿宋_GB2312" w:eastAsia="仿宋_GB2312"/>
          <w:color w:val="000000"/>
          <w:sz w:val="32"/>
          <w:szCs w:val="32"/>
        </w:rPr>
        <w:t>1</w:t>
      </w:r>
      <w:r>
        <w:rPr>
          <w:rFonts w:hint="eastAsia" w:ascii="仿宋_GB2312" w:eastAsia="仿宋_GB2312"/>
          <w:color w:val="000000"/>
          <w:sz w:val="32"/>
          <w:szCs w:val="32"/>
        </w:rPr>
        <w:t>辆，其中：主要领导干部用车</w:t>
      </w:r>
      <w:r>
        <w:rPr>
          <w:rFonts w:ascii="仿宋_GB2312" w:eastAsia="仿宋_GB2312"/>
          <w:color w:val="000000"/>
          <w:sz w:val="32"/>
          <w:szCs w:val="32"/>
        </w:rPr>
        <w:t>0</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辆、应急保障用车1辆、其他用车0辆。单价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14:paraId="6C04CCAB">
      <w:pPr>
        <w:autoSpaceDE w:val="0"/>
        <w:autoSpaceDN w:val="0"/>
        <w:adjustRightInd w:val="0"/>
        <w:spacing w:line="560" w:lineRule="exact"/>
        <w:ind w:firstLine="643" w:firstLineChars="200"/>
        <w:jc w:val="left"/>
        <w:outlineLvl w:val="2"/>
        <w:rPr>
          <w:rFonts w:hint="eastAsia" w:ascii="楷体_GB2312" w:hAnsi="仿宋" w:eastAsia="楷体_GB2312"/>
          <w:b/>
          <w:color w:val="000000"/>
          <w:sz w:val="32"/>
          <w:szCs w:val="32"/>
        </w:rPr>
      </w:pPr>
      <w:r>
        <w:rPr>
          <w:rFonts w:hint="eastAsia" w:ascii="楷体_GB2312" w:hAnsi="仿宋" w:eastAsia="楷体_GB2312"/>
          <w:b/>
          <w:color w:val="000000"/>
          <w:sz w:val="32"/>
          <w:szCs w:val="32"/>
        </w:rPr>
        <w:t>（四）预算绩效管理情况</w:t>
      </w:r>
    </w:p>
    <w:p w14:paraId="3F199AB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根据预算绩效管理要求，预算执行过程中，本部门按要求对2022年部门整体支出开展绩效自评，从评价情况来看本部门按要求对 2022年部门整体支出开展绩效自评，从评价情况来看，2022年我部门整体支出绩效评价自查自评结果良好，全年基本支出保证了部门的正常运行和日常工作的正常开展。</w:t>
      </w:r>
    </w:p>
    <w:p w14:paraId="6C26BD2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22年部门整体支出绩效评价情况开展自评，《茂县防震减灾事务中心部门</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22年部门预算项目支出绩效自评表》见附件。</w:t>
      </w:r>
    </w:p>
    <w:p w14:paraId="48E107D0">
      <w:pPr>
        <w:spacing w:line="560" w:lineRule="exact"/>
        <w:ind w:firstLine="640" w:firstLineChars="200"/>
        <w:rPr>
          <w:rFonts w:hint="eastAsia" w:ascii="仿宋_GB2312" w:hAnsi="仿宋_GB2312" w:eastAsia="仿宋_GB2312" w:cs="仿宋_GB2312"/>
          <w:sz w:val="32"/>
          <w:szCs w:val="32"/>
        </w:rPr>
      </w:pPr>
    </w:p>
    <w:p w14:paraId="45A86CC6">
      <w:pPr>
        <w:spacing w:line="560" w:lineRule="exact"/>
        <w:ind w:firstLine="640" w:firstLineChars="200"/>
        <w:rPr>
          <w:rFonts w:hint="eastAsia" w:ascii="仿宋_GB2312" w:hAnsi="仿宋_GB2312" w:eastAsia="仿宋_GB2312" w:cs="仿宋_GB2312"/>
          <w:sz w:val="32"/>
          <w:szCs w:val="32"/>
        </w:rPr>
      </w:pPr>
    </w:p>
    <w:p w14:paraId="490DD3F5">
      <w:pPr>
        <w:spacing w:line="560" w:lineRule="exact"/>
        <w:ind w:firstLine="640" w:firstLineChars="200"/>
        <w:rPr>
          <w:rFonts w:hint="eastAsia" w:ascii="仿宋_GB2312" w:hAnsi="仿宋_GB2312" w:eastAsia="仿宋_GB2312" w:cs="仿宋_GB2312"/>
          <w:sz w:val="32"/>
          <w:szCs w:val="32"/>
        </w:rPr>
      </w:pPr>
    </w:p>
    <w:p w14:paraId="606239EA">
      <w:pPr>
        <w:spacing w:line="560" w:lineRule="exact"/>
        <w:ind w:firstLine="640" w:firstLineChars="200"/>
        <w:rPr>
          <w:rFonts w:hint="eastAsia" w:ascii="仿宋_GB2312" w:hAnsi="仿宋_GB2312" w:eastAsia="仿宋_GB2312" w:cs="仿宋_GB2312"/>
          <w:sz w:val="32"/>
          <w:szCs w:val="32"/>
        </w:rPr>
      </w:pPr>
    </w:p>
    <w:p w14:paraId="003DC7A8">
      <w:pPr>
        <w:spacing w:line="560" w:lineRule="exact"/>
        <w:ind w:firstLine="640" w:firstLineChars="200"/>
        <w:rPr>
          <w:rFonts w:hint="eastAsia" w:ascii="仿宋_GB2312" w:hAnsi="仿宋_GB2312" w:eastAsia="仿宋_GB2312" w:cs="仿宋_GB2312"/>
          <w:sz w:val="32"/>
          <w:szCs w:val="32"/>
        </w:rPr>
      </w:pPr>
    </w:p>
    <w:p w14:paraId="3B9BAC09">
      <w:pPr>
        <w:spacing w:line="560" w:lineRule="exact"/>
        <w:ind w:firstLine="640" w:firstLineChars="200"/>
        <w:rPr>
          <w:rFonts w:hint="eastAsia" w:ascii="仿宋_GB2312" w:hAnsi="仿宋_GB2312" w:eastAsia="仿宋_GB2312" w:cs="仿宋_GB2312"/>
          <w:sz w:val="32"/>
          <w:szCs w:val="32"/>
        </w:rPr>
      </w:pPr>
    </w:p>
    <w:p w14:paraId="1F2C5591">
      <w:pPr>
        <w:spacing w:line="560" w:lineRule="exact"/>
        <w:ind w:firstLine="640" w:firstLineChars="200"/>
        <w:rPr>
          <w:rFonts w:hint="eastAsia" w:ascii="仿宋_GB2312" w:hAnsi="仿宋_GB2312" w:eastAsia="仿宋_GB2312" w:cs="仿宋_GB2312"/>
          <w:sz w:val="32"/>
          <w:szCs w:val="32"/>
        </w:rPr>
      </w:pPr>
    </w:p>
    <w:p w14:paraId="78C98CC5">
      <w:pPr>
        <w:spacing w:line="560" w:lineRule="exact"/>
        <w:ind w:firstLine="640" w:firstLineChars="200"/>
        <w:rPr>
          <w:rFonts w:hint="eastAsia" w:ascii="仿宋_GB2312" w:hAnsi="仿宋_GB2312" w:eastAsia="仿宋_GB2312" w:cs="仿宋_GB2312"/>
          <w:sz w:val="32"/>
          <w:szCs w:val="32"/>
        </w:rPr>
      </w:pPr>
    </w:p>
    <w:p w14:paraId="004D11C3">
      <w:pPr>
        <w:spacing w:line="560" w:lineRule="exact"/>
        <w:ind w:firstLine="640" w:firstLineChars="200"/>
        <w:rPr>
          <w:rFonts w:hint="eastAsia" w:ascii="仿宋_GB2312" w:hAnsi="仿宋_GB2312" w:eastAsia="仿宋_GB2312" w:cs="仿宋_GB2312"/>
          <w:sz w:val="32"/>
          <w:szCs w:val="32"/>
        </w:rPr>
      </w:pPr>
    </w:p>
    <w:p w14:paraId="54C542BB">
      <w:pPr>
        <w:spacing w:line="560" w:lineRule="exact"/>
        <w:ind w:firstLine="640" w:firstLineChars="200"/>
        <w:rPr>
          <w:rFonts w:hint="eastAsia" w:ascii="仿宋_GB2312" w:hAnsi="仿宋_GB2312" w:eastAsia="仿宋_GB2312" w:cs="仿宋_GB2312"/>
          <w:sz w:val="32"/>
          <w:szCs w:val="32"/>
        </w:rPr>
      </w:pPr>
    </w:p>
    <w:p w14:paraId="1C14BBD7">
      <w:pPr>
        <w:spacing w:line="560" w:lineRule="exact"/>
        <w:ind w:firstLine="640" w:firstLineChars="200"/>
        <w:rPr>
          <w:rFonts w:hint="eastAsia" w:ascii="仿宋_GB2312" w:hAnsi="仿宋_GB2312" w:eastAsia="仿宋_GB2312" w:cs="仿宋_GB2312"/>
          <w:sz w:val="32"/>
          <w:szCs w:val="32"/>
        </w:rPr>
      </w:pPr>
    </w:p>
    <w:p w14:paraId="091AF0E0">
      <w:pPr>
        <w:spacing w:line="560" w:lineRule="exact"/>
        <w:ind w:firstLine="640" w:firstLineChars="200"/>
        <w:rPr>
          <w:rFonts w:hint="eastAsia" w:ascii="仿宋_GB2312" w:hAnsi="仿宋_GB2312" w:eastAsia="仿宋_GB2312" w:cs="仿宋_GB2312"/>
          <w:sz w:val="32"/>
          <w:szCs w:val="32"/>
        </w:rPr>
      </w:pPr>
    </w:p>
    <w:p w14:paraId="013309A7">
      <w:pPr>
        <w:spacing w:line="560" w:lineRule="exact"/>
        <w:ind w:firstLine="640" w:firstLineChars="200"/>
        <w:rPr>
          <w:rFonts w:hint="eastAsia" w:ascii="仿宋_GB2312" w:hAnsi="仿宋_GB2312" w:eastAsia="仿宋_GB2312" w:cs="仿宋_GB2312"/>
          <w:sz w:val="32"/>
          <w:szCs w:val="32"/>
        </w:rPr>
      </w:pPr>
    </w:p>
    <w:p w14:paraId="7BAA408D">
      <w:pPr>
        <w:spacing w:line="560" w:lineRule="exact"/>
        <w:rPr>
          <w:rFonts w:hint="eastAsia" w:ascii="仿宋_GB2312" w:hAnsi="仿宋_GB2312" w:eastAsia="仿宋_GB2312" w:cs="仿宋_GB2312"/>
          <w:sz w:val="32"/>
          <w:szCs w:val="32"/>
        </w:rPr>
      </w:pPr>
    </w:p>
    <w:p w14:paraId="3E76032A">
      <w:pPr>
        <w:spacing w:line="560" w:lineRule="exact"/>
        <w:rPr>
          <w:rFonts w:hint="eastAsia" w:ascii="仿宋_GB2312" w:hAnsi="仿宋_GB2312" w:eastAsia="仿宋_GB2312" w:cs="仿宋_GB2312"/>
          <w:sz w:val="32"/>
          <w:szCs w:val="32"/>
        </w:rPr>
      </w:pPr>
    </w:p>
    <w:p w14:paraId="6790B598">
      <w:pPr>
        <w:numPr>
          <w:ilvl w:val="0"/>
          <w:numId w:val="2"/>
        </w:numPr>
        <w:spacing w:line="560" w:lineRule="exact"/>
        <w:ind w:firstLine="663" w:firstLineChars="150"/>
        <w:jc w:val="center"/>
        <w:outlineLvl w:val="0"/>
        <w:rPr>
          <w:rStyle w:val="15"/>
          <w:rFonts w:hint="eastAsia" w:ascii="方正小标宋简体" w:hAnsi="黑体" w:eastAsia="方正小标宋简体"/>
          <w:b w:val="0"/>
        </w:rPr>
      </w:pPr>
      <w:bookmarkStart w:id="41" w:name="_Toc15396613"/>
      <w:bookmarkStart w:id="42" w:name="_Toc15377225"/>
      <w:r>
        <w:rPr>
          <w:rFonts w:hint="eastAsia" w:ascii="方正小标宋简体" w:hAnsi="黑体" w:eastAsia="方正小标宋简体"/>
          <w:b/>
          <w:color w:val="000000"/>
          <w:sz w:val="44"/>
          <w:szCs w:val="44"/>
        </w:rPr>
        <w:t>名</w:t>
      </w:r>
      <w:r>
        <w:rPr>
          <w:rStyle w:val="15"/>
          <w:rFonts w:hint="eastAsia" w:ascii="方正小标宋简体" w:hAnsi="黑体" w:eastAsia="方正小标宋简体"/>
          <w:b w:val="0"/>
        </w:rPr>
        <w:t>词解释</w:t>
      </w:r>
      <w:bookmarkEnd w:id="41"/>
      <w:bookmarkEnd w:id="42"/>
    </w:p>
    <w:p w14:paraId="6659BBCD">
      <w:pPr>
        <w:spacing w:line="560" w:lineRule="exact"/>
        <w:jc w:val="left"/>
        <w:rPr>
          <w:rFonts w:ascii="宋体"/>
          <w:b/>
          <w:color w:val="000000"/>
          <w:sz w:val="44"/>
          <w:szCs w:val="44"/>
        </w:rPr>
      </w:pPr>
    </w:p>
    <w:p w14:paraId="2F028CA3">
      <w:pPr>
        <w:pStyle w:val="19"/>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14:paraId="0A0E3DA4">
      <w:pPr>
        <w:pStyle w:val="19"/>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792FCF70">
      <w:pPr>
        <w:pStyle w:val="19"/>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7D817888">
      <w:pPr>
        <w:pStyle w:val="19"/>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4.其他收入：指单位取得的除上述收入以外的各项收入。</w:t>
      </w:r>
    </w:p>
    <w:p w14:paraId="30934B47">
      <w:pPr>
        <w:pStyle w:val="19"/>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52387D3A">
      <w:pPr>
        <w:pStyle w:val="19"/>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6.年初结转和结余：指以前年度尚未完成、结转到本年按有关规定继续使用的资金。</w:t>
      </w:r>
    </w:p>
    <w:p w14:paraId="2A64E61A">
      <w:pPr>
        <w:pStyle w:val="19"/>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7.结余分配：指事业单位按照事业单位会计制度的规定从非财政补助结余中分配的事业基金和职工福利基金等。</w:t>
      </w:r>
    </w:p>
    <w:p w14:paraId="4E3DFD80">
      <w:pPr>
        <w:pStyle w:val="19"/>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63FDBC2C">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 xml:space="preserve"> 社会保障和就业（类）行政事业单位离退休（款）机关事业单位职业年金缴费支出（项）：指反映机关事业单位实施养老保险制度由单位实际缴纳的职业年金支出。              </w:t>
      </w:r>
    </w:p>
    <w:p w14:paraId="2F5ED01E">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0</w:t>
      </w:r>
      <w:r>
        <w:rPr>
          <w:rFonts w:ascii="仿宋_GB2312" w:eastAsia="仿宋_GB2312"/>
          <w:color w:val="000000"/>
          <w:sz w:val="32"/>
          <w:szCs w:val="32"/>
        </w:rPr>
        <w:t>.</w:t>
      </w:r>
      <w:r>
        <w:rPr>
          <w:rFonts w:hint="eastAsia" w:ascii="仿宋_GB2312" w:eastAsia="仿宋_GB2312"/>
          <w:color w:val="000000"/>
          <w:sz w:val="32"/>
          <w:szCs w:val="32"/>
        </w:rPr>
        <w:t>社会保障和就业（类）行政事业单位离退休（款）机关事业单位基本养老保险（项）：指反映机关事业单位实施养老保险制度由单位缴纳的基本养老保险费支出。</w:t>
      </w:r>
    </w:p>
    <w:p w14:paraId="462B6732">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1</w:t>
      </w:r>
      <w:r>
        <w:rPr>
          <w:rFonts w:ascii="仿宋_GB2312" w:eastAsia="仿宋_GB2312"/>
          <w:color w:val="000000"/>
          <w:sz w:val="32"/>
          <w:szCs w:val="32"/>
        </w:rPr>
        <w:t>.</w:t>
      </w:r>
      <w:r>
        <w:rPr>
          <w:rFonts w:hint="eastAsia" w:ascii="仿宋_GB2312" w:eastAsia="仿宋_GB2312"/>
          <w:color w:val="000000"/>
          <w:sz w:val="32"/>
          <w:szCs w:val="32"/>
        </w:rPr>
        <w:t>卫生与健康（类）行政事业单位医疗（款）行政单位医疗（项）：指反映行政事业单位医疗方面的支出。</w:t>
      </w:r>
    </w:p>
    <w:p w14:paraId="5113C99C">
      <w:pPr>
        <w:spacing w:line="560" w:lineRule="exact"/>
        <w:ind w:firstLine="640" w:firstLineChars="200"/>
        <w:rPr>
          <w:rFonts w:hint="eastAsia"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2</w:t>
      </w:r>
      <w:r>
        <w:rPr>
          <w:rFonts w:ascii="仿宋_GB2312" w:eastAsia="仿宋_GB2312"/>
          <w:color w:val="000000"/>
          <w:sz w:val="32"/>
          <w:szCs w:val="32"/>
        </w:rPr>
        <w:t>.</w:t>
      </w:r>
      <w:r>
        <w:rPr>
          <w:rFonts w:hint="eastAsia" w:ascii="仿宋_GB2312" w:eastAsia="仿宋_GB2312"/>
          <w:color w:val="000000"/>
          <w:sz w:val="32"/>
          <w:szCs w:val="32"/>
        </w:rPr>
        <w:t xml:space="preserve"> 其他支出（类）其他支出（款）其他支出（项）：指反映上述项目以外其他不能划分到具体功能科目中的支出项目。</w:t>
      </w:r>
    </w:p>
    <w:p w14:paraId="35217FC5">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3</w:t>
      </w:r>
      <w:r>
        <w:rPr>
          <w:rFonts w:ascii="仿宋_GB2312" w:eastAsia="仿宋_GB2312"/>
          <w:color w:val="000000"/>
          <w:sz w:val="32"/>
          <w:szCs w:val="32"/>
        </w:rPr>
        <w:t>.</w:t>
      </w:r>
      <w:r>
        <w:rPr>
          <w:rFonts w:hint="eastAsia" w:ascii="仿宋_GB2312" w:eastAsia="仿宋_GB2312"/>
          <w:color w:val="000000"/>
          <w:sz w:val="32"/>
          <w:szCs w:val="32"/>
        </w:rPr>
        <w:t>农林水（类）扶贫（款）其他扶贫支出（项）：指反映上述项目以外其他用于扶贫方面的支出。</w:t>
      </w:r>
    </w:p>
    <w:p w14:paraId="6104C610">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4.</w:t>
      </w:r>
      <w:r>
        <w:rPr>
          <w:rFonts w:hint="eastAsia" w:ascii="仿宋_GB2312" w:eastAsia="仿宋_GB2312"/>
          <w:color w:val="000000"/>
          <w:sz w:val="32"/>
          <w:szCs w:val="32"/>
        </w:rPr>
        <w:t>灾害防治及应急管理支出（类）地震事务（款）行政运行，指反映行政单位的基本支出。</w:t>
      </w:r>
    </w:p>
    <w:p w14:paraId="08E78EE9">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5.</w:t>
      </w:r>
      <w:r>
        <w:rPr>
          <w:rFonts w:hint="eastAsia" w:ascii="仿宋_GB2312" w:eastAsia="仿宋_GB2312"/>
          <w:color w:val="000000"/>
          <w:sz w:val="32"/>
          <w:szCs w:val="32"/>
        </w:rPr>
        <w:t>住房保障（类）住房改革支出（款）住房公积金（项）：指行政事业单位按人力资源和社会保障部、财政部规定的基本工资和津贴补贴以及规定比例为职工缴纳的住房公积金。</w:t>
      </w:r>
    </w:p>
    <w:p w14:paraId="5BBEB242">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6.</w:t>
      </w:r>
      <w:r>
        <w:rPr>
          <w:rFonts w:hint="eastAsia" w:ascii="仿宋_GB2312" w:eastAsia="仿宋_GB2312"/>
          <w:color w:val="000000"/>
          <w:sz w:val="32"/>
          <w:szCs w:val="32"/>
        </w:rPr>
        <w:t>粮油物资储备</w:t>
      </w:r>
    </w:p>
    <w:p w14:paraId="2534DF9C">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7.</w:t>
      </w:r>
      <w:r>
        <w:rPr>
          <w:rFonts w:hint="eastAsia" w:ascii="仿宋_GB2312" w:eastAsia="仿宋_GB2312"/>
          <w:color w:val="000000"/>
          <w:sz w:val="32"/>
          <w:szCs w:val="32"/>
        </w:rPr>
        <w:t>基本支出：指为保障机构正常运转、完成日常工作任务而发生的人员支出和公用支出。</w:t>
      </w:r>
    </w:p>
    <w:p w14:paraId="2D690D4B">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61EBBBB3">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9.</w:t>
      </w:r>
      <w:r>
        <w:rPr>
          <w:rFonts w:hint="eastAsia" w:ascii="仿宋_GB2312" w:eastAsia="仿宋_GB2312"/>
          <w:color w:val="000000"/>
          <w:sz w:val="32"/>
          <w:szCs w:val="32"/>
        </w:rPr>
        <w:t>经营支出：指事业单位在专业业务活动及其辅助活动之外开展非独立核算经营活动发生的支出。</w:t>
      </w:r>
    </w:p>
    <w:p w14:paraId="69004A61">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0E2F61B">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D54F67E">
      <w:pPr>
        <w:pStyle w:val="19"/>
        <w:spacing w:line="560" w:lineRule="exact"/>
        <w:ind w:firstLine="640" w:firstLineChars="200"/>
        <w:rPr>
          <w:rFonts w:hint="eastAsia" w:ascii="仿宋_GB2312" w:eastAsia="仿宋_GB2312"/>
          <w:sz w:val="32"/>
          <w:szCs w:val="32"/>
        </w:rPr>
      </w:pPr>
    </w:p>
    <w:p w14:paraId="4DEA7324">
      <w:pPr>
        <w:pStyle w:val="19"/>
        <w:spacing w:line="560" w:lineRule="exact"/>
        <w:rPr>
          <w:rFonts w:hint="eastAsia" w:ascii="仿宋_GB2312" w:eastAsia="仿宋_GB2312"/>
          <w:sz w:val="32"/>
          <w:szCs w:val="32"/>
        </w:rPr>
      </w:pPr>
    </w:p>
    <w:p w14:paraId="00104733">
      <w:pPr>
        <w:spacing w:line="560" w:lineRule="exact"/>
        <w:jc w:val="center"/>
        <w:outlineLvl w:val="0"/>
        <w:rPr>
          <w:rStyle w:val="15"/>
          <w:rFonts w:hint="eastAsia" w:ascii="方正小标宋简体" w:hAnsi="方正小标宋简体" w:eastAsia="方正小标宋简体" w:cs="方正小标宋简体"/>
          <w:b w:val="0"/>
        </w:rPr>
      </w:pPr>
      <w:bookmarkStart w:id="43" w:name="_Toc15396614"/>
    </w:p>
    <w:p w14:paraId="71348955">
      <w:pPr>
        <w:spacing w:line="560" w:lineRule="exact"/>
        <w:jc w:val="center"/>
        <w:outlineLvl w:val="0"/>
        <w:rPr>
          <w:rStyle w:val="15"/>
          <w:rFonts w:hint="eastAsia" w:ascii="方正小标宋简体" w:hAnsi="方正小标宋简体" w:eastAsia="方正小标宋简体" w:cs="方正小标宋简体"/>
          <w:b w:val="0"/>
        </w:rPr>
      </w:pPr>
    </w:p>
    <w:p w14:paraId="268758C3">
      <w:pPr>
        <w:spacing w:line="560" w:lineRule="exact"/>
        <w:jc w:val="center"/>
        <w:outlineLvl w:val="0"/>
        <w:rPr>
          <w:rStyle w:val="15"/>
          <w:rFonts w:hint="eastAsia" w:ascii="方正小标宋简体" w:hAnsi="方正小标宋简体" w:eastAsia="方正小标宋简体" w:cs="方正小标宋简体"/>
          <w:b w:val="0"/>
        </w:rPr>
      </w:pPr>
    </w:p>
    <w:p w14:paraId="6021BFF2">
      <w:pPr>
        <w:spacing w:line="560" w:lineRule="exact"/>
        <w:jc w:val="center"/>
        <w:outlineLvl w:val="0"/>
        <w:rPr>
          <w:rStyle w:val="15"/>
          <w:rFonts w:hint="eastAsia" w:ascii="方正小标宋简体" w:hAnsi="方正小标宋简体" w:eastAsia="方正小标宋简体" w:cs="方正小标宋简体"/>
          <w:b w:val="0"/>
        </w:rPr>
      </w:pPr>
    </w:p>
    <w:p w14:paraId="65E39F84">
      <w:pPr>
        <w:spacing w:line="560" w:lineRule="exact"/>
        <w:jc w:val="center"/>
        <w:outlineLvl w:val="0"/>
        <w:rPr>
          <w:rStyle w:val="15"/>
          <w:rFonts w:hint="eastAsia" w:ascii="方正小标宋简体" w:hAnsi="方正小标宋简体" w:eastAsia="方正小标宋简体" w:cs="方正小标宋简体"/>
          <w:b w:val="0"/>
        </w:rPr>
      </w:pPr>
    </w:p>
    <w:p w14:paraId="50252A5E">
      <w:pPr>
        <w:spacing w:line="560" w:lineRule="exact"/>
        <w:jc w:val="center"/>
        <w:outlineLvl w:val="0"/>
        <w:rPr>
          <w:rStyle w:val="15"/>
          <w:rFonts w:hint="eastAsia" w:ascii="方正小标宋简体" w:hAnsi="方正小标宋简体" w:eastAsia="方正小标宋简体" w:cs="方正小标宋简体"/>
          <w:b w:val="0"/>
        </w:rPr>
      </w:pPr>
    </w:p>
    <w:bookmarkEnd w:id="43"/>
    <w:p w14:paraId="15E71815">
      <w:pPr>
        <w:pStyle w:val="9"/>
        <w:widowControl/>
        <w:spacing w:line="560" w:lineRule="exact"/>
        <w:jc w:val="center"/>
        <w:outlineLvl w:val="0"/>
        <w:rPr>
          <w:rFonts w:hint="eastAsia" w:ascii="黑体" w:eastAsia="黑体"/>
          <w:color w:val="000000"/>
          <w:kern w:val="2"/>
          <w:sz w:val="44"/>
          <w:szCs w:val="44"/>
        </w:rPr>
      </w:pPr>
      <w:bookmarkStart w:id="44" w:name="_Toc19088"/>
      <w:bookmarkStart w:id="45" w:name="_Toc7978"/>
    </w:p>
    <w:p w14:paraId="1267BAF1">
      <w:pPr>
        <w:pStyle w:val="9"/>
        <w:widowControl/>
        <w:spacing w:line="560" w:lineRule="exact"/>
        <w:jc w:val="center"/>
        <w:outlineLvl w:val="0"/>
        <w:rPr>
          <w:rFonts w:hint="eastAsia" w:ascii="黑体" w:eastAsia="黑体"/>
          <w:color w:val="000000"/>
          <w:kern w:val="2"/>
          <w:sz w:val="44"/>
          <w:szCs w:val="44"/>
        </w:rPr>
      </w:pPr>
    </w:p>
    <w:p w14:paraId="3B863CAD">
      <w:pPr>
        <w:pStyle w:val="9"/>
        <w:widowControl/>
        <w:spacing w:line="560" w:lineRule="exact"/>
        <w:jc w:val="center"/>
        <w:outlineLvl w:val="0"/>
        <w:rPr>
          <w:rFonts w:hint="eastAsia" w:ascii="黑体" w:eastAsia="黑体"/>
          <w:color w:val="000000"/>
          <w:kern w:val="2"/>
          <w:sz w:val="44"/>
          <w:szCs w:val="44"/>
        </w:rPr>
      </w:pPr>
    </w:p>
    <w:p w14:paraId="116A50FE">
      <w:pPr>
        <w:pStyle w:val="9"/>
        <w:widowControl/>
        <w:spacing w:line="560" w:lineRule="exact"/>
        <w:jc w:val="center"/>
        <w:outlineLvl w:val="0"/>
        <w:rPr>
          <w:rFonts w:hint="eastAsia" w:ascii="黑体" w:eastAsia="黑体"/>
          <w:color w:val="000000"/>
          <w:kern w:val="2"/>
          <w:sz w:val="44"/>
          <w:szCs w:val="44"/>
        </w:rPr>
      </w:pPr>
      <w:r>
        <w:rPr>
          <w:rFonts w:hint="eastAsia" w:ascii="黑体" w:eastAsia="黑体"/>
          <w:color w:val="000000"/>
          <w:kern w:val="2"/>
          <w:sz w:val="44"/>
          <w:szCs w:val="44"/>
        </w:rPr>
        <w:t>第四部分 附件</w:t>
      </w:r>
      <w:bookmarkEnd w:id="44"/>
      <w:bookmarkEnd w:id="45"/>
    </w:p>
    <w:p w14:paraId="33B8BFD4">
      <w:pPr>
        <w:spacing w:line="560" w:lineRule="exact"/>
        <w:jc w:val="left"/>
        <w:rPr>
          <w:rFonts w:hint="eastAsia" w:ascii="宋体"/>
          <w:b/>
          <w:color w:val="000000"/>
          <w:sz w:val="44"/>
          <w:szCs w:val="44"/>
        </w:rPr>
      </w:pPr>
    </w:p>
    <w:p w14:paraId="4F496E42">
      <w:pPr>
        <w:spacing w:line="560" w:lineRule="exact"/>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2022年茂县防震减灾事务中心部门整体支</w:t>
      </w:r>
    </w:p>
    <w:p w14:paraId="6B2AD8A1">
      <w:pPr>
        <w:spacing w:line="560" w:lineRule="exact"/>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出绩效报告</w:t>
      </w:r>
    </w:p>
    <w:p w14:paraId="426DB5CC">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29A2DA6">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一、部门（单位）基本情况</w:t>
      </w:r>
    </w:p>
    <w:p w14:paraId="17A34BE1">
      <w:pPr>
        <w:spacing w:line="560" w:lineRule="exact"/>
        <w:ind w:firstLine="643" w:firstLineChars="200"/>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(一)机构组成</w:t>
      </w:r>
    </w:p>
    <w:p w14:paraId="06D153D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本单位是参照公务员管理事业单位，属一级预算单位，其中内设机构3个。</w:t>
      </w:r>
    </w:p>
    <w:p w14:paraId="7FB59C06">
      <w:pPr>
        <w:spacing w:line="560" w:lineRule="exact"/>
        <w:ind w:firstLine="643" w:firstLineChars="200"/>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(二)机构职能</w:t>
      </w:r>
    </w:p>
    <w:p w14:paraId="0F6A3A9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彻执行国家和省、州、县有关防震减灾工作方针、政策、法律、规范和标准；组织起草茂县防震减灾发展规划，编制茂县防震减灾工作年度计划并组织实施；地震台站的管理和地震监测设施及观测环境保护工作；做好地震应急工作的管理， 制定茂县破坏性地震应急预案，落实应急措施， 开展震后各项应急工作开展防震减灾科普知识宣传教育工作；负责茂县群测群防“三网一员” 建设的管理、指导工作；完成茂县人民政府防震减灾工作领导小组办公室日常工作，发生破坏性地震后履行政府抗震救灾指挥机构办事部门职责。</w:t>
      </w:r>
    </w:p>
    <w:p w14:paraId="4509710A">
      <w:pPr>
        <w:spacing w:line="560" w:lineRule="exact"/>
        <w:ind w:firstLine="643" w:firstLineChars="200"/>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(三)2023年重点工作</w:t>
      </w:r>
    </w:p>
    <w:p w14:paraId="40F5D543">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1.加强地震监测能力建设，不断提升地震监测水平</w:t>
      </w:r>
    </w:p>
    <w:p w14:paraId="27DACC4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切实做好震情监视与短临跟踪工作，坚持定期对辖区内及邻区地震趋势的分析，主动把握震情趋势动向，为县委、县政府科学决策提供依据。认真做好监测仪器的维护工作，及时处理各种监测设备的故障，确保仪器正常运行。加强群测群防工作和“三网一员”建设，巩固地震宏观观测员队伍，对各宏观点反映的宏观异常情况要及时调查核实，充分发挥群测群防在地震短临预报、灾情速报和普及地震知识中的重要作用。</w:t>
      </w:r>
    </w:p>
    <w:p w14:paraId="640BC729">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2.加大抗震设防监管力度，提高建设工程抗震能力</w:t>
      </w:r>
    </w:p>
    <w:p w14:paraId="47FEBF1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继续认真做好抗震设防宣传工作，提高社会公众对抗震设防重要性的认识，确保抗震设防的思想观念深入人心。二是进一步落实《阿坝州建设工程抗震设防备案制度》，加强部门间的协作，切实发挥《阿坝州建设工程抗震设防备案制度》的作用。在日常工作中主动与业主单位加强联系，保证所有项目备案审查，积极参与项目实施及验收等工作，确保新建、改建工程达到抗震设防要求。三是加大执法检查力度，积极开展对重大工程和生命线工程的抗震设防执法检查，提高工程建筑质量。四是加强农村民居防震抗震知识宣传教育和抗震设防技术指导，积极推广使用地震安全农居示范工程技术，提高农居建设施工质量及抗震能力。</w:t>
      </w:r>
    </w:p>
    <w:p w14:paraId="57A0F9C2">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3.开展防震灾知识宣传活动，增强公众防震减灾意识</w:t>
      </w:r>
    </w:p>
    <w:p w14:paraId="7C51762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利用“科技周、科技三下乡、国家防灾减灾日、国际减灾日、法制宣传日”，广泛开展《中华人民共和国防震减灾法》和防震减灾科普知识“进机关、进学校、进社区、进企业、进农村”宣传教育活动，推进防震减灾宣传工作制度化、常态化。积极拓宽防震减灾科普宣传渠道，完善宣传网络，利用网络、电视等新闻媒体，加强防震减灾知识的普及和宣传，不断增强公众防震减灾意识。大力开展创建防震减灾科普示范学校、社区活动，探索创建活动新路子。</w:t>
      </w:r>
    </w:p>
    <w:p w14:paraId="01BF0F79">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4.强化地震应急管理，提高处置地震灾害能力</w:t>
      </w:r>
    </w:p>
    <w:p w14:paraId="1CA4C1A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健全茂县地震应急预案管理信息系统，指导全县各机关、学校、医院、企业、商场等根据地震应急预案开展应急演练。对重点单位要加强地震应急知识培训，定期开展地震应急工作监督、检查和评比。抓好本县应急救援志愿者队伍建设，积极配合有关部门搞好地震应急避难场所建设。加快防震减灾综合信息服务系统短信发送平台建设，不断提高处置地震灾害能力。</w:t>
      </w:r>
    </w:p>
    <w:p w14:paraId="6029C521">
      <w:pPr>
        <w:spacing w:line="560" w:lineRule="exact"/>
        <w:ind w:firstLine="643" w:firstLineChars="200"/>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(四)人员概况</w:t>
      </w:r>
    </w:p>
    <w:p w14:paraId="154CF00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人员总编制8名。实有在职人员总数9名，在职人员中参公人员6名，工勤3名。退休人员3人。</w:t>
      </w:r>
    </w:p>
    <w:p w14:paraId="16C5D2A0">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二、部门财政资金收支情况</w:t>
      </w:r>
    </w:p>
    <w:p w14:paraId="67FCDE9B">
      <w:pPr>
        <w:spacing w:line="560" w:lineRule="exact"/>
        <w:ind w:firstLine="643" w:firstLineChars="200"/>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(一)部门财政资金收入情况</w:t>
      </w:r>
    </w:p>
    <w:p w14:paraId="6A7E1F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2022年本部门财政拨款收入决算总额为231.91万元，其中：当年财政拨款收入231.91万元，均为一般公共预算财政拨款。</w:t>
      </w:r>
    </w:p>
    <w:p w14:paraId="0FC524E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2023年1-6月本部门财政拨款收入总额为136.28万元，其中：当年财政拨款收入136.28万元，均为一般公共预算财政拨款。</w:t>
      </w:r>
    </w:p>
    <w:p w14:paraId="712683C6">
      <w:pPr>
        <w:spacing w:line="560" w:lineRule="exact"/>
        <w:ind w:firstLine="643" w:firstLineChars="200"/>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（二）部门财政资金支出情况</w:t>
      </w:r>
    </w:p>
    <w:p w14:paraId="4012B3F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2022年本部门财政拨款支出决算总额231.91万元。其中：当年财政拨款支出231.91万元，均为一般公共预算财政拨款。</w:t>
      </w:r>
    </w:p>
    <w:p w14:paraId="6815456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2023年1-6月本部门财政拨款支出总额136.28万元。其中：当年财政拨款支出136.28万元，均为一般公共预算财政拨款。</w:t>
      </w:r>
    </w:p>
    <w:p w14:paraId="64B3B5F1">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三、部门财政支出管理情况</w:t>
      </w:r>
    </w:p>
    <w:p w14:paraId="7841E080">
      <w:pPr>
        <w:spacing w:line="560" w:lineRule="exact"/>
        <w:ind w:firstLine="643" w:firstLineChars="200"/>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(一)预算编制情况</w:t>
      </w:r>
    </w:p>
    <w:p w14:paraId="0EF7590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2022年预算收入合计231.91万元，其中：当年财政拨款收入231.91万元。</w:t>
      </w:r>
    </w:p>
    <w:p w14:paraId="63F5408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2022年预算支出合计231.91万元，其中：当年财政拨款收入231.91万元。</w:t>
      </w:r>
    </w:p>
    <w:p w14:paraId="4FEF85A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按功能分类支出情况，灾害防治及应急管理支出187.56万元、社会保障和就业支出21.93万元、卫生健康支出 9.24万元、住房保障支出13.17万元。按支出性质分类，基本支出231.91万元。</w:t>
      </w:r>
    </w:p>
    <w:p w14:paraId="7B90EFF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按经济分类支出情况，工资福利支出174.28万元，商品和服务支出50.84万元，对个人和家庭的补助支出6.79万元。</w:t>
      </w:r>
    </w:p>
    <w:p w14:paraId="066A7437">
      <w:pPr>
        <w:spacing w:line="560" w:lineRule="exact"/>
        <w:ind w:firstLine="643" w:firstLineChars="200"/>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（二）资产总体情况</w:t>
      </w:r>
    </w:p>
    <w:p w14:paraId="46A3E90A">
      <w:pPr>
        <w:spacing w:line="560" w:lineRule="exact"/>
        <w:ind w:firstLine="640" w:firstLineChars="200"/>
        <w:rPr>
          <w:rFonts w:ascii="仿宋_GB2312" w:eastAsia="仿宋_GB2312"/>
          <w:color w:val="000000"/>
          <w:sz w:val="32"/>
          <w:szCs w:val="32"/>
        </w:rPr>
      </w:pPr>
      <w:r>
        <w:rPr>
          <w:rFonts w:hint="eastAsia" w:ascii="仿宋_GB2312" w:hAnsi="仿宋_GB2312" w:eastAsia="仿宋_GB2312" w:cs="仿宋_GB2312"/>
          <w:sz w:val="32"/>
          <w:szCs w:val="32"/>
        </w:rPr>
        <w:t>截至2022年12月31日，我单位资产总额(账面净值，下同）44.61万元，较上年增长 66.78%.负债总额8.18万元，较上年增长0.00%。净资产36.43万元，较上年增加2428%，</w:t>
      </w:r>
      <w:r>
        <w:rPr>
          <w:rFonts w:hint="eastAsia" w:ascii="仿宋_GB2312" w:eastAsia="仿宋_GB2312"/>
          <w:color w:val="000000"/>
          <w:sz w:val="32"/>
          <w:szCs w:val="32"/>
        </w:rPr>
        <w:t>主要原因是2022年新购置车辆1辆。</w:t>
      </w:r>
    </w:p>
    <w:p w14:paraId="0E21DB01">
      <w:pPr>
        <w:spacing w:line="560" w:lineRule="exact"/>
        <w:ind w:firstLine="643" w:firstLineChars="200"/>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 xml:space="preserve"> (三)执行管理情况</w:t>
      </w:r>
    </w:p>
    <w:p w14:paraId="746A362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2022年我单位财政拨款收入决算总额为231.91万元，财政拨款支出决算总额231.91万元，均为一般公共预算财政拨款，执行进度为100%。</w:t>
      </w:r>
    </w:p>
    <w:p w14:paraId="521AC428">
      <w:pPr>
        <w:spacing w:line="560" w:lineRule="exact"/>
        <w:ind w:firstLine="643" w:firstLineChars="200"/>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（四）专项支出情况</w:t>
      </w:r>
    </w:p>
    <w:p w14:paraId="2AB7E1E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截至2022年12月31日，我中心专项支出0万元。</w:t>
      </w:r>
    </w:p>
    <w:p w14:paraId="2E37A2C7">
      <w:pPr>
        <w:spacing w:line="560" w:lineRule="exact"/>
        <w:ind w:firstLine="643" w:firstLineChars="200"/>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（五）综合管理情况</w:t>
      </w:r>
    </w:p>
    <w:p w14:paraId="0100DE3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我单位以习近平新时代中国特色社会主义思想为指导，根据职能职责积极谋划，确定目标任务，积极发挥公共财政职能作用，推动落实稳增长、促改革、调结构、惠民生、防风险各项工作。</w:t>
      </w:r>
    </w:p>
    <w:p w14:paraId="1AF84E3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按照《四川省省级预算绩效运行监控管理暂行办法》要求，认真组织开展所属单位的绩效监控工作，填报《项目预算绩效监控分析表》，进一步明确项成目标可能性及时间。有效使用财政资金，提高财政资金使用效益，保障了本单位工作顺利开展。</w:t>
      </w:r>
    </w:p>
    <w:p w14:paraId="61BAA38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按照2022年部门预算编审要求，根据我单位职能职责，结合中长期规划和年度工作计划，明确了年度主要工作任务及年度内履职所要达到的总体产出和效果，认真填报了我单位整体支出绩效目标，设定了年度绩效数量指标、成本指标效益指标等。</w:t>
      </w:r>
    </w:p>
    <w:p w14:paraId="604D5E5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三是按照财政部门统一部署，本单位按要求公开绩效目标管理情况及部门整体支出绩效自评开展情况并依法接受财政监督。</w:t>
      </w:r>
    </w:p>
    <w:p w14:paraId="75D615B1">
      <w:pPr>
        <w:spacing w:line="560" w:lineRule="exact"/>
        <w:ind w:firstLine="643" w:firstLineChars="200"/>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(六)整体绩效</w:t>
      </w:r>
    </w:p>
    <w:p w14:paraId="6C6C4EB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部门预算绩效管理工作开展情况进行了自评。绩效评价自查开展覆盖单位所有支出(本部门无专项预算项目，因此本部门未组织开展项目支出绩效评价)，将评价结果作为预算安排的重要依据，参照项目年度预算执行情况“三年滚动规划”执行情况，调整支出结构，优化财政资金配置，不断强化绩效理念，推动本部门整体绩效管理水平不断提升。</w:t>
      </w:r>
    </w:p>
    <w:p w14:paraId="465C837F">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四、评价结论及建议</w:t>
      </w:r>
    </w:p>
    <w:p w14:paraId="1BCDAED3">
      <w:pPr>
        <w:spacing w:line="560" w:lineRule="exact"/>
        <w:ind w:firstLine="643" w:firstLineChars="200"/>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(一)评价结论</w:t>
      </w:r>
    </w:p>
    <w:p w14:paraId="67B720A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2022年我部门整体支出绩效评价自查自评结果良好，全年基本支出保证了部门的正常运行和日常工作的正常开展，达到预期绩效目标，按照2022年部门整体支出绩效评价指标体系自评得分98分。</w:t>
      </w:r>
    </w:p>
    <w:p w14:paraId="5C9FFC03">
      <w:pPr>
        <w:spacing w:line="560" w:lineRule="exact"/>
        <w:ind w:firstLine="643" w:firstLineChars="200"/>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(二)存在问题</w:t>
      </w:r>
    </w:p>
    <w:p w14:paraId="3649ECB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1.属于公务卡结算目录内的费用，应加大使用公务卡结算比例。</w:t>
      </w:r>
    </w:p>
    <w:p w14:paraId="23070C8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2.需严格报账审批，切实履行各自职能职责，保障会计资料的真实性、完整性。</w:t>
      </w:r>
    </w:p>
    <w:p w14:paraId="7A527D51">
      <w:pPr>
        <w:spacing w:line="560" w:lineRule="exact"/>
        <w:ind w:firstLine="643" w:firstLineChars="200"/>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（三）改进建议</w:t>
      </w:r>
    </w:p>
    <w:p w14:paraId="4DF77EA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1.进一步加强单位预算编制、支出执行、决算编制等工作的管理，特别是应加快专项资金的预算执行进度。</w:t>
      </w:r>
    </w:p>
    <w:p w14:paraId="267A1C5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2.在会计核算过程中，严格按照单位内控制度、财务管理制度，加强票据审核，报销凭证应为真实、合法、有效的票据；严禁超范围、超标准、进行报销。</w:t>
      </w:r>
    </w:p>
    <w:p w14:paraId="274FCA33">
      <w:pPr>
        <w:spacing w:line="560" w:lineRule="exact"/>
        <w:ind w:firstLine="640" w:firstLineChars="200"/>
        <w:rPr>
          <w:rFonts w:hint="eastAsia" w:ascii="仿宋_GB2312" w:hAnsi="仿宋_GB2312" w:eastAsia="仿宋_GB2312" w:cs="仿宋_GB2312"/>
          <w:sz w:val="32"/>
          <w:szCs w:val="32"/>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2"/>
          <w:szCs w:val="32"/>
        </w:rPr>
        <w:t>3.针对存在的问题，我们将进一步科学设定绩效目标，加强预算执行管理。改进部门收支预算编制，务实预算基础工作，提高预算编制质量。</w:t>
      </w:r>
    </w:p>
    <w:p w14:paraId="56C96EE2">
      <w:pPr>
        <w:jc w:val="center"/>
        <w:rPr>
          <w:rFonts w:hint="eastAsia" w:ascii="方正小标宋简体" w:eastAsia="方正小标宋简体"/>
          <w:sz w:val="44"/>
          <w:szCs w:val="44"/>
        </w:rPr>
      </w:pPr>
      <w:r>
        <w:rPr>
          <w:rFonts w:hint="eastAsia" w:ascii="方正小标宋简体" w:eastAsia="方正小标宋简体"/>
          <w:sz w:val="44"/>
          <w:szCs w:val="44"/>
        </w:rPr>
        <w:t>第五部分  附表</w:t>
      </w:r>
    </w:p>
    <w:p w14:paraId="36708DD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一、收入支出决算总表</w:t>
      </w:r>
    </w:p>
    <w:p w14:paraId="6748DC98">
      <w:pPr>
        <w:spacing w:line="560" w:lineRule="exact"/>
        <w:ind w:firstLine="640" w:firstLineChars="200"/>
        <w:rPr>
          <w:rFonts w:hint="eastAsia" w:ascii="仿宋_GB2312" w:eastAsia="仿宋_GB2312"/>
          <w:sz w:val="32"/>
          <w:szCs w:val="32"/>
        </w:rPr>
      </w:pPr>
      <w:bookmarkStart w:id="46" w:name="_Toc15396620"/>
      <w:r>
        <w:rPr>
          <w:rFonts w:hint="eastAsia" w:ascii="仿宋_GB2312" w:eastAsia="仿宋_GB2312"/>
          <w:sz w:val="32"/>
          <w:szCs w:val="32"/>
        </w:rPr>
        <w:t>二、收入总表</w:t>
      </w:r>
      <w:bookmarkEnd w:id="46"/>
    </w:p>
    <w:p w14:paraId="6D7F4680">
      <w:pPr>
        <w:spacing w:line="560" w:lineRule="exact"/>
        <w:ind w:firstLine="640" w:firstLineChars="200"/>
        <w:rPr>
          <w:rFonts w:hint="eastAsia" w:ascii="仿宋_GB2312" w:eastAsia="仿宋_GB2312"/>
          <w:sz w:val="32"/>
          <w:szCs w:val="32"/>
        </w:rPr>
      </w:pPr>
      <w:bookmarkStart w:id="47" w:name="_Toc15396621"/>
      <w:r>
        <w:rPr>
          <w:rFonts w:hint="eastAsia" w:ascii="仿宋_GB2312" w:eastAsia="仿宋_GB2312"/>
          <w:sz w:val="32"/>
          <w:szCs w:val="32"/>
        </w:rPr>
        <w:t>三、支出总表</w:t>
      </w:r>
      <w:bookmarkEnd w:id="47"/>
    </w:p>
    <w:p w14:paraId="2A66C0D4">
      <w:pPr>
        <w:spacing w:line="560" w:lineRule="exact"/>
        <w:ind w:firstLine="640" w:firstLineChars="200"/>
        <w:rPr>
          <w:rFonts w:hint="eastAsia" w:ascii="仿宋_GB2312" w:eastAsia="仿宋_GB2312"/>
          <w:sz w:val="32"/>
          <w:szCs w:val="32"/>
        </w:rPr>
      </w:pPr>
      <w:bookmarkStart w:id="48" w:name="_Toc15396622"/>
      <w:r>
        <w:rPr>
          <w:rFonts w:hint="eastAsia" w:ascii="仿宋_GB2312" w:eastAsia="仿宋_GB2312"/>
          <w:sz w:val="32"/>
          <w:szCs w:val="32"/>
        </w:rPr>
        <w:t>四、财政拨款收入支出决算总表</w:t>
      </w:r>
      <w:bookmarkEnd w:id="48"/>
    </w:p>
    <w:p w14:paraId="3E3AFA90">
      <w:pPr>
        <w:spacing w:line="560" w:lineRule="exact"/>
        <w:ind w:firstLine="640" w:firstLineChars="200"/>
        <w:rPr>
          <w:rFonts w:hint="eastAsia" w:ascii="仿宋_GB2312" w:eastAsia="仿宋_GB2312"/>
          <w:sz w:val="32"/>
          <w:szCs w:val="32"/>
        </w:rPr>
      </w:pPr>
      <w:bookmarkStart w:id="49" w:name="_Toc15396623"/>
      <w:r>
        <w:rPr>
          <w:rFonts w:hint="eastAsia" w:ascii="仿宋_GB2312" w:eastAsia="仿宋_GB2312"/>
          <w:sz w:val="32"/>
          <w:szCs w:val="32"/>
        </w:rPr>
        <w:t>五、财政拨款支出决算明细表（政府经济分类科目）</w:t>
      </w:r>
      <w:bookmarkEnd w:id="49"/>
    </w:p>
    <w:p w14:paraId="47BCC5D7">
      <w:pPr>
        <w:spacing w:line="560" w:lineRule="exact"/>
        <w:ind w:firstLine="640" w:firstLineChars="200"/>
        <w:rPr>
          <w:rFonts w:hint="eastAsia" w:ascii="仿宋_GB2312" w:eastAsia="仿宋_GB2312"/>
          <w:sz w:val="32"/>
          <w:szCs w:val="32"/>
        </w:rPr>
      </w:pPr>
      <w:bookmarkStart w:id="50" w:name="_Toc15396624"/>
      <w:r>
        <w:rPr>
          <w:rFonts w:hint="eastAsia" w:ascii="仿宋_GB2312" w:eastAsia="仿宋_GB2312"/>
          <w:sz w:val="32"/>
          <w:szCs w:val="32"/>
        </w:rPr>
        <w:t>六、一般公共预算财政拨款支出决算表</w:t>
      </w:r>
      <w:bookmarkEnd w:id="50"/>
    </w:p>
    <w:p w14:paraId="39A5C9F2">
      <w:pPr>
        <w:spacing w:line="560" w:lineRule="exact"/>
        <w:ind w:firstLine="640" w:firstLineChars="200"/>
        <w:rPr>
          <w:rFonts w:hint="eastAsia" w:ascii="仿宋_GB2312" w:eastAsia="仿宋_GB2312"/>
          <w:sz w:val="32"/>
          <w:szCs w:val="32"/>
        </w:rPr>
      </w:pPr>
      <w:bookmarkStart w:id="51" w:name="_Toc15396625"/>
      <w:r>
        <w:rPr>
          <w:rFonts w:hint="eastAsia" w:ascii="仿宋_GB2312" w:eastAsia="仿宋_GB2312"/>
          <w:sz w:val="32"/>
          <w:szCs w:val="32"/>
        </w:rPr>
        <w:t>七、一般公共预算财政拨款支出决算明细表</w:t>
      </w:r>
      <w:bookmarkEnd w:id="51"/>
    </w:p>
    <w:p w14:paraId="235FFC98">
      <w:pPr>
        <w:spacing w:line="560" w:lineRule="exact"/>
        <w:ind w:firstLine="640" w:firstLineChars="200"/>
        <w:rPr>
          <w:rFonts w:hint="eastAsia" w:ascii="仿宋_GB2312" w:eastAsia="仿宋_GB2312"/>
          <w:sz w:val="32"/>
          <w:szCs w:val="32"/>
        </w:rPr>
      </w:pPr>
      <w:bookmarkStart w:id="52" w:name="_Toc15396626"/>
      <w:r>
        <w:rPr>
          <w:rFonts w:hint="eastAsia" w:ascii="仿宋_GB2312" w:eastAsia="仿宋_GB2312"/>
          <w:sz w:val="32"/>
          <w:szCs w:val="32"/>
        </w:rPr>
        <w:t>八、一般公共预算财政拨款基本支出决算表</w:t>
      </w:r>
      <w:bookmarkEnd w:id="52"/>
    </w:p>
    <w:p w14:paraId="3B0A7C8F">
      <w:pPr>
        <w:spacing w:line="560" w:lineRule="exact"/>
        <w:ind w:firstLine="640" w:firstLineChars="200"/>
        <w:rPr>
          <w:rFonts w:hint="eastAsia" w:ascii="仿宋_GB2312" w:eastAsia="仿宋_GB2312"/>
          <w:sz w:val="32"/>
          <w:szCs w:val="32"/>
        </w:rPr>
      </w:pPr>
      <w:bookmarkStart w:id="53" w:name="_Toc15396627"/>
      <w:r>
        <w:rPr>
          <w:rFonts w:hint="eastAsia" w:ascii="仿宋_GB2312" w:eastAsia="仿宋_GB2312"/>
          <w:sz w:val="32"/>
          <w:szCs w:val="32"/>
        </w:rPr>
        <w:t>九、一般公共预算财政拨款项目支出决算表</w:t>
      </w:r>
      <w:bookmarkEnd w:id="53"/>
    </w:p>
    <w:p w14:paraId="5BB4F8F5">
      <w:pPr>
        <w:spacing w:line="560" w:lineRule="exact"/>
        <w:ind w:firstLine="640" w:firstLineChars="200"/>
        <w:rPr>
          <w:rFonts w:hint="eastAsia" w:ascii="仿宋_GB2312" w:eastAsia="仿宋_GB2312"/>
          <w:sz w:val="32"/>
          <w:szCs w:val="32"/>
        </w:rPr>
      </w:pPr>
      <w:bookmarkStart w:id="54" w:name="_Toc15396628"/>
      <w:r>
        <w:rPr>
          <w:rFonts w:hint="eastAsia" w:ascii="仿宋_GB2312" w:eastAsia="仿宋_GB2312"/>
          <w:sz w:val="32"/>
          <w:szCs w:val="32"/>
        </w:rPr>
        <w:t>十、一般公共预算财政拨款“三公”经费支出决算表</w:t>
      </w:r>
      <w:bookmarkEnd w:id="54"/>
    </w:p>
    <w:p w14:paraId="679E73E4">
      <w:pPr>
        <w:spacing w:line="560" w:lineRule="exact"/>
        <w:ind w:firstLine="640" w:firstLineChars="200"/>
        <w:rPr>
          <w:rFonts w:hint="eastAsia" w:ascii="仿宋_GB2312" w:eastAsia="仿宋_GB2312"/>
          <w:sz w:val="32"/>
          <w:szCs w:val="32"/>
        </w:rPr>
      </w:pPr>
      <w:bookmarkStart w:id="55" w:name="_Toc15396629"/>
      <w:r>
        <w:rPr>
          <w:rFonts w:hint="eastAsia" w:ascii="仿宋_GB2312" w:eastAsia="仿宋_GB2312"/>
          <w:sz w:val="32"/>
          <w:szCs w:val="32"/>
        </w:rPr>
        <w:t>十一、政府性基金预算财政拨款收入支出决算表</w:t>
      </w:r>
      <w:bookmarkEnd w:id="55"/>
    </w:p>
    <w:p w14:paraId="2DD77299">
      <w:pPr>
        <w:spacing w:line="560" w:lineRule="exact"/>
        <w:ind w:firstLine="640" w:firstLineChars="200"/>
        <w:rPr>
          <w:rFonts w:hint="eastAsia" w:ascii="仿宋_GB2312" w:eastAsia="仿宋_GB2312"/>
          <w:sz w:val="32"/>
          <w:szCs w:val="32"/>
        </w:rPr>
      </w:pPr>
      <w:bookmarkStart w:id="56" w:name="_Toc15396630"/>
      <w:r>
        <w:rPr>
          <w:rFonts w:hint="eastAsia" w:ascii="仿宋_GB2312" w:eastAsia="仿宋_GB2312"/>
          <w:sz w:val="32"/>
          <w:szCs w:val="32"/>
        </w:rPr>
        <w:t>十二、政府性基金预算财政拨款“三公”经费支出决算表</w:t>
      </w:r>
      <w:bookmarkEnd w:id="56"/>
      <w:bookmarkStart w:id="57" w:name="_Toc15396631"/>
    </w:p>
    <w:p w14:paraId="1D935C1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十三、国有资本经营预算支出决算表</w:t>
      </w:r>
      <w:bookmarkEnd w:id="57"/>
    </w:p>
    <w:p w14:paraId="2642065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十四、部门预算项目支出绩效自评表</w:t>
      </w:r>
    </w:p>
    <w:p w14:paraId="1CA47151">
      <w:pPr>
        <w:spacing w:line="560" w:lineRule="exact"/>
        <w:ind w:firstLine="643" w:firstLineChars="200"/>
        <w:rPr>
          <w:rFonts w:hint="eastAsia" w:ascii="仿宋_GB2312" w:hAnsi="仿宋" w:eastAsia="仿宋_GB2312"/>
          <w:b/>
          <w:color w:val="000000"/>
          <w:sz w:val="32"/>
          <w:szCs w:val="32"/>
        </w:rPr>
      </w:pPr>
    </w:p>
    <w:p w14:paraId="6A0EB4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60B8A">
    <w:pPr>
      <w:pStyle w:val="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D09034">
                          <w:pPr>
                            <w:pStyle w:val="6"/>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25</w:t>
                          </w:r>
                          <w:r>
                            <w:rPr>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71D09034">
                    <w:pPr>
                      <w:pStyle w:val="6"/>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25</w:t>
                    </w:r>
                    <w:r>
                      <w:rPr>
                        <w:sz w:val="28"/>
                        <w:szCs w:val="28"/>
                      </w:rPr>
                      <w:fldChar w:fldCharType="end"/>
                    </w:r>
                  </w:p>
                </w:txbxContent>
              </v:textbox>
            </v:shape>
          </w:pict>
        </mc:Fallback>
      </mc:AlternateContent>
    </w:r>
  </w:p>
  <w:p w14:paraId="42DB45A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ascii="方正小标宋简体" w:eastAsia="方正小标宋简体" w:cs="Times New Roman"/>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iNmQ0ODRhYTdmMThkY2FmZWE0NDEyOWI3ODdiN2YifQ=="/>
  </w:docVars>
  <w:rsids>
    <w:rsidRoot w:val="006532CF"/>
    <w:rsid w:val="00115698"/>
    <w:rsid w:val="004D5536"/>
    <w:rsid w:val="005E12DE"/>
    <w:rsid w:val="006532CF"/>
    <w:rsid w:val="006B713A"/>
    <w:rsid w:val="00A815E9"/>
    <w:rsid w:val="00C74431"/>
    <w:rsid w:val="00CE0188"/>
    <w:rsid w:val="00D36EE7"/>
    <w:rsid w:val="00F4127A"/>
    <w:rsid w:val="00FA093F"/>
    <w:rsid w:val="00FE24E5"/>
    <w:rsid w:val="0E212AE8"/>
    <w:rsid w:val="12D335A0"/>
    <w:rsid w:val="1F9A5745"/>
    <w:rsid w:val="25CB6ABB"/>
    <w:rsid w:val="2C175B64"/>
    <w:rsid w:val="46205483"/>
    <w:rsid w:val="52232725"/>
    <w:rsid w:val="567C3CF2"/>
    <w:rsid w:val="574C432A"/>
    <w:rsid w:val="5866141B"/>
    <w:rsid w:val="5B601E9B"/>
    <w:rsid w:val="5F090D52"/>
    <w:rsid w:val="66A876ED"/>
    <w:rsid w:val="75133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0"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toc 3"/>
    <w:basedOn w:val="1"/>
    <w:next w:val="1"/>
    <w:semiHidden/>
    <w:qFormat/>
    <w:uiPriority w:val="0"/>
    <w:pPr>
      <w:ind w:left="840" w:leftChars="400"/>
    </w:pPr>
  </w:style>
  <w:style w:type="paragraph" w:styleId="5">
    <w:name w:val="Balloon Text"/>
    <w:basedOn w:val="1"/>
    <w:link w:val="14"/>
    <w:semiHidden/>
    <w:unhideWhenUsed/>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8">
    <w:name w:val="toc 2"/>
    <w:basedOn w:val="1"/>
    <w:next w:val="1"/>
    <w:qFormat/>
    <w:uiPriority w:val="0"/>
    <w:pPr>
      <w:tabs>
        <w:tab w:val="right" w:leader="dot" w:pos="8296"/>
      </w:tabs>
      <w:ind w:left="420" w:leftChars="200"/>
    </w:p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Strong"/>
    <w:basedOn w:val="11"/>
    <w:qFormat/>
    <w:uiPriority w:val="0"/>
    <w:rPr>
      <w:rFonts w:cs="Times New Roman"/>
      <w:b/>
    </w:rPr>
  </w:style>
  <w:style w:type="character" w:styleId="13">
    <w:name w:val="Hyperlink"/>
    <w:basedOn w:val="11"/>
    <w:qFormat/>
    <w:uiPriority w:val="0"/>
    <w:rPr>
      <w:rFonts w:cs="Times New Roman"/>
      <w:color w:val="0000FF"/>
      <w:u w:val="single"/>
    </w:rPr>
  </w:style>
  <w:style w:type="character" w:customStyle="1" w:styleId="14">
    <w:name w:val="批注框文本 Char"/>
    <w:basedOn w:val="11"/>
    <w:link w:val="5"/>
    <w:semiHidden/>
    <w:qFormat/>
    <w:uiPriority w:val="99"/>
    <w:rPr>
      <w:sz w:val="18"/>
      <w:szCs w:val="18"/>
    </w:rPr>
  </w:style>
  <w:style w:type="character" w:customStyle="1" w:styleId="15">
    <w:name w:val="标题 1 Char"/>
    <w:basedOn w:val="11"/>
    <w:link w:val="2"/>
    <w:qFormat/>
    <w:uiPriority w:val="0"/>
    <w:rPr>
      <w:rFonts w:ascii="Times New Roman" w:hAnsi="Times New Roman" w:eastAsia="宋体" w:cs="Times New Roman"/>
      <w:b/>
      <w:bCs/>
      <w:kern w:val="44"/>
      <w:sz w:val="44"/>
      <w:szCs w:val="44"/>
    </w:rPr>
  </w:style>
  <w:style w:type="character" w:customStyle="1" w:styleId="16">
    <w:name w:val="标题 2 Char"/>
    <w:basedOn w:val="11"/>
    <w:link w:val="3"/>
    <w:qFormat/>
    <w:uiPriority w:val="0"/>
    <w:rPr>
      <w:rFonts w:ascii="Cambria" w:hAnsi="Cambria" w:eastAsia="宋体" w:cs="Times New Roman"/>
      <w:b/>
      <w:bCs/>
      <w:sz w:val="32"/>
      <w:szCs w:val="32"/>
    </w:rPr>
  </w:style>
  <w:style w:type="paragraph" w:customStyle="1" w:styleId="17">
    <w:name w:val="List Paragraph"/>
    <w:basedOn w:val="1"/>
    <w:qFormat/>
    <w:uiPriority w:val="0"/>
    <w:pPr>
      <w:ind w:firstLine="420" w:firstLineChars="200"/>
    </w:pPr>
  </w:style>
  <w:style w:type="character" w:customStyle="1" w:styleId="18">
    <w:name w:val="页脚 Char"/>
    <w:basedOn w:val="11"/>
    <w:link w:val="6"/>
    <w:qFormat/>
    <w:uiPriority w:val="99"/>
    <w:rPr>
      <w:rFonts w:ascii="Times New Roman" w:hAnsi="Times New Roman" w:eastAsia="宋体" w:cs="Times New Roman"/>
      <w:sz w:val="18"/>
      <w:szCs w:val="18"/>
    </w:rPr>
  </w:style>
  <w:style w:type="paragraph" w:customStyle="1" w:styleId="19">
    <w:name w:val="Default"/>
    <w:qFormat/>
    <w:uiPriority w:val="0"/>
    <w:pPr>
      <w:widowControl w:val="0"/>
      <w:autoSpaceDE w:val="0"/>
      <w:autoSpaceDN w:val="0"/>
      <w:adjustRightInd w:val="0"/>
    </w:pPr>
    <w:rPr>
      <w:rFonts w:ascii="仿宋" w:hAnsi="Calibri" w:eastAsia="仿宋" w:cs="仿宋"/>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6.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收入支出决算总体情况变动表</a:t>
            </a:r>
            <a:endParaRPr lang="zh-CN" altLang="en-US"/>
          </a:p>
        </c:rich>
      </c:tx>
      <c:layout/>
      <c:overlay val="0"/>
    </c:title>
    <c:autoTitleDeleted val="0"/>
    <c:plotArea>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2021年</c:v>
                </c:pt>
                <c:pt idx="1">
                  <c:v>2021年</c:v>
                </c:pt>
                <c:pt idx="2">
                  <c:v>2022年</c:v>
                </c:pt>
                <c:pt idx="3">
                  <c:v>2022年</c:v>
                </c:pt>
              </c:strCache>
            </c:strRef>
          </c:cat>
          <c:val>
            <c:numRef>
              <c:f>Sheet1!$B$2:$B$5</c:f>
              <c:numCache>
                <c:formatCode>General</c:formatCode>
                <c:ptCount val="4"/>
                <c:pt idx="0">
                  <c:v>231.91</c:v>
                </c:pt>
                <c:pt idx="2">
                  <c:v>196.91</c:v>
                </c:pt>
              </c:numCache>
            </c:numRef>
          </c:val>
        </c:ser>
        <c:ser>
          <c:idx val="1"/>
          <c:order val="1"/>
          <c:tx>
            <c:strRef>
              <c:f>Sheet1!$C$1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2021年</c:v>
                </c:pt>
                <c:pt idx="1">
                  <c:v>2021年</c:v>
                </c:pt>
                <c:pt idx="2">
                  <c:v>2022年</c:v>
                </c:pt>
                <c:pt idx="3">
                  <c:v>2022年</c:v>
                </c:pt>
              </c:strCache>
            </c:strRef>
          </c:cat>
          <c:val>
            <c:numRef>
              <c:f>Sheet1!$C$2:$C$5</c:f>
              <c:numCache>
                <c:formatCode>General</c:formatCode>
                <c:ptCount val="4"/>
                <c:pt idx="1">
                  <c:v>231.91</c:v>
                </c:pt>
                <c:pt idx="3">
                  <c:v>196.04</c:v>
                </c:pt>
              </c:numCache>
            </c:numRef>
          </c:val>
        </c:ser>
        <c:dLbls>
          <c:showLegendKey val="0"/>
          <c:showVal val="1"/>
          <c:showCatName val="0"/>
          <c:showSerName val="0"/>
          <c:showPercent val="0"/>
          <c:showBubbleSize val="0"/>
        </c:dLbls>
        <c:gapWidth val="75"/>
        <c:overlap val="100"/>
        <c:axId val="207723520"/>
        <c:axId val="207996800"/>
      </c:barChart>
      <c:catAx>
        <c:axId val="20772352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7996800"/>
        <c:crosses val="autoZero"/>
        <c:auto val="1"/>
        <c:lblAlgn val="ctr"/>
        <c:lblOffset val="100"/>
        <c:noMultiLvlLbl val="0"/>
      </c:catAx>
      <c:valAx>
        <c:axId val="207996800"/>
        <c:scaling>
          <c:orientation val="minMax"/>
        </c:scaling>
        <c:delete val="0"/>
        <c:axPos val="l"/>
        <c:majorGridlines>
          <c:spPr>
            <a:ln w="9525" cap="flat" cmpd="sng" algn="ctr">
              <a:solidFill>
                <a:schemeClr val="tx1">
                  <a:tint val="75000"/>
                  <a:shade val="95000"/>
                  <a:satMod val="105000"/>
                </a:schemeClr>
              </a:solidFill>
              <a:prstDash val="sysDot"/>
              <a:round/>
            </a:ln>
          </c:spPr>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772352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a:ln cmpd="sng">
              <a:solidFill>
                <a:schemeClr val="tx2"/>
              </a:solidFill>
            </a:ln>
          </c:spPr>
          <c:explosion val="0"/>
          <c:dPt>
            <c:idx val="0"/>
            <c:bubble3D val="0"/>
            <c:spPr>
              <a:ln cmpd="sng">
                <a:solidFill>
                  <a:schemeClr val="tx2"/>
                </a:solidFill>
              </a:ln>
            </c:spPr>
          </c:dPt>
          <c:dPt>
            <c:idx val="1"/>
            <c:bubble3D val="0"/>
            <c:spPr>
              <a:ln w="12700" cmpd="sng">
                <a:solidFill>
                  <a:schemeClr val="tx2"/>
                </a:solidFill>
              </a:ln>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1">
                  <c:v>一般公供预算财政拨款</c:v>
                </c:pt>
              </c:strCache>
            </c:strRef>
          </c:cat>
          <c:val>
            <c:numRef>
              <c:f>Sheet1!$B$2:$B$3</c:f>
              <c:numCache>
                <c:formatCode>General</c:formatCode>
                <c:ptCount val="2"/>
                <c:pt idx="1">
                  <c:v>231.91</c:v>
                </c:pt>
              </c:numCache>
            </c:numRef>
          </c:val>
        </c:ser>
        <c:dLbls>
          <c:showLegendKey val="0"/>
          <c:showVal val="1"/>
          <c:showCatName val="0"/>
          <c:showSerName val="0"/>
          <c:showPercent val="1"/>
          <c:showBubbleSize val="0"/>
          <c:showLeaderLines val="1"/>
        </c:dLbls>
        <c:firstSliceAng val="0"/>
      </c:pieChart>
    </c:plotArea>
    <c:legend>
      <c:legendPos val="r"/>
      <c:legendEntry>
        <c:idx val="0"/>
        <c:delete val="1"/>
      </c:legendEntry>
      <c:layout/>
      <c:overlay val="0"/>
      <c:spPr>
        <a:ln>
          <a:noFill/>
        </a:ln>
      </c:spP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a:ln cmpd="sng">
              <a:solidFill>
                <a:srgbClr val="1F497D"/>
              </a:solidFill>
            </a:ln>
          </c:spPr>
          <c:explosion val="0"/>
          <c:dPt>
            <c:idx val="0"/>
            <c:bubble3D val="0"/>
            <c:spPr>
              <a:ln cmpd="sng">
                <a:solidFill>
                  <a:srgbClr val="1F497D"/>
                </a:solidFill>
              </a:ln>
            </c:spPr>
          </c:dPt>
          <c:dPt>
            <c:idx val="1"/>
            <c:bubble3D val="0"/>
            <c:spPr>
              <a:ln w="12700" cmpd="sng">
                <a:solidFill>
                  <a:schemeClr val="tx2"/>
                </a:solidFill>
              </a:ln>
            </c:spPr>
          </c:dPt>
          <c:dLbls>
            <c:dLbl>
              <c:idx val="1"/>
              <c:layout/>
              <c:dLblPos val="outEnd"/>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1">
                  <c:v>一般支出</c:v>
                </c:pt>
              </c:strCache>
            </c:strRef>
          </c:cat>
          <c:val>
            <c:numRef>
              <c:f>Sheet1!$B$2:$B$3</c:f>
              <c:numCache>
                <c:formatCode>General</c:formatCode>
                <c:ptCount val="2"/>
                <c:pt idx="1">
                  <c:v>231.91</c:v>
                </c:pt>
              </c:numCache>
            </c:numRef>
          </c:val>
        </c:ser>
        <c:dLbls>
          <c:showLegendKey val="0"/>
          <c:showVal val="0"/>
          <c:showCatName val="0"/>
          <c:showSerName val="0"/>
          <c:showPercent val="1"/>
          <c:showBubbleSize val="0"/>
          <c:showLeaderLines val="1"/>
        </c:dLbls>
        <c:firstSliceAng val="0"/>
      </c:pieChart>
    </c:plotArea>
    <c:legend>
      <c:legendPos val="r"/>
      <c:legendEntry>
        <c:idx val="0"/>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财政拨款收、支决算总计变动情况图</a:t>
            </a:r>
            <a:endParaRPr lang="zh-CN" altLang="en-US"/>
          </a:p>
        </c:rich>
      </c:tx>
      <c:layout/>
      <c:overlay val="0"/>
    </c:title>
    <c:autoTitleDeleted val="0"/>
    <c:plotArea>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2021年</c:v>
                </c:pt>
                <c:pt idx="1">
                  <c:v>2021年</c:v>
                </c:pt>
                <c:pt idx="2">
                  <c:v>2022年</c:v>
                </c:pt>
                <c:pt idx="3">
                  <c:v>2022年</c:v>
                </c:pt>
              </c:strCache>
            </c:strRef>
          </c:cat>
          <c:val>
            <c:numRef>
              <c:f>Sheet1!$B$2:$B$5</c:f>
              <c:numCache>
                <c:formatCode>General</c:formatCode>
                <c:ptCount val="4"/>
                <c:pt idx="0">
                  <c:v>231.91</c:v>
                </c:pt>
                <c:pt idx="2">
                  <c:v>196.04</c:v>
                </c:pt>
              </c:numCache>
            </c:numRef>
          </c:val>
        </c:ser>
        <c:ser>
          <c:idx val="1"/>
          <c:order val="1"/>
          <c:tx>
            <c:strRef>
              <c:f>Sheet1!$C$1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2021年</c:v>
                </c:pt>
                <c:pt idx="1">
                  <c:v>2021年</c:v>
                </c:pt>
                <c:pt idx="2">
                  <c:v>2022年</c:v>
                </c:pt>
                <c:pt idx="3">
                  <c:v>2022年</c:v>
                </c:pt>
              </c:strCache>
            </c:strRef>
          </c:cat>
          <c:val>
            <c:numRef>
              <c:f>Sheet1!$C$2:$C$5</c:f>
              <c:numCache>
                <c:formatCode>General</c:formatCode>
                <c:ptCount val="4"/>
                <c:pt idx="1">
                  <c:v>231.91</c:v>
                </c:pt>
                <c:pt idx="3">
                  <c:v>196.91</c:v>
                </c:pt>
              </c:numCache>
            </c:numRef>
          </c:val>
        </c:ser>
        <c:dLbls>
          <c:showLegendKey val="0"/>
          <c:showVal val="1"/>
          <c:showCatName val="0"/>
          <c:showSerName val="0"/>
          <c:showPercent val="0"/>
          <c:showBubbleSize val="0"/>
        </c:dLbls>
        <c:gapWidth val="69"/>
        <c:overlap val="100"/>
        <c:axId val="261905792"/>
        <c:axId val="261925888"/>
      </c:barChart>
      <c:catAx>
        <c:axId val="26190579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925888"/>
        <c:crosses val="autoZero"/>
        <c:auto val="1"/>
        <c:lblAlgn val="ctr"/>
        <c:lblOffset val="100"/>
        <c:noMultiLvlLbl val="0"/>
      </c:catAx>
      <c:valAx>
        <c:axId val="261925888"/>
        <c:scaling>
          <c:orientation val="minMax"/>
        </c:scaling>
        <c:delete val="0"/>
        <c:axPos val="l"/>
        <c:majorGridlines>
          <c:spPr>
            <a:ln w="9525" cap="flat" cmpd="sng" algn="ctr">
              <a:solidFill>
                <a:schemeClr val="tx1">
                  <a:tint val="75000"/>
                  <a:shade val="95000"/>
                  <a:satMod val="105000"/>
                </a:schemeClr>
              </a:solidFill>
              <a:prstDash val="sysDot"/>
              <a:round/>
            </a:ln>
          </c:spPr>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90579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70813743218807"/>
          <c:y val="0.0247729149463254"/>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Pt>
            <c:idx val="3"/>
            <c:bubble3D val="0"/>
          </c:dPt>
          <c:dLbls>
            <c:dLbl>
              <c:idx val="0"/>
              <c:layout>
                <c:manualLayout>
                  <c:x val="-0.0241138172172655"/>
                  <c:y val="-0.02063983488132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313479623824451"/>
                  <c:y val="-0.00825593395252838"/>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0120569086086327"/>
                  <c:y val="-0.028895768833849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社会保障就业支出</c:v>
                </c:pt>
                <c:pt idx="1">
                  <c:v>灾害防治及应急管理支出</c:v>
                </c:pt>
                <c:pt idx="2">
                  <c:v>医疗卫生与计划生育支出</c:v>
                </c:pt>
                <c:pt idx="3">
                  <c:v>住房保障支出</c:v>
                </c:pt>
              </c:strCache>
            </c:strRef>
          </c:cat>
          <c:val>
            <c:numRef>
              <c:f>Sheet1!$B$2:$B$5</c:f>
              <c:numCache>
                <c:formatCode>General</c:formatCode>
                <c:ptCount val="4"/>
                <c:pt idx="0">
                  <c:v>21.93</c:v>
                </c:pt>
                <c:pt idx="1">
                  <c:v>187.57</c:v>
                </c:pt>
                <c:pt idx="2">
                  <c:v>9.24</c:v>
                </c:pt>
                <c:pt idx="3">
                  <c:v>13.17</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三公经费财政拨款支出决算情况</c:v>
                </c:pt>
              </c:strCache>
            </c:strRef>
          </c:tx>
          <c:spPr>
            <a:ln w="25400" cmpd="sng">
              <a:noFill/>
              <a:prstDash val="solid"/>
            </a:ln>
            <a:sp3d contourW="25400"/>
          </c:spPr>
          <c:explosion val="0"/>
          <c:dPt>
            <c:idx val="0"/>
            <c:bubble3D val="0"/>
            <c:spPr>
              <a:ln w="25400" cmpd="sng">
                <a:noFill/>
                <a:prstDash val="solid"/>
              </a:ln>
              <a:sp3d contourW="25400"/>
            </c:spPr>
          </c:dPt>
          <c:dPt>
            <c:idx val="1"/>
            <c:bubble3D val="0"/>
            <c:spPr>
              <a:ln w="25400" cmpd="sng">
                <a:noFill/>
                <a:prstDash val="solid"/>
              </a:ln>
              <a:sp3d contourW="25400"/>
            </c:spPr>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0.05, 0.1%</a:t>
                    </a:r>
                    <a:endParaRPr lang="en-US" altLang="en-US"/>
                  </a:p>
                </c:rich>
              </c:tx>
              <c:dLblPos val="outEnd"/>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43.79, 99.9%</a:t>
                    </a:r>
                    <a:endParaRPr lang="en-US" altLang="en-US"/>
                  </a:p>
                </c:rich>
              </c:tx>
              <c:dLblPos val="outEnd"/>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公务接待费</c:v>
                </c:pt>
                <c:pt idx="1">
                  <c:v>公务用车购置及运行维护费</c:v>
                </c:pt>
              </c:strCache>
            </c:strRef>
          </c:cat>
          <c:val>
            <c:numRef>
              <c:f>Sheet1!$B$2:$B$3</c:f>
              <c:numCache>
                <c:formatCode>General</c:formatCode>
                <c:ptCount val="2"/>
                <c:pt idx="0">
                  <c:v>0.05</c:v>
                </c:pt>
                <c:pt idx="1">
                  <c:v>43.79</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8699</Words>
  <Characters>9377</Characters>
  <Lines>94</Lines>
  <Paragraphs>26</Paragraphs>
  <TotalTime>6</TotalTime>
  <ScaleCrop>false</ScaleCrop>
  <LinksUpToDate>false</LinksUpToDate>
  <CharactersWithSpaces>12193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2023-09-12T08:40:00Z</dcterms:created>
  <dc:creator>Administrator</dc:creator>
  <cp:lastModifiedBy>果果＊三草两木有机护肤</cp:lastModifiedBy>
  <dcterms:modified xsi:type="dcterms:W3CDTF">2024-08-14T02:13:27Z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7D4F4BB664534B6FBB238F635842EC32_13</vt:lpwstr>
  </property>
</Properties>
</file>