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44"/>
          <w:szCs w:val="44"/>
        </w:rPr>
      </w:pPr>
      <w:bookmarkStart w:id="1" w:name="_Toc15377425"/>
      <w:bookmarkStart w:id="2" w:name="_Toc15378441"/>
      <w:bookmarkStart w:id="3" w:name="_Toc15396475"/>
      <w:bookmarkStart w:id="4" w:name="_Toc15377193"/>
      <w:bookmarkStart w:id="5" w:name="_Toc15396597"/>
      <w:r>
        <w:rPr>
          <w:rFonts w:ascii="黑体" w:eastAsia="黑体"/>
          <w:color w:val="000000"/>
          <w:sz w:val="44"/>
          <w:szCs w:val="44"/>
        </w:rPr>
        <w:t>201</w:t>
      </w:r>
      <w:r>
        <w:rPr>
          <w:rFonts w:hint="eastAsia" w:ascii="黑体" w:eastAsia="黑体"/>
          <w:color w:val="000000"/>
          <w:sz w:val="44"/>
          <w:szCs w:val="44"/>
        </w:rPr>
        <w:t>9</w:t>
      </w:r>
      <w:r>
        <w:rPr>
          <w:rFonts w:hint="eastAsia" w:ascii="方正小标宋简体" w:eastAsia="方正小标宋简体"/>
          <w:color w:val="000000"/>
          <w:sz w:val="44"/>
          <w:szCs w:val="44"/>
        </w:rPr>
        <w:t>年度</w:t>
      </w:r>
      <w:bookmarkEnd w:id="1"/>
      <w:bookmarkEnd w:id="2"/>
      <w:bookmarkEnd w:id="3"/>
      <w:bookmarkEnd w:id="4"/>
      <w:bookmarkEnd w:id="5"/>
      <w:bookmarkStart w:id="6" w:name="_Toc15377194"/>
      <w:bookmarkStart w:id="7" w:name="_Toc15377426"/>
      <w:bookmarkStart w:id="8" w:name="_Toc15396476"/>
      <w:bookmarkStart w:id="9" w:name="_Toc15378442"/>
      <w:bookmarkStart w:id="10" w:name="_Toc15396598"/>
      <w:r>
        <w:rPr>
          <w:rFonts w:hint="eastAsia" w:ascii="方正小标宋简体" w:eastAsia="方正小标宋简体"/>
          <w:color w:val="000000"/>
          <w:sz w:val="44"/>
          <w:szCs w:val="44"/>
        </w:rPr>
        <w:t>四川省阿坝州</w:t>
      </w:r>
      <w:bookmarkEnd w:id="0"/>
      <w:bookmarkStart w:id="11" w:name="_Toc15306268"/>
      <w:r>
        <w:rPr>
          <w:rFonts w:hint="eastAsia" w:ascii="方正小标宋简体" w:eastAsia="方正小标宋简体"/>
          <w:color w:val="000000"/>
          <w:sz w:val="44"/>
          <w:szCs w:val="44"/>
        </w:rPr>
        <w:t>茂县城市</w:t>
      </w:r>
      <w:r>
        <w:rPr>
          <w:rFonts w:ascii="方正小标宋简体" w:eastAsia="方正小标宋简体"/>
          <w:color w:val="000000"/>
          <w:sz w:val="44"/>
          <w:szCs w:val="44"/>
        </w:rPr>
        <w:t>公用事业</w:t>
      </w:r>
    </w:p>
    <w:p>
      <w:pPr>
        <w:adjustRightInd w:val="0"/>
        <w:snapToGrid w:val="0"/>
        <w:spacing w:line="360" w:lineRule="auto"/>
        <w:jc w:val="center"/>
        <w:outlineLvl w:val="0"/>
        <w:rPr>
          <w:rFonts w:ascii="方正小标宋简体" w:eastAsia="方正小标宋简体"/>
          <w:color w:val="000000"/>
          <w:sz w:val="44"/>
          <w:szCs w:val="44"/>
        </w:rPr>
      </w:pPr>
      <w:r>
        <w:rPr>
          <w:rFonts w:ascii="方正小标宋简体" w:eastAsia="方正小标宋简体"/>
          <w:color w:val="000000"/>
          <w:sz w:val="44"/>
          <w:szCs w:val="44"/>
        </w:rPr>
        <w:t>服务中心</w:t>
      </w:r>
      <w:r>
        <w:rPr>
          <w:rFonts w:hint="eastAsia" w:ascii="方正小标宋简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bookmarkStart w:id="71" w:name="_GoBack"/>
      <w:bookmarkEnd w:id="71"/>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 xml:space="preserve">保密审查情况： </w:t>
      </w: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部门主要负责人审签情况：</w:t>
      </w:r>
    </w:p>
    <w:p>
      <w:pPr>
        <w:autoSpaceDE w:val="0"/>
        <w:autoSpaceDN w:val="0"/>
        <w:adjustRightInd w:val="0"/>
        <w:ind w:firstLine="1276"/>
        <w:jc w:val="left"/>
        <w:rPr>
          <w:rFonts w:ascii="仿宋_GB2312" w:eastAsia="仿宋_GB2312" w:cs="仿宋_GB2312"/>
          <w:sz w:val="32"/>
          <w:szCs w:val="32"/>
        </w:rPr>
      </w:pPr>
    </w:p>
    <w:p>
      <w:pPr>
        <w:widowControl/>
        <w:jc w:val="center"/>
        <w:rPr>
          <w:rFonts w:ascii="黑体" w:eastAsia="黑体"/>
          <w:color w:val="000000"/>
          <w:sz w:val="48"/>
          <w:szCs w:val="48"/>
        </w:rPr>
      </w:pPr>
    </w:p>
    <w:p>
      <w:pPr>
        <w:widowControl/>
        <w:jc w:val="center"/>
        <w:rPr>
          <w:rFonts w:ascii="黑体" w:eastAsia="黑体"/>
          <w:color w:val="000000"/>
          <w:sz w:val="48"/>
          <w:szCs w:val="48"/>
        </w:rPr>
      </w:pPr>
    </w:p>
    <w:p>
      <w:pPr>
        <w:widowControl/>
        <w:jc w:val="center"/>
        <w:rPr>
          <w:rFonts w:ascii="黑体" w:eastAsia="黑体"/>
          <w:color w:val="000000"/>
          <w:sz w:val="48"/>
          <w:szCs w:val="48"/>
        </w:rPr>
      </w:pPr>
    </w:p>
    <w:p>
      <w:pPr>
        <w:widowControl/>
        <w:jc w:val="center"/>
        <w:rPr>
          <w:rFonts w:ascii="黑体" w:eastAsia="黑体"/>
          <w:color w:val="000000"/>
          <w:sz w:val="48"/>
          <w:szCs w:val="48"/>
        </w:rPr>
      </w:pPr>
      <w:r>
        <w:rPr>
          <w:rFonts w:hint="eastAsia" w:ascii="黑体" w:eastAsia="黑体"/>
          <w:color w:val="000000"/>
          <w:sz w:val="48"/>
          <w:szCs w:val="48"/>
        </w:rPr>
        <w:t>目  录</w:t>
      </w:r>
    </w:p>
    <w:p>
      <w:pPr>
        <w:widowControl/>
        <w:jc w:val="center"/>
        <w:rPr>
          <w:rFonts w:ascii="黑体" w:eastAsia="黑体" w:cs="Arial"/>
          <w:sz w:val="28"/>
          <w:szCs w:val="28"/>
        </w:rPr>
      </w:pPr>
    </w:p>
    <w:p>
      <w:pPr>
        <w:pStyle w:val="10"/>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"_Toc15396599"</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第一部分 部门概况</w:t>
      </w:r>
      <w:r>
        <w:rPr>
          <w:rFonts w:hint="eastAsia" w:ascii="仿宋_GB2312" w:eastAsia="仿宋_GB2312" w:cs="仿宋_GB2312"/>
          <w:sz w:val="32"/>
          <w:szCs w:val="32"/>
        </w:rPr>
        <w:tab/>
      </w:r>
      <w:r>
        <w:rPr>
          <w:rFonts w:hint="eastAsia" w:ascii="仿宋_GB2312" w:eastAsia="仿宋_GB2312" w:cs="仿宋_GB2312"/>
          <w:sz w:val="32"/>
          <w:szCs w:val="32"/>
        </w:rPr>
        <w:t>4</w:t>
      </w:r>
      <w:r>
        <w:rPr>
          <w:rStyle w:val="17"/>
          <w:rFonts w:hint="eastAsia" w:ascii="仿宋_GB2312" w:eastAsia="仿宋_GB2312" w:cs="仿宋_GB2312"/>
          <w:color w:val="auto"/>
          <w:sz w:val="32"/>
          <w:szCs w:val="32"/>
          <w:u w:val="none"/>
        </w:rPr>
        <w:fldChar w:fldCharType="end"/>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"_Toc15396600"</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一、基本职能及主要工作</w:t>
      </w:r>
      <w:r>
        <w:rPr>
          <w:rFonts w:hint="eastAsia" w:ascii="仿宋_GB2312" w:eastAsia="仿宋_GB2312" w:cs="仿宋_GB2312"/>
          <w:sz w:val="32"/>
          <w:szCs w:val="32"/>
        </w:rPr>
        <w:tab/>
      </w:r>
      <w:r>
        <w:rPr>
          <w:rFonts w:hint="eastAsia" w:ascii="仿宋_GB2312" w:eastAsia="仿宋_GB2312" w:cs="仿宋_GB2312"/>
          <w:sz w:val="32"/>
          <w:szCs w:val="32"/>
        </w:rPr>
        <w:t>4</w:t>
      </w:r>
      <w:r>
        <w:rPr>
          <w:rStyle w:val="17"/>
          <w:rFonts w:hint="eastAsia" w:ascii="仿宋_GB2312" w:eastAsia="仿宋_GB2312" w:cs="仿宋_GB2312"/>
          <w:color w:val="auto"/>
          <w:sz w:val="32"/>
          <w:szCs w:val="32"/>
          <w:u w:val="none"/>
        </w:rPr>
        <w:fldChar w:fldCharType="end"/>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"_Toc15396601"</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二、机构设置</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1</w:t>
      </w:r>
    </w:p>
    <w:p>
      <w:pPr>
        <w:pStyle w:val="11"/>
        <w:adjustRightInd w:val="0"/>
        <w:snapToGrid w:val="0"/>
        <w:spacing w:line="576" w:lineRule="exact"/>
        <w:ind w:left="0" w:leftChars="0"/>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"_Toc15396602"</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第二部分 2018年度部门决算情况说明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2</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bCs/>
          <w:color w:val="auto"/>
          <w:sz w:val="32"/>
          <w:szCs w:val="32"/>
          <w:u w:val="none"/>
        </w:rPr>
        <w:fldChar w:fldCharType="begin"/>
      </w:r>
      <w:r>
        <w:instrText xml:space="preserve">HYPERLINK  \l "_Toc15396603"</w:instrText>
      </w:r>
      <w:r>
        <w:rPr>
          <w:rStyle w:val="17"/>
          <w:rFonts w:hint="eastAsia" w:ascii="仿宋_GB2312" w:eastAsia="仿宋_GB2312" w:cs="仿宋_GB2312"/>
          <w:bCs/>
          <w:color w:val="auto"/>
          <w:sz w:val="32"/>
          <w:szCs w:val="32"/>
          <w:u w:val="none"/>
        </w:rPr>
        <w:fldChar w:fldCharType="separate"/>
      </w:r>
      <w:r>
        <w:rPr>
          <w:rStyle w:val="17"/>
          <w:rFonts w:hint="eastAsia" w:ascii="仿宋_GB2312" w:eastAsia="仿宋_GB2312" w:cs="仿宋_GB2312"/>
          <w:bCs/>
          <w:color w:val="auto"/>
          <w:sz w:val="32"/>
          <w:szCs w:val="32"/>
          <w:u w:val="none"/>
        </w:rPr>
        <w:t>一、</w:t>
      </w:r>
      <w:r>
        <w:rPr>
          <w:rStyle w:val="17"/>
          <w:rFonts w:hint="eastAsia" w:ascii="仿宋_GB2312" w:eastAsia="仿宋_GB2312" w:cs="仿宋_GB2312"/>
          <w:color w:val="auto"/>
          <w:sz w:val="32"/>
          <w:szCs w:val="32"/>
          <w:u w:val="none"/>
        </w:rPr>
        <w:t>收</w:t>
      </w:r>
      <w:r>
        <w:rPr>
          <w:rStyle w:val="17"/>
          <w:rFonts w:hint="eastAsia" w:ascii="仿宋_GB2312" w:eastAsia="仿宋_GB2312" w:cs="仿宋_GB2312"/>
          <w:bCs/>
          <w:color w:val="auto"/>
          <w:sz w:val="32"/>
          <w:szCs w:val="32"/>
          <w:u w:val="none"/>
        </w:rPr>
        <w:t>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bCs/>
          <w:color w:val="auto"/>
          <w:sz w:val="32"/>
          <w:szCs w:val="32"/>
          <w:u w:val="none"/>
        </w:rPr>
        <w:fldChar w:fldCharType="end"/>
      </w:r>
      <w:r>
        <w:rPr>
          <w:rFonts w:hint="eastAsia" w:ascii="仿宋_GB2312" w:eastAsia="仿宋_GB2312" w:cs="仿宋_GB2312"/>
          <w:sz w:val="32"/>
          <w:szCs w:val="32"/>
        </w:rPr>
        <w:t>2</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bCs/>
          <w:color w:val="auto"/>
          <w:sz w:val="32"/>
          <w:szCs w:val="32"/>
          <w:u w:val="none"/>
        </w:rPr>
        <w:fldChar w:fldCharType="begin"/>
      </w:r>
      <w:r>
        <w:instrText xml:space="preserve">HYPERLINK  \l "_Toc15396604"</w:instrText>
      </w:r>
      <w:r>
        <w:rPr>
          <w:rStyle w:val="17"/>
          <w:rFonts w:hint="eastAsia" w:ascii="仿宋_GB2312" w:eastAsia="仿宋_GB2312" w:cs="仿宋_GB2312"/>
          <w:bCs/>
          <w:color w:val="auto"/>
          <w:sz w:val="32"/>
          <w:szCs w:val="32"/>
          <w:u w:val="none"/>
        </w:rPr>
        <w:fldChar w:fldCharType="separate"/>
      </w:r>
      <w:r>
        <w:rPr>
          <w:rStyle w:val="17"/>
          <w:rFonts w:hint="eastAsia" w:ascii="仿宋_GB2312" w:eastAsia="仿宋_GB2312" w:cs="仿宋_GB2312"/>
          <w:bCs/>
          <w:color w:val="auto"/>
          <w:sz w:val="32"/>
          <w:szCs w:val="32"/>
          <w:u w:val="none"/>
        </w:rPr>
        <w:t>二、</w:t>
      </w:r>
      <w:r>
        <w:rPr>
          <w:rStyle w:val="17"/>
          <w:rFonts w:hint="eastAsia" w:ascii="仿宋_GB2312" w:eastAsia="仿宋_GB2312" w:cs="仿宋_GB2312"/>
          <w:color w:val="auto"/>
          <w:sz w:val="32"/>
          <w:szCs w:val="32"/>
          <w:u w:val="none"/>
        </w:rPr>
        <w:t>收</w:t>
      </w:r>
      <w:r>
        <w:rPr>
          <w:rStyle w:val="17"/>
          <w:rFonts w:hint="eastAsia" w:ascii="仿宋_GB2312" w:eastAsia="仿宋_GB2312" w:cs="仿宋_GB2312"/>
          <w:bCs/>
          <w:color w:val="auto"/>
          <w:sz w:val="32"/>
          <w:szCs w:val="32"/>
          <w:u w:val="none"/>
        </w:rPr>
        <w:t>入决算情况说明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bCs/>
          <w:color w:val="auto"/>
          <w:sz w:val="32"/>
          <w:szCs w:val="32"/>
          <w:u w:val="none"/>
        </w:rPr>
        <w:fldChar w:fldCharType="end"/>
      </w:r>
      <w:r>
        <w:rPr>
          <w:rFonts w:hint="eastAsia" w:ascii="仿宋_GB2312" w:eastAsia="仿宋_GB2312" w:cs="仿宋_GB2312"/>
          <w:sz w:val="32"/>
          <w:szCs w:val="32"/>
        </w:rPr>
        <w:t>2</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bCs/>
          <w:color w:val="auto"/>
          <w:sz w:val="32"/>
          <w:szCs w:val="32"/>
          <w:u w:val="none"/>
        </w:rPr>
        <w:fldChar w:fldCharType="begin"/>
      </w:r>
      <w:r>
        <w:instrText xml:space="preserve">HYPERLINK  \l "_Toc15396605"</w:instrText>
      </w:r>
      <w:r>
        <w:rPr>
          <w:rStyle w:val="17"/>
          <w:rFonts w:hint="eastAsia" w:ascii="仿宋_GB2312" w:eastAsia="仿宋_GB2312" w:cs="仿宋_GB2312"/>
          <w:bCs/>
          <w:color w:val="auto"/>
          <w:sz w:val="32"/>
          <w:szCs w:val="32"/>
          <w:u w:val="none"/>
        </w:rPr>
        <w:fldChar w:fldCharType="separate"/>
      </w:r>
      <w:r>
        <w:rPr>
          <w:rStyle w:val="17"/>
          <w:rFonts w:hint="eastAsia" w:ascii="仿宋_GB2312" w:eastAsia="仿宋_GB2312" w:cs="仿宋_GB2312"/>
          <w:bCs/>
          <w:color w:val="auto"/>
          <w:sz w:val="32"/>
          <w:szCs w:val="32"/>
          <w:u w:val="none"/>
        </w:rPr>
        <w:t>三、</w:t>
      </w:r>
      <w:r>
        <w:rPr>
          <w:rStyle w:val="17"/>
          <w:rFonts w:hint="eastAsia" w:ascii="仿宋_GB2312" w:eastAsia="仿宋_GB2312" w:cs="仿宋_GB2312"/>
          <w:color w:val="auto"/>
          <w:sz w:val="32"/>
          <w:szCs w:val="32"/>
          <w:u w:val="none"/>
        </w:rPr>
        <w:t>支</w:t>
      </w:r>
      <w:r>
        <w:rPr>
          <w:rStyle w:val="17"/>
          <w:rFonts w:hint="eastAsia" w:ascii="仿宋_GB2312" w:eastAsia="仿宋_GB2312" w:cs="仿宋_GB2312"/>
          <w:bCs/>
          <w:color w:val="auto"/>
          <w:sz w:val="32"/>
          <w:szCs w:val="32"/>
          <w:u w:val="none"/>
        </w:rPr>
        <w:t>出决算情况说明</w:t>
      </w:r>
      <w:r>
        <w:rPr>
          <w:rFonts w:hint="eastAsia" w:ascii="仿宋_GB2312" w:eastAsia="仿宋_GB2312" w:cs="仿宋_GB2312"/>
          <w:sz w:val="32"/>
          <w:szCs w:val="32"/>
        </w:rPr>
        <w:tab/>
      </w:r>
      <w:r>
        <w:rPr>
          <w:rFonts w:hint="eastAsia" w:ascii="仿宋_GB2312" w:eastAsia="仿宋_GB2312" w:cs="仿宋_GB2312"/>
          <w:sz w:val="32"/>
          <w:szCs w:val="32"/>
        </w:rPr>
        <w:t>13</w:t>
      </w:r>
      <w:r>
        <w:rPr>
          <w:rStyle w:val="17"/>
          <w:rFonts w:hint="eastAsia" w:ascii="仿宋_GB2312" w:eastAsia="仿宋_GB2312" w:cs="仿宋_GB2312"/>
          <w:bCs/>
          <w:color w:val="auto"/>
          <w:sz w:val="32"/>
          <w:szCs w:val="32"/>
          <w:u w:val="none"/>
        </w:rPr>
        <w:fldChar w:fldCharType="end"/>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"_Toc15396606"</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四、财</w:t>
      </w:r>
      <w:r>
        <w:rPr>
          <w:rStyle w:val="17"/>
          <w:rFonts w:hint="eastAsia" w:ascii="仿宋_GB2312" w:eastAsia="仿宋_GB2312" w:cs="仿宋_GB2312"/>
          <w:bCs/>
          <w:color w:val="auto"/>
          <w:sz w:val="32"/>
          <w:szCs w:val="32"/>
          <w:u w:val="none"/>
        </w:rPr>
        <w:t>政拨款收入支出决算总体情况说明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4</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"_Toc15396607"</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五、一</w:t>
      </w:r>
      <w:r>
        <w:rPr>
          <w:rStyle w:val="17"/>
          <w:rFonts w:hint="eastAsia" w:ascii="仿宋_GB2312" w:eastAsia="仿宋_GB2312" w:cs="仿宋_GB2312"/>
          <w:bCs/>
          <w:color w:val="auto"/>
          <w:sz w:val="32"/>
          <w:szCs w:val="32"/>
          <w:u w:val="none"/>
        </w:rPr>
        <w:t>般公共预算财政拨款支出决算情况说明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6</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"_Toc15396608"</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六、一</w:t>
      </w:r>
      <w:r>
        <w:rPr>
          <w:rStyle w:val="17"/>
          <w:rFonts w:hint="eastAsia" w:ascii="仿宋_GB2312" w:eastAsia="仿宋_GB2312" w:cs="仿宋_GB2312"/>
          <w:bCs/>
          <w:color w:val="auto"/>
          <w:sz w:val="32"/>
          <w:szCs w:val="32"/>
          <w:u w:val="none"/>
        </w:rPr>
        <w:t>般公共预算财政拨款基本支出决算情况说明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7</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"_Toc15396609"</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七、“</w:t>
      </w:r>
      <w:r>
        <w:rPr>
          <w:rStyle w:val="17"/>
          <w:rFonts w:hint="eastAsia" w:ascii="仿宋_GB2312" w:eastAsia="仿宋_GB2312" w:cs="仿宋_GB2312"/>
          <w:bCs/>
          <w:color w:val="auto"/>
          <w:sz w:val="32"/>
          <w:szCs w:val="32"/>
          <w:u w:val="none"/>
        </w:rPr>
        <w:t>三公”经费财政拨款支出决算情况说明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"_Toc15396610"</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八、</w:t>
      </w:r>
      <w:r>
        <w:rPr>
          <w:rStyle w:val="17"/>
          <w:rFonts w:hint="eastAsia" w:ascii="仿宋_GB2312" w:eastAsia="仿宋_GB2312" w:cs="仿宋_GB2312"/>
          <w:bCs/>
          <w:color w:val="auto"/>
          <w:sz w:val="32"/>
          <w:szCs w:val="32"/>
          <w:u w:val="none"/>
        </w:rPr>
        <w:t>政府性基金预算支出决算情况说明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bCs/>
          <w:color w:val="auto"/>
          <w:sz w:val="32"/>
          <w:szCs w:val="32"/>
          <w:u w:val="none"/>
        </w:rPr>
        <w:fldChar w:fldCharType="begin"/>
      </w:r>
      <w:r>
        <w:instrText xml:space="preserve">HYPERLINK  \l "_Toc15396611"</w:instrText>
      </w:r>
      <w:r>
        <w:rPr>
          <w:rStyle w:val="17"/>
          <w:rFonts w:hint="eastAsia" w:ascii="仿宋_GB2312" w:eastAsia="仿宋_GB2312" w:cs="仿宋_GB2312"/>
          <w:bCs/>
          <w:color w:val="auto"/>
          <w:sz w:val="32"/>
          <w:szCs w:val="32"/>
          <w:u w:val="none"/>
        </w:rPr>
        <w:fldChar w:fldCharType="separate"/>
      </w:r>
      <w:r>
        <w:rPr>
          <w:rStyle w:val="17"/>
          <w:rFonts w:hint="eastAsia" w:ascii="仿宋_GB2312" w:eastAsia="仿宋_GB2312" w:cs="仿宋_GB2312"/>
          <w:bCs/>
          <w:color w:val="auto"/>
          <w:sz w:val="32"/>
          <w:szCs w:val="32"/>
          <w:u w:val="none"/>
        </w:rPr>
        <w:t>九、</w:t>
      </w:r>
      <w:r>
        <w:rPr>
          <w:rStyle w:val="17"/>
          <w:rFonts w:hint="eastAsia" w:ascii="仿宋_GB2312" w:eastAsia="仿宋_GB2312" w:cs="仿宋_GB2312"/>
          <w:color w:val="auto"/>
          <w:sz w:val="32"/>
          <w:szCs w:val="32"/>
          <w:u w:val="none"/>
        </w:rPr>
        <w:t>国</w:t>
      </w:r>
      <w:r>
        <w:rPr>
          <w:rStyle w:val="17"/>
          <w:rFonts w:hint="eastAsia" w:ascii="仿宋_GB2312" w:eastAsia="仿宋_GB2312" w:cs="仿宋_GB2312"/>
          <w:bCs/>
          <w:color w:val="auto"/>
          <w:sz w:val="32"/>
          <w:szCs w:val="32"/>
          <w:u w:val="none"/>
        </w:rPr>
        <w:t>有资本经营预算支出决算情况说明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t>1</w:t>
      </w:r>
      <w:r>
        <w:rPr>
          <w:rStyle w:val="17"/>
          <w:rFonts w:hint="eastAsia" w:ascii="仿宋_GB2312" w:eastAsia="仿宋_GB2312" w:cs="仿宋_GB2312"/>
          <w:bCs/>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"_Toc15396612"</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十</w:t>
      </w:r>
      <w:r>
        <w:rPr>
          <w:rStyle w:val="17"/>
          <w:rFonts w:hint="eastAsia" w:ascii="仿宋_GB2312" w:eastAsia="仿宋_GB2312" w:cs="仿宋_GB2312"/>
          <w:bCs/>
          <w:color w:val="auto"/>
          <w:sz w:val="32"/>
          <w:szCs w:val="32"/>
          <w:u w:val="none"/>
        </w:rPr>
        <w:t>、其他重要事项的情况说明</w:t>
      </w:r>
      <w:r>
        <w:rPr>
          <w:rFonts w:hint="eastAsia" w:ascii="仿宋_GB2312" w:eastAsia="仿宋_GB2312" w:cs="仿宋_GB2312"/>
          <w:sz w:val="32"/>
          <w:szCs w:val="32"/>
        </w:rPr>
        <w:tab/>
      </w:r>
      <w:r>
        <w:rPr>
          <w:rFonts w:hint="eastAsia" w:ascii="仿宋_GB2312" w:eastAsia="仿宋_GB2312" w:cs="仿宋_GB2312"/>
          <w:sz w:val="32"/>
          <w:szCs w:val="32"/>
        </w:rPr>
        <w:t>2</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9</w:t>
      </w:r>
    </w:p>
    <w:p>
      <w:pPr>
        <w:pStyle w:val="11"/>
        <w:adjustRightInd w:val="0"/>
        <w:snapToGrid w:val="0"/>
        <w:spacing w:line="576" w:lineRule="exact"/>
        <w:ind w:left="0" w:leftChars="0"/>
        <w:jc w:val="left"/>
        <w:rPr>
          <w:rFonts w:ascii="仿宋_GB2312" w:eastAsia="仿宋_GB2312" w:cs="仿宋_GB2312"/>
          <w:sz w:val="32"/>
          <w:szCs w:val="32"/>
        </w:rPr>
      </w:pPr>
      <w:r>
        <w:rPr>
          <w:rStyle w:val="17"/>
          <w:rFonts w:hint="eastAsia" w:ascii="仿宋_GB2312" w:eastAsia="仿宋_GB2312" w:cs="仿宋_GB2312"/>
          <w:bCs/>
          <w:color w:val="auto"/>
          <w:kern w:val="44"/>
          <w:sz w:val="32"/>
          <w:szCs w:val="32"/>
          <w:u w:val="none"/>
        </w:rPr>
        <w:fldChar w:fldCharType="begin"/>
      </w:r>
      <w:r>
        <w:instrText xml:space="preserve">HYPERLINK  \l "_Toc15396613"</w:instrText>
      </w:r>
      <w:r>
        <w:rPr>
          <w:rStyle w:val="17"/>
          <w:rFonts w:hint="eastAsia" w:ascii="仿宋_GB2312" w:eastAsia="仿宋_GB2312" w:cs="仿宋_GB2312"/>
          <w:bCs/>
          <w:color w:val="auto"/>
          <w:kern w:val="44"/>
          <w:sz w:val="32"/>
          <w:szCs w:val="32"/>
          <w:u w:val="none"/>
        </w:rPr>
        <w:fldChar w:fldCharType="separate"/>
      </w:r>
      <w:r>
        <w:rPr>
          <w:rStyle w:val="17"/>
          <w:rFonts w:hint="eastAsia" w:ascii="仿宋_GB2312" w:eastAsia="仿宋_GB2312" w:cs="仿宋_GB2312"/>
          <w:bCs/>
          <w:color w:val="auto"/>
          <w:kern w:val="44"/>
          <w:sz w:val="32"/>
          <w:szCs w:val="32"/>
          <w:u w:val="none"/>
        </w:rPr>
        <w:t>第三部分</w:t>
      </w:r>
      <w:r>
        <w:rPr>
          <w:rStyle w:val="17"/>
          <w:rFonts w:hint="eastAsia" w:ascii="仿宋_GB2312" w:eastAsia="仿宋_GB2312" w:cs="仿宋_GB2312"/>
          <w:color w:val="auto"/>
          <w:sz w:val="32"/>
          <w:szCs w:val="32"/>
          <w:u w:val="none"/>
        </w:rPr>
        <w:t xml:space="preserve"> 名</w:t>
      </w:r>
      <w:r>
        <w:rPr>
          <w:rStyle w:val="17"/>
          <w:rFonts w:hint="eastAsia" w:ascii="仿宋_GB2312" w:eastAsia="仿宋_GB2312" w:cs="仿宋_GB2312"/>
          <w:bCs/>
          <w:color w:val="auto"/>
          <w:kern w:val="44"/>
          <w:sz w:val="32"/>
          <w:szCs w:val="32"/>
          <w:u w:val="none"/>
        </w:rPr>
        <w:t>词解释</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bCs/>
          <w:color w:val="auto"/>
          <w:kern w:val="44"/>
          <w:sz w:val="32"/>
          <w:szCs w:val="32"/>
          <w:u w:val="none"/>
        </w:rPr>
        <w:fldChar w:fldCharType="end"/>
      </w:r>
      <w:r>
        <w:rPr>
          <w:rFonts w:hint="eastAsia" w:ascii="仿宋_GB2312" w:eastAsia="仿宋_GB2312" w:cs="仿宋_GB2312"/>
          <w:sz w:val="32"/>
          <w:szCs w:val="32"/>
        </w:rPr>
        <w:t>2</w:t>
      </w:r>
    </w:p>
    <w:p>
      <w:pPr>
        <w:pStyle w:val="11"/>
        <w:adjustRightInd w:val="0"/>
        <w:snapToGrid w:val="0"/>
        <w:spacing w:line="576" w:lineRule="exact"/>
        <w:ind w:left="0" w:leftChars="0"/>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t>第</w:t>
      </w:r>
      <w:r>
        <w:rPr>
          <w:rStyle w:val="17"/>
          <w:rFonts w:hint="eastAsia" w:ascii="仿宋_GB2312" w:eastAsia="仿宋_GB2312" w:cs="仿宋_GB2312"/>
          <w:bCs/>
          <w:color w:val="auto"/>
          <w:kern w:val="44"/>
          <w:sz w:val="32"/>
          <w:szCs w:val="32"/>
          <w:u w:val="none"/>
        </w:rPr>
        <w:t>四部分 附件</w:t>
      </w:r>
      <w:r>
        <w:rPr>
          <w:rFonts w:hint="eastAsia" w:ascii="仿宋_GB2312" w:eastAsia="仿宋_GB2312" w:cs="仿宋_GB2312"/>
          <w:sz w:val="32"/>
          <w:szCs w:val="32"/>
        </w:rPr>
        <w:fldChar w:fldCharType="begin"/>
      </w:r>
      <w:r>
        <w:instrText xml:space="preserve">HYPERLINK  \l "_Toc15396613"</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ab/>
      </w:r>
      <w:r>
        <w:rPr>
          <w:rFonts w:hint="eastAsia" w:ascii="仿宋_GB2312" w:eastAsia="仿宋_GB2312" w:cs="仿宋_GB2312"/>
          <w:sz w:val="32"/>
          <w:szCs w:val="32"/>
        </w:rPr>
        <w:t>3</w:t>
      </w:r>
      <w:r>
        <w:rPr>
          <w:rFonts w:hint="eastAsia" w:ascii="仿宋_GB2312" w:eastAsia="仿宋_GB2312" w:cs="仿宋_GB2312"/>
          <w:sz w:val="32"/>
          <w:szCs w:val="32"/>
        </w:rPr>
        <w:fldChar w:fldCharType="end"/>
      </w:r>
      <w:r>
        <w:rPr>
          <w:rFonts w:hint="eastAsia" w:ascii="仿宋_GB2312" w:eastAsia="仿宋_GB2312" w:cs="仿宋_GB2312"/>
          <w:sz w:val="32"/>
          <w:szCs w:val="32"/>
        </w:rPr>
        <w:t>2</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城市管理局2019年部门整体支出绩效评价报告</w:t>
      </w:r>
      <w:r>
        <w:rPr>
          <w:rFonts w:hint="eastAsia" w:ascii="仿宋_GB2312" w:eastAsia="仿宋_GB2312" w:cs="仿宋_GB2312"/>
          <w:sz w:val="32"/>
          <w:szCs w:val="32"/>
        </w:rPr>
        <w:tab/>
      </w:r>
      <w:r>
        <w:rPr>
          <w:rFonts w:hint="eastAsia" w:ascii="仿宋_GB2312" w:eastAsia="仿宋_GB2312" w:cs="仿宋_GB2312"/>
          <w:sz w:val="32"/>
          <w:szCs w:val="32"/>
        </w:rPr>
        <w:t xml:space="preserve"> 37</w:t>
      </w:r>
    </w:p>
    <w:p>
      <w:pPr>
        <w:pStyle w:val="11"/>
        <w:adjustRightInd w:val="0"/>
        <w:snapToGrid w:val="0"/>
        <w:spacing w:line="576" w:lineRule="exact"/>
        <w:ind w:left="0" w:leftChars="0"/>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begin"/>
      </w:r>
      <w:r>
        <w:instrText xml:space="preserve">HYPERLINK  \l "_Toc15396618"</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第</w:t>
      </w:r>
      <w:r>
        <w:rPr>
          <w:rStyle w:val="17"/>
          <w:rFonts w:hint="eastAsia" w:ascii="仿宋_GB2312" w:eastAsia="仿宋_GB2312" w:cs="仿宋_GB2312"/>
          <w:bCs/>
          <w:color w:val="auto"/>
          <w:kern w:val="44"/>
          <w:sz w:val="32"/>
          <w:szCs w:val="32"/>
          <w:u w:val="none"/>
        </w:rPr>
        <w:t>五部分 附表</w:t>
      </w:r>
      <w:r>
        <w:rPr>
          <w:rFonts w:hint="eastAsia" w:ascii="仿宋_GB2312" w:eastAsia="仿宋_GB2312" w:cs="仿宋_GB2312"/>
          <w:sz w:val="32"/>
          <w:szCs w:val="32"/>
        </w:rPr>
        <w:tab/>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38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一、</w:t>
      </w:r>
      <w:r>
        <w:rPr>
          <w:rStyle w:val="17"/>
          <w:rFonts w:hint="eastAsia" w:ascii="仿宋_GB2312" w:eastAsia="仿宋_GB2312" w:cs="仿宋_GB2312"/>
          <w:color w:val="auto"/>
          <w:sz w:val="32"/>
          <w:szCs w:val="32"/>
          <w:u w:val="none"/>
        </w:rPr>
        <w:fldChar w:fldCharType="begin"/>
      </w:r>
      <w:r>
        <w:instrText xml:space="preserve">HYPERLINK  \l "_Toc15396619"</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收入支出决算总表</w:t>
      </w:r>
      <w:r>
        <w:rPr>
          <w:rFonts w:hint="eastAsia" w:ascii="仿宋_GB2312" w:eastAsia="仿宋_GB2312" w:cs="仿宋_GB2312"/>
          <w:sz w:val="32"/>
          <w:szCs w:val="32"/>
        </w:rPr>
        <w:tab/>
      </w:r>
      <w:r>
        <w:rPr>
          <w:rFonts w:hint="eastAsia" w:ascii="仿宋_GB2312" w:eastAsia="仿宋_GB2312" w:cs="仿宋_GB2312"/>
          <w:sz w:val="32"/>
          <w:szCs w:val="32"/>
        </w:rPr>
        <w:t>38</w:t>
      </w:r>
      <w:r>
        <w:rPr>
          <w:rStyle w:val="17"/>
          <w:rFonts w:hint="eastAsia" w:ascii="仿宋_GB2312" w:eastAsia="仿宋_GB2312" w:cs="仿宋_GB2312"/>
          <w:color w:val="auto"/>
          <w:sz w:val="32"/>
          <w:szCs w:val="32"/>
          <w:u w:val="none"/>
        </w:rPr>
        <w:fldChar w:fldCharType="end"/>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二、</w:t>
      </w:r>
      <w:r>
        <w:rPr>
          <w:rStyle w:val="17"/>
          <w:rFonts w:hint="eastAsia" w:ascii="仿宋_GB2312" w:eastAsia="仿宋_GB2312" w:cs="仿宋_GB2312"/>
          <w:color w:val="auto"/>
          <w:sz w:val="32"/>
          <w:szCs w:val="32"/>
          <w:u w:val="none"/>
        </w:rPr>
        <w:fldChar w:fldCharType="begin"/>
      </w:r>
      <w:r>
        <w:instrText xml:space="preserve">HYPERLINK  \l "_Toc15396620"</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收入总表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三、</w:t>
      </w:r>
      <w:r>
        <w:rPr>
          <w:rStyle w:val="17"/>
          <w:rFonts w:hint="eastAsia" w:ascii="仿宋_GB2312" w:eastAsia="仿宋_GB2312" w:cs="仿宋_GB2312"/>
          <w:color w:val="auto"/>
          <w:sz w:val="32"/>
          <w:szCs w:val="32"/>
          <w:u w:val="none"/>
        </w:rPr>
        <w:fldChar w:fldCharType="begin"/>
      </w:r>
      <w:r>
        <w:instrText xml:space="preserve">HYPERLINK  \l "_Toc15396621"</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支出总表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四、</w:t>
      </w:r>
      <w:r>
        <w:rPr>
          <w:rStyle w:val="17"/>
          <w:rFonts w:hint="eastAsia" w:ascii="仿宋_GB2312" w:eastAsia="仿宋_GB2312" w:cs="仿宋_GB2312"/>
          <w:color w:val="auto"/>
          <w:sz w:val="32"/>
          <w:szCs w:val="32"/>
          <w:u w:val="none"/>
        </w:rPr>
        <w:fldChar w:fldCharType="begin"/>
      </w:r>
      <w:r>
        <w:instrText xml:space="preserve">HYPERLINK  \l "_Toc15396622"</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财政拨款收入支出决算总表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五、</w:t>
      </w:r>
      <w:r>
        <w:rPr>
          <w:rFonts w:hint="eastAsia" w:ascii="仿宋_GB2312" w:eastAsia="仿宋_GB2312" w:cs="仿宋_GB2312"/>
          <w:sz w:val="32"/>
          <w:szCs w:val="32"/>
        </w:rPr>
        <w:fldChar w:fldCharType="begin"/>
      </w:r>
      <w:r>
        <w:instrText xml:space="preserve">HYPERLINK  \l "_Toc15396623"</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t>3</w:t>
      </w:r>
      <w:r>
        <w:rPr>
          <w:rFonts w:hint="eastAsia" w:ascii="仿宋_GB2312" w:eastAsia="仿宋_GB2312" w:cs="仿宋_GB2312"/>
          <w:sz w:val="32"/>
          <w:szCs w:val="32"/>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六、</w:t>
      </w:r>
      <w:r>
        <w:rPr>
          <w:rStyle w:val="17"/>
          <w:rFonts w:hint="eastAsia" w:ascii="仿宋_GB2312" w:eastAsia="仿宋_GB2312" w:cs="仿宋_GB2312"/>
          <w:color w:val="auto"/>
          <w:sz w:val="32"/>
          <w:szCs w:val="32"/>
          <w:u w:val="none"/>
        </w:rPr>
        <w:fldChar w:fldCharType="begin"/>
      </w:r>
      <w:r>
        <w:instrText xml:space="preserve">HYPERLINK  \l "_Toc15396624"</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一般公共预算财政拨款支出决算表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七、</w:t>
      </w:r>
      <w:r>
        <w:rPr>
          <w:rStyle w:val="17"/>
          <w:rFonts w:hint="eastAsia" w:ascii="仿宋_GB2312" w:eastAsia="仿宋_GB2312" w:cs="仿宋_GB2312"/>
          <w:color w:val="auto"/>
          <w:sz w:val="32"/>
          <w:szCs w:val="32"/>
          <w:u w:val="none"/>
        </w:rPr>
        <w:fldChar w:fldCharType="begin"/>
      </w:r>
      <w:r>
        <w:instrText xml:space="preserve">HYPERLINK  \l "_Toc15396625"</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一般公共预算财政拨款支出决算明细表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八、</w:t>
      </w:r>
      <w:r>
        <w:rPr>
          <w:rStyle w:val="17"/>
          <w:rFonts w:hint="eastAsia" w:ascii="仿宋_GB2312" w:eastAsia="仿宋_GB2312" w:cs="仿宋_GB2312"/>
          <w:color w:val="auto"/>
          <w:sz w:val="32"/>
          <w:szCs w:val="32"/>
          <w:u w:val="none"/>
        </w:rPr>
        <w:fldChar w:fldCharType="begin"/>
      </w:r>
      <w:r>
        <w:instrText xml:space="preserve">HYPERLINK  \l "_Toc15396626"</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一般公共预算财政拨款基本支出决算表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九、</w:t>
      </w:r>
      <w:r>
        <w:rPr>
          <w:rStyle w:val="17"/>
          <w:rFonts w:hint="eastAsia" w:ascii="仿宋_GB2312" w:eastAsia="仿宋_GB2312" w:cs="仿宋_GB2312"/>
          <w:color w:val="auto"/>
          <w:sz w:val="32"/>
          <w:szCs w:val="32"/>
          <w:u w:val="none"/>
        </w:rPr>
        <w:fldChar w:fldCharType="begin"/>
      </w:r>
      <w:r>
        <w:instrText xml:space="preserve">HYPERLINK  \l "_Toc15396627"</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一般公共预算财政拨款项目支出决算表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十、</w:t>
      </w:r>
      <w:r>
        <w:rPr>
          <w:rStyle w:val="17"/>
          <w:rFonts w:hint="eastAsia" w:ascii="仿宋_GB2312" w:eastAsia="仿宋_GB2312" w:cs="仿宋_GB2312"/>
          <w:color w:val="auto"/>
          <w:sz w:val="32"/>
          <w:szCs w:val="32"/>
          <w:u w:val="none"/>
        </w:rPr>
        <w:fldChar w:fldCharType="begin"/>
      </w:r>
      <w:r>
        <w:instrText xml:space="preserve">HYPERLINK  \l "_Toc15396628"</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一般公共预算财政拨款“三公”经费支出决算表</w:t>
      </w:r>
      <w:r>
        <w:rPr>
          <w:rFonts w:hint="eastAsia" w:ascii="仿宋_GB2312" w:eastAsia="仿宋_GB2312" w:cs="仿宋_GB2312"/>
          <w:sz w:val="32"/>
          <w:szCs w:val="32"/>
        </w:rPr>
        <w:tab/>
      </w:r>
      <w:r>
        <w:rPr>
          <w:rFonts w:hint="eastAsia" w:ascii="仿宋_GB2312" w:eastAsia="仿宋_GB2312" w:cs="仿宋_GB2312"/>
          <w:sz w:val="32"/>
          <w:szCs w:val="32"/>
        </w:rPr>
        <w:t>3</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十一、</w:t>
      </w:r>
      <w:r>
        <w:rPr>
          <w:rStyle w:val="17"/>
          <w:rFonts w:hint="eastAsia" w:ascii="仿宋_GB2312" w:eastAsia="仿宋_GB2312" w:cs="仿宋_GB2312"/>
          <w:color w:val="auto"/>
          <w:sz w:val="32"/>
          <w:szCs w:val="32"/>
          <w:u w:val="none"/>
        </w:rPr>
        <w:fldChar w:fldCharType="begin"/>
      </w:r>
      <w:r>
        <w:instrText xml:space="preserve">HYPERLINK  \l "_Toc15396629"</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政府性基金预算财政拨款收入支出决算表</w:t>
      </w:r>
      <w:r>
        <w:rPr>
          <w:rFonts w:hint="eastAsia" w:ascii="仿宋_GB2312" w:eastAsia="仿宋_GB2312" w:cs="仿宋_GB2312"/>
          <w:sz w:val="32"/>
          <w:szCs w:val="32"/>
        </w:rPr>
        <w:tab/>
      </w:r>
      <w:r>
        <w:rPr>
          <w:rFonts w:hint="eastAsia" w:ascii="仿宋_GB2312" w:eastAsia="仿宋_GB2312" w:cs="仿宋_GB2312"/>
          <w:sz w:val="32"/>
          <w:szCs w:val="32"/>
        </w:rPr>
        <w:t>4</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0</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十二、</w:t>
      </w:r>
      <w:r>
        <w:rPr>
          <w:rStyle w:val="17"/>
          <w:rFonts w:hint="eastAsia" w:ascii="仿宋_GB2312" w:eastAsia="仿宋_GB2312" w:cs="仿宋_GB2312"/>
          <w:color w:val="auto"/>
          <w:sz w:val="32"/>
          <w:szCs w:val="32"/>
          <w:u w:val="none"/>
        </w:rPr>
        <w:fldChar w:fldCharType="begin"/>
      </w:r>
      <w:r>
        <w:instrText xml:space="preserve">HYPERLINK  \l "_Toc15396630"</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政府性基金预算财政拨款“三公”经费支出决算表</w:t>
      </w:r>
    </w:p>
    <w:p>
      <w:pPr>
        <w:pStyle w:val="11"/>
        <w:adjustRightInd w:val="0"/>
        <w:snapToGrid w:val="0"/>
        <w:spacing w:line="576" w:lineRule="exact"/>
        <w:jc w:val="left"/>
        <w:rPr>
          <w:rFonts w:ascii="仿宋_GB2312" w:eastAsia="仿宋_GB2312" w:cs="仿宋_GB2312"/>
          <w:sz w:val="32"/>
          <w:szCs w:val="32"/>
        </w:rPr>
      </w:pP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fldChar w:fldCharType="begin"/>
      </w:r>
      <w:r>
        <w:instrText xml:space="preserve">HYPERLINK  \l "_Toc15396629"</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begin"/>
      </w:r>
      <w:r>
        <w:instrText xml:space="preserve">HYPERLINK  \l "_Toc15396630"</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3</w:t>
      </w:r>
      <w:r>
        <w:rPr>
          <w:rFonts w:hint="eastAsia" w:ascii="仿宋_GB2312" w:eastAsia="仿宋_GB2312" w:cs="仿宋_GB2312"/>
          <w:sz w:val="32"/>
          <w:szCs w:val="32"/>
        </w:rPr>
        <w:fldChar w:fldCharType="end"/>
      </w:r>
      <w:r>
        <w:rPr>
          <w:rFonts w:hint="eastAsia" w:ascii="仿宋_GB2312" w:eastAsia="仿宋_GB2312" w:cs="仿宋_GB2312"/>
          <w:sz w:val="32"/>
          <w:szCs w:val="32"/>
        </w:rPr>
        <w:t>8</w:t>
      </w:r>
    </w:p>
    <w:p>
      <w:pPr>
        <w:pStyle w:val="11"/>
        <w:adjustRightInd w:val="0"/>
        <w:snapToGrid w:val="0"/>
        <w:spacing w:line="576" w:lineRule="exact"/>
        <w:jc w:val="left"/>
        <w:rPr>
          <w:rFonts w:ascii="仿宋_GB2312" w:eastAsia="仿宋_GB2312" w:cs="仿宋_GB2312"/>
          <w:sz w:val="32"/>
          <w:szCs w:val="32"/>
        </w:rPr>
      </w:pPr>
      <w:r>
        <w:rPr>
          <w:rFonts w:hint="eastAsia" w:ascii="仿宋_GB2312" w:eastAsia="仿宋_GB2312" w:cs="仿宋_GB2312"/>
          <w:sz w:val="32"/>
          <w:szCs w:val="32"/>
        </w:rPr>
        <w:t>十三、</w:t>
      </w:r>
      <w:r>
        <w:rPr>
          <w:rStyle w:val="17"/>
          <w:rFonts w:hint="eastAsia" w:ascii="仿宋_GB2312" w:eastAsia="仿宋_GB2312" w:cs="仿宋_GB2312"/>
          <w:color w:val="auto"/>
          <w:sz w:val="32"/>
          <w:szCs w:val="32"/>
          <w:u w:val="none"/>
        </w:rPr>
        <w:fldChar w:fldCharType="begin"/>
      </w:r>
      <w:r>
        <w:instrText xml:space="preserve">HYPERLINK  \l "_Toc15396631"</w:instrText>
      </w:r>
      <w:r>
        <w:rPr>
          <w:rStyle w:val="17"/>
          <w:rFonts w:hint="eastAsia" w:ascii="仿宋_GB2312" w:eastAsia="仿宋_GB2312" w:cs="仿宋_GB2312"/>
          <w:color w:val="auto"/>
          <w:sz w:val="32"/>
          <w:szCs w:val="32"/>
          <w:u w:val="none"/>
        </w:rPr>
        <w:fldChar w:fldCharType="separate"/>
      </w:r>
      <w:r>
        <w:rPr>
          <w:rStyle w:val="17"/>
          <w:rFonts w:hint="eastAsia" w:ascii="仿宋_GB2312" w:eastAsia="仿宋_GB2312" w:cs="仿宋_GB2312"/>
          <w:color w:val="auto"/>
          <w:sz w:val="32"/>
          <w:szCs w:val="32"/>
          <w:u w:val="none"/>
        </w:rPr>
        <w:t>国有资本经营预算支出决算表</w:t>
      </w:r>
      <w:r>
        <w:rPr>
          <w:rFonts w:hint="eastAsia" w:ascii="仿宋_GB2312" w:eastAsia="仿宋_GB2312" w:cs="仿宋_GB2312"/>
          <w:sz w:val="32"/>
          <w:szCs w:val="32"/>
        </w:rPr>
        <w:tab/>
      </w:r>
      <w:r>
        <w:rPr>
          <w:rFonts w:hint="eastAsia" w:ascii="仿宋_GB2312" w:eastAsia="仿宋_GB2312" w:cs="仿宋_GB2312"/>
          <w:sz w:val="32"/>
          <w:szCs w:val="32"/>
        </w:rPr>
        <w:t>.</w:t>
      </w:r>
      <w:r>
        <w:rPr>
          <w:rStyle w:val="17"/>
          <w:rFonts w:hint="eastAsia" w:ascii="仿宋_GB2312" w:eastAsia="仿宋_GB2312" w:cs="仿宋_GB2312"/>
          <w:color w:val="auto"/>
          <w:sz w:val="32"/>
          <w:szCs w:val="32"/>
          <w:u w:val="none"/>
        </w:rPr>
        <w:fldChar w:fldCharType="end"/>
      </w:r>
      <w:r>
        <w:rPr>
          <w:rFonts w:hint="eastAsia" w:ascii="仿宋_GB2312" w:eastAsia="仿宋_GB2312" w:cs="仿宋_GB2312"/>
          <w:sz w:val="32"/>
          <w:szCs w:val="32"/>
        </w:rPr>
        <w:t>38</w:t>
      </w:r>
    </w:p>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2"/>
        <w:jc w:val="center"/>
        <w:rPr>
          <w:rFonts w:ascii="黑体" w:eastAsia="黑体"/>
          <w:color w:val="000000"/>
          <w:sz w:val="32"/>
          <w:szCs w:val="32"/>
        </w:rPr>
      </w:pPr>
      <w:r>
        <w:rPr>
          <w:rFonts w:hint="eastAsia" w:ascii="黑体" w:eastAsia="黑体"/>
          <w:b w:val="0"/>
        </w:rPr>
        <w:t xml:space="preserve">第一部分 </w:t>
      </w:r>
      <w:r>
        <w:rPr>
          <w:rStyle w:val="18"/>
          <w:rFonts w:hint="eastAsia" w:ascii="黑体" w:eastAsia="黑体"/>
          <w:b w:val="0"/>
          <w:bCs w:val="0"/>
        </w:rPr>
        <w:t>部门概况</w:t>
      </w:r>
      <w:bookmarkEnd w:id="12"/>
      <w:bookmarkEnd w:id="13"/>
    </w:p>
    <w:p>
      <w:pPr>
        <w:adjustRightInd w:val="0"/>
        <w:snapToGrid w:val="0"/>
        <w:spacing w:line="576" w:lineRule="exact"/>
        <w:ind w:firstLine="800" w:firstLineChars="250"/>
        <w:outlineLvl w:val="0"/>
        <w:rPr>
          <w:rFonts w:ascii="黑体" w:eastAsia="黑体" w:cs="黑体"/>
          <w:sz w:val="32"/>
          <w:szCs w:val="32"/>
        </w:rPr>
      </w:pPr>
      <w:bookmarkStart w:id="14" w:name="_Toc15377204"/>
      <w:bookmarkStart w:id="15" w:name="_Toc15396602"/>
      <w:r>
        <w:rPr>
          <w:rFonts w:hint="eastAsia" w:ascii="黑体" w:eastAsia="黑体" w:cs="黑体"/>
          <w:color w:val="000000"/>
          <w:sz w:val="32"/>
          <w:szCs w:val="32"/>
        </w:rPr>
        <w:t>一、基</w:t>
      </w:r>
      <w:r>
        <w:rPr>
          <w:rStyle w:val="19"/>
          <w:rFonts w:hint="eastAsia" w:ascii="黑体" w:eastAsia="黑体" w:cs="黑体"/>
          <w:b w:val="0"/>
          <w:bCs w:val="0"/>
        </w:rPr>
        <w:t>本职能及主要工作</w:t>
      </w:r>
      <w:bookmarkStart w:id="16" w:name="_Toc15378445"/>
      <w:bookmarkStart w:id="17" w:name="_Toc15377198"/>
    </w:p>
    <w:p>
      <w:pPr>
        <w:snapToGrid w:val="0"/>
        <w:spacing w:line="576" w:lineRule="exact"/>
        <w:ind w:firstLine="642" w:firstLineChars="200"/>
        <w:rPr>
          <w:rFonts w:ascii="楷体" w:eastAsia="楷体" w:cs="楷体"/>
          <w:b/>
          <w:color w:val="000000"/>
          <w:sz w:val="32"/>
          <w:szCs w:val="32"/>
        </w:rPr>
      </w:pPr>
      <w:r>
        <w:rPr>
          <w:rFonts w:hint="eastAsia" w:ascii="楷体" w:eastAsia="楷体" w:cs="楷体"/>
          <w:b/>
          <w:color w:val="000000"/>
          <w:sz w:val="32"/>
          <w:szCs w:val="32"/>
        </w:rPr>
        <w:t>（一）基本职能</w:t>
      </w:r>
      <w:bookmarkEnd w:id="16"/>
      <w:bookmarkEnd w:id="17"/>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依照国务院《城市市容和环境卫生管理条例》《城市道路管理条例》，《城市绿化条例》，建设部《城市道路照明设施管理规定》《城建监察规定》及《四川省城市市容和环境卫生管理条例》《四川省城市园林绿化条例》等法规，对城市市容市貌、园林绿化、环境卫生、市政设施（道路、照明、河道、排水）维护实施全面管理。</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1.按照有关法律、法规、规章和政府的决定，做好城市管理工作。</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2.贯彻执行国家和地方关于城市市容市貌、园林绿化、环境卫生、市政设施（道路、照明、河道、排水）维护管理的法律、法规、规章及有关规范性文件。</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3.负责制定城市管理目标和计划。按照城市总体规划，研究制定全县城市管理、市政、环卫、城市绿化行业管理的发展战略。</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4.按照规定使用城市管理资金。根据市容、市政维护、环卫和绿化管理的部门资金预算，对资金使用实施监督控制。负责资金使用的核算，保证资金的正确使用。</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5.负责市容管理。统筹规划协调管理全县城市环境整治工作和“门前四包”工作。负责户外广告及临街各种广告栏、宣传栏、张贴栏、商标牌的位置和审批工作。管理临街建筑物、市政设施、建筑场地、城市交通运输工具等容貌。</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6.负责城市环境卫生管理。对市区环境卫生管理实行组织、协调、监督。审查环卫专项设施建设，参与城市新建、改建、扩建项目的环卫配套设施方案审核和方案实施的监督管理。监督环卫有偿服务收费和使用管理。负责逐步推行环卫服务社会化。负责监督检查城区工程施工场地的高空环境卫生和建筑垃圾的管理。</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7.负责城市道路的管理。编制年度维护计划并组织实施。负责城市道路管理、维护和维修。负责各类服务性、经营性占道亭棚、摊点和各类市场、停车场（站、台）等的规划、定位审查、审批工作。负责开挖道路和施工堆码占道的审批。</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8.负责全县城市路灯的管理。维护管理城市路灯，对市区户外灯饰管理工作进行统筹协调，监督检查。负责重要地段、场所和较大项目灯饰建设方案的审批和竣工验收。负责指导、检查、督促和实施“光亮工程”。</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9.负责城市河道管理工作。实行对城市河道和排水设施的容貌、卫生、环境的管理及城市河道、排水设施进行维护和疏淘。</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10.负责对城市绿化进行管理、维护。</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11.负责市政设施环境卫生。</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12.拟定城市管理规范性文件并组织论证和报批。组织参与行政复议和行政诉讼。</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13.负责组织城市管理法规的宣传，提高市民的文明素质和城市意识。负责办理社会各界、新闻媒体有关城市管理的批评建议意见。</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14.负责城管执法人员的培训、监督、教育和管理，要求依法执法、文明执法。</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15.主管城市管理的行政执法工作，组织城市管理监察队伍，依法查处违反城市管理法律、法规、规章的各种违法行为。按照有关法律、法规、规章的规定，对下列行为予以查处：一是违反城市管理乱搭乱建的行为；二是破坏城市市政、公用设施的行为；三是未按规定位置设置的户外广告；四是建筑施工现场不规范、噪音、扬尘等环节污染；五是侵占道路，人行道、人行道经营、施工的行为；六是其他影响市容环境卫生的行为。</w:t>
      </w:r>
    </w:p>
    <w:p>
      <w:pPr>
        <w:snapToGrid w:val="0"/>
        <w:spacing w:line="576"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16.承办县政府交办的其他事项。</w:t>
      </w:r>
      <w:bookmarkStart w:id="18" w:name="_Toc15377199"/>
      <w:bookmarkStart w:id="19" w:name="_Toc15378446"/>
    </w:p>
    <w:p>
      <w:pPr>
        <w:snapToGrid w:val="0"/>
        <w:spacing w:line="576" w:lineRule="exact"/>
        <w:ind w:firstLine="642" w:firstLineChars="200"/>
        <w:rPr>
          <w:rStyle w:val="19"/>
          <w:rFonts w:ascii="仿宋_GB2312" w:eastAsia="仿宋_GB2312"/>
          <w:b w:val="0"/>
          <w:bCs w:val="0"/>
          <w:sz w:val="30"/>
          <w:szCs w:val="30"/>
        </w:rPr>
      </w:pPr>
      <w:r>
        <w:rPr>
          <w:rFonts w:hint="eastAsia" w:ascii="楷体" w:eastAsia="楷体"/>
          <w:b/>
          <w:bCs/>
          <w:color w:val="000000"/>
          <w:sz w:val="32"/>
          <w:szCs w:val="32"/>
        </w:rPr>
        <w:t>（二）2018年重点工作完成情况</w:t>
      </w:r>
      <w:bookmarkEnd w:id="18"/>
      <w:bookmarkEnd w:id="19"/>
    </w:p>
    <w:p>
      <w:pPr>
        <w:spacing w:line="576" w:lineRule="exact"/>
        <w:ind w:firstLine="602" w:firstLineChars="200"/>
        <w:rPr>
          <w:rFonts w:ascii="仿宋_GB2312" w:eastAsia="仿宋_GB2312" w:cs="黑体"/>
          <w:b/>
          <w:sz w:val="30"/>
          <w:szCs w:val="30"/>
        </w:rPr>
      </w:pPr>
      <w:bookmarkStart w:id="20" w:name="_Toc15396601"/>
      <w:bookmarkStart w:id="21" w:name="_Toc15377200"/>
      <w:r>
        <w:rPr>
          <w:rFonts w:hint="eastAsia" w:ascii="仿宋_GB2312" w:eastAsia="仿宋_GB2312" w:cs="黑体"/>
          <w:b/>
          <w:sz w:val="30"/>
          <w:szCs w:val="30"/>
        </w:rPr>
        <w:t>1.开展市容专项治理行动，提升城市形象</w:t>
      </w:r>
    </w:p>
    <w:p>
      <w:pPr>
        <w:spacing w:before="120" w:after="120" w:line="576" w:lineRule="exact"/>
        <w:ind w:firstLine="600" w:firstLineChars="200"/>
        <w:rPr>
          <w:rFonts w:ascii="仿宋_GB2312" w:eastAsia="仿宋_GB2312"/>
          <w:sz w:val="30"/>
          <w:szCs w:val="30"/>
        </w:rPr>
      </w:pPr>
      <w:r>
        <w:rPr>
          <w:rFonts w:hint="eastAsia" w:ascii="仿宋_GB2312" w:eastAsia="仿宋_GB2312"/>
          <w:sz w:val="30"/>
          <w:szCs w:val="30"/>
        </w:rPr>
        <w:t>一是开展农贸市场、内南街“坐商归店，行商归市”工作，在内南街开展“坐商归店、行商归市”工作，对农贸市场、内南街各商户逐一开展宣传动员工作，并邀请物管公司提前介入，做好租用光大物管岗亭和占用光大二期消防通道进行经营活动的2家商户的沟通协调工作。按照行权职责开展检查，引导商户坐商归店116户，依法疏导占道经营商贩17户，规范店招牌21个，清理垃圾1.5吨，有序规范了农贸市场、内南街经营活动秩序。</w:t>
      </w:r>
    </w:p>
    <w:p>
      <w:pPr>
        <w:spacing w:before="120" w:after="120" w:line="576" w:lineRule="exact"/>
        <w:ind w:firstLine="600" w:firstLineChars="200"/>
        <w:rPr>
          <w:rFonts w:ascii="仿宋_GB2312" w:eastAsia="仿宋_GB2312"/>
          <w:sz w:val="30"/>
          <w:szCs w:val="30"/>
        </w:rPr>
      </w:pPr>
      <w:r>
        <w:rPr>
          <w:rFonts w:hint="eastAsia" w:ascii="仿宋_GB2312" w:eastAsia="仿宋_GB2312"/>
          <w:sz w:val="30"/>
          <w:szCs w:val="30"/>
        </w:rPr>
        <w:t>二是集中开展光大夜市整治工作集中开展光大、羌兴大道夜市整治工作。经过集中宣传动员，执法人员提前蹲守，严格管控经营时间和占道面积，将果蔬类商户引导至内南街至农贸市场路段，共计23户，取缔大型气垫儿童游乐设施1个，其余商户退至人行道或盲道线以外，确保人行通道畅通，同时要求夜市经营食品类商贩规范采取措施，避免油渍、油烟等污染。依法取缔违规占道摊点2处，依法清除违规搭建帐篷6顶。规范经营儿童游乐设施商户19户、食品类商户8户、服饰类商户17户、其他类3户。</w:t>
      </w:r>
    </w:p>
    <w:p>
      <w:pPr>
        <w:spacing w:before="120" w:after="120" w:line="576" w:lineRule="exact"/>
        <w:ind w:firstLine="600" w:firstLineChars="200"/>
        <w:rPr>
          <w:rFonts w:ascii="仿宋_GB2312" w:eastAsia="仿宋_GB2312"/>
          <w:sz w:val="30"/>
          <w:szCs w:val="30"/>
        </w:rPr>
      </w:pPr>
      <w:r>
        <w:rPr>
          <w:rFonts w:hint="eastAsia" w:ascii="仿宋_GB2312" w:eastAsia="仿宋_GB2312"/>
          <w:sz w:val="30"/>
          <w:szCs w:val="30"/>
        </w:rPr>
        <w:t>三是规范治理滨河路、城南片区夜市摊点对城南片区和滨河路占道经营及夜市大排档进行了集中整治，营造良好市容环境。对滨河路及城南片区的阿坝州职业学院门口、城南电梯公寓、滨江小区、茂州花园、畅鑫苑、青坡门等11处夜市、烧烤摊点依法进行了规范和整治，依法规范出店经营商户240家，清理规范店招牌82个、烧烤架1个，依法清除违规占道搭建帐篷48顶，消除噪声污染源7处，清理卫生死角44处，清运垃圾9.5吨。排查出安全隐患3处，公共设施损坏4处，处理群众信访投诉2起，均已整改完毕，有效改善了城南片区和滨河路沿线市容市貌秩序。</w:t>
      </w:r>
    </w:p>
    <w:p>
      <w:pPr>
        <w:spacing w:before="120" w:after="120" w:line="576" w:lineRule="exact"/>
        <w:ind w:firstLine="600" w:firstLineChars="200"/>
        <w:rPr>
          <w:rFonts w:ascii="仿宋_GB2312" w:eastAsia="仿宋_GB2312"/>
          <w:sz w:val="30"/>
          <w:szCs w:val="30"/>
        </w:rPr>
      </w:pPr>
      <w:r>
        <w:rPr>
          <w:rFonts w:hint="eastAsia" w:ascii="仿宋_GB2312" w:eastAsia="仿宋_GB2312"/>
          <w:sz w:val="30"/>
          <w:szCs w:val="30"/>
        </w:rPr>
        <w:t>四是严厉整治砂石运输车辆“抛洒滴漏”行为针对我县境内三轮车、拖拉机、货车抛洒滴漏现象屡禁不止现象，及时安排部署调整执法人员，以大河坝砂石整治执法点为依托，联合交警、水务中心等单位加大对各砂场进入县城辖区各路口的查处力度，采取定点设卡和流动巡逻相结合的模式，以运输砂石、渣土、石子、建筑垃圾等运输车辆为重点，严查货车遗洒运物、超限超载运输等违法违规行为。同时，联合执法工作组在各施工工地路口发放宣传资料,开展抛洒滴漏整治行动宣传工作，积极营造良好的、安全有序的城市环境。共检查并整改砂石运输车辆728辆，有效遏制了我县县城境内道路运输车辆的严重超载抛洒滴漏现象。</w:t>
      </w:r>
    </w:p>
    <w:p>
      <w:pPr>
        <w:spacing w:before="120" w:after="120" w:line="576" w:lineRule="exact"/>
        <w:ind w:firstLine="600" w:firstLineChars="200"/>
        <w:rPr>
          <w:rFonts w:ascii="仿宋_GB2312" w:eastAsia="仿宋_GB2312"/>
          <w:sz w:val="30"/>
          <w:szCs w:val="30"/>
        </w:rPr>
      </w:pPr>
      <w:r>
        <w:rPr>
          <w:rFonts w:hint="eastAsia" w:ascii="仿宋_GB2312" w:eastAsia="仿宋_GB2312"/>
          <w:sz w:val="30"/>
          <w:szCs w:val="30"/>
        </w:rPr>
        <w:t xml:space="preserve">五是整治净化校园周边环境针对学校周边流动摊点、占道经营、散发小广告等环境问题，开展校园周边市容环境综合整治活动。坚持“依法规范、文明执法、疏堵结合”的工作原则，以凤仪镇学校、同心幼儿园为重点，采取集中整治与专人巡查相结合的方式，对周边流动摊贩、占道设摊的商贩进行了清理，引导各商户规范经营，杜绝占道经营、出店经营等违法违规行为，营造了良好的校园周边环境。累计清理流动摊点35处，规范经营70余次，切实有效提升了校园周边市容环境秩序，为广大师生营造了良好的市容环境。  </w:t>
      </w:r>
    </w:p>
    <w:p>
      <w:pPr>
        <w:spacing w:line="576" w:lineRule="exact"/>
        <w:ind w:firstLine="602" w:firstLineChars="200"/>
        <w:rPr>
          <w:rFonts w:ascii="仿宋_GB2312" w:eastAsia="仿宋_GB2312"/>
          <w:b/>
          <w:sz w:val="30"/>
          <w:szCs w:val="30"/>
        </w:rPr>
      </w:pPr>
      <w:r>
        <w:rPr>
          <w:rFonts w:hint="eastAsia" w:ascii="仿宋_GB2312" w:eastAsia="仿宋_GB2312"/>
          <w:b/>
          <w:sz w:val="30"/>
          <w:szCs w:val="30"/>
        </w:rPr>
        <w:t>2.注重部门协作，凝聚城市治理合力</w:t>
      </w:r>
    </w:p>
    <w:p>
      <w:pPr>
        <w:spacing w:line="576" w:lineRule="exact"/>
        <w:ind w:firstLine="602" w:firstLineChars="200"/>
        <w:rPr>
          <w:rFonts w:ascii="仿宋_GB2312" w:eastAsia="仿宋_GB2312"/>
          <w:sz w:val="30"/>
          <w:szCs w:val="30"/>
        </w:rPr>
      </w:pPr>
      <w:r>
        <w:rPr>
          <w:rFonts w:hint="eastAsia" w:ascii="仿宋_GB2312" w:eastAsia="仿宋_GB2312"/>
          <w:b/>
          <w:sz w:val="30"/>
          <w:szCs w:val="30"/>
        </w:rPr>
        <w:t>一是</w:t>
      </w:r>
      <w:r>
        <w:rPr>
          <w:rFonts w:hint="eastAsia" w:ascii="仿宋_GB2312" w:eastAsia="仿宋_GB2312"/>
          <w:sz w:val="30"/>
          <w:szCs w:val="30"/>
        </w:rPr>
        <w:t>县城管局围绕安全示范街创建、放心舒心消费城市创建、法治示范机关（单位）创建等创建活动，结合各类专项执法工作，有效联合公安、消防、交警、工商、环保等相关职能部门，集中开展联合执法行动，实现职能整合，层层执法，形成优势互补，在更高标准上促进城市管理执法效能和管理合力的提升。</w:t>
      </w:r>
      <w:r>
        <w:rPr>
          <w:rFonts w:hint="eastAsia" w:ascii="仿宋_GB2312" w:eastAsia="仿宋_GB2312"/>
          <w:b/>
          <w:sz w:val="30"/>
          <w:szCs w:val="30"/>
        </w:rPr>
        <w:t>二是</w:t>
      </w:r>
      <w:r>
        <w:rPr>
          <w:rFonts w:hint="eastAsia" w:ascii="仿宋_GB2312" w:eastAsia="仿宋_GB2312"/>
          <w:sz w:val="30"/>
          <w:szCs w:val="30"/>
        </w:rPr>
        <w:t>通过构建公安、城管、工商、消防等多部门共同管理格局，全方位、立体化、无缝隙治理城市热点、难点问题，突出城市管理部门共同参与，强化了城市管理执法保障，特别是城市管理执法与公安保障作有机结合，加强了对城管执法人员和执法相对人双方的监督，较大程度上防止了执法现场可能发生的冲突，保障城市管理工作有效执行。</w:t>
      </w:r>
      <w:r>
        <w:rPr>
          <w:rFonts w:hint="eastAsia" w:ascii="仿宋_GB2312" w:eastAsia="仿宋_GB2312"/>
          <w:b/>
          <w:sz w:val="30"/>
          <w:szCs w:val="30"/>
        </w:rPr>
        <w:t>三是</w:t>
      </w:r>
      <w:r>
        <w:rPr>
          <w:rFonts w:hint="eastAsia" w:ascii="仿宋_GB2312" w:eastAsia="仿宋_GB2312"/>
          <w:sz w:val="30"/>
          <w:szCs w:val="30"/>
        </w:rPr>
        <w:t>在开展市容市貌集中整治行动，对城区乱搭乱建、乱堆乱放、占道违法经营等现象采取集中强制拆除、限期（立即）改正的同时，加强日常实时监管，定期开展行政检查，对涉及城市管理的违法行为，做到发现一起、查处一起，杜绝违法案件增量。</w:t>
      </w:r>
    </w:p>
    <w:p>
      <w:pPr>
        <w:spacing w:line="576" w:lineRule="exact"/>
        <w:ind w:firstLine="602" w:firstLineChars="200"/>
        <w:rPr>
          <w:rFonts w:ascii="仿宋_GB2312" w:eastAsia="仿宋_GB2312" w:cs="黑体"/>
          <w:b/>
          <w:sz w:val="30"/>
          <w:szCs w:val="30"/>
        </w:rPr>
      </w:pPr>
      <w:r>
        <w:rPr>
          <w:rFonts w:hint="eastAsia" w:ascii="仿宋_GB2312" w:eastAsia="仿宋_GB2312" w:cs="黑体"/>
          <w:b/>
          <w:bCs/>
          <w:sz w:val="30"/>
          <w:szCs w:val="30"/>
        </w:rPr>
        <w:t>3.</w:t>
      </w:r>
      <w:r>
        <w:rPr>
          <w:rFonts w:hint="eastAsia" w:ascii="仿宋_GB2312" w:eastAsia="仿宋_GB2312" w:cs="黑体"/>
          <w:b/>
          <w:sz w:val="30"/>
          <w:szCs w:val="30"/>
        </w:rPr>
        <w:t>深入开展城市环境综合整治活动，提高城市品味</w:t>
      </w:r>
    </w:p>
    <w:p>
      <w:pPr>
        <w:spacing w:line="576" w:lineRule="exact"/>
        <w:ind w:firstLine="602" w:firstLineChars="200"/>
        <w:rPr>
          <w:rFonts w:ascii="仿宋_GB2312" w:eastAsia="仿宋_GB2312"/>
          <w:sz w:val="30"/>
          <w:szCs w:val="30"/>
        </w:rPr>
      </w:pPr>
      <w:r>
        <w:rPr>
          <w:rFonts w:hint="eastAsia" w:ascii="仿宋_GB2312" w:eastAsia="仿宋_GB2312"/>
          <w:b/>
          <w:sz w:val="30"/>
          <w:szCs w:val="30"/>
        </w:rPr>
        <w:t>一是</w:t>
      </w:r>
      <w:r>
        <w:rPr>
          <w:rFonts w:hint="eastAsia" w:ascii="仿宋_GB2312" w:eastAsia="仿宋_GB2312"/>
          <w:sz w:val="30"/>
          <w:szCs w:val="30"/>
        </w:rPr>
        <w:t>全面清除城区卫生死角，确保城市干净整洁，对城区环境卫生死角进行全面排查，并形成常态化管理，不留卫生死角，对城区主要街道的“牛皮癣”进行清除，组织专人对城市“牛皮癣”进行不间断清洗，美化、净化了城市容貌。</w:t>
      </w:r>
      <w:r>
        <w:rPr>
          <w:rFonts w:hint="eastAsia" w:ascii="仿宋_GB2312" w:eastAsia="仿宋_GB2312"/>
          <w:b/>
          <w:sz w:val="30"/>
          <w:szCs w:val="30"/>
        </w:rPr>
        <w:t>二是</w:t>
      </w:r>
      <w:r>
        <w:rPr>
          <w:rFonts w:hint="eastAsia" w:ascii="仿宋_GB2312" w:eastAsia="仿宋_GB2312"/>
          <w:sz w:val="30"/>
          <w:szCs w:val="30"/>
        </w:rPr>
        <w:t>全面清掏城市管网，确保汛期安全，对全县城区内供排水系统进行了全面的检查，对影响安全度汛的市政设施雨箅子、污水检查井、排污沟进行了全面清掏，今年共组织人员对全县污水管网，六条防洪沟清理，清掏雨箅子1501个，沉砂池43处。更换城区内损坏的污水井盖、盖板、雨箅子共计400余张，更换垃圾桶200余个。</w:t>
      </w:r>
    </w:p>
    <w:p>
      <w:pPr>
        <w:spacing w:line="576" w:lineRule="exact"/>
        <w:ind w:firstLine="602" w:firstLineChars="200"/>
        <w:rPr>
          <w:rFonts w:ascii="仿宋_GB2312" w:eastAsia="仿宋_GB2312" w:cs="仿宋_GB2312"/>
          <w:b/>
          <w:sz w:val="30"/>
          <w:szCs w:val="30"/>
        </w:rPr>
      </w:pPr>
      <w:r>
        <w:rPr>
          <w:rFonts w:hint="eastAsia" w:ascii="仿宋_GB2312" w:eastAsia="仿宋_GB2312" w:cs="黑体"/>
          <w:b/>
          <w:sz w:val="30"/>
          <w:szCs w:val="30"/>
        </w:rPr>
        <w:t>4.加强绿化管理工作，逐步改善人居环境</w:t>
      </w:r>
    </w:p>
    <w:p>
      <w:pPr>
        <w:spacing w:line="576" w:lineRule="exact"/>
        <w:ind w:firstLine="602" w:firstLineChars="200"/>
        <w:rPr>
          <w:rFonts w:ascii="仿宋_GB2312" w:eastAsia="仿宋_GB2312"/>
          <w:sz w:val="30"/>
          <w:szCs w:val="30"/>
        </w:rPr>
      </w:pPr>
      <w:r>
        <w:rPr>
          <w:rFonts w:hint="eastAsia" w:ascii="仿宋_GB2312" w:eastAsia="仿宋_GB2312"/>
          <w:b/>
          <w:sz w:val="30"/>
          <w:szCs w:val="30"/>
        </w:rPr>
        <w:t>一是</w:t>
      </w:r>
      <w:r>
        <w:rPr>
          <w:rFonts w:hint="eastAsia" w:ascii="仿宋_GB2312" w:eastAsia="仿宋_GB2312"/>
          <w:sz w:val="30"/>
          <w:szCs w:val="30"/>
        </w:rPr>
        <w:t>抓好春季苗木补植工作，在城区补植了各类乔木710株、球状灌木206个、藤蔓植物7020株、栽植万年青苗24000株，移栽过密绿篱7878余平方米，在绿化带安装水总管总水口，切实解决绿化带浇水难问题。加强预防和治理病虫害，抽调专业技术人员，对城区不同树种及绿化进行了有针对性的施药半年共施药20余吨，病虫害防治6次。</w:t>
      </w:r>
      <w:r>
        <w:rPr>
          <w:rFonts w:hint="eastAsia" w:ascii="仿宋_GB2312" w:eastAsia="仿宋_GB2312"/>
          <w:b/>
          <w:sz w:val="30"/>
          <w:szCs w:val="30"/>
        </w:rPr>
        <w:t>二是</w:t>
      </w:r>
      <w:r>
        <w:rPr>
          <w:rFonts w:hint="eastAsia" w:ascii="仿宋_GB2312" w:eastAsia="仿宋_GB2312"/>
          <w:sz w:val="30"/>
          <w:szCs w:val="30"/>
        </w:rPr>
        <w:t>加强城区生态修复，治理岷江东岸祼露边坡2700余米并对该边坡进行覆土加固，防止滑坡、垮塌等地质灾害发生。</w:t>
      </w:r>
      <w:r>
        <w:rPr>
          <w:rFonts w:hint="eastAsia" w:ascii="仿宋_GB2312" w:eastAsia="仿宋_GB2312"/>
          <w:b/>
          <w:sz w:val="30"/>
          <w:szCs w:val="30"/>
        </w:rPr>
        <w:t>三是</w:t>
      </w:r>
      <w:r>
        <w:rPr>
          <w:rFonts w:hint="eastAsia" w:ascii="仿宋_GB2312" w:eastAsia="仿宋_GB2312"/>
          <w:sz w:val="30"/>
          <w:szCs w:val="30"/>
        </w:rPr>
        <w:t>提高绿化精细化管理水平，督促绿化养护公司对日常绿化养护工作的开展，今年发现安全隐患3处，制作安装安全警示标牌106个，更换、维修休闲椅84把、果皮箱89个。</w:t>
      </w:r>
    </w:p>
    <w:p>
      <w:pPr>
        <w:spacing w:line="576" w:lineRule="exact"/>
        <w:ind w:firstLine="602" w:firstLineChars="200"/>
        <w:rPr>
          <w:rFonts w:ascii="仿宋_GB2312" w:eastAsia="仿宋_GB2312" w:cs="黑体"/>
          <w:b/>
          <w:sz w:val="30"/>
          <w:szCs w:val="30"/>
        </w:rPr>
      </w:pPr>
      <w:r>
        <w:rPr>
          <w:rFonts w:hint="eastAsia" w:ascii="仿宋_GB2312" w:eastAsia="仿宋_GB2312" w:cs="黑体"/>
          <w:b/>
          <w:sz w:val="30"/>
          <w:szCs w:val="30"/>
        </w:rPr>
        <w:t>5.加强城市设施管理，美化城市面貌</w:t>
      </w:r>
    </w:p>
    <w:p>
      <w:pPr>
        <w:spacing w:line="576" w:lineRule="exact"/>
        <w:ind w:firstLine="602" w:firstLineChars="200"/>
        <w:rPr>
          <w:rFonts w:ascii="仿宋_GB2312" w:eastAsia="仿宋_GB2312"/>
          <w:sz w:val="30"/>
          <w:szCs w:val="30"/>
        </w:rPr>
      </w:pPr>
      <w:r>
        <w:rPr>
          <w:rFonts w:hint="eastAsia" w:ascii="仿宋_GB2312" w:eastAsia="仿宋_GB2312"/>
          <w:b/>
          <w:sz w:val="30"/>
          <w:szCs w:val="30"/>
        </w:rPr>
        <w:t>一是</w:t>
      </w:r>
      <w:r>
        <w:rPr>
          <w:rFonts w:hint="eastAsia" w:ascii="仿宋_GB2312" w:eastAsia="仿宋_GB2312"/>
          <w:sz w:val="30"/>
          <w:szCs w:val="30"/>
        </w:rPr>
        <w:t>加强安全隐患排查，确保交通和行人安全，对市政设施进行维修维护安排市政维修工作人员在城区范围内开展了市政基础设施（备）排查工作，对全县市政基础设施进行逐一检查，对损坏的市政设施进行维修，全力确保交通行人安全。2019年为确保做好市政维护工作，我局工作人员对县城内道路设施情况进行全面普查，对破损的路面、井座井盖、路沿石、人行道等设施损坏的数量进行详细的记录。全年维修人行道地板砖200平方米，维修道沿210米，修复混凝土路面500米；修补沥青路面坑槽195平方米；修复步行道112平方米；修复河提石栏320米；新增减速带40米；改造雨水管网138米；改造污水管网50米；改造厕所两座。</w:t>
      </w:r>
    </w:p>
    <w:p>
      <w:pPr>
        <w:spacing w:line="576" w:lineRule="exact"/>
        <w:ind w:firstLine="602" w:firstLineChars="200"/>
        <w:rPr>
          <w:rFonts w:ascii="仿宋_GB2312" w:eastAsia="仿宋_GB2312"/>
          <w:sz w:val="30"/>
          <w:szCs w:val="30"/>
        </w:rPr>
      </w:pPr>
      <w:r>
        <w:rPr>
          <w:rFonts w:hint="eastAsia" w:ascii="仿宋_GB2312" w:eastAsia="仿宋_GB2312"/>
          <w:b/>
          <w:sz w:val="30"/>
          <w:szCs w:val="30"/>
        </w:rPr>
        <w:t>二是</w:t>
      </w:r>
      <w:r>
        <w:rPr>
          <w:rFonts w:hint="eastAsia" w:ascii="仿宋_GB2312" w:eastAsia="仿宋_GB2312"/>
          <w:sz w:val="30"/>
          <w:szCs w:val="30"/>
        </w:rPr>
        <w:t>加强路灯的管理维护，确保路灯亮灯率100%，今年我局着重抓好白天维护和夜间巡查工作，并将巡查区域按照网格划分落实到人，对巡查中发现的问题快速解决，及时排除所有故障，确保市民安全出行。今年受理路灯故障60余次，累计完成抢、维修、140班次，维修路灯2100盏次，更换各类光源电器1800件套，维修电缆60处，更换电缆300余米，为城市建设、经济建设和方便群众工作生活做出了积极的贡献。</w:t>
      </w:r>
    </w:p>
    <w:p>
      <w:pPr>
        <w:spacing w:line="576" w:lineRule="exact"/>
        <w:ind w:firstLine="602" w:firstLineChars="200"/>
        <w:rPr>
          <w:rFonts w:ascii="仿宋_GB2312" w:eastAsia="仿宋_GB2312"/>
          <w:b/>
          <w:sz w:val="30"/>
          <w:szCs w:val="30"/>
        </w:rPr>
      </w:pPr>
      <w:r>
        <w:rPr>
          <w:rFonts w:hint="eastAsia" w:ascii="仿宋_GB2312" w:eastAsia="仿宋_GB2312" w:cs="黑体"/>
          <w:b/>
          <w:sz w:val="30"/>
          <w:szCs w:val="30"/>
        </w:rPr>
        <w:t>6.做好污水处理工作，确保污水处理厂排放达标</w:t>
      </w:r>
    </w:p>
    <w:p>
      <w:pPr>
        <w:spacing w:line="576" w:lineRule="exact"/>
        <w:ind w:firstLine="600" w:firstLineChars="200"/>
        <w:rPr>
          <w:rFonts w:ascii="仿宋_GB2312" w:eastAsia="仿宋_GB2312"/>
          <w:sz w:val="30"/>
          <w:szCs w:val="30"/>
        </w:rPr>
      </w:pPr>
      <w:r>
        <w:rPr>
          <w:rFonts w:hint="eastAsia" w:ascii="仿宋_GB2312" w:eastAsia="仿宋_GB2312"/>
          <w:sz w:val="30"/>
          <w:szCs w:val="30"/>
        </w:rPr>
        <w:t>今年共处理污水95.91万吨，平均每日处理污水0.35万余吨。日常检修水泵、推进器等18台次；出水水质达到《城镇污水处理厂污染物排放标准》（GB18918-2002）1级A标标准。加强对各机组日常巡查与检修，对老旧细格栅进行拆除更换。定期对各机组进行巡查、检修，每天安排专人不定时对所有机组巡查一次，半个月对污水官网巡查一次，设备定期添加机油、黄油。对中控系统、鼓风机进行维修，切实加强在线各项指标监测和安全隐患排查，确保各项数据安全达标排放，确保全年无安全事故发生。</w:t>
      </w:r>
    </w:p>
    <w:p>
      <w:pPr>
        <w:tabs>
          <w:tab w:val="left" w:pos="312"/>
        </w:tabs>
        <w:spacing w:line="576" w:lineRule="exact"/>
        <w:ind w:firstLine="600" w:firstLineChars="200"/>
        <w:rPr>
          <w:rFonts w:ascii="仿宋_GB2312" w:eastAsia="仿宋_GB2312"/>
          <w:b/>
          <w:color w:val="000000"/>
          <w:sz w:val="30"/>
          <w:szCs w:val="30"/>
        </w:rPr>
      </w:pPr>
      <w:r>
        <w:rPr>
          <w:rFonts w:hint="eastAsia" w:ascii="仿宋_GB2312" w:eastAsia="仿宋_GB2312" w:cs="黑体"/>
          <w:sz w:val="30"/>
          <w:szCs w:val="30"/>
        </w:rPr>
        <w:t xml:space="preserve"> </w:t>
      </w:r>
      <w:r>
        <w:rPr>
          <w:rFonts w:hint="eastAsia" w:ascii="仿宋_GB2312" w:eastAsia="仿宋_GB2312" w:cs="黑体"/>
          <w:b/>
          <w:sz w:val="30"/>
          <w:szCs w:val="30"/>
        </w:rPr>
        <w:t>7.加强垃圾无害化处理，确保垃圾填埋场汛期安全</w:t>
      </w:r>
    </w:p>
    <w:p>
      <w:pPr>
        <w:spacing w:line="576" w:lineRule="exact"/>
        <w:ind w:firstLine="600" w:firstLineChars="200"/>
        <w:rPr>
          <w:rFonts w:ascii="仿宋_GB2312" w:eastAsia="仿宋_GB2312"/>
          <w:sz w:val="30"/>
          <w:szCs w:val="30"/>
        </w:rPr>
      </w:pPr>
      <w:r>
        <w:rPr>
          <w:rFonts w:hint="eastAsia" w:ascii="仿宋_GB2312" w:eastAsia="仿宋_GB2312"/>
          <w:sz w:val="30"/>
          <w:szCs w:val="30"/>
        </w:rPr>
        <w:t>今年垃圾场职工进行24小时上班、值班制度，发现解决库区周边乱到垃圾、建渣6起,挡回垃圾35余车。全年垃圾场处理污水1731吨。使用药物3462毫升，应急抢修管网200多米，巡查渗漏液管网15次，巡查库区300多次，抢修道路2次，对库区和中转站安装监控，维修调节池防护栏。</w:t>
      </w:r>
    </w:p>
    <w:p>
      <w:pPr>
        <w:tabs>
          <w:tab w:val="left" w:pos="312"/>
        </w:tabs>
        <w:spacing w:line="576" w:lineRule="exact"/>
        <w:ind w:firstLine="602" w:firstLineChars="200"/>
        <w:rPr>
          <w:rFonts w:ascii="仿宋_GB2312" w:eastAsia="仿宋_GB2312" w:cs="仿宋_GB2312"/>
          <w:b/>
          <w:kern w:val="0"/>
          <w:sz w:val="30"/>
          <w:szCs w:val="30"/>
        </w:rPr>
      </w:pPr>
      <w:r>
        <w:rPr>
          <w:rFonts w:hint="eastAsia" w:ascii="仿宋_GB2312" w:eastAsia="仿宋_GB2312" w:cs="黑体"/>
          <w:b/>
          <w:sz w:val="30"/>
          <w:szCs w:val="30"/>
        </w:rPr>
        <w:t>8.强化宣传引导，引领城市文明新风尚</w:t>
      </w:r>
    </w:p>
    <w:p>
      <w:pPr>
        <w:spacing w:line="576" w:lineRule="exact"/>
        <w:ind w:firstLine="600" w:firstLineChars="200"/>
        <w:rPr>
          <w:rFonts w:ascii="仿宋_GB2312" w:eastAsia="仿宋_GB2312"/>
          <w:sz w:val="30"/>
          <w:szCs w:val="30"/>
        </w:rPr>
      </w:pPr>
      <w:r>
        <w:rPr>
          <w:rFonts w:hint="eastAsia" w:ascii="仿宋_GB2312" w:eastAsia="仿宋_GB2312"/>
          <w:sz w:val="30"/>
          <w:szCs w:val="30"/>
        </w:rPr>
        <w:t>通过在茂县政府网站、县电视台、微信、LED显示屏、城区公示栏发布通告和悬挂宣传横幅标语等多种方式，广泛宣传城市市容市貌执法工作;各片区执法人员走街串巷，向商铺、流动商贩、群众发放宣传单和手册，宣传城市管理的有关知识，引导广大市民、商户、流动摊贩知法、懂法、守法。在县城区发放宣传单3000余份，宣传册《致广大群众的一封告知书》5000余册。积极宣传城市管理法律法规知识，充分调动群众参与城市管理的积极性和主动性，营造社会关心支持城市环境综合整治工作的良好氛围。</w:t>
      </w:r>
    </w:p>
    <w:p>
      <w:pPr>
        <w:spacing w:line="576" w:lineRule="exact"/>
        <w:ind w:firstLine="602" w:firstLineChars="200"/>
        <w:rPr>
          <w:rFonts w:ascii="仿宋_GB2312" w:eastAsia="仿宋_GB2312"/>
          <w:b/>
          <w:sz w:val="30"/>
          <w:szCs w:val="30"/>
        </w:rPr>
      </w:pPr>
      <w:r>
        <w:rPr>
          <w:rFonts w:hint="eastAsia" w:ascii="仿宋_GB2312" w:eastAsia="仿宋_GB2312" w:cs="黑体"/>
          <w:b/>
          <w:sz w:val="30"/>
          <w:szCs w:val="30"/>
        </w:rPr>
        <w:t>9.</w:t>
      </w:r>
      <w:r>
        <w:rPr>
          <w:rFonts w:hint="eastAsia" w:ascii="仿宋_GB2312" w:eastAsia="仿宋_GB2312" w:cs="黑体"/>
          <w:b/>
          <w:kern w:val="0"/>
          <w:sz w:val="30"/>
          <w:szCs w:val="30"/>
        </w:rPr>
        <w:t>严格管理，全面加强班子建设和队伍建设</w:t>
      </w:r>
    </w:p>
    <w:p>
      <w:pPr>
        <w:spacing w:line="576" w:lineRule="exact"/>
        <w:ind w:firstLine="600" w:firstLineChars="200"/>
        <w:rPr>
          <w:rFonts w:ascii="仿宋_GB2312" w:eastAsia="仿宋_GB2312"/>
          <w:sz w:val="30"/>
          <w:szCs w:val="30"/>
        </w:rPr>
      </w:pPr>
      <w:r>
        <w:rPr>
          <w:rFonts w:hint="eastAsia" w:ascii="仿宋_GB2312" w:eastAsia="仿宋_GB2312"/>
          <w:sz w:val="30"/>
          <w:szCs w:val="30"/>
        </w:rPr>
        <w:t>为了进一步加强我局的党风廉政建设，从抓党支部建设入手，不断加强支部建设，着力推进了各项工作，发挥了党支部的战斗堡垒作用，从而提高党员干部素质，有力促进党风廉政建设责任制的落实，推动我局的整体工作开展。</w:t>
      </w:r>
      <w:r>
        <w:rPr>
          <w:rFonts w:hint="eastAsia" w:ascii="仿宋_GB2312" w:eastAsia="仿宋_GB2312"/>
          <w:b/>
          <w:sz w:val="30"/>
          <w:szCs w:val="30"/>
        </w:rPr>
        <w:t>一是</w:t>
      </w:r>
      <w:r>
        <w:rPr>
          <w:rFonts w:hint="eastAsia" w:ascii="仿宋_GB2312" w:eastAsia="仿宋_GB2312"/>
          <w:sz w:val="30"/>
          <w:szCs w:val="30"/>
        </w:rPr>
        <w:t>严格党的组织生活，坚持“三会一课”、民主生活会和组织生活会、谈心谈话等制度，推进党支部建设制度化、规范化。</w:t>
      </w:r>
      <w:r>
        <w:rPr>
          <w:rFonts w:hint="eastAsia" w:ascii="仿宋_GB2312" w:eastAsia="仿宋_GB2312"/>
          <w:b/>
          <w:sz w:val="30"/>
          <w:szCs w:val="30"/>
        </w:rPr>
        <w:t>二是</w:t>
      </w:r>
      <w:r>
        <w:rPr>
          <w:rFonts w:hint="eastAsia" w:ascii="仿宋_GB2312" w:eastAsia="仿宋_GB2312"/>
          <w:sz w:val="30"/>
          <w:szCs w:val="30"/>
        </w:rPr>
        <w:t>狠抓学习，制订具体的学习计划，对学习时间、学习方法、学习形式都进行了规定。坚持每周的学习制度，党支部和办公室组织进行集中学习。</w:t>
      </w:r>
    </w:p>
    <w:p>
      <w:pPr>
        <w:spacing w:line="576" w:lineRule="exact"/>
        <w:ind w:firstLine="602" w:firstLineChars="200"/>
        <w:rPr>
          <w:rFonts w:ascii="仿宋_GB2312" w:eastAsia="仿宋_GB2312" w:cs="黑体"/>
          <w:b/>
          <w:bCs/>
          <w:sz w:val="30"/>
          <w:szCs w:val="30"/>
        </w:rPr>
      </w:pPr>
      <w:r>
        <w:rPr>
          <w:rFonts w:hint="eastAsia" w:ascii="仿宋_GB2312" w:eastAsia="仿宋_GB2312" w:cs="黑体"/>
          <w:b/>
          <w:sz w:val="30"/>
          <w:szCs w:val="30"/>
        </w:rPr>
        <w:t>10.</w:t>
      </w:r>
      <w:r>
        <w:rPr>
          <w:rFonts w:hint="eastAsia" w:ascii="仿宋_GB2312" w:eastAsia="仿宋_GB2312" w:cs="黑体"/>
          <w:b/>
          <w:bCs/>
          <w:sz w:val="30"/>
          <w:szCs w:val="30"/>
        </w:rPr>
        <w:t>推进精准扶贫精准脱贫，确保如期实现脱贫攻坚目标</w:t>
      </w:r>
    </w:p>
    <w:p>
      <w:pPr>
        <w:spacing w:line="576" w:lineRule="exact"/>
        <w:ind w:firstLine="600" w:firstLineChars="200"/>
        <w:rPr>
          <w:rFonts w:ascii="仿宋_GB2312" w:eastAsia="仿宋_GB2312"/>
          <w:sz w:val="30"/>
          <w:szCs w:val="30"/>
        </w:rPr>
      </w:pPr>
      <w:r>
        <w:rPr>
          <w:rFonts w:hint="eastAsia" w:ascii="仿宋_GB2312" w:eastAsia="仿宋_GB2312"/>
          <w:sz w:val="30"/>
          <w:szCs w:val="30"/>
        </w:rPr>
        <w:t>今年,我局认真按照县脱贫领导小组的相关要求，一方面帮助联系村理清了发展思路，制定出了切实可行的改善贫困人口生产和生活条件的计划和措施。另一方面多次开展走访贫困户，通过面对面交谈、心贴心交流，充分对贫困家庭的调查摸底后进行分类，按照致贫原因不同，分别对待，对症下药,给结对帮扶对象指明发展方向</w:t>
      </w:r>
    </w:p>
    <w:p>
      <w:pPr>
        <w:numPr>
          <w:ilvl w:val="0"/>
          <w:numId w:val="1"/>
        </w:numPr>
        <w:spacing w:line="576" w:lineRule="exact"/>
        <w:ind w:left="0" w:firstLine="600" w:firstLineChars="200"/>
        <w:rPr>
          <w:rStyle w:val="19"/>
          <w:rFonts w:ascii="黑体" w:eastAsia="黑体"/>
          <w:b w:val="0"/>
          <w:bCs w:val="0"/>
          <w:sz w:val="30"/>
          <w:szCs w:val="30"/>
        </w:rPr>
      </w:pPr>
      <w:r>
        <w:rPr>
          <w:rFonts w:hint="eastAsia" w:ascii="黑体" w:eastAsia="黑体"/>
          <w:color w:val="000000"/>
          <w:sz w:val="30"/>
          <w:szCs w:val="30"/>
        </w:rPr>
        <w:t>机</w:t>
      </w:r>
      <w:r>
        <w:rPr>
          <w:rStyle w:val="19"/>
          <w:rFonts w:hint="eastAsia" w:ascii="黑体" w:eastAsia="黑体"/>
          <w:b w:val="0"/>
          <w:bCs w:val="0"/>
          <w:sz w:val="30"/>
          <w:szCs w:val="30"/>
        </w:rPr>
        <w:t>构设置</w:t>
      </w:r>
      <w:bookmarkEnd w:id="20"/>
      <w:bookmarkEnd w:id="21"/>
    </w:p>
    <w:p>
      <w:pPr>
        <w:spacing w:line="576"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茂县城市管理局属一级预算单位。</w:t>
      </w: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rPr>
          <w:rFonts w:ascii="黑体" w:eastAsia="黑体"/>
          <w:color w:val="000000"/>
        </w:rPr>
      </w:pPr>
    </w:p>
    <w:p>
      <w:pPr>
        <w:pStyle w:val="2"/>
        <w:ind w:right="440"/>
        <w:jc w:val="right"/>
      </w:pPr>
      <w:r>
        <w:rPr>
          <w:rFonts w:hint="eastAsia" w:ascii="黑体" w:eastAsia="黑体"/>
          <w:b w:val="0"/>
          <w:color w:val="000000"/>
        </w:rPr>
        <w:t>第二部分</w:t>
      </w:r>
      <w:r>
        <w:rPr>
          <w:rFonts w:hint="eastAsia" w:ascii="黑体" w:eastAsia="黑体"/>
          <w:color w:val="000000"/>
        </w:rPr>
        <w:t xml:space="preserve"> </w:t>
      </w:r>
      <w:r>
        <w:rPr>
          <w:rStyle w:val="18"/>
          <w:rFonts w:hint="eastAsia" w:ascii="黑体" w:eastAsia="黑体"/>
          <w:b w:val="0"/>
          <w:bCs w:val="0"/>
        </w:rPr>
        <w:t>2019年度部门决算情况说明</w:t>
      </w:r>
      <w:bookmarkEnd w:id="14"/>
      <w:bookmarkEnd w:id="15"/>
    </w:p>
    <w:p>
      <w:pPr>
        <w:pStyle w:val="24"/>
        <w:numPr>
          <w:ilvl w:val="0"/>
          <w:numId w:val="2"/>
        </w:numPr>
        <w:spacing w:line="600" w:lineRule="exact"/>
        <w:ind w:firstLineChars="0"/>
        <w:outlineLvl w:val="1"/>
        <w:rPr>
          <w:rStyle w:val="19"/>
          <w:rFonts w:ascii="黑体" w:eastAsia="黑体"/>
          <w:b w:val="0"/>
        </w:rPr>
      </w:pPr>
      <w:bookmarkStart w:id="22" w:name="_Toc15396603"/>
      <w:bookmarkStart w:id="23" w:name="_Toc15377205"/>
      <w:r>
        <w:rPr>
          <w:rFonts w:hint="eastAsia" w:ascii="黑体" w:eastAsia="黑体"/>
          <w:color w:val="000000"/>
          <w:sz w:val="32"/>
          <w:szCs w:val="32"/>
        </w:rPr>
        <w:t>收</w:t>
      </w:r>
      <w:r>
        <w:rPr>
          <w:rStyle w:val="19"/>
          <w:rFonts w:hint="eastAsia" w:ascii="黑体" w:eastAsia="黑体"/>
          <w:b w:val="0"/>
        </w:rPr>
        <w:t>入支出决算总体情况说明</w:t>
      </w:r>
      <w:bookmarkEnd w:id="22"/>
      <w:bookmarkEnd w:id="23"/>
    </w:p>
    <w:p>
      <w:pPr>
        <w:spacing w:line="576" w:lineRule="exact"/>
        <w:ind w:firstLine="1134"/>
        <w:rPr>
          <w:rStyle w:val="19"/>
          <w:rFonts w:ascii="黑体" w:eastAsia="黑体"/>
          <w:b w:val="0"/>
        </w:rPr>
      </w:pPr>
      <w:r>
        <w:rPr>
          <w:rFonts w:hint="eastAsia" w:ascii="仿宋" w:eastAsia="仿宋"/>
          <w:color w:val="000000"/>
          <w:sz w:val="32"/>
          <w:szCs w:val="32"/>
        </w:rPr>
        <w:t>2019年度收支总计6774.12万元。与2018年相比，收入总计增加5597.61万元；增</w:t>
      </w:r>
      <w:r>
        <w:rPr>
          <w:rFonts w:hint="eastAsia" w:ascii="仿宋" w:eastAsia="仿宋"/>
          <w:sz w:val="32"/>
          <w:szCs w:val="32"/>
        </w:rPr>
        <w:t>长82</w:t>
      </w:r>
      <w:r>
        <w:rPr>
          <w:rFonts w:ascii="仿宋" w:eastAsia="仿宋"/>
          <w:sz w:val="32"/>
          <w:szCs w:val="32"/>
        </w:rPr>
        <w:t>%</w:t>
      </w:r>
      <w:r>
        <w:rPr>
          <w:rFonts w:hint="eastAsia" w:ascii="仿宋" w:eastAsia="仿宋"/>
          <w:sz w:val="32"/>
          <w:szCs w:val="32"/>
        </w:rPr>
        <w:t>。主要变动原因是项目资金数量增加。</w:t>
      </w:r>
    </w:p>
    <w:p>
      <w:pPr>
        <w:spacing w:line="600" w:lineRule="exact"/>
        <w:ind w:firstLine="420" w:firstLineChars="200"/>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313690</wp:posOffset>
            </wp:positionH>
            <wp:positionV relativeFrom="paragraph">
              <wp:posOffset>87630</wp:posOffset>
            </wp:positionV>
            <wp:extent cx="4951095" cy="2737485"/>
            <wp:effectExtent l="0" t="0" r="19" b="42"/>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4"/>
        <w:spacing w:line="600" w:lineRule="exact"/>
        <w:ind w:firstLine="0" w:firstLineChars="0"/>
        <w:outlineLvl w:val="1"/>
        <w:rPr>
          <w:rStyle w:val="19"/>
          <w:rFonts w:ascii="黑体" w:eastAsia="黑体"/>
          <w:b w:val="0"/>
        </w:rPr>
      </w:pPr>
      <w:bookmarkStart w:id="24" w:name="_Toc15377206"/>
      <w:bookmarkStart w:id="25" w:name="_Toc15396604"/>
    </w:p>
    <w:p>
      <w:pPr>
        <w:pStyle w:val="24"/>
        <w:spacing w:line="600" w:lineRule="exact"/>
        <w:ind w:firstLine="0" w:firstLineChars="0"/>
        <w:outlineLvl w:val="1"/>
        <w:rPr>
          <w:rStyle w:val="19"/>
          <w:rFonts w:ascii="黑体" w:eastAsia="黑体"/>
          <w:b w:val="0"/>
        </w:rPr>
      </w:pPr>
    </w:p>
    <w:p>
      <w:pPr>
        <w:pStyle w:val="24"/>
        <w:spacing w:line="600" w:lineRule="exact"/>
        <w:ind w:firstLine="0" w:firstLineChars="0"/>
        <w:outlineLvl w:val="1"/>
        <w:rPr>
          <w:rStyle w:val="19"/>
          <w:rFonts w:ascii="黑体" w:eastAsia="黑体"/>
          <w:b w:val="0"/>
        </w:rPr>
      </w:pPr>
    </w:p>
    <w:p>
      <w:pPr>
        <w:pStyle w:val="24"/>
        <w:spacing w:line="600" w:lineRule="exact"/>
        <w:ind w:firstLine="0" w:firstLineChars="0"/>
        <w:outlineLvl w:val="1"/>
        <w:rPr>
          <w:rStyle w:val="19"/>
          <w:rFonts w:ascii="黑体" w:eastAsia="黑体"/>
          <w:b w:val="0"/>
        </w:rPr>
      </w:pPr>
    </w:p>
    <w:p>
      <w:pPr>
        <w:pStyle w:val="24"/>
        <w:spacing w:line="600" w:lineRule="exact"/>
        <w:ind w:firstLine="0" w:firstLineChars="0"/>
        <w:outlineLvl w:val="1"/>
        <w:rPr>
          <w:rStyle w:val="19"/>
          <w:rFonts w:ascii="黑体" w:eastAsia="黑体"/>
          <w:b w:val="0"/>
        </w:rPr>
      </w:pPr>
    </w:p>
    <w:p>
      <w:pPr>
        <w:pStyle w:val="24"/>
        <w:spacing w:line="600" w:lineRule="exact"/>
        <w:ind w:firstLine="0" w:firstLineChars="0"/>
        <w:outlineLvl w:val="1"/>
        <w:rPr>
          <w:rStyle w:val="19"/>
          <w:rFonts w:ascii="黑体" w:eastAsia="黑体"/>
          <w:b w:val="0"/>
        </w:rPr>
      </w:pPr>
    </w:p>
    <w:p>
      <w:pPr>
        <w:pStyle w:val="24"/>
        <w:spacing w:line="600" w:lineRule="exact"/>
        <w:ind w:firstLine="0" w:firstLineChars="0"/>
        <w:outlineLvl w:val="1"/>
        <w:rPr>
          <w:rStyle w:val="19"/>
          <w:rFonts w:ascii="黑体" w:eastAsia="黑体"/>
          <w:b w:val="0"/>
        </w:rPr>
      </w:pPr>
    </w:p>
    <w:p>
      <w:pPr>
        <w:pStyle w:val="24"/>
        <w:spacing w:line="600" w:lineRule="exact"/>
        <w:outlineLvl w:val="1"/>
        <w:rPr>
          <w:rStyle w:val="19"/>
          <w:rFonts w:ascii="黑体" w:eastAsia="黑体"/>
          <w:b w:val="0"/>
        </w:rPr>
      </w:pPr>
      <w:r>
        <w:rPr>
          <w:rStyle w:val="19"/>
          <w:rFonts w:hint="eastAsia" w:ascii="黑体" w:eastAsia="黑体"/>
          <w:b w:val="0"/>
        </w:rPr>
        <w:t>二、</w:t>
      </w:r>
      <w:r>
        <w:rPr>
          <w:rFonts w:hint="eastAsia" w:ascii="黑体" w:eastAsia="黑体"/>
          <w:color w:val="000000"/>
          <w:sz w:val="32"/>
          <w:szCs w:val="32"/>
        </w:rPr>
        <w:t>收</w:t>
      </w:r>
      <w:r>
        <w:rPr>
          <w:rStyle w:val="19"/>
          <w:rFonts w:hint="eastAsia" w:ascii="黑体" w:eastAsia="黑体"/>
          <w:b w:val="0"/>
        </w:rPr>
        <w:t>入决算情况说明</w:t>
      </w:r>
      <w:bookmarkEnd w:id="24"/>
      <w:bookmarkEnd w:id="25"/>
    </w:p>
    <w:p>
      <w:pPr>
        <w:spacing w:line="576" w:lineRule="exact"/>
        <w:ind w:firstLine="640" w:firstLineChars="200"/>
        <w:outlineLvl w:val="1"/>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 xml:space="preserve">9年本年收入合计6692.69万元，其中：一般公共预算财政拨款收入1692.74万元，占 25.29 </w:t>
      </w:r>
      <w:r>
        <w:rPr>
          <w:rFonts w:ascii="仿宋" w:eastAsia="仿宋"/>
          <w:color w:val="000000"/>
          <w:sz w:val="32"/>
          <w:szCs w:val="32"/>
        </w:rPr>
        <w:t>%</w:t>
      </w:r>
      <w:r>
        <w:rPr>
          <w:rFonts w:hint="eastAsia" w:ascii="仿宋" w:eastAsia="仿宋"/>
          <w:color w:val="000000"/>
          <w:sz w:val="32"/>
          <w:szCs w:val="32"/>
        </w:rPr>
        <w:t xml:space="preserve">；政府性基金预算财政拨款收入4999.95万元，占 74.7 </w:t>
      </w:r>
      <w:r>
        <w:rPr>
          <w:rFonts w:ascii="仿宋" w:eastAsia="仿宋"/>
          <w:color w:val="000000"/>
          <w:sz w:val="32"/>
          <w:szCs w:val="32"/>
        </w:rPr>
        <w:t>%</w:t>
      </w:r>
      <w:r>
        <w:rPr>
          <w:rFonts w:hint="eastAsia" w:ascii="仿宋" w:eastAsia="仿宋"/>
          <w:color w:val="000000"/>
          <w:sz w:val="32"/>
          <w:szCs w:val="32"/>
        </w:rPr>
        <w:t xml:space="preserve">；上级补助收入 0 万元，占 0 </w:t>
      </w:r>
      <w:r>
        <w:rPr>
          <w:rFonts w:ascii="仿宋" w:eastAsia="仿宋"/>
          <w:color w:val="000000"/>
          <w:sz w:val="32"/>
          <w:szCs w:val="32"/>
        </w:rPr>
        <w:t>%</w:t>
      </w:r>
      <w:r>
        <w:rPr>
          <w:rFonts w:hint="eastAsia" w:ascii="仿宋" w:eastAsia="仿宋"/>
          <w:color w:val="000000"/>
          <w:sz w:val="32"/>
          <w:szCs w:val="32"/>
        </w:rPr>
        <w:t xml:space="preserve">；事业收入 0 万元，占 0 </w:t>
      </w:r>
      <w:r>
        <w:rPr>
          <w:rFonts w:ascii="仿宋" w:eastAsia="仿宋"/>
          <w:color w:val="000000"/>
          <w:sz w:val="32"/>
          <w:szCs w:val="32"/>
        </w:rPr>
        <w:t>%</w:t>
      </w:r>
      <w:r>
        <w:rPr>
          <w:rFonts w:hint="eastAsia" w:ascii="仿宋" w:eastAsia="仿宋"/>
          <w:color w:val="000000"/>
          <w:sz w:val="32"/>
          <w:szCs w:val="32"/>
        </w:rPr>
        <w:t>；经营收入0万元，占0</w:t>
      </w:r>
      <w:r>
        <w:rPr>
          <w:rFonts w:ascii="仿宋" w:eastAsia="仿宋"/>
          <w:color w:val="000000"/>
          <w:sz w:val="32"/>
          <w:szCs w:val="32"/>
        </w:rPr>
        <w:t>%</w:t>
      </w:r>
      <w:r>
        <w:rPr>
          <w:rFonts w:hint="eastAsia" w:ascii="仿宋" w:eastAsia="仿宋"/>
          <w:color w:val="000000"/>
          <w:sz w:val="32"/>
          <w:szCs w:val="32"/>
        </w:rPr>
        <w:t>；附属单位上缴收入0万元，占0</w:t>
      </w:r>
      <w:r>
        <w:rPr>
          <w:rFonts w:ascii="仿宋" w:eastAsia="仿宋"/>
          <w:color w:val="000000"/>
          <w:sz w:val="32"/>
          <w:szCs w:val="32"/>
        </w:rPr>
        <w:t>%</w:t>
      </w:r>
      <w:r>
        <w:rPr>
          <w:rFonts w:hint="eastAsia" w:ascii="仿宋" w:eastAsia="仿宋"/>
          <w:color w:val="000000"/>
          <w:sz w:val="32"/>
          <w:szCs w:val="32"/>
        </w:rPr>
        <w:t>；其他收入0万元，占0</w:t>
      </w:r>
      <w:r>
        <w:rPr>
          <w:rFonts w:ascii="仿宋" w:eastAsia="仿宋"/>
          <w:color w:val="000000"/>
          <w:sz w:val="32"/>
          <w:szCs w:val="32"/>
        </w:rPr>
        <w:t>%</w:t>
      </w:r>
      <w:r>
        <w:rPr>
          <w:rFonts w:hint="eastAsia" w:ascii="仿宋" w:eastAsia="仿宋"/>
          <w:color w:val="000000"/>
          <w:sz w:val="32"/>
          <w:szCs w:val="32"/>
        </w:rPr>
        <w:t>。</w:t>
      </w:r>
    </w:p>
    <w:p>
      <w:pPr>
        <w:spacing w:line="576"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2310" w:firstLineChars="1100"/>
        <w:outlineLvl w:val="1"/>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394970</wp:posOffset>
            </wp:positionH>
            <wp:positionV relativeFrom="paragraph">
              <wp:posOffset>705485</wp:posOffset>
            </wp:positionV>
            <wp:extent cx="4874895" cy="3550920"/>
            <wp:effectExtent l="0" t="0" r="21" b="41"/>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eastAsia="仿宋"/>
          <w:color w:val="000000"/>
          <w:sz w:val="32"/>
          <w:szCs w:val="32"/>
        </w:rPr>
        <w:t>图2：收入决算结构图</w:t>
      </w: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pStyle w:val="24"/>
        <w:spacing w:line="600" w:lineRule="exact"/>
        <w:ind w:left="640" w:firstLine="0" w:firstLineChars="0"/>
        <w:outlineLvl w:val="1"/>
        <w:rPr>
          <w:rFonts w:ascii="黑体" w:eastAsia="黑体"/>
          <w:color w:val="000000"/>
          <w:sz w:val="32"/>
          <w:szCs w:val="32"/>
        </w:rPr>
      </w:pPr>
      <w:bookmarkStart w:id="26" w:name="_Toc15396605"/>
      <w:bookmarkStart w:id="27" w:name="_Toc15377207"/>
    </w:p>
    <w:p>
      <w:pPr>
        <w:pStyle w:val="24"/>
        <w:spacing w:line="600" w:lineRule="exact"/>
        <w:ind w:left="640" w:firstLine="0" w:firstLineChars="0"/>
        <w:outlineLvl w:val="1"/>
        <w:rPr>
          <w:rFonts w:ascii="黑体" w:eastAsia="黑体"/>
          <w:color w:val="000000"/>
          <w:sz w:val="32"/>
          <w:szCs w:val="32"/>
        </w:rPr>
      </w:pPr>
    </w:p>
    <w:p>
      <w:pPr>
        <w:pStyle w:val="24"/>
        <w:spacing w:line="600" w:lineRule="exact"/>
        <w:ind w:left="640" w:firstLine="0" w:firstLineChars="0"/>
        <w:outlineLvl w:val="1"/>
        <w:rPr>
          <w:rFonts w:ascii="黑体" w:eastAsia="黑体"/>
          <w:color w:val="000000"/>
          <w:sz w:val="32"/>
          <w:szCs w:val="32"/>
        </w:rPr>
      </w:pPr>
    </w:p>
    <w:p>
      <w:pPr>
        <w:pStyle w:val="24"/>
        <w:spacing w:line="600" w:lineRule="exact"/>
        <w:ind w:left="640" w:firstLine="0" w:firstLineChars="0"/>
        <w:outlineLvl w:val="1"/>
        <w:rPr>
          <w:rFonts w:ascii="黑体" w:eastAsia="黑体"/>
          <w:color w:val="000000"/>
          <w:sz w:val="32"/>
          <w:szCs w:val="32"/>
        </w:rPr>
      </w:pPr>
    </w:p>
    <w:p>
      <w:pPr>
        <w:pStyle w:val="24"/>
        <w:spacing w:line="600" w:lineRule="exact"/>
        <w:ind w:left="640" w:firstLine="0" w:firstLineChars="0"/>
        <w:outlineLvl w:val="1"/>
        <w:rPr>
          <w:rFonts w:ascii="黑体" w:eastAsia="黑体"/>
          <w:color w:val="000000"/>
          <w:sz w:val="32"/>
          <w:szCs w:val="32"/>
        </w:rPr>
      </w:pPr>
    </w:p>
    <w:p>
      <w:pPr>
        <w:pStyle w:val="24"/>
        <w:spacing w:line="600" w:lineRule="exact"/>
        <w:ind w:left="640" w:firstLine="0" w:firstLineChars="0"/>
        <w:outlineLvl w:val="1"/>
        <w:rPr>
          <w:rFonts w:ascii="黑体" w:eastAsia="黑体"/>
          <w:color w:val="000000"/>
          <w:sz w:val="32"/>
          <w:szCs w:val="32"/>
        </w:rPr>
      </w:pPr>
    </w:p>
    <w:p>
      <w:pPr>
        <w:pStyle w:val="24"/>
        <w:spacing w:line="600" w:lineRule="exact"/>
        <w:ind w:left="640" w:firstLine="0" w:firstLineChars="0"/>
        <w:outlineLvl w:val="1"/>
        <w:rPr>
          <w:rStyle w:val="19"/>
          <w:rFonts w:ascii="黑体" w:eastAsia="黑体"/>
          <w:b w:val="0"/>
        </w:rPr>
      </w:pPr>
      <w:r>
        <w:rPr>
          <w:rFonts w:hint="eastAsia" w:ascii="黑体" w:eastAsia="黑体"/>
          <w:color w:val="000000"/>
          <w:sz w:val="32"/>
          <w:szCs w:val="32"/>
        </w:rPr>
        <w:t>三、支</w:t>
      </w:r>
      <w:r>
        <w:rPr>
          <w:rStyle w:val="19"/>
          <w:rFonts w:hint="eastAsia" w:ascii="黑体" w:eastAsia="黑体"/>
          <w:b w:val="0"/>
        </w:rPr>
        <w:t>出决算情况说明</w:t>
      </w:r>
      <w:bookmarkEnd w:id="26"/>
      <w:bookmarkEnd w:id="27"/>
    </w:p>
    <w:p>
      <w:pPr>
        <w:spacing w:line="600"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 xml:space="preserve">9年本年支出合计5686.98万元，其中：基本支出589.49万元，占 10.37 </w:t>
      </w:r>
      <w:r>
        <w:rPr>
          <w:rFonts w:ascii="仿宋" w:eastAsia="仿宋"/>
          <w:color w:val="000000"/>
          <w:sz w:val="32"/>
          <w:szCs w:val="32"/>
        </w:rPr>
        <w:t>%</w:t>
      </w:r>
      <w:r>
        <w:rPr>
          <w:rFonts w:hint="eastAsia" w:ascii="仿宋" w:eastAsia="仿宋"/>
          <w:color w:val="000000"/>
          <w:sz w:val="32"/>
          <w:szCs w:val="32"/>
        </w:rPr>
        <w:t xml:space="preserve">；项目支出5097.48万元，占 89.63 </w:t>
      </w:r>
      <w:r>
        <w:rPr>
          <w:rFonts w:ascii="仿宋" w:eastAsia="仿宋"/>
          <w:color w:val="000000"/>
          <w:sz w:val="32"/>
          <w:szCs w:val="32"/>
        </w:rPr>
        <w:t>%</w:t>
      </w:r>
      <w:r>
        <w:rPr>
          <w:rFonts w:hint="eastAsia" w:ascii="仿宋" w:eastAsia="仿宋"/>
          <w:color w:val="000000"/>
          <w:sz w:val="32"/>
          <w:szCs w:val="32"/>
        </w:rPr>
        <w:t>。</w:t>
      </w:r>
    </w:p>
    <w:p>
      <w:pPr>
        <w:spacing w:line="600" w:lineRule="exact"/>
        <w:ind w:firstLine="2240" w:firstLineChars="700"/>
        <w:rPr>
          <w:rFonts w:ascii="仿宋" w:eastAsia="仿宋"/>
          <w:color w:val="000000"/>
          <w:sz w:val="32"/>
          <w:szCs w:val="32"/>
        </w:rPr>
      </w:pPr>
      <w:r>
        <w:rPr>
          <w:rFonts w:hint="eastAsia" w:ascii="仿宋" w:eastAsia="仿宋"/>
          <w:color w:val="000000"/>
          <w:sz w:val="32"/>
          <w:szCs w:val="32"/>
        </w:rPr>
        <w:t>图3：支出决算结构图</w:t>
      </w:r>
    </w:p>
    <w:p>
      <w:pPr>
        <w:spacing w:line="600" w:lineRule="exact"/>
        <w:ind w:firstLine="420" w:firstLineChars="200"/>
        <w:outlineLvl w:val="1"/>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356870</wp:posOffset>
            </wp:positionH>
            <wp:positionV relativeFrom="paragraph">
              <wp:posOffset>120015</wp:posOffset>
            </wp:positionV>
            <wp:extent cx="4885055" cy="2846070"/>
            <wp:effectExtent l="0" t="0" r="42" b="44"/>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ind w:firstLine="640" w:firstLineChars="200"/>
        <w:outlineLvl w:val="1"/>
        <w:rPr>
          <w:rFonts w:ascii="仿宋" w:eastAsia="仿宋"/>
          <w:color w:val="000000"/>
          <w:sz w:val="32"/>
          <w:szCs w:val="32"/>
        </w:rPr>
      </w:pPr>
    </w:p>
    <w:p>
      <w:pPr>
        <w:spacing w:line="600" w:lineRule="exact"/>
        <w:outlineLvl w:val="1"/>
        <w:rPr>
          <w:rFonts w:ascii="黑体" w:eastAsia="黑体"/>
          <w:color w:val="000000"/>
          <w:sz w:val="32"/>
          <w:szCs w:val="32"/>
        </w:rPr>
      </w:pPr>
      <w:bookmarkStart w:id="28" w:name="_Toc15396606"/>
      <w:bookmarkStart w:id="29" w:name="_Toc15377208"/>
    </w:p>
    <w:p>
      <w:pPr>
        <w:spacing w:line="600" w:lineRule="exact"/>
        <w:ind w:firstLine="640" w:firstLineChars="200"/>
        <w:outlineLvl w:val="1"/>
        <w:rPr>
          <w:rStyle w:val="19"/>
          <w:rFonts w:ascii="黑体" w:eastAsia="黑体"/>
          <w:b w:val="0"/>
        </w:rPr>
      </w:pPr>
      <w:r>
        <w:rPr>
          <w:rFonts w:hint="eastAsia" w:ascii="黑体" w:eastAsia="黑体"/>
          <w:color w:val="000000"/>
          <w:sz w:val="32"/>
          <w:szCs w:val="32"/>
        </w:rPr>
        <w:t>四、财</w:t>
      </w:r>
      <w:r>
        <w:rPr>
          <w:rStyle w:val="19"/>
          <w:rFonts w:hint="eastAsia" w:ascii="黑体" w:eastAsia="黑体"/>
          <w:b w:val="0"/>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olor w:val="auto"/>
          <w:sz w:val="32"/>
          <w:szCs w:val="32"/>
          <w:lang w:eastAsia="zh-CN"/>
        </w:rPr>
      </w:pPr>
      <w:r>
        <w:rPr>
          <w:rFonts w:ascii="仿宋" w:eastAsia="仿宋"/>
          <w:color w:val="auto"/>
          <w:sz w:val="32"/>
          <w:szCs w:val="32"/>
        </w:rPr>
        <w:t>201</w:t>
      </w:r>
      <w:r>
        <w:rPr>
          <w:rFonts w:hint="eastAsia" w:ascii="仿宋" w:eastAsia="仿宋"/>
          <w:color w:val="auto"/>
          <w:sz w:val="32"/>
          <w:szCs w:val="32"/>
        </w:rPr>
        <w:t>9年财政拨款收</w:t>
      </w:r>
      <w:r>
        <w:rPr>
          <w:rFonts w:hint="eastAsia" w:ascii="仿宋" w:eastAsia="仿宋"/>
          <w:color w:val="auto"/>
          <w:sz w:val="32"/>
          <w:szCs w:val="32"/>
          <w:lang w:eastAsia="zh-CN"/>
        </w:rPr>
        <w:t>入总计</w:t>
      </w:r>
      <w:r>
        <w:rPr>
          <w:rFonts w:hint="eastAsia" w:ascii="仿宋" w:eastAsia="仿宋"/>
          <w:color w:val="auto"/>
          <w:sz w:val="32"/>
          <w:szCs w:val="32"/>
          <w:lang w:val="en-US" w:eastAsia="zh-CN"/>
        </w:rPr>
        <w:t>6774.12</w:t>
      </w:r>
      <w:r>
        <w:rPr>
          <w:rFonts w:hint="eastAsia" w:ascii="仿宋" w:eastAsia="仿宋"/>
          <w:color w:val="auto"/>
          <w:sz w:val="32"/>
          <w:szCs w:val="32"/>
        </w:rPr>
        <w:t>万元。与</w:t>
      </w:r>
      <w:r>
        <w:rPr>
          <w:rFonts w:ascii="仿宋" w:eastAsia="仿宋"/>
          <w:color w:val="auto"/>
          <w:sz w:val="32"/>
          <w:szCs w:val="32"/>
        </w:rPr>
        <w:t>201</w:t>
      </w:r>
      <w:r>
        <w:rPr>
          <w:rFonts w:hint="eastAsia" w:ascii="仿宋" w:eastAsia="仿宋"/>
          <w:color w:val="auto"/>
          <w:sz w:val="32"/>
          <w:szCs w:val="32"/>
        </w:rPr>
        <w:t>8</w:t>
      </w:r>
      <w:r>
        <w:rPr>
          <w:rFonts w:hint="eastAsia" w:ascii="仿宋" w:eastAsia="仿宋"/>
          <w:color w:val="auto"/>
          <w:sz w:val="32"/>
          <w:szCs w:val="32"/>
          <w:lang w:eastAsia="zh-CN"/>
        </w:rPr>
        <w:t>年收入</w:t>
      </w:r>
      <w:r>
        <w:rPr>
          <w:rFonts w:hint="eastAsia" w:ascii="仿宋" w:eastAsia="仿宋"/>
          <w:color w:val="auto"/>
          <w:sz w:val="32"/>
          <w:szCs w:val="32"/>
        </w:rPr>
        <w:t>相比，财政拨款收</w:t>
      </w:r>
      <w:r>
        <w:rPr>
          <w:rFonts w:hint="eastAsia" w:ascii="仿宋" w:eastAsia="仿宋"/>
          <w:color w:val="auto"/>
          <w:sz w:val="32"/>
          <w:szCs w:val="32"/>
          <w:lang w:eastAsia="zh-CN"/>
        </w:rPr>
        <w:t>入</w:t>
      </w:r>
      <w:r>
        <w:rPr>
          <w:rFonts w:hint="eastAsia" w:ascii="仿宋" w:eastAsia="仿宋"/>
          <w:color w:val="auto"/>
          <w:sz w:val="32"/>
          <w:szCs w:val="32"/>
        </w:rPr>
        <w:t>增加</w:t>
      </w:r>
      <w:r>
        <w:rPr>
          <w:rFonts w:hint="eastAsia" w:ascii="仿宋" w:eastAsia="仿宋"/>
          <w:color w:val="auto"/>
          <w:sz w:val="32"/>
          <w:szCs w:val="32"/>
          <w:lang w:val="en-US" w:eastAsia="zh-CN"/>
        </w:rPr>
        <w:t>5597.61</w:t>
      </w:r>
      <w:r>
        <w:rPr>
          <w:rFonts w:hint="eastAsia" w:ascii="仿宋" w:eastAsia="仿宋"/>
          <w:color w:val="auto"/>
          <w:sz w:val="32"/>
          <w:szCs w:val="32"/>
        </w:rPr>
        <w:t>万元，增长</w:t>
      </w:r>
      <w:r>
        <w:rPr>
          <w:rFonts w:hint="eastAsia" w:ascii="仿宋" w:eastAsia="仿宋"/>
          <w:color w:val="auto"/>
          <w:sz w:val="32"/>
          <w:szCs w:val="32"/>
          <w:lang w:val="en-US" w:eastAsia="zh-CN"/>
        </w:rPr>
        <w:t>82.63</w:t>
      </w:r>
      <w:r>
        <w:rPr>
          <w:rFonts w:ascii="仿宋" w:eastAsia="仿宋"/>
          <w:color w:val="auto"/>
          <w:sz w:val="32"/>
          <w:szCs w:val="32"/>
        </w:rPr>
        <w:t>%</w:t>
      </w:r>
      <w:r>
        <w:rPr>
          <w:rFonts w:hint="eastAsia" w:ascii="仿宋" w:eastAsia="仿宋"/>
          <w:color w:val="auto"/>
          <w:sz w:val="32"/>
          <w:szCs w:val="32"/>
        </w:rPr>
        <w:t>。主要变动原因是</w:t>
      </w:r>
      <w:r>
        <w:rPr>
          <w:rFonts w:hint="eastAsia" w:ascii="仿宋" w:eastAsia="仿宋"/>
          <w:color w:val="auto"/>
          <w:sz w:val="32"/>
          <w:szCs w:val="32"/>
          <w:lang w:eastAsia="zh-CN"/>
        </w:rPr>
        <w:t>项目资金数量增加。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olor w:val="auto"/>
          <w:sz w:val="32"/>
          <w:szCs w:val="32"/>
          <w:lang w:eastAsia="zh-CN"/>
        </w:rPr>
      </w:pPr>
      <w:r>
        <w:rPr>
          <w:rFonts w:ascii="仿宋" w:eastAsia="仿宋"/>
          <w:color w:val="auto"/>
          <w:sz w:val="32"/>
          <w:szCs w:val="32"/>
        </w:rPr>
        <w:t>201</w:t>
      </w:r>
      <w:r>
        <w:rPr>
          <w:rFonts w:hint="eastAsia" w:ascii="仿宋" w:eastAsia="仿宋"/>
          <w:color w:val="auto"/>
          <w:sz w:val="32"/>
          <w:szCs w:val="32"/>
        </w:rPr>
        <w:t>9年财政拨款</w:t>
      </w:r>
      <w:r>
        <w:rPr>
          <w:rFonts w:hint="eastAsia" w:ascii="仿宋" w:eastAsia="仿宋"/>
          <w:color w:val="auto"/>
          <w:sz w:val="32"/>
          <w:szCs w:val="32"/>
          <w:lang w:eastAsia="zh-CN"/>
        </w:rPr>
        <w:t>支出总计</w:t>
      </w:r>
      <w:r>
        <w:rPr>
          <w:rFonts w:hint="eastAsia" w:ascii="仿宋" w:eastAsia="仿宋"/>
          <w:color w:val="auto"/>
          <w:sz w:val="32"/>
          <w:szCs w:val="32"/>
          <w:lang w:val="en-US" w:eastAsia="zh-CN"/>
        </w:rPr>
        <w:t>6774.12</w:t>
      </w:r>
      <w:r>
        <w:rPr>
          <w:rFonts w:hint="eastAsia" w:ascii="仿宋" w:eastAsia="仿宋"/>
          <w:color w:val="auto"/>
          <w:sz w:val="32"/>
          <w:szCs w:val="32"/>
        </w:rPr>
        <w:t>万元。与</w:t>
      </w:r>
      <w:r>
        <w:rPr>
          <w:rFonts w:ascii="仿宋" w:eastAsia="仿宋"/>
          <w:color w:val="auto"/>
          <w:sz w:val="32"/>
          <w:szCs w:val="32"/>
        </w:rPr>
        <w:t>201</w:t>
      </w:r>
      <w:r>
        <w:rPr>
          <w:rFonts w:hint="eastAsia" w:ascii="仿宋" w:eastAsia="仿宋"/>
          <w:color w:val="auto"/>
          <w:sz w:val="32"/>
          <w:szCs w:val="32"/>
        </w:rPr>
        <w:t>8</w:t>
      </w:r>
      <w:r>
        <w:rPr>
          <w:rFonts w:hint="eastAsia" w:ascii="仿宋" w:eastAsia="仿宋"/>
          <w:color w:val="auto"/>
          <w:sz w:val="32"/>
          <w:szCs w:val="32"/>
          <w:lang w:eastAsia="zh-CN"/>
        </w:rPr>
        <w:t>年支出</w:t>
      </w:r>
      <w:r>
        <w:rPr>
          <w:rFonts w:hint="eastAsia" w:ascii="仿宋" w:eastAsia="仿宋"/>
          <w:color w:val="auto"/>
          <w:sz w:val="32"/>
          <w:szCs w:val="32"/>
        </w:rPr>
        <w:t>相比，财政拨款</w:t>
      </w:r>
      <w:r>
        <w:rPr>
          <w:rFonts w:hint="eastAsia" w:ascii="仿宋" w:eastAsia="仿宋"/>
          <w:color w:val="auto"/>
          <w:sz w:val="32"/>
          <w:szCs w:val="32"/>
          <w:lang w:eastAsia="zh-CN"/>
        </w:rPr>
        <w:t>支出</w:t>
      </w:r>
      <w:r>
        <w:rPr>
          <w:rFonts w:hint="eastAsia" w:ascii="仿宋" w:eastAsia="仿宋"/>
          <w:color w:val="auto"/>
          <w:sz w:val="32"/>
          <w:szCs w:val="32"/>
        </w:rPr>
        <w:t>增加</w:t>
      </w:r>
      <w:r>
        <w:rPr>
          <w:rFonts w:hint="eastAsia" w:ascii="仿宋" w:eastAsia="仿宋"/>
          <w:color w:val="auto"/>
          <w:sz w:val="32"/>
          <w:szCs w:val="32"/>
          <w:lang w:val="en-US" w:eastAsia="zh-CN"/>
        </w:rPr>
        <w:t>5597.61</w:t>
      </w:r>
      <w:r>
        <w:rPr>
          <w:rFonts w:hint="eastAsia" w:ascii="仿宋" w:eastAsia="仿宋"/>
          <w:color w:val="auto"/>
          <w:sz w:val="32"/>
          <w:szCs w:val="32"/>
        </w:rPr>
        <w:t>万元，增长</w:t>
      </w:r>
      <w:r>
        <w:rPr>
          <w:rFonts w:hint="eastAsia" w:ascii="仿宋" w:eastAsia="仿宋"/>
          <w:color w:val="auto"/>
          <w:sz w:val="32"/>
          <w:szCs w:val="32"/>
          <w:lang w:val="en-US" w:eastAsia="zh-CN"/>
        </w:rPr>
        <w:t>82.63</w:t>
      </w:r>
      <w:r>
        <w:rPr>
          <w:rFonts w:ascii="仿宋" w:eastAsia="仿宋"/>
          <w:color w:val="auto"/>
          <w:sz w:val="32"/>
          <w:szCs w:val="32"/>
        </w:rPr>
        <w:t>%</w:t>
      </w:r>
      <w:r>
        <w:rPr>
          <w:rFonts w:hint="eastAsia" w:ascii="仿宋" w:eastAsia="仿宋"/>
          <w:color w:val="auto"/>
          <w:sz w:val="32"/>
          <w:szCs w:val="32"/>
        </w:rPr>
        <w:t>。主要变动原因是</w:t>
      </w:r>
      <w:r>
        <w:rPr>
          <w:rFonts w:hint="eastAsia" w:ascii="仿宋" w:eastAsia="仿宋"/>
          <w:color w:val="auto"/>
          <w:sz w:val="32"/>
          <w:szCs w:val="32"/>
          <w:lang w:eastAsia="zh-CN"/>
        </w:rPr>
        <w:t>项目资金数量增加。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eastAsia="仿宋"/>
          <w:color w:val="auto"/>
          <w:sz w:val="32"/>
          <w:szCs w:val="32"/>
          <w:lang w:eastAsia="zh-CN"/>
        </w:rPr>
      </w:pPr>
    </w:p>
    <w:p>
      <w:pPr>
        <w:spacing w:line="600" w:lineRule="exact"/>
        <w:jc w:val="center"/>
        <w:rPr>
          <w:rFonts w:ascii="仿宋" w:eastAsia="仿宋"/>
          <w:b/>
          <w:color w:val="00B050"/>
          <w:sz w:val="32"/>
          <w:szCs w:val="32"/>
        </w:rPr>
      </w:pPr>
      <w:r>
        <w:rPr>
          <w:rFonts w:hint="eastAsia" w:ascii="仿宋" w:eastAsia="仿宋"/>
          <w:color w:val="000000"/>
          <w:sz w:val="32"/>
          <w:szCs w:val="32"/>
        </w:rPr>
        <w:t>图4：财政拨款收、支决算总计变动情况</w:t>
      </w:r>
    </w:p>
    <w:p>
      <w:pPr>
        <w:spacing w:line="600" w:lineRule="exact"/>
        <w:ind w:firstLine="640"/>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650875</wp:posOffset>
            </wp:positionH>
            <wp:positionV relativeFrom="paragraph">
              <wp:posOffset>218440</wp:posOffset>
            </wp:positionV>
            <wp:extent cx="4754880" cy="2684145"/>
            <wp:effectExtent l="0" t="0" r="23" b="41"/>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ascii="仿宋" w:eastAsia="仿宋"/>
          <w:color w:val="000000"/>
          <w:sz w:val="32"/>
          <w:szCs w:val="32"/>
        </w:rPr>
      </w:pPr>
      <w:r>
        <w:rPr>
          <w:rFonts w:hint="eastAsia"/>
        </w:rPr>
        <w:t xml:space="preserve">     </w:t>
      </w: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ind w:firstLine="640" w:firstLineChars="200"/>
        <w:outlineLvl w:val="1"/>
        <w:rPr>
          <w:rStyle w:val="19"/>
          <w:rFonts w:ascii="黑体" w:eastAsia="黑体"/>
          <w:b w:val="0"/>
        </w:rPr>
      </w:pPr>
      <w:bookmarkStart w:id="30" w:name="_Toc15396607"/>
      <w:bookmarkStart w:id="31" w:name="_Toc15377209"/>
      <w:r>
        <w:rPr>
          <w:rFonts w:hint="eastAsia" w:ascii="黑体" w:eastAsia="黑体"/>
          <w:color w:val="000000"/>
          <w:sz w:val="32"/>
          <w:szCs w:val="32"/>
        </w:rPr>
        <w:t>五、</w:t>
      </w:r>
      <w:r>
        <w:rPr>
          <w:rFonts w:hint="eastAsia" w:ascii="黑体" w:eastAsia="黑体"/>
          <w:b/>
          <w:color w:val="000000"/>
          <w:sz w:val="32"/>
          <w:szCs w:val="32"/>
        </w:rPr>
        <w:t>一</w:t>
      </w:r>
      <w:r>
        <w:rPr>
          <w:rStyle w:val="19"/>
          <w:rFonts w:hint="eastAsia" w:ascii="黑体" w:eastAsia="黑体"/>
          <w:b w:val="0"/>
        </w:rPr>
        <w:t>般公共预算财政拨款支出决算情况说明</w:t>
      </w:r>
      <w:bookmarkEnd w:id="30"/>
      <w:bookmarkEnd w:id="31"/>
    </w:p>
    <w:p>
      <w:pPr>
        <w:snapToGrid w:val="0"/>
        <w:spacing w:line="576" w:lineRule="exact"/>
        <w:ind w:firstLine="642" w:firstLineChars="200"/>
        <w:rPr>
          <w:rFonts w:ascii="楷体" w:eastAsia="楷体"/>
          <w:b/>
          <w:bCs/>
          <w:color w:val="000000"/>
          <w:sz w:val="32"/>
          <w:szCs w:val="32"/>
        </w:rPr>
      </w:pPr>
      <w:bookmarkStart w:id="32" w:name="_Toc15377210"/>
      <w:r>
        <w:rPr>
          <w:rFonts w:hint="eastAsia" w:ascii="楷体" w:eastAsia="楷体"/>
          <w:b/>
          <w:bCs/>
          <w:color w:val="000000"/>
          <w:sz w:val="32"/>
          <w:szCs w:val="32"/>
        </w:rPr>
        <w:t>（一）一般公共预算财政拨款支出决算总体情况</w:t>
      </w:r>
      <w:bookmarkEnd w:id="32"/>
    </w:p>
    <w:p>
      <w:pPr>
        <w:spacing w:line="576"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 xml:space="preserve">9年一般公共预算财政拨款支出1183.58万元，占本年支出合计的 20 </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201</w:t>
      </w:r>
      <w:r>
        <w:rPr>
          <w:rFonts w:hint="eastAsia" w:ascii="仿宋" w:eastAsia="仿宋"/>
          <w:color w:val="000000"/>
          <w:sz w:val="32"/>
          <w:szCs w:val="32"/>
        </w:rPr>
        <w:t>8年相比，一般公共预算财政拨款增加102.18万元，增长0.8</w:t>
      </w:r>
      <w:r>
        <w:rPr>
          <w:rFonts w:ascii="仿宋" w:eastAsia="仿宋"/>
          <w:color w:val="000000"/>
          <w:sz w:val="32"/>
          <w:szCs w:val="32"/>
        </w:rPr>
        <w:t>%</w:t>
      </w:r>
      <w:r>
        <w:rPr>
          <w:rFonts w:hint="eastAsia" w:ascii="仿宋" w:eastAsia="仿宋"/>
          <w:color w:val="000000"/>
          <w:sz w:val="32"/>
          <w:szCs w:val="32"/>
        </w:rPr>
        <w:t>。主要变动原因是项目增加。</w:t>
      </w:r>
    </w:p>
    <w:p>
      <w:pPr>
        <w:spacing w:line="600" w:lineRule="exact"/>
        <w:ind w:firstLine="640" w:firstLineChars="200"/>
        <w:rPr>
          <w:rFonts w:ascii="仿宋" w:eastAsia="仿宋"/>
          <w:color w:val="000000"/>
          <w:sz w:val="32"/>
          <w:szCs w:val="32"/>
        </w:rPr>
      </w:pPr>
    </w:p>
    <w:p>
      <w:pPr>
        <w:spacing w:line="600" w:lineRule="exact"/>
        <w:rPr>
          <w:rFonts w:ascii="仿宋" w:eastAsia="仿宋"/>
          <w:color w:val="000000"/>
          <w:sz w:val="32"/>
          <w:szCs w:val="32"/>
        </w:rPr>
      </w:pPr>
    </w:p>
    <w:p>
      <w:pPr>
        <w:spacing w:line="600" w:lineRule="exact"/>
        <w:ind w:firstLine="960" w:firstLineChars="300"/>
        <w:rPr>
          <w:rFonts w:ascii="仿宋" w:eastAsia="仿宋"/>
          <w:color w:val="000000"/>
          <w:sz w:val="32"/>
          <w:szCs w:val="32"/>
        </w:rPr>
      </w:pPr>
      <w:r>
        <w:rPr>
          <w:rFonts w:hint="eastAsia" w:ascii="仿宋" w:eastAsia="仿宋"/>
          <w:color w:val="000000"/>
          <w:sz w:val="32"/>
          <w:szCs w:val="32"/>
        </w:rPr>
        <w:t>图5：一般公共预算财政拨款支出决算变动情况</w:t>
      </w:r>
    </w:p>
    <w:p>
      <w:pPr>
        <w:spacing w:line="600" w:lineRule="exact"/>
        <w:ind w:firstLine="420" w:firstLineChars="200"/>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470535</wp:posOffset>
            </wp:positionH>
            <wp:positionV relativeFrom="paragraph">
              <wp:posOffset>304800</wp:posOffset>
            </wp:positionV>
            <wp:extent cx="5080000" cy="2486660"/>
            <wp:effectExtent l="0" t="1" r="13" b="7"/>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2" w:firstLineChars="200"/>
        <w:outlineLvl w:val="2"/>
        <w:rPr>
          <w:rFonts w:ascii="仿宋" w:eastAsia="仿宋"/>
          <w:b/>
          <w:color w:val="000000"/>
          <w:sz w:val="32"/>
          <w:szCs w:val="32"/>
        </w:rPr>
      </w:pPr>
      <w:bookmarkStart w:id="33" w:name="_Toc15377211"/>
      <w:r>
        <w:rPr>
          <w:rFonts w:hint="eastAsia" w:ascii="仿宋" w:eastAsia="仿宋"/>
          <w:b/>
          <w:color w:val="000000"/>
          <w:sz w:val="32"/>
          <w:szCs w:val="32"/>
        </w:rPr>
        <w:t>（</w:t>
      </w: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outlineLvl w:val="2"/>
        <w:rPr>
          <w:rFonts w:ascii="仿宋" w:eastAsia="仿宋"/>
          <w:b/>
          <w:color w:val="000000"/>
          <w:sz w:val="32"/>
          <w:szCs w:val="32"/>
        </w:rPr>
      </w:pPr>
    </w:p>
    <w:p>
      <w:pPr>
        <w:spacing w:line="600" w:lineRule="exact"/>
        <w:ind w:firstLine="642" w:firstLineChars="200"/>
        <w:outlineLvl w:val="2"/>
        <w:rPr>
          <w:rFonts w:ascii="楷体" w:eastAsia="楷体" w:cs="楷体"/>
          <w:b/>
          <w:color w:val="000000"/>
          <w:sz w:val="32"/>
          <w:szCs w:val="32"/>
        </w:rPr>
      </w:pPr>
      <w:r>
        <w:rPr>
          <w:rFonts w:hint="eastAsia" w:ascii="楷体" w:eastAsia="楷体" w:cs="楷体"/>
          <w:b/>
          <w:color w:val="000000"/>
          <w:sz w:val="32"/>
          <w:szCs w:val="32"/>
        </w:rPr>
        <w:t>(二）一般公共预算财政拨款支出决算结构情况</w:t>
      </w:r>
      <w:bookmarkEnd w:id="33"/>
    </w:p>
    <w:p>
      <w:pPr>
        <w:spacing w:line="600"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9年一般公共预算财政拨款支出1183.58万元，主要用于以下方面</w:t>
      </w:r>
      <w:r>
        <w:rPr>
          <w:rFonts w:ascii="仿宋" w:eastAsia="仿宋"/>
          <w:color w:val="000000"/>
          <w:sz w:val="32"/>
          <w:szCs w:val="32"/>
        </w:rPr>
        <w:t>:</w:t>
      </w:r>
      <w:r>
        <w:rPr>
          <w:rFonts w:hint="eastAsia" w:ascii="仿宋" w:eastAsia="仿宋"/>
          <w:b/>
          <w:color w:val="000000"/>
          <w:sz w:val="32"/>
          <w:szCs w:val="32"/>
        </w:rPr>
        <w:t>节能环保（类）</w:t>
      </w:r>
      <w:r>
        <w:rPr>
          <w:rFonts w:hint="eastAsia" w:ascii="仿宋" w:eastAsia="仿宋"/>
          <w:color w:val="000000"/>
          <w:sz w:val="32"/>
          <w:szCs w:val="32"/>
        </w:rPr>
        <w:t>支出177.61万元，占16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城乡社区（类）</w:t>
      </w:r>
      <w:r>
        <w:rPr>
          <w:rFonts w:hint="eastAsia" w:ascii="仿宋" w:eastAsia="仿宋"/>
          <w:color w:val="000000"/>
          <w:sz w:val="32"/>
          <w:szCs w:val="32"/>
        </w:rPr>
        <w:t>支出879.22万元，占74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住房保障（类）</w:t>
      </w:r>
      <w:r>
        <w:rPr>
          <w:rFonts w:hint="eastAsia" w:ascii="仿宋" w:eastAsia="仿宋"/>
          <w:color w:val="000000"/>
          <w:sz w:val="32"/>
          <w:szCs w:val="32"/>
        </w:rPr>
        <w:t>支出39.09万元，占3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社会保障和就业（类）</w:t>
      </w:r>
      <w:r>
        <w:rPr>
          <w:rFonts w:hint="eastAsia" w:ascii="仿宋" w:eastAsia="仿宋"/>
          <w:color w:val="000000"/>
          <w:sz w:val="32"/>
          <w:szCs w:val="32"/>
        </w:rPr>
        <w:t>支出58.4万元</w:t>
      </w:r>
      <w:r>
        <w:rPr>
          <w:rFonts w:hint="eastAsia" w:ascii="仿宋" w:eastAsia="仿宋"/>
          <w:b/>
          <w:bCs/>
          <w:color w:val="000000"/>
          <w:sz w:val="32"/>
          <w:szCs w:val="32"/>
        </w:rPr>
        <w:t>，</w:t>
      </w:r>
      <w:r>
        <w:rPr>
          <w:rFonts w:hint="eastAsia" w:ascii="仿宋" w:eastAsia="仿宋"/>
          <w:color w:val="000000"/>
          <w:sz w:val="32"/>
          <w:szCs w:val="32"/>
        </w:rPr>
        <w:t>占4%；</w:t>
      </w:r>
      <w:r>
        <w:rPr>
          <w:rFonts w:hint="eastAsia" w:ascii="仿宋" w:eastAsia="仿宋"/>
          <w:b/>
          <w:bCs/>
          <w:color w:val="000000"/>
          <w:sz w:val="32"/>
          <w:szCs w:val="32"/>
        </w:rPr>
        <w:t>农林水（类）</w:t>
      </w:r>
      <w:r>
        <w:rPr>
          <w:rFonts w:hint="eastAsia" w:ascii="仿宋" w:eastAsia="仿宋"/>
          <w:color w:val="000000"/>
          <w:sz w:val="32"/>
          <w:szCs w:val="32"/>
        </w:rPr>
        <w:t>支出0.84万元</w:t>
      </w:r>
      <w:r>
        <w:rPr>
          <w:rFonts w:hint="eastAsia" w:ascii="仿宋" w:eastAsia="仿宋"/>
          <w:b/>
          <w:bCs/>
          <w:color w:val="000000"/>
          <w:sz w:val="32"/>
          <w:szCs w:val="32"/>
        </w:rPr>
        <w:t>，</w:t>
      </w:r>
      <w:r>
        <w:rPr>
          <w:rFonts w:hint="eastAsia" w:ascii="仿宋" w:eastAsia="仿宋"/>
          <w:color w:val="000000"/>
          <w:sz w:val="32"/>
          <w:szCs w:val="32"/>
        </w:rPr>
        <w:t>占1%；</w:t>
      </w:r>
      <w:r>
        <w:rPr>
          <w:rFonts w:hint="eastAsia" w:ascii="仿宋" w:eastAsia="仿宋"/>
          <w:b/>
          <w:color w:val="000000"/>
          <w:sz w:val="32"/>
          <w:szCs w:val="32"/>
        </w:rPr>
        <w:t>卫生健康（类）</w:t>
      </w:r>
      <w:r>
        <w:rPr>
          <w:rFonts w:hint="eastAsia" w:ascii="仿宋" w:eastAsia="仿宋"/>
          <w:color w:val="000000"/>
          <w:sz w:val="32"/>
          <w:szCs w:val="32"/>
        </w:rPr>
        <w:t>支出28.42万元，占2</w:t>
      </w:r>
      <w:r>
        <w:rPr>
          <w:rFonts w:ascii="仿宋" w:eastAsia="仿宋"/>
          <w:color w:val="000000"/>
          <w:sz w:val="32"/>
          <w:szCs w:val="32"/>
        </w:rPr>
        <w:t>%</w:t>
      </w:r>
      <w:r>
        <w:rPr>
          <w:rFonts w:hint="eastAsia" w:ascii="仿宋" w:eastAsia="仿宋"/>
          <w:color w:val="000000"/>
          <w:sz w:val="32"/>
          <w:szCs w:val="32"/>
        </w:rPr>
        <w:t>。</w:t>
      </w:r>
    </w:p>
    <w:p>
      <w:pPr>
        <w:spacing w:line="600" w:lineRule="exact"/>
        <w:ind w:firstLine="1609" w:firstLineChars="503"/>
        <w:rPr>
          <w:rFonts w:ascii="仿宋" w:eastAsia="仿宋"/>
          <w:color w:val="000000"/>
          <w:sz w:val="32"/>
          <w:szCs w:val="32"/>
        </w:rPr>
      </w:pPr>
      <w:r>
        <w:rPr>
          <w:rFonts w:hint="eastAsia" w:ascii="仿宋" w:eastAsia="仿宋"/>
          <w:color w:val="000000"/>
          <w:sz w:val="32"/>
          <w:szCs w:val="32"/>
        </w:rPr>
        <w:t>图6：一般公共预算财政拨款支出决算结构</w:t>
      </w:r>
    </w:p>
    <w:p>
      <w:pPr>
        <w:spacing w:line="600" w:lineRule="exact"/>
        <w:ind w:firstLine="640"/>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448945</wp:posOffset>
            </wp:positionH>
            <wp:positionV relativeFrom="paragraph">
              <wp:posOffset>129540</wp:posOffset>
            </wp:positionV>
            <wp:extent cx="5080000" cy="2334895"/>
            <wp:effectExtent l="0" t="0" r="13" b="28"/>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eastAsia="仿宋"/>
          <w:color w:val="000000"/>
          <w:sz w:val="32"/>
          <w:szCs w:val="32"/>
        </w:rPr>
      </w:pPr>
    </w:p>
    <w:p>
      <w:pPr>
        <w:spacing w:line="600" w:lineRule="exact"/>
        <w:ind w:firstLine="640"/>
        <w:rPr>
          <w:rFonts w:ascii="仿宋" w:eastAsia="仿宋"/>
          <w:b/>
          <w:color w:val="000000"/>
          <w:sz w:val="32"/>
          <w:szCs w:val="32"/>
        </w:rPr>
      </w:pPr>
    </w:p>
    <w:p>
      <w:pPr>
        <w:spacing w:line="600" w:lineRule="exact"/>
        <w:ind w:firstLine="640"/>
        <w:rPr>
          <w:rFonts w:ascii="仿宋" w:eastAsia="仿宋"/>
          <w:b/>
          <w:color w:val="000000"/>
          <w:sz w:val="32"/>
          <w:szCs w:val="32"/>
        </w:rPr>
      </w:pPr>
    </w:p>
    <w:p>
      <w:pPr>
        <w:spacing w:line="600" w:lineRule="exact"/>
        <w:ind w:firstLine="640"/>
        <w:rPr>
          <w:rFonts w:ascii="仿宋" w:eastAsia="仿宋"/>
          <w:color w:val="000000"/>
          <w:sz w:val="32"/>
          <w:szCs w:val="32"/>
        </w:rPr>
      </w:pPr>
      <w:r>
        <w:rPr>
          <w:rFonts w:hint="eastAsia" w:ascii="仿宋" w:eastAsia="仿宋"/>
          <w:color w:val="000000"/>
          <w:sz w:val="32"/>
          <w:szCs w:val="32"/>
        </w:rPr>
        <w:t>（</w:t>
      </w:r>
    </w:p>
    <w:p>
      <w:pPr>
        <w:spacing w:line="600" w:lineRule="exact"/>
        <w:ind w:firstLine="640"/>
        <w:rPr>
          <w:rFonts w:ascii="仿宋" w:eastAsia="仿宋"/>
          <w:color w:val="000000"/>
          <w:sz w:val="32"/>
          <w:szCs w:val="32"/>
        </w:rPr>
      </w:pPr>
    </w:p>
    <w:p>
      <w:pPr>
        <w:spacing w:line="600" w:lineRule="exact"/>
        <w:rPr>
          <w:rFonts w:ascii="仿宋" w:eastAsia="仿宋"/>
          <w:color w:val="000000"/>
          <w:sz w:val="32"/>
          <w:szCs w:val="32"/>
        </w:rPr>
      </w:pPr>
    </w:p>
    <w:p>
      <w:pPr>
        <w:spacing w:line="600" w:lineRule="exact"/>
        <w:ind w:firstLine="642" w:firstLineChars="200"/>
        <w:outlineLvl w:val="2"/>
        <w:rPr>
          <w:rFonts w:ascii="楷体" w:eastAsia="楷体" w:cs="楷体"/>
          <w:b/>
          <w:color w:val="000000"/>
          <w:sz w:val="32"/>
          <w:szCs w:val="32"/>
        </w:rPr>
      </w:pPr>
      <w:bookmarkStart w:id="34" w:name="_Toc15377212"/>
      <w:r>
        <w:rPr>
          <w:rFonts w:hint="eastAsia" w:ascii="楷体" w:eastAsia="楷体" w:cs="楷体"/>
          <w:b/>
          <w:color w:val="000000"/>
          <w:sz w:val="32"/>
          <w:szCs w:val="32"/>
        </w:rPr>
        <w:t>（三）一般公共预算财政拨款支出决算具体情况</w:t>
      </w:r>
      <w:bookmarkEnd w:id="34"/>
    </w:p>
    <w:p>
      <w:pPr>
        <w:spacing w:line="600" w:lineRule="exact"/>
        <w:ind w:firstLine="642" w:firstLineChars="200"/>
        <w:outlineLvl w:val="2"/>
        <w:rPr>
          <w:rFonts w:ascii="仿宋_GB2312" w:eastAsia="仿宋_GB2312" w:cs="仿宋_GB2312"/>
          <w:color w:val="FF0000"/>
          <w:sz w:val="32"/>
          <w:szCs w:val="32"/>
        </w:rPr>
      </w:pPr>
      <w:bookmarkStart w:id="35" w:name="_Toc15377213"/>
      <w:bookmarkStart w:id="36" w:name="_Toc15378460"/>
      <w:bookmarkStart w:id="37" w:name="_Toc15377444"/>
      <w:r>
        <w:rPr>
          <w:rFonts w:hint="eastAsia" w:ascii="仿宋_GB2312" w:eastAsia="仿宋_GB2312" w:cs="仿宋_GB2312"/>
          <w:b/>
          <w:color w:val="000000"/>
          <w:sz w:val="32"/>
          <w:szCs w:val="32"/>
        </w:rPr>
        <w:t>2019年一般公共预算支出决算数为1183.58</w:t>
      </w:r>
      <w:r>
        <w:rPr>
          <w:rFonts w:hint="eastAsia" w:ascii="仿宋_GB2312" w:eastAsia="仿宋_GB2312" w:cs="仿宋_GB2312"/>
          <w:color w:val="000000"/>
          <w:sz w:val="32"/>
          <w:szCs w:val="32"/>
        </w:rPr>
        <w:t>，</w:t>
      </w:r>
      <w:r>
        <w:rPr>
          <w:rStyle w:val="14"/>
          <w:rFonts w:hint="eastAsia" w:ascii="仿宋_GB2312" w:eastAsia="仿宋_GB2312" w:cs="仿宋_GB2312"/>
          <w:bCs/>
          <w:color w:val="000000"/>
          <w:sz w:val="32"/>
          <w:szCs w:val="32"/>
        </w:rPr>
        <w:t>完成预算100 %。其中：</w:t>
      </w:r>
      <w:bookmarkEnd w:id="35"/>
      <w:bookmarkEnd w:id="36"/>
      <w:bookmarkEnd w:id="37"/>
    </w:p>
    <w:p>
      <w:pPr>
        <w:spacing w:line="600" w:lineRule="exact"/>
        <w:ind w:firstLine="642" w:firstLineChars="200"/>
        <w:rPr>
          <w:rFonts w:ascii="仿宋_GB2312" w:eastAsia="仿宋_GB2312" w:cs="仿宋_GB2312"/>
          <w:b/>
          <w:color w:val="000000"/>
          <w:sz w:val="32"/>
          <w:szCs w:val="32"/>
        </w:rPr>
      </w:pPr>
      <w:r>
        <w:rPr>
          <w:rStyle w:val="14"/>
          <w:rFonts w:hint="eastAsia" w:ascii="仿宋_GB2312" w:eastAsia="仿宋_GB2312" w:cs="仿宋_GB2312"/>
          <w:bCs/>
          <w:color w:val="000000"/>
          <w:sz w:val="32"/>
          <w:szCs w:val="32"/>
        </w:rPr>
        <w:t>1.节能环保支出（类）自然生态保护（款）生态保护（项）:</w:t>
      </w:r>
      <w:r>
        <w:rPr>
          <w:rStyle w:val="14"/>
          <w:rFonts w:hint="eastAsia" w:ascii="仿宋_GB2312" w:eastAsia="仿宋_GB2312" w:cs="仿宋_GB2312"/>
          <w:b w:val="0"/>
          <w:bCs/>
          <w:color w:val="000000"/>
          <w:sz w:val="32"/>
          <w:szCs w:val="32"/>
        </w:rPr>
        <w:t xml:space="preserve">  支出决算为177.61万元，完成预算100%。</w:t>
      </w:r>
    </w:p>
    <w:p>
      <w:pPr>
        <w:spacing w:line="600" w:lineRule="exact"/>
        <w:ind w:firstLine="642" w:firstLineChars="200"/>
        <w:rPr>
          <w:rStyle w:val="14"/>
          <w:rFonts w:ascii="仿宋_GB2312" w:eastAsia="仿宋_GB2312" w:cs="仿宋_GB2312"/>
          <w:b w:val="0"/>
          <w:bCs/>
          <w:color w:val="000000"/>
          <w:sz w:val="32"/>
          <w:szCs w:val="32"/>
        </w:rPr>
      </w:pPr>
      <w:r>
        <w:rPr>
          <w:rStyle w:val="14"/>
          <w:rFonts w:hint="eastAsia" w:ascii="仿宋_GB2312" w:eastAsia="仿宋_GB2312" w:cs="仿宋_GB2312"/>
          <w:bCs/>
          <w:color w:val="000000"/>
          <w:sz w:val="32"/>
          <w:szCs w:val="32"/>
        </w:rPr>
        <w:t>2.城乡社区支出（类）城乡社区管理事务（款）行政运行（项）:</w:t>
      </w:r>
      <w:r>
        <w:rPr>
          <w:rStyle w:val="14"/>
          <w:rFonts w:hint="eastAsia" w:ascii="仿宋_GB2312" w:eastAsia="仿宋_GB2312" w:cs="仿宋_GB2312"/>
          <w:b w:val="0"/>
          <w:bCs/>
          <w:color w:val="000000"/>
          <w:sz w:val="32"/>
          <w:szCs w:val="32"/>
        </w:rPr>
        <w:t xml:space="preserve"> 支出决算为879.22万元，完成预算100%.</w:t>
      </w:r>
    </w:p>
    <w:p>
      <w:pPr>
        <w:spacing w:line="600" w:lineRule="exact"/>
        <w:ind w:firstLine="642" w:firstLineChars="200"/>
        <w:rPr>
          <w:rFonts w:ascii="仿宋_GB2312" w:eastAsia="仿宋_GB2312" w:cs="仿宋_GB2312"/>
          <w:b/>
          <w:color w:val="000000"/>
          <w:sz w:val="32"/>
          <w:szCs w:val="32"/>
        </w:rPr>
      </w:pPr>
      <w:r>
        <w:rPr>
          <w:rStyle w:val="14"/>
          <w:rFonts w:hint="eastAsia" w:ascii="仿宋_GB2312" w:eastAsia="仿宋_GB2312" w:cs="仿宋_GB2312"/>
          <w:bCs/>
          <w:color w:val="000000"/>
          <w:sz w:val="32"/>
          <w:szCs w:val="32"/>
        </w:rPr>
        <w:t>3.住房保障支出（类）住房改革支出（款）住房公积金（项）:</w:t>
      </w:r>
      <w:r>
        <w:rPr>
          <w:rStyle w:val="14"/>
          <w:rFonts w:hint="eastAsia" w:ascii="仿宋_GB2312" w:eastAsia="仿宋_GB2312" w:cs="仿宋_GB2312"/>
          <w:b w:val="0"/>
          <w:bCs/>
          <w:color w:val="000000"/>
          <w:sz w:val="32"/>
          <w:szCs w:val="32"/>
        </w:rPr>
        <w:t xml:space="preserve"> 支出决算为39.09万元，完成预算 100%。</w:t>
      </w:r>
    </w:p>
    <w:p>
      <w:pPr>
        <w:spacing w:line="600" w:lineRule="exact"/>
        <w:ind w:firstLine="642" w:firstLineChars="200"/>
        <w:rPr>
          <w:rFonts w:ascii="仿宋_GB2312" w:eastAsia="仿宋_GB2312" w:cs="仿宋_GB2312"/>
          <w:b/>
          <w:color w:val="000000"/>
          <w:sz w:val="32"/>
          <w:szCs w:val="32"/>
        </w:rPr>
      </w:pPr>
      <w:r>
        <w:rPr>
          <w:rStyle w:val="14"/>
          <w:rFonts w:hint="eastAsia" w:ascii="仿宋_GB2312" w:eastAsia="仿宋_GB2312" w:cs="仿宋_GB2312"/>
          <w:bCs/>
          <w:color w:val="000000"/>
          <w:sz w:val="32"/>
          <w:szCs w:val="32"/>
        </w:rPr>
        <w:t>4.社会保障和就业（类）行政事业单位离退休费（款）机关事业单位职业年金缴费支出（项）:</w:t>
      </w:r>
      <w:r>
        <w:rPr>
          <w:rStyle w:val="14"/>
          <w:rFonts w:hint="eastAsia" w:ascii="仿宋_GB2312" w:eastAsia="仿宋_GB2312" w:cs="仿宋_GB2312"/>
          <w:b w:val="0"/>
          <w:bCs/>
          <w:color w:val="000000"/>
          <w:sz w:val="32"/>
          <w:szCs w:val="32"/>
        </w:rPr>
        <w:t xml:space="preserve"> 支出决算为58.4万元，完成预算100%。</w:t>
      </w:r>
    </w:p>
    <w:p>
      <w:pPr>
        <w:spacing w:line="600" w:lineRule="exact"/>
        <w:ind w:firstLine="642" w:firstLineChars="200"/>
        <w:rPr>
          <w:rStyle w:val="14"/>
          <w:rFonts w:ascii="仿宋_GB2312" w:eastAsia="仿宋_GB2312" w:cs="仿宋_GB2312"/>
          <w:b w:val="0"/>
          <w:bCs/>
          <w:color w:val="000000"/>
          <w:sz w:val="32"/>
          <w:szCs w:val="32"/>
        </w:rPr>
      </w:pPr>
      <w:r>
        <w:rPr>
          <w:rStyle w:val="14"/>
          <w:rFonts w:hint="eastAsia" w:ascii="仿宋_GB2312" w:eastAsia="仿宋_GB2312" w:cs="仿宋_GB2312"/>
          <w:bCs/>
          <w:color w:val="000000"/>
          <w:sz w:val="32"/>
          <w:szCs w:val="32"/>
        </w:rPr>
        <w:t>5.</w:t>
      </w:r>
      <w:r>
        <w:rPr>
          <w:rFonts w:hint="eastAsia" w:ascii="仿宋_GB2312" w:eastAsia="仿宋_GB2312" w:cs="仿宋_GB2312"/>
          <w:b/>
          <w:bCs/>
          <w:color w:val="000000"/>
          <w:sz w:val="32"/>
          <w:szCs w:val="32"/>
        </w:rPr>
        <w:t>卫生健康</w:t>
      </w:r>
      <w:r>
        <w:rPr>
          <w:rStyle w:val="14"/>
          <w:rFonts w:hint="eastAsia" w:ascii="仿宋_GB2312" w:eastAsia="仿宋_GB2312" w:cs="仿宋_GB2312"/>
          <w:bCs/>
          <w:color w:val="000000"/>
          <w:sz w:val="32"/>
          <w:szCs w:val="32"/>
        </w:rPr>
        <w:t>（类）行政事业单位医疗（款）行政单位医疗（项）:</w:t>
      </w:r>
      <w:r>
        <w:rPr>
          <w:rStyle w:val="14"/>
          <w:rFonts w:hint="eastAsia" w:ascii="仿宋_GB2312" w:eastAsia="仿宋_GB2312" w:cs="仿宋_GB2312"/>
          <w:b w:val="0"/>
          <w:bCs/>
          <w:color w:val="000000"/>
          <w:sz w:val="32"/>
          <w:szCs w:val="32"/>
        </w:rPr>
        <w:t>支出决算为28.42万元，完成预算 100%。</w:t>
      </w:r>
    </w:p>
    <w:p>
      <w:pPr>
        <w:spacing w:line="600" w:lineRule="exact"/>
        <w:ind w:firstLine="642" w:firstLineChars="200"/>
        <w:rPr>
          <w:rFonts w:ascii="仿宋_GB2312" w:eastAsia="仿宋_GB2312" w:cs="仿宋_GB2312"/>
          <w:b/>
          <w:color w:val="000000"/>
          <w:sz w:val="32"/>
          <w:szCs w:val="32"/>
        </w:rPr>
      </w:pPr>
      <w:r>
        <w:rPr>
          <w:rStyle w:val="14"/>
          <w:rFonts w:hint="eastAsia" w:ascii="仿宋_GB2312" w:eastAsia="仿宋_GB2312" w:cs="仿宋_GB2312"/>
          <w:bCs/>
          <w:color w:val="000000"/>
          <w:sz w:val="32"/>
          <w:szCs w:val="32"/>
        </w:rPr>
        <w:t>6.农林水支出（类）扶贫（款）其他扶贫支出（项）:</w:t>
      </w:r>
      <w:r>
        <w:rPr>
          <w:rStyle w:val="14"/>
          <w:rFonts w:hint="eastAsia" w:ascii="仿宋_GB2312" w:eastAsia="仿宋_GB2312" w:cs="仿宋_GB2312"/>
          <w:b w:val="0"/>
          <w:bCs/>
          <w:color w:val="000000"/>
          <w:sz w:val="32"/>
          <w:szCs w:val="32"/>
        </w:rPr>
        <w:t>支出决算为0.84万元，完成预算 100%。</w:t>
      </w:r>
    </w:p>
    <w:p>
      <w:pPr>
        <w:tabs>
          <w:tab w:val="right" w:pos="8306"/>
        </w:tabs>
        <w:spacing w:line="600" w:lineRule="exact"/>
        <w:ind w:firstLine="640"/>
        <w:outlineLvl w:val="1"/>
        <w:rPr>
          <w:rStyle w:val="19"/>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、一</w:t>
      </w:r>
      <w:r>
        <w:rPr>
          <w:rStyle w:val="19"/>
          <w:rFonts w:hint="eastAsia" w:ascii="黑体" w:eastAsia="黑体"/>
          <w:b w:val="0"/>
        </w:rPr>
        <w:t>般公共预算财政拨款基本支出决算情况说明</w:t>
      </w:r>
      <w:bookmarkEnd w:id="38"/>
      <w:bookmarkEnd w:id="39"/>
      <w:r>
        <w:rPr>
          <w:rStyle w:val="19"/>
          <w:rFonts w:ascii="黑体" w:eastAsia="黑体"/>
          <w:b w:val="0"/>
        </w:rPr>
        <w:tab/>
      </w:r>
    </w:p>
    <w:p>
      <w:pPr>
        <w:spacing w:line="576" w:lineRule="exact"/>
        <w:ind w:firstLine="640" w:firstLineChars="200"/>
        <w:rPr>
          <w:rFonts w:ascii="仿宋" w:eastAsia="仿宋"/>
          <w:color w:val="000000"/>
          <w:sz w:val="32"/>
          <w:szCs w:val="32"/>
        </w:rPr>
      </w:pPr>
      <w:r>
        <w:rPr>
          <w:rFonts w:ascii="仿宋" w:eastAsia="仿宋"/>
          <w:color w:val="000000"/>
          <w:sz w:val="32"/>
          <w:szCs w:val="32"/>
        </w:rPr>
        <w:t>201</w:t>
      </w:r>
      <w:r>
        <w:rPr>
          <w:rFonts w:hint="eastAsia" w:ascii="仿宋" w:eastAsia="仿宋"/>
          <w:color w:val="000000"/>
          <w:sz w:val="32"/>
          <w:szCs w:val="32"/>
        </w:rPr>
        <w:t>9年一般公共预算财政拨款基本支出589.49万元，其中：</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人员经费557.75万元，主要包括：基本工资、津贴补贴、绩效工资、机关事业单位基本养老保险缴费、职业年金缴费、其他社会保障缴费、其他工资福利支出、离休费、退休费、抚恤金、生活补助、奖励金、住房公积金。</w:t>
      </w:r>
      <w:r>
        <w:rPr>
          <w:rFonts w:ascii="仿宋" w:eastAsia="仿宋"/>
          <w:color w:val="000000"/>
          <w:sz w:val="32"/>
          <w:szCs w:val="32"/>
        </w:rPr>
        <w:br w:type="textWrapping"/>
      </w:r>
      <w:r>
        <w:rPr>
          <w:rFonts w:hint="eastAsia" w:ascii="仿宋" w:eastAsia="仿宋"/>
          <w:color w:val="000000"/>
          <w:sz w:val="32"/>
          <w:szCs w:val="32"/>
        </w:rPr>
        <w:t>　　日常公用经费31.74万元，主要包括：办公费、手续费、电费、邮电费、差旅费、因公出国（境）费用、维修（护）费、培训费、委托业务费、工会经费、公务用车运行维护费、其他交通费、税金及附加费用、其他商品和服务支出、办公设备购置、专用设备购置、信息网络及软件购置更新、其他资本性支出等。</w:t>
      </w:r>
    </w:p>
    <w:p>
      <w:pPr>
        <w:spacing w:line="600" w:lineRule="exact"/>
        <w:ind w:firstLine="642" w:firstLineChars="200"/>
        <w:outlineLvl w:val="1"/>
        <w:rPr>
          <w:rStyle w:val="19"/>
          <w:rFonts w:ascii="黑体" w:eastAsia="黑体"/>
          <w:b w:val="0"/>
        </w:rPr>
      </w:pPr>
      <w:bookmarkStart w:id="40" w:name="_Toc15377215"/>
      <w:bookmarkStart w:id="41" w:name="_Toc15396609"/>
      <w:r>
        <w:rPr>
          <w:rStyle w:val="19"/>
          <w:rFonts w:hint="eastAsia" w:ascii="黑体" w:eastAsia="黑体"/>
        </w:rPr>
        <w:t>七、“</w:t>
      </w:r>
      <w:r>
        <w:rPr>
          <w:rStyle w:val="19"/>
          <w:rFonts w:hint="eastAsia" w:ascii="黑体" w:eastAsia="黑体"/>
          <w:b w:val="0"/>
        </w:rPr>
        <w:t>三公”经费财政拨款支出决算情况说明</w:t>
      </w:r>
      <w:bookmarkEnd w:id="40"/>
      <w:bookmarkEnd w:id="41"/>
    </w:p>
    <w:p>
      <w:pPr>
        <w:spacing w:line="600" w:lineRule="exact"/>
        <w:ind w:firstLine="642" w:firstLineChars="200"/>
        <w:outlineLvl w:val="2"/>
        <w:rPr>
          <w:rFonts w:ascii="楷体" w:eastAsia="楷体" w:cs="楷体"/>
          <w:b/>
          <w:color w:val="000000"/>
          <w:sz w:val="32"/>
          <w:szCs w:val="32"/>
        </w:rPr>
      </w:pPr>
      <w:bookmarkStart w:id="42" w:name="_Toc15377216"/>
      <w:r>
        <w:rPr>
          <w:rFonts w:hint="eastAsia" w:ascii="楷体" w:eastAsia="楷体" w:cs="楷体"/>
          <w:b/>
          <w:color w:val="000000"/>
          <w:sz w:val="32"/>
          <w:szCs w:val="32"/>
        </w:rPr>
        <w:t>（一）“三公”经费财政拨款支出决算总体情况说明</w:t>
      </w:r>
      <w:bookmarkEnd w:id="42"/>
    </w:p>
    <w:p>
      <w:pPr>
        <w:spacing w:line="576" w:lineRule="exact"/>
        <w:ind w:firstLine="640" w:firstLineChars="200"/>
        <w:rPr>
          <w:rFonts w:ascii="楷体" w:eastAsia="楷体" w:cs="楷体"/>
          <w:b/>
          <w:color w:val="000000"/>
          <w:sz w:val="32"/>
          <w:szCs w:val="32"/>
        </w:rPr>
      </w:pPr>
      <w:r>
        <w:rPr>
          <w:rFonts w:hint="eastAsia" w:ascii="仿宋_GB2312" w:eastAsia="仿宋_GB2312" w:cs="仿宋_GB2312"/>
          <w:color w:val="000000"/>
          <w:sz w:val="32"/>
          <w:szCs w:val="32"/>
        </w:rPr>
        <w:t>2019年“三公”经费财政拨款支出决算为3.95万元，完成预算100%，决算数与预算数持平。</w:t>
      </w:r>
      <w:bookmarkStart w:id="43" w:name="_Toc15377217"/>
    </w:p>
    <w:p>
      <w:pPr>
        <w:spacing w:line="600" w:lineRule="exact"/>
        <w:ind w:firstLine="642" w:firstLineChars="200"/>
        <w:outlineLvl w:val="2"/>
        <w:rPr>
          <w:rFonts w:ascii="楷体" w:eastAsia="楷体" w:cs="楷体"/>
          <w:b/>
          <w:color w:val="000000"/>
          <w:sz w:val="32"/>
          <w:szCs w:val="32"/>
        </w:rPr>
      </w:pPr>
      <w:r>
        <w:rPr>
          <w:rFonts w:hint="eastAsia" w:ascii="楷体" w:eastAsia="楷体" w:cs="楷体"/>
          <w:b/>
          <w:color w:val="000000"/>
          <w:sz w:val="32"/>
          <w:szCs w:val="32"/>
        </w:rPr>
        <w:t>（二）“三公”经费财政拨款支出决算具体情况说明</w:t>
      </w:r>
      <w:bookmarkEnd w:id="43"/>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2019年“三公”经费财政拨款支出决算中，因公出国（境）费支出决算0万元，占0%；公务用车购置及运行维护费支出决算3.95万元，占100%；公务接待费支出决算0万元，占0%。</w:t>
      </w:r>
    </w:p>
    <w:p>
      <w:pPr>
        <w:spacing w:line="600" w:lineRule="exact"/>
        <w:ind w:firstLine="1470" w:firstLineChars="700"/>
        <w:rPr>
          <w:rFonts w:ascii="仿宋" w:eastAsia="仿宋"/>
          <w:color w:val="000000"/>
          <w:sz w:val="32"/>
          <w:szCs w:val="32"/>
        </w:rPr>
      </w:pPr>
      <w:r>
        <w:rPr>
          <w:rFonts w:hint="eastAsia" w:eastAsia="宋体"/>
        </w:rPr>
        <w:drawing>
          <wp:anchor distT="0" distB="0" distL="114300" distR="114300" simplePos="0" relativeHeight="251659264" behindDoc="0" locked="0" layoutInCell="1" allowOverlap="1">
            <wp:simplePos x="0" y="0"/>
            <wp:positionH relativeFrom="column">
              <wp:posOffset>347345</wp:posOffset>
            </wp:positionH>
            <wp:positionV relativeFrom="paragraph">
              <wp:posOffset>729615</wp:posOffset>
            </wp:positionV>
            <wp:extent cx="5080000" cy="2712085"/>
            <wp:effectExtent l="0" t="0" r="13" b="22"/>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eastAsia="仿宋"/>
          <w:color w:val="000000"/>
          <w:sz w:val="32"/>
          <w:szCs w:val="32"/>
        </w:rPr>
        <w:t>（图7：“三公”经费财政拨款支出结构）</w:t>
      </w:r>
    </w:p>
    <w:p>
      <w:pPr>
        <w:spacing w:line="576" w:lineRule="exact"/>
        <w:ind w:firstLine="642"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eastAsia="仿宋"/>
          <w:b w:val="0"/>
          <w:bCs/>
          <w:color w:val="000000"/>
          <w:sz w:val="32"/>
          <w:szCs w:val="32"/>
        </w:rPr>
        <w:t>完成预算0</w:t>
      </w:r>
      <w:r>
        <w:rPr>
          <w:rStyle w:val="14"/>
          <w:rFonts w:ascii="仿宋" w:eastAsia="仿宋"/>
          <w:b w:val="0"/>
          <w:bCs/>
          <w:color w:val="000000"/>
          <w:sz w:val="32"/>
          <w:szCs w:val="32"/>
        </w:rPr>
        <w:t>%</w:t>
      </w:r>
      <w:r>
        <w:rPr>
          <w:rStyle w:val="14"/>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576"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3.95万元,</w:t>
      </w:r>
      <w:r>
        <w:rPr>
          <w:rStyle w:val="14"/>
          <w:rFonts w:hint="eastAsia" w:ascii="仿宋" w:eastAsia="仿宋"/>
          <w:b w:val="0"/>
          <w:bCs/>
          <w:color w:val="000000"/>
          <w:sz w:val="32"/>
          <w:szCs w:val="32"/>
        </w:rPr>
        <w:t>完成预算100</w:t>
      </w:r>
      <w:r>
        <w:rPr>
          <w:rStyle w:val="14"/>
          <w:rFonts w:ascii="仿宋" w:eastAsia="仿宋"/>
          <w:b w:val="0"/>
          <w:bCs/>
          <w:color w:val="000000"/>
          <w:sz w:val="32"/>
          <w:szCs w:val="32"/>
        </w:rPr>
        <w:t>%</w:t>
      </w:r>
      <w:r>
        <w:rPr>
          <w:rStyle w:val="14"/>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8年下降0.04万元，下降0.01</w:t>
      </w:r>
      <w:r>
        <w:rPr>
          <w:rFonts w:ascii="仿宋_GB2312" w:eastAsia="仿宋_GB2312"/>
          <w:color w:val="000000"/>
          <w:sz w:val="32"/>
          <w:szCs w:val="32"/>
        </w:rPr>
        <w:t>%</w:t>
      </w:r>
      <w:r>
        <w:rPr>
          <w:rFonts w:hint="eastAsia" w:ascii="仿宋_GB2312" w:eastAsia="仿宋_GB2312"/>
          <w:color w:val="000000"/>
          <w:sz w:val="32"/>
          <w:szCs w:val="32"/>
        </w:rPr>
        <w:t>。主要原因是我局</w:t>
      </w:r>
      <w:r>
        <w:rPr>
          <w:rFonts w:hint="eastAsia" w:ascii="仿宋_GB2312" w:eastAsia="仿宋_GB2312"/>
          <w:sz w:val="32"/>
          <w:szCs w:val="32"/>
        </w:rPr>
        <w:t>积极贯彻落实中央八项规定 及省委省政府十项规定要求，加强公务用车使用管理，从严控制公务用车行为。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月底，单位共有公务用车13辆，其中：主要领导干部用车0辆、机要通信用车0辆、应急保障用车0辆、 执法执勤用车0辆、普通用车13辆。</w:t>
      </w:r>
    </w:p>
    <w:p>
      <w:pPr>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3.95万元。主要用于出差、下乡等所需的公务用车燃料费、维修费、过路过桥费、保险费等支出。</w:t>
      </w:r>
    </w:p>
    <w:p>
      <w:pPr>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r>
        <w:rPr>
          <w:rStyle w:val="14"/>
          <w:rFonts w:hint="eastAsia" w:ascii="仿宋" w:eastAsia="仿宋"/>
          <w:b w:val="0"/>
          <w:bCs/>
          <w:color w:val="000000"/>
          <w:sz w:val="32"/>
          <w:szCs w:val="32"/>
        </w:rPr>
        <w:t>完成预算0</w:t>
      </w:r>
      <w:r>
        <w:rPr>
          <w:rStyle w:val="14"/>
          <w:rFonts w:ascii="仿宋" w:eastAsia="仿宋"/>
          <w:b w:val="0"/>
          <w:bCs/>
          <w:color w:val="000000"/>
          <w:sz w:val="32"/>
          <w:szCs w:val="32"/>
        </w:rPr>
        <w:t>%</w:t>
      </w:r>
      <w:r>
        <w:rPr>
          <w:rStyle w:val="14"/>
          <w:rFonts w:hint="eastAsia" w:ascii="仿宋" w:eastAsia="仿宋"/>
          <w:b w:val="0"/>
          <w:bCs/>
          <w:color w:val="000000"/>
          <w:sz w:val="32"/>
          <w:szCs w:val="32"/>
        </w:rPr>
        <w:t>。</w:t>
      </w:r>
    </w:p>
    <w:p>
      <w:pPr>
        <w:spacing w:line="576" w:lineRule="exact"/>
        <w:ind w:firstLine="642" w:firstLineChars="200"/>
        <w:rPr>
          <w:rFonts w:ascii="仿宋_GB2312" w:eastAsia="仿宋_GB2312"/>
          <w:color w:val="000000"/>
          <w:sz w:val="32"/>
          <w:szCs w:val="32"/>
        </w:rPr>
      </w:pPr>
      <w:r>
        <w:rPr>
          <w:rFonts w:hint="eastAsia" w:ascii="仿宋" w:eastAsia="仿宋"/>
          <w:b/>
          <w:color w:val="000000"/>
          <w:sz w:val="32"/>
          <w:szCs w:val="32"/>
        </w:rPr>
        <w:t>4.国内公务接待支出</w:t>
      </w:r>
      <w:r>
        <w:rPr>
          <w:rFonts w:hint="eastAsia" w:ascii="仿宋" w:eastAsia="仿宋"/>
          <w:color w:val="000000"/>
          <w:sz w:val="32"/>
          <w:szCs w:val="32"/>
        </w:rPr>
        <w:t>0</w:t>
      </w:r>
      <w:r>
        <w:rPr>
          <w:rFonts w:hint="eastAsia" w:ascii="仿宋_GB2312" w:eastAsia="仿宋_GB2312"/>
          <w:color w:val="000000"/>
          <w:sz w:val="32"/>
          <w:szCs w:val="32"/>
        </w:rPr>
        <w:t>万元。</w:t>
      </w:r>
    </w:p>
    <w:p>
      <w:pPr>
        <w:spacing w:line="576" w:lineRule="exact"/>
        <w:ind w:firstLine="642" w:firstLineChars="200"/>
        <w:rPr>
          <w:rFonts w:ascii="黑体" w:eastAsia="黑体"/>
          <w:color w:val="000000"/>
          <w:sz w:val="32"/>
          <w:szCs w:val="32"/>
        </w:rPr>
      </w:pPr>
      <w:r>
        <w:rPr>
          <w:rFonts w:hint="eastAsia" w:ascii="仿宋" w:eastAsia="仿宋"/>
          <w:b/>
          <w:color w:val="000000"/>
          <w:sz w:val="32"/>
          <w:szCs w:val="32"/>
        </w:rPr>
        <w:t>5.外事接待支出</w:t>
      </w:r>
      <w:r>
        <w:rPr>
          <w:rFonts w:hint="eastAsia" w:ascii="仿宋" w:eastAsia="仿宋"/>
          <w:color w:val="000000"/>
          <w:sz w:val="32"/>
          <w:szCs w:val="32"/>
        </w:rPr>
        <w:t>0</w:t>
      </w:r>
      <w:r>
        <w:rPr>
          <w:rFonts w:hint="eastAsia" w:ascii="仿宋_GB2312" w:eastAsia="仿宋_GB2312"/>
          <w:color w:val="000000"/>
          <w:sz w:val="32"/>
          <w:szCs w:val="32"/>
        </w:rPr>
        <w:t>万元。</w:t>
      </w:r>
      <w:bookmarkStart w:id="44" w:name="_Toc15396610"/>
      <w:bookmarkStart w:id="45" w:name="_Toc15377218"/>
    </w:p>
    <w:p>
      <w:pPr>
        <w:spacing w:line="576" w:lineRule="exact"/>
        <w:ind w:firstLine="640" w:firstLineChars="200"/>
        <w:outlineLvl w:val="1"/>
        <w:rPr>
          <w:rStyle w:val="19"/>
          <w:rFonts w:ascii="黑体" w:eastAsia="黑体"/>
        </w:rPr>
      </w:pPr>
      <w:r>
        <w:rPr>
          <w:rFonts w:hint="eastAsia" w:ascii="黑体" w:eastAsia="黑体"/>
          <w:color w:val="000000"/>
          <w:sz w:val="32"/>
          <w:szCs w:val="32"/>
        </w:rPr>
        <w:t>八、</w:t>
      </w:r>
      <w:r>
        <w:rPr>
          <w:rStyle w:val="19"/>
          <w:rFonts w:hint="eastAsia" w:ascii="黑体" w:eastAsia="黑体"/>
          <w:b w:val="0"/>
        </w:rPr>
        <w:t>政府性基金预算支出决算情况说明</w:t>
      </w:r>
      <w:bookmarkEnd w:id="44"/>
      <w:bookmarkEnd w:id="45"/>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4503.4</w:t>
      </w:r>
      <w:r>
        <w:rPr>
          <w:rFonts w:hint="eastAsia" w:ascii="仿宋_GB2312" w:eastAsia="仿宋_GB2312"/>
          <w:color w:val="000000"/>
          <w:sz w:val="32"/>
          <w:szCs w:val="32"/>
        </w:rPr>
        <w:t>万元。</w:t>
      </w:r>
    </w:p>
    <w:p>
      <w:pPr>
        <w:numPr>
          <w:ilvl w:val="0"/>
          <w:numId w:val="3"/>
        </w:numPr>
        <w:spacing w:line="576" w:lineRule="exact"/>
        <w:ind w:left="0" w:firstLine="640" w:firstLineChars="200"/>
        <w:outlineLvl w:val="1"/>
        <w:rPr>
          <w:rStyle w:val="19"/>
          <w:rFonts w:ascii="黑体" w:eastAsia="黑体"/>
          <w:b w:val="0"/>
        </w:rPr>
      </w:pPr>
      <w:bookmarkStart w:id="46" w:name="_Toc15396611"/>
      <w:bookmarkStart w:id="47" w:name="_Toc15377219"/>
      <w:r>
        <w:rPr>
          <w:rStyle w:val="19"/>
          <w:rFonts w:hint="eastAsia" w:ascii="黑体" w:eastAsia="黑体"/>
          <w:b w:val="0"/>
        </w:rPr>
        <w:t>国有资本经营预算支出决算情况说明</w:t>
      </w:r>
      <w:bookmarkEnd w:id="46"/>
      <w:bookmarkEnd w:id="47"/>
    </w:p>
    <w:p>
      <w:pPr>
        <w:spacing w:line="576" w:lineRule="exact"/>
        <w:ind w:firstLine="640" w:firstLineChars="200"/>
        <w:rPr>
          <w:rFonts w:ascii="方正小标宋简体" w:eastAsia="方正小标宋简体" w:cs="方正小标宋简体"/>
          <w:sz w:val="44"/>
          <w:szCs w:val="44"/>
        </w:rPr>
      </w:pPr>
      <w:r>
        <w:rPr>
          <w:rFonts w:hint="eastAsia" w:ascii="仿宋_GB2312" w:eastAsia="仿宋_GB2312"/>
          <w:color w:val="000000"/>
          <w:sz w:val="32"/>
          <w:szCs w:val="32"/>
        </w:rPr>
        <w:t xml:space="preserve"> 茂县城市管理局2019年无国有资本经营预算拨款支出。</w:t>
      </w:r>
    </w:p>
    <w:p>
      <w:pPr>
        <w:spacing w:line="576" w:lineRule="exact"/>
        <w:ind w:firstLine="640" w:firstLineChars="200"/>
        <w:outlineLvl w:val="1"/>
        <w:rPr>
          <w:rStyle w:val="19"/>
          <w:rFonts w:ascii="黑体" w:eastAsia="黑体"/>
        </w:rPr>
      </w:pPr>
      <w:bookmarkStart w:id="48" w:name="_Toc15396612"/>
      <w:bookmarkStart w:id="49" w:name="_Toc15377221"/>
      <w:r>
        <w:rPr>
          <w:rFonts w:hint="eastAsia" w:ascii="黑体" w:eastAsia="黑体"/>
          <w:color w:val="000000"/>
          <w:sz w:val="32"/>
          <w:szCs w:val="32"/>
        </w:rPr>
        <w:t>十</w:t>
      </w:r>
      <w:r>
        <w:rPr>
          <w:rStyle w:val="19"/>
          <w:rFonts w:hint="eastAsia" w:ascii="黑体" w:eastAsia="黑体"/>
        </w:rPr>
        <w:t>、</w:t>
      </w:r>
      <w:r>
        <w:rPr>
          <w:rStyle w:val="19"/>
          <w:rFonts w:hint="eastAsia" w:ascii="黑体" w:eastAsia="黑体"/>
          <w:b w:val="0"/>
        </w:rPr>
        <w:t>其他重要事项的情况说明</w:t>
      </w:r>
      <w:bookmarkEnd w:id="48"/>
      <w:bookmarkEnd w:id="49"/>
    </w:p>
    <w:p>
      <w:pPr>
        <w:spacing w:line="576" w:lineRule="exact"/>
        <w:ind w:firstLine="642" w:firstLineChars="200"/>
        <w:outlineLvl w:val="2"/>
        <w:rPr>
          <w:rFonts w:ascii="楷体" w:eastAsia="楷体" w:cs="楷体"/>
          <w:color w:val="000000"/>
          <w:sz w:val="32"/>
          <w:szCs w:val="32"/>
        </w:rPr>
      </w:pPr>
      <w:bookmarkStart w:id="50" w:name="_Toc15377222"/>
      <w:r>
        <w:rPr>
          <w:rFonts w:hint="eastAsia" w:ascii="楷体" w:eastAsia="楷体" w:cs="楷体"/>
          <w:b/>
          <w:color w:val="000000"/>
          <w:sz w:val="32"/>
          <w:szCs w:val="32"/>
        </w:rPr>
        <w:t>（一）机关运行经费支出情况</w:t>
      </w:r>
      <w:bookmarkEnd w:id="50"/>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9年，城市管理局机关运行经费支出31.74万元，比</w:t>
      </w:r>
      <w:r>
        <w:rPr>
          <w:rFonts w:ascii="仿宋_GB2312" w:eastAsia="仿宋_GB2312"/>
          <w:color w:val="000000"/>
          <w:sz w:val="32"/>
          <w:szCs w:val="32"/>
        </w:rPr>
        <w:t>201</w:t>
      </w:r>
      <w:r>
        <w:rPr>
          <w:rFonts w:hint="eastAsia" w:ascii="仿宋_GB2312" w:eastAsia="仿宋_GB2312"/>
          <w:color w:val="000000"/>
          <w:sz w:val="32"/>
          <w:szCs w:val="32"/>
        </w:rPr>
        <w:t>8年减少12.4万元，下降28.09</w:t>
      </w:r>
      <w:r>
        <w:rPr>
          <w:rFonts w:ascii="仿宋_GB2312" w:eastAsia="仿宋_GB2312"/>
          <w:color w:val="000000"/>
          <w:sz w:val="32"/>
          <w:szCs w:val="32"/>
        </w:rPr>
        <w:t>%</w:t>
      </w:r>
      <w:r>
        <w:rPr>
          <w:rFonts w:hint="eastAsia" w:ascii="仿宋_GB2312" w:eastAsia="仿宋_GB2312"/>
          <w:color w:val="000000"/>
          <w:sz w:val="32"/>
          <w:szCs w:val="32"/>
        </w:rPr>
        <w:t>。主要原因是人员减少。</w:t>
      </w:r>
    </w:p>
    <w:p>
      <w:pPr>
        <w:autoSpaceDE w:val="0"/>
        <w:autoSpaceDN w:val="0"/>
        <w:adjustRightInd w:val="0"/>
        <w:spacing w:line="576" w:lineRule="exact"/>
        <w:ind w:firstLine="642" w:firstLineChars="200"/>
        <w:jc w:val="left"/>
        <w:outlineLvl w:val="2"/>
        <w:rPr>
          <w:rFonts w:ascii="楷体" w:eastAsia="楷体" w:cs="楷体"/>
          <w:b/>
          <w:color w:val="000000"/>
          <w:sz w:val="32"/>
          <w:szCs w:val="32"/>
        </w:rPr>
      </w:pPr>
      <w:bookmarkStart w:id="51" w:name="_Toc15377223"/>
      <w:r>
        <w:rPr>
          <w:rFonts w:hint="eastAsia" w:ascii="楷体" w:eastAsia="楷体" w:cs="楷体"/>
          <w:b/>
          <w:color w:val="000000"/>
          <w:sz w:val="32"/>
          <w:szCs w:val="32"/>
        </w:rPr>
        <w:t>（二）政府采购支出情况</w:t>
      </w:r>
      <w:bookmarkEnd w:id="51"/>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城市管理局政府采购支出总额205.72万元，其中：政府采购货物支出0万元、政府采购工程支出0万元、政府采购服务支出205.72万元。主要用于茂县全城城区环卫清扫保洁服务。授予中小企业合同金额205.72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576" w:lineRule="exact"/>
        <w:ind w:firstLine="642" w:firstLineChars="200"/>
        <w:jc w:val="left"/>
        <w:outlineLvl w:val="2"/>
        <w:rPr>
          <w:rFonts w:ascii="仿宋" w:eastAsia="仿宋"/>
          <w:b/>
          <w:color w:val="000000"/>
          <w:sz w:val="32"/>
          <w:szCs w:val="32"/>
        </w:rPr>
      </w:pPr>
      <w:bookmarkStart w:id="52" w:name="_Toc15377224"/>
      <w:r>
        <w:rPr>
          <w:rFonts w:hint="eastAsia" w:ascii="楷体" w:eastAsia="楷体"/>
          <w:b/>
          <w:bCs/>
          <w:color w:val="000000"/>
          <w:sz w:val="32"/>
          <w:szCs w:val="32"/>
        </w:rPr>
        <w:t>（三）国有资产占有使用情况</w:t>
      </w:r>
      <w:bookmarkEnd w:id="52"/>
    </w:p>
    <w:p>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日，城管局共有车辆13辆，其中：领导干部用车0辆、一般公务用车1辆、一般执法执勤用车0辆、特种专业技术用车0辆、其他用车12辆，其他用车主要是用于城管局日常办公及清扫保洁、绿化养护等。单价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城管局共有车辆13辆，其中：主要领导干部用车0辆、一般公务用车1辆、一般执法执勤用车0辆、特种专业技术用车0辆、其他用车12辆，其他用车主要是用于城管局日常办公及清扫保洁、绿化养护等。单价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楷体" w:eastAsia="楷体"/>
          <w:b/>
          <w:bCs/>
          <w:color w:val="000000"/>
          <w:sz w:val="32"/>
          <w:szCs w:val="32"/>
        </w:rPr>
      </w:pPr>
      <w:r>
        <w:rPr>
          <w:rFonts w:hint="eastAsia" w:ascii="楷体" w:eastAsia="楷体"/>
          <w:b/>
          <w:bCs/>
          <w:color w:val="000000"/>
          <w:sz w:val="32"/>
          <w:szCs w:val="32"/>
        </w:rPr>
        <w:t>（四）预算绩效管理情况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根据预算绩效管理要求，预算执行过程中，选取5个项目开展绩效监控，年终执行完毕后，对5个项目开展了绩效目标完成情况梳理填报。</w:t>
      </w:r>
    </w:p>
    <w:p>
      <w:pPr>
        <w:adjustRightInd w:val="0"/>
        <w:snapToGrid w:val="0"/>
        <w:spacing w:line="576"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本部门按要求对2019年部门整体支出开展绩效自评，从评价情况来看</w:t>
      </w:r>
      <w:r>
        <w:rPr>
          <w:rFonts w:hint="eastAsia" w:ascii="仿宋_GB2312" w:eastAsia="仿宋_GB2312"/>
          <w:sz w:val="32"/>
          <w:szCs w:val="32"/>
        </w:rPr>
        <w:t>部门整体资金的绩效目标达到了预期效果，成本控制达到了预期目标，使各部门正常运转，发挥好城市管理局的作用，搞好全城的绿化养护及栽植、全城的环境卫生清扫、市政设施维修维护等工作，为全县老百姓提供了一个舒适优美的环境，为我县下一步创建全域旅游城市打下了基础，今后要加大管理力度，提高工作效率，合理安排人员和资金，用更少的资金办更多的事。</w:t>
      </w:r>
    </w:p>
    <w:p>
      <w:pPr>
        <w:spacing w:line="576" w:lineRule="exact"/>
        <w:ind w:firstLine="642" w:firstLineChars="200"/>
        <w:outlineLvl w:val="1"/>
        <w:rPr>
          <w:rStyle w:val="19"/>
          <w:rFonts w:ascii="仿宋_GB2312" w:eastAsia="仿宋_GB2312"/>
          <w:b w:val="0"/>
          <w:bCs w:val="0"/>
        </w:rPr>
      </w:pPr>
      <w:r>
        <w:rPr>
          <w:rFonts w:hint="eastAsia" w:ascii="楷体" w:eastAsia="楷体" w:cs="楷体_GB2312"/>
          <w:b/>
          <w:bCs/>
          <w:sz w:val="32"/>
          <w:szCs w:val="32"/>
        </w:rPr>
        <w:t>项目绩效目标完成情况</w:t>
      </w:r>
    </w:p>
    <w:p>
      <w:pPr>
        <w:spacing w:line="576"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本部门在2019年度部门决算中反映“2019年度国家重点生态功能区转移支付资金（2019年污水处理厂运行维护费）”,“（茂县城区绿化管护项目）”，“（茂县城区环卫清扫保洁服务项目 ）”“（生活及餐厨垃圾处理费）”“（垃圾清运费）”5个项目绩效目标实际完成情况。</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1.2019年度国家重点生态功能区转移支付资金（2019年污水处理厂运行维护费）项目绩效目标完成情况综述。项目全年预算数 300 万元，执行数为 117.37 万元，完成预算的 39.12 %。通过项目实施，2019年我厂全年共处理污水：121.87万吨，COD削减221.803吨，氨氮削减量：10.6514吨；我厂设计排放标准：《城镇污水处理厂污染物排放标准》（GB18918-2002)一级B标，实际执行《城镇污水处理厂污染物排放标准（GB18918-2002)一级A标。为了确保污水全收集全处理，污水处理厂采取3班倒24小时值班制不间断处理。聘请邛崃中机建公司进行技术指导服务，聘请成都雅奕丰有限公司进行在线监测设备维护服务，聘请成都中测凯乐有限公司进行每月水质监测服务，有效确保了污水处理各项数据指标安全达标。茂县污水处理厂自运行以来，始终坚持以安全生产为基础，采用科学化的管理手段，积极做好生产工艺和生产设备的监控，严格执行设备维修保养制度，保证污水处理厂安全、持续、稳步运行。</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2.茂县城区环卫清扫保洁服务项目绩效目标完成情况综述。项目全年预算数 334.92 万元，执行数为334.92万元，完成预算的100%。通过项目实施，完成茂县城区1、茂县县城公共区域环卫清扫保洁，包含已建成的市政道路、人行道、公共广场、垃圾中转站、雨鼻子、公共围栏、道路边沟、边坡、桥梁、涵洞、果皮箱、垃圾桶、垃圾转运箱等市政公共设施的环境卫生管理和清扫保洁，清扫区域面积约65万平方米。2、公厕管护，县城区8座公共厕所日常运行保洁管理和维修维护。全县城区环境卫生得到明显改善，并充分有效的提高了城区环卫保洁。</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3.垃圾清运费项目绩效目标完成情况综述。项目全年预算数 150 万元，执行数为 150 万元，完成预算的 100 %。通过项目实施完成了茂县城区所有垃圾清运，全年垃圾清运数量28800吨，使全县城区环境卫生得到改善，并充分有效的提高了城区环境卫生干净、整洁。</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4.茂县城区绿化管护项目绩效目标完成情况综述。项目全年预算数 269.97 万元，执行数为  269.97万元，完成预算的 100 %。通过项目实施完成了茂县城区所有园林绿化景观带养护，景观带内所有附属设施的维护以及水景观、龙洞沟、水巷子、药沟、水西沟等临河段的清掏工作。养护总面积896.2亩以及4581株行道树。使全县城区绿化管护得到改善，并充分有效的提高了城区绿化效果。</w:t>
      </w:r>
    </w:p>
    <w:p>
      <w:pPr>
        <w:tabs>
          <w:tab w:val="left" w:pos="312"/>
        </w:tabs>
        <w:spacing w:line="576" w:lineRule="exact"/>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5.污水处理厂调节池</w:t>
      </w:r>
      <w:r>
        <w:rPr>
          <w:rFonts w:hint="default" w:ascii="仿宋_GB2312" w:eastAsia="仿宋_GB2312" w:cs="仿宋_GB2312"/>
          <w:sz w:val="32"/>
          <w:szCs w:val="32"/>
          <w:lang w:val="en-US"/>
        </w:rPr>
        <w:t>建设项目</w:t>
      </w:r>
      <w:r>
        <w:rPr>
          <w:rFonts w:hint="eastAsia" w:ascii="仿宋_GB2312" w:eastAsia="仿宋_GB2312" w:cs="仿宋_GB2312"/>
          <w:sz w:val="32"/>
          <w:szCs w:val="32"/>
        </w:rPr>
        <w:t xml:space="preserve">绩效目标完成情况综述。项目全年预算数 92.28 万元，执行数为 12.8 万元，完成预算的 13.87 %。2019年12月底，污水处理厂新建调节池项目只支付了地勘、环平，项目建议书等费用。通过项目实施实现城市建设与环境建设的经济效益，城市效益及环境效益。 </w:t>
      </w:r>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742"/>
        <w:gridCol w:w="283"/>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b/>
                <w:bCs/>
                <w:color w:val="000000"/>
                <w:kern w:val="0"/>
                <w:szCs w:val="21"/>
              </w:rPr>
              <w:t>项目绩效目标完成情况表</w:t>
            </w:r>
            <w:r>
              <w:rPr>
                <w:rFonts w:hint="eastAsia" w:ascii="宋体" w:cs="宋体"/>
                <w:b/>
                <w:bCs/>
                <w:color w:val="000000"/>
                <w:kern w:val="0"/>
                <w:szCs w:val="21"/>
              </w:rPr>
              <w:br w:type="textWrapping"/>
            </w:r>
            <w:r>
              <w:rPr>
                <w:rFonts w:hint="eastAsia" w:ascii="宋体" w:cs="宋体"/>
                <w:color w:val="000000"/>
                <w:kern w:val="0"/>
                <w:szCs w:val="21"/>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仿宋_GB2312"/>
                <w:szCs w:val="21"/>
              </w:rPr>
              <w:t>2019年度国家重点生态功能区转移支付资金（2019年污水处理厂运行维护费）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宋体"/>
                <w:color w:val="000000"/>
                <w:szCs w:val="21"/>
              </w:rPr>
              <w:t>茂县城市管理局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300万元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117.37万元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36" w:lineRule="exact"/>
              <w:ind w:firstLine="525" w:firstLineChars="250"/>
              <w:rPr>
                <w:rFonts w:ascii="仿宋_GB2312" w:eastAsia="仿宋_GB2312" w:cs="仿宋_GB2312"/>
                <w:szCs w:val="21"/>
              </w:rPr>
            </w:pPr>
            <w:r>
              <w:rPr>
                <w:rFonts w:hint="eastAsia" w:ascii="仿宋_GB2312" w:eastAsia="仿宋_GB2312" w:cs="仿宋_GB2312"/>
                <w:szCs w:val="21"/>
              </w:rPr>
              <w:t>为了确保污水全收集全处理，污水处理厂采取3班倒24小时值班制不间断处理。2019年通过招标将茂县污水处理厂特许经营权交于阿坝州茂县兴蓉有限公司运营。</w:t>
            </w:r>
          </w:p>
          <w:p>
            <w:pPr>
              <w:widowControl/>
              <w:jc w:val="center"/>
              <w:textAlignment w:val="center"/>
              <w:rPr>
                <w:rFonts w:ascii="宋体" w:cs="宋体"/>
                <w:color w:val="000000"/>
                <w:szCs w:val="21"/>
              </w:rPr>
            </w:pP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仿宋_GB2312"/>
                <w:szCs w:val="21"/>
              </w:rPr>
              <w:t>茂县污水处理厂的运行有效减少了COD（化学需氧量）、NH3(氨氮)等主要污染物排放总量，改善了全县水域环境质量，促进了全县经济社会可持续发展。2019年我厂全年共处理污水：121.87万吨，COD削减221.803吨，氨氮削减量：10.6514吨；我厂设计排放标准：《城镇污水处理厂污染物排放标准》（GB18918-2002)一级B标，实际执行《城镇污水处理厂污染物排放标准（GB18918-2002)一级A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一级指标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成本测算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污水处理厂资金预算为300万元。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在2018年度实际支付了117.37万元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处理污水数据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2019年我厂全年共处理污水：121.87万吨，COD削减221.803吨，氨氮削减量：10.6514吨；</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2019年我厂全年共处理污水：121.87万吨，COD削减221.803吨，氨氮削减量：10.6514吨；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当年12月底</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2019年3月底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cs="宋体"/>
                <w:color w:val="000000"/>
                <w:kern w:val="0"/>
                <w:szCs w:val="21"/>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拟达成效</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36" w:lineRule="exact"/>
              <w:ind w:firstLine="420" w:firstLineChars="200"/>
              <w:rPr>
                <w:rFonts w:ascii="仿宋_GB2312" w:eastAsia="仿宋_GB2312" w:cs="仿宋_GB2312"/>
                <w:szCs w:val="21"/>
                <w:lang w:val="zh-CN"/>
              </w:rPr>
            </w:pPr>
            <w:r>
              <w:rPr>
                <w:rFonts w:hint="eastAsia" w:ascii="仿宋_GB2312" w:eastAsia="仿宋_GB2312" w:cs="仿宋_GB2312"/>
                <w:szCs w:val="21"/>
                <w:lang w:val="zh-CN"/>
              </w:rPr>
              <w:t>本工程围绕岷江水质和节能减排，改善茂县县城的排水现状，从原有的不完善的雨污合流制，改善成不完全分流制，对现状雨污合流的沟渠进行截流，将污水接入污水干管，并加大对城市雨污合流片区的改造，远期则达到雨、污完全分流制，同时配合国家和地方环保部门将这项工作做好、做实。使茂县污水处理厂的尾水能够全面达到排放标准，这样有利于控制茂县下游岷江水端的水质污染，彻底改善茂县的环境状况，为民创造良好的居住环境，促进社会稳定发展，为茂县的经济发展提供了更为良好的环境</w:t>
            </w:r>
          </w:p>
          <w:p>
            <w:pPr>
              <w:widowControl/>
              <w:jc w:val="center"/>
              <w:textAlignment w:val="center"/>
              <w:rPr>
                <w:rFonts w:ascii="仿宋_GB2312"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36" w:lineRule="exact"/>
              <w:ind w:firstLine="420" w:firstLineChars="200"/>
              <w:rPr>
                <w:rFonts w:ascii="仿宋_GB2312" w:eastAsia="仿宋_GB2312" w:cs="仿宋_GB2312"/>
                <w:szCs w:val="21"/>
                <w:lang w:val="zh-CN"/>
              </w:rPr>
            </w:pPr>
            <w:r>
              <w:rPr>
                <w:rFonts w:hint="eastAsia" w:ascii="仿宋_GB2312" w:eastAsia="仿宋_GB2312" w:cs="仿宋_GB2312"/>
                <w:szCs w:val="21"/>
                <w:lang w:val="zh-CN"/>
              </w:rPr>
              <w:t>本工程围绕岷江水质和节能减排，改善茂县县城的排水现状，从原有的不完善的雨污合流制，改善成不完全分流制，对现状雨污合流的沟渠进行截流，将污水接入污水干管，并加大对城市雨污合流片区的改造，远期则达到雨、污完全分流制，同时配合国家和地方环保部门将这项工作做好、做实。使茂县污水处理厂的尾水能够全面达到排放标准，这样有利于控制茂县下游岷江水端的水质污染，彻底改善茂县的环境状况，为民创造良好的居住环境，促进社会稳定发展，为茂县的经济发展提供了更为良好的环境</w:t>
            </w:r>
          </w:p>
          <w:p>
            <w:pPr>
              <w:widowControl/>
              <w:jc w:val="center"/>
              <w:textAlignment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开展工作满意度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预期满意度为100%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实际满意度为95%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b/>
                <w:bCs/>
                <w:color w:val="000000"/>
                <w:kern w:val="0"/>
                <w:szCs w:val="21"/>
              </w:rPr>
              <w:t>项目绩效目标完成情况表</w:t>
            </w:r>
            <w:r>
              <w:rPr>
                <w:rFonts w:hint="eastAsia" w:ascii="宋体" w:cs="宋体"/>
                <w:b/>
                <w:bCs/>
                <w:color w:val="000000"/>
                <w:kern w:val="0"/>
                <w:szCs w:val="21"/>
              </w:rPr>
              <w:br w:type="textWrapping"/>
            </w:r>
            <w:r>
              <w:rPr>
                <w:rFonts w:hint="eastAsia" w:ascii="宋体" w:cs="宋体"/>
                <w:color w:val="000000"/>
                <w:kern w:val="0"/>
                <w:szCs w:val="21"/>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仿宋_GB2312"/>
                <w:szCs w:val="21"/>
              </w:rPr>
              <w:t>茂县城区绿化管护项目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宋体"/>
                <w:color w:val="000000"/>
                <w:szCs w:val="21"/>
              </w:rPr>
              <w:t>茂县城市管理局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194.44万元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193.63万元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完成茂县城区所有园林绿化景观带养护，景观带内所有附属设施的维护以及水景观、龙洞沟、水巷子、药沟、水西沟等临河段的清掏工作。</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完成茂县城区所有园林绿化景观带养护，景观带内所有附属设施的维护以及水景观、龙洞沟、水巷子、药沟、水西沟等临河段的清掏工作。养护总面积896.2亩以及4581株行道树。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绩效指标完成情况</w:t>
            </w: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一级指标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成本测算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绿化管护项目资金预算194.44万元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在2019年度实际支付了193.63万元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完成养护数据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成茂县城区所有园林绿化景观带养护，景观带内所有附属设施的维护以及水景观、龙洞沟、水巷子、药沟、水西沟等临河段的清掏工作。养护总面积896.2亩以及4581株行道树。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成茂县城区所有园林绿化景观带养护，景观带内所有附属设施的维护以及水景观、龙洞沟、水巷子、药沟、水西沟等临河段的清掏工作。养护总面积896.2亩以及4581株行道树。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项目完成指标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2018年3月</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2019年3月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cs="宋体"/>
                <w:color w:val="000000"/>
                <w:kern w:val="0"/>
                <w:szCs w:val="21"/>
              </w:rPr>
              <w:t>效益指标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达到效益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仿宋_GB2312"/>
                <w:szCs w:val="21"/>
              </w:rPr>
              <w:t>全县城区绿化管护得到改善，并充分有效的提高了城区绿化效果</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仿宋_GB2312" w:eastAsia="仿宋_GB2312" w:cs="仿宋_GB2312"/>
                <w:szCs w:val="21"/>
              </w:rPr>
              <w:t>全县城区绿化管护得到改善，并充分有效的提高了城区绿化效果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21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kern w:val="0"/>
                <w:szCs w:val="21"/>
              </w:rPr>
              <w:t>满意度指标</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开展工作满意度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预期满意度为100%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实际满意度为90%</w:t>
            </w:r>
          </w:p>
        </w:tc>
      </w:tr>
    </w:tbl>
    <w:p>
      <w:pPr>
        <w:spacing w:line="580" w:lineRule="exact"/>
        <w:rPr>
          <w:rFonts w:asci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b/>
                <w:bCs/>
                <w:color w:val="000000"/>
                <w:kern w:val="0"/>
                <w:sz w:val="24"/>
              </w:rPr>
              <w:t>项目绩效目标完成情况表</w:t>
            </w:r>
            <w:r>
              <w:rPr>
                <w:rFonts w:hint="eastAsia" w:ascii="仿宋_GB2312" w:eastAsia="仿宋_GB2312" w:cs="仿宋_GB2312"/>
                <w:b/>
                <w:bCs/>
                <w:color w:val="000000"/>
                <w:kern w:val="0"/>
                <w:sz w:val="24"/>
              </w:rPr>
              <w:br w:type="textWrapping"/>
            </w:r>
            <w:r>
              <w:rPr>
                <w:rFonts w:hint="eastAsia" w:ascii="仿宋_GB2312" w:eastAsia="仿宋_GB2312" w:cs="仿宋_GB2312"/>
                <w:color w:val="000000"/>
                <w:kern w:val="0"/>
                <w:sz w:val="24"/>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垃圾清运费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150万元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完成茂县城区所有垃圾清运。</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4786" w:type="dxa"/>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完成茂县城区所有垃圾清运，全年垃圾清运数量28800吨，</w:t>
                  </w:r>
                </w:p>
              </w:tc>
            </w:tr>
          </w:tbl>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垃圾清运项目资金预算150万元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在2019年度实际支付了150万元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完成养护数据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完成茂县城区所有垃圾清运工作</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完成茂县城区所有垃圾清运工作，全年垃圾清运数量28800吨。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2018年6月</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2019年5月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达到效益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全县城区环境卫生得到改善，并充分有效的提高了城区环境卫生干净、整洁</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全县城区环境卫生得到改善，并充分有效的提高了城区环境卫生干净、整洁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开展工作满意度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预期满意度为100%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实际满意度为93%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eastAsia="仿宋_GB2312" w:cs="仿宋_GB2312"/>
                <w:b/>
                <w:bCs/>
                <w:color w:val="000000"/>
                <w:kern w:val="0"/>
                <w:sz w:val="24"/>
              </w:rPr>
            </w:pPr>
          </w:p>
          <w:p>
            <w:pPr>
              <w:widowControl/>
              <w:textAlignment w:val="center"/>
              <w:rPr>
                <w:rFonts w:ascii="仿宋_GB2312" w:eastAsia="仿宋_GB2312" w:cs="仿宋_GB2312"/>
                <w:b/>
                <w:bCs/>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6" w:hRule="atLeast"/>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b/>
                <w:bCs/>
                <w:color w:val="000000"/>
                <w:kern w:val="0"/>
                <w:sz w:val="24"/>
              </w:rPr>
              <w:t>项目绩效目标完成情况表</w:t>
            </w:r>
            <w:r>
              <w:rPr>
                <w:rFonts w:hint="eastAsia" w:ascii="仿宋_GB2312" w:eastAsia="仿宋_GB2312" w:cs="仿宋_GB2312"/>
                <w:b/>
                <w:bCs/>
                <w:color w:val="000000"/>
                <w:kern w:val="0"/>
                <w:sz w:val="24"/>
              </w:rPr>
              <w:br w:type="textWrapping"/>
            </w:r>
            <w:r>
              <w:rPr>
                <w:rFonts w:hint="eastAsia" w:ascii="仿宋_GB2312" w:eastAsia="仿宋_GB2312" w:cs="仿宋_GB2312"/>
                <w:color w:val="000000"/>
                <w:kern w:val="0"/>
                <w:sz w:val="24"/>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sz w:val="24"/>
              </w:rPr>
            </w:pPr>
            <w:r>
              <w:rPr>
                <w:rFonts w:hint="eastAsia" w:ascii="仿宋_GB2312" w:eastAsia="仿宋_GB2312" w:cs="仿宋_GB2312"/>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sz w:val="24"/>
              </w:rPr>
            </w:pPr>
            <w:r>
              <w:rPr>
                <w:rFonts w:hint="eastAsia" w:ascii="仿宋_GB2312" w:eastAsia="仿宋_GB2312" w:cs="仿宋_GB2312"/>
                <w:sz w:val="24"/>
              </w:rPr>
              <w:t>茂县城区环卫清扫保洁服务项目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225.91万元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225.91万元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5"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sz w:val="24"/>
              </w:rPr>
              <w:t>完成茂县城区1、茂县县城公共区域环卫清扫保洁，包含已建成的市政道路、人行道、公共广场、垃圾中转站、雨鼻子、公共围栏、道路边沟、边坡、桥梁、涵洞、果皮箱、垃圾桶、垃圾转运箱等市政公共设施的环境卫生管理和清扫保洁，清扫区域面积约65万平方米。2、公厕管护，县城区8座公共厕所日常运行保洁管理和维修维护。</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4786" w:type="dxa"/>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sz w:val="24"/>
                    </w:rPr>
                    <w:t>完成茂县城区1、茂县县城公共区域环卫清扫保洁，包含已建成的市政道路、人行道、公共广场、垃圾中转站、雨鼻子、公共围栏、道路边沟、边坡、桥梁、涵洞、果皮箱、垃圾桶、垃圾转运箱等市政公共设施的环境卫生管理和清扫保洁，清扫区域面积约65万平方米。2、公厕管护，县城区8座公共厕所日常运行保洁管理和维修维护。</w:t>
                  </w:r>
                </w:p>
              </w:tc>
            </w:tr>
          </w:tbl>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清扫保洁服务项目资金预算225.91万元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在2019年度实际支付了225.91万元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完成清扫保洁数据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完成茂县城区公共区域环卫保洁</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完成茂县城区公共区域环卫保洁，清扫面积65万平方米，含8座城区公厕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2018年7月</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2019年7月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达到效益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全县城区环境卫生得到明显改善，并充分有效的提高了城区环卫保洁。</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全县城区环境卫生得到明显改善，并充分有效的提高了城区环卫保洁。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开展工作满意度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预期满意度为100%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实际满意度为95%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eastAsia="仿宋_GB2312" w:cs="仿宋_GB2312"/>
                <w:b/>
                <w:bCs/>
                <w:color w:val="000000"/>
                <w:kern w:val="0"/>
                <w:sz w:val="24"/>
              </w:rPr>
            </w:pPr>
          </w:p>
          <w:p>
            <w:pPr>
              <w:widowControl/>
              <w:jc w:val="center"/>
              <w:textAlignment w:val="center"/>
              <w:rPr>
                <w:rFonts w:ascii="仿宋_GB2312" w:eastAsia="仿宋_GB2312" w:cs="仿宋_GB2312"/>
                <w:b/>
                <w:bCs/>
                <w:color w:val="000000"/>
                <w:kern w:val="0"/>
                <w:sz w:val="24"/>
              </w:rPr>
            </w:pPr>
          </w:p>
          <w:p>
            <w:pPr>
              <w:widowControl/>
              <w:jc w:val="center"/>
              <w:textAlignment w:val="center"/>
              <w:rPr>
                <w:rFonts w:ascii="仿宋_GB2312" w:eastAsia="仿宋_GB2312" w:cs="仿宋_GB2312"/>
                <w:b/>
                <w:bCs/>
                <w:color w:val="000000"/>
                <w:kern w:val="0"/>
                <w:sz w:val="24"/>
              </w:rPr>
            </w:pPr>
          </w:p>
          <w:p>
            <w:pPr>
              <w:widowControl/>
              <w:jc w:val="center"/>
              <w:textAlignment w:val="center"/>
              <w:rPr>
                <w:rFonts w:ascii="仿宋_GB2312" w:eastAsia="仿宋_GB2312" w:cs="仿宋_GB2312"/>
                <w:b/>
                <w:bCs/>
                <w:color w:val="000000"/>
                <w:kern w:val="0"/>
                <w:sz w:val="24"/>
              </w:rPr>
            </w:pPr>
          </w:p>
          <w:p>
            <w:pPr>
              <w:widowControl/>
              <w:jc w:val="center"/>
              <w:textAlignment w:val="center"/>
              <w:rPr>
                <w:rFonts w:ascii="仿宋_GB2312" w:eastAsia="仿宋_GB2312" w:cs="仿宋_GB2312"/>
                <w:b/>
                <w:bCs/>
                <w:color w:val="000000"/>
                <w:kern w:val="0"/>
                <w:sz w:val="24"/>
              </w:rPr>
            </w:pPr>
          </w:p>
          <w:p>
            <w:pPr>
              <w:widowControl/>
              <w:textAlignment w:val="center"/>
              <w:rPr>
                <w:rFonts w:ascii="仿宋_GB2312" w:eastAsia="仿宋_GB2312" w:cs="仿宋_GB2312"/>
                <w:b/>
                <w:bCs/>
                <w:color w:val="000000"/>
                <w:kern w:val="0"/>
                <w:sz w:val="24"/>
              </w:rPr>
            </w:pPr>
          </w:p>
          <w:p>
            <w:pPr>
              <w:widowControl/>
              <w:jc w:val="center"/>
              <w:textAlignment w:val="center"/>
              <w:rPr>
                <w:rFonts w:ascii="仿宋_GB2312" w:eastAsia="仿宋_GB2312" w:cs="仿宋_GB2312"/>
                <w:color w:val="000000"/>
                <w:sz w:val="24"/>
              </w:rPr>
            </w:pPr>
            <w:r>
              <w:rPr>
                <w:rFonts w:hint="eastAsia" w:ascii="仿宋_GB2312" w:eastAsia="仿宋_GB2312" w:cs="仿宋_GB2312"/>
                <w:b/>
                <w:bCs/>
                <w:color w:val="000000"/>
                <w:kern w:val="0"/>
                <w:sz w:val="24"/>
              </w:rPr>
              <w:t>项目绩效目标完成情况表</w:t>
            </w:r>
            <w:r>
              <w:rPr>
                <w:rFonts w:hint="eastAsia" w:ascii="仿宋_GB2312" w:eastAsia="仿宋_GB2312" w:cs="仿宋_GB2312"/>
                <w:b/>
                <w:bCs/>
                <w:color w:val="000000"/>
                <w:kern w:val="0"/>
                <w:sz w:val="24"/>
              </w:rPr>
              <w:br w:type="textWrapping"/>
            </w:r>
            <w:r>
              <w:rPr>
                <w:rFonts w:hint="eastAsia" w:ascii="仿宋_GB2312" w:eastAsia="仿宋_GB2312" w:cs="仿宋_GB2312"/>
                <w:color w:val="000000"/>
                <w:kern w:val="0"/>
                <w:sz w:val="24"/>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sz w:val="24"/>
              </w:rPr>
              <w:t>污水处理厂调节池建设项目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92.28万元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_GB2312" w:eastAsia="仿宋_GB2312" w:cs="仿宋_GB2312"/>
                <w:color w:val="000000"/>
                <w:sz w:val="24"/>
              </w:rPr>
            </w:pPr>
            <w:r>
              <w:rPr>
                <w:rFonts w:hint="eastAsia" w:ascii="仿宋_GB2312" w:eastAsia="仿宋_GB2312" w:cs="仿宋_GB2312"/>
                <w:color w:val="000000"/>
                <w:sz w:val="24"/>
              </w:rPr>
              <w:t>新建污水处理厂调节池1680立方米、配套管网设施，提升泵及调节池安全防护设施</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到2019年12月底，污水处理厂新建调节池项目只支付了地勘、环平，项目建议书等费用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调节池建配套设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新建污水处理厂调节池1680立方米、配套管网设施，提升泵及调节池安全防护设施</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2019年12月底，污水处理厂新建调节池项目只支付了地勘、环平，项目建议书等费用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年初预算为92.28万元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年底实际执行为12.8万元，</w:t>
            </w:r>
            <w:r>
              <w:rPr>
                <w:rFonts w:hint="eastAsia" w:ascii="仿宋_GB2312" w:eastAsia="仿宋_GB2312" w:cs="仿宋_GB2312"/>
                <w:sz w:val="24"/>
              </w:rPr>
              <w:t>完成预算的13.87%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当年12月底</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2019年12月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随着城市现代化建设迅速发展，生活污水排放量不断增加，使得现有污水处理调节池无法达到污水处理调节作用。过多得生活污水排放量超出现有的污水调节池调节功能，造成调节池不能满足使用，为解决上述问题，改善使用功能，实现城市建设与环境建设的经济效益，城市效益及环境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随着城市现代化建设迅速发展，生活污水排放量不断增加，使得现有污水处理调节池无法达到污水处理调节作用。过多得生活污水排放量超出现有的污水调节池调节功能，造成调节池不能满足使用，为解决上述问题，改善使用功能，实现城市建设与环境建设的经济效益，城市效益及环境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开展工作满意度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预期满意度为100%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实际满意度为80%</w:t>
            </w:r>
          </w:p>
        </w:tc>
      </w:tr>
    </w:tbl>
    <w:p>
      <w:pPr>
        <w:spacing w:line="576" w:lineRule="exact"/>
        <w:ind w:firstLine="642" w:firstLineChars="200"/>
        <w:outlineLvl w:val="1"/>
        <w:rPr>
          <w:rFonts w:ascii="楷体" w:eastAsia="楷体" w:cs="楷体"/>
          <w:b/>
          <w:bCs/>
          <w:sz w:val="32"/>
          <w:szCs w:val="32"/>
        </w:rPr>
      </w:pPr>
    </w:p>
    <w:p>
      <w:pPr>
        <w:spacing w:line="576" w:lineRule="exact"/>
        <w:ind w:firstLine="642" w:firstLineChars="200"/>
        <w:outlineLvl w:val="1"/>
        <w:rPr>
          <w:rFonts w:ascii="楷体" w:eastAsia="楷体" w:cs="楷体"/>
          <w:sz w:val="32"/>
          <w:szCs w:val="32"/>
        </w:rPr>
      </w:pPr>
      <w:r>
        <w:rPr>
          <w:rFonts w:hint="eastAsia" w:ascii="楷体" w:eastAsia="楷体" w:cs="楷体"/>
          <w:b/>
          <w:bCs/>
          <w:sz w:val="32"/>
          <w:szCs w:val="32"/>
        </w:rPr>
        <w:t>2.部门开展绩效评价结果</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本部门按要求对2019年部门整体支出绩效评价情况开展自评，《城管局2019年部门整体支出绩效评价报告》见附件。</w:t>
      </w:r>
    </w:p>
    <w:p>
      <w:pPr>
        <w:spacing w:line="580" w:lineRule="exact"/>
        <w:rPr>
          <w:rFonts w:asci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18"/>
          <w:rFonts w:ascii="黑体" w:eastAsia="黑体"/>
          <w:b w:val="0"/>
        </w:rPr>
      </w:pPr>
      <w:bookmarkStart w:id="53" w:name="_Toc15396613"/>
      <w:bookmarkStart w:id="54" w:name="_Toc15377225"/>
      <w:r>
        <w:rPr>
          <w:rFonts w:hint="eastAsia" w:ascii="黑体" w:eastAsia="黑体"/>
          <w:color w:val="000000"/>
          <w:sz w:val="44"/>
          <w:szCs w:val="44"/>
        </w:rPr>
        <w:t>名</w:t>
      </w:r>
      <w:r>
        <w:rPr>
          <w:rStyle w:val="18"/>
          <w:rFonts w:hint="eastAsia" w:ascii="黑体" w:eastAsia="黑体"/>
          <w:b w:val="0"/>
        </w:rPr>
        <w:t>词解释</w:t>
      </w:r>
      <w:bookmarkEnd w:id="53"/>
      <w:bookmarkEnd w:id="5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bCs/>
          <w:color w:val="000000"/>
          <w:sz w:val="32"/>
          <w:szCs w:val="32"/>
        </w:rPr>
        <w:t>9.城乡社区支出（类）城乡社区管理事务（款）其他城乡社区管理事务支出（项）：指除上述项目以外其他用于城乡社区管理食物方面的支出。</w:t>
      </w:r>
    </w:p>
    <w:p>
      <w:pPr>
        <w:spacing w:line="576" w:lineRule="exact"/>
        <w:ind w:firstLine="800" w:firstLineChars="250"/>
        <w:rPr>
          <w:rStyle w:val="14"/>
          <w:rFonts w:ascii="仿宋_GB2312" w:eastAsia="仿宋_GB2312"/>
          <w:b w:val="0"/>
          <w:color w:val="000000"/>
          <w:sz w:val="32"/>
          <w:szCs w:val="32"/>
        </w:rPr>
      </w:pPr>
      <w:r>
        <w:rPr>
          <w:rStyle w:val="14"/>
          <w:rFonts w:hint="eastAsia" w:ascii="仿宋_GB2312" w:eastAsia="仿宋_GB2312"/>
          <w:b w:val="0"/>
          <w:bCs/>
          <w:color w:val="000000"/>
          <w:sz w:val="32"/>
          <w:szCs w:val="32"/>
        </w:rPr>
        <w:t>10.城乡社区支出（类）国有土地使用权出让收入及对应专项债务收入安排的支出（款）其他国有土地使用权出让收入安排的支出（项）:指土地出让收入，用于其他方面的支出。不包括市县级政府当年按规定用土地出让收入向中央和省级政府缴纳的新增建设用地土地有偿使用费支出。</w:t>
      </w:r>
    </w:p>
    <w:p>
      <w:pPr>
        <w:spacing w:line="576"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bCs/>
          <w:color w:val="000000"/>
          <w:sz w:val="32"/>
          <w:szCs w:val="32"/>
        </w:rPr>
        <w:t>11.城乡社区支出（类）国有土地收益基金及对应专项债务收入安排的支出（款）其他国有土地收益基金支出（项）：指从国有土地收益基金安排用于其他支出。</w:t>
      </w:r>
    </w:p>
    <w:p>
      <w:pPr>
        <w:spacing w:line="576"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bCs/>
          <w:color w:val="000000"/>
          <w:sz w:val="32"/>
          <w:szCs w:val="32"/>
        </w:rPr>
        <w:t>12.城乡社区支出（类）城市基础设施配套费及对应专项债务收入安排的支出（款）城市环境卫生支出（项）：指城乡社区道路清扫、垃圾清运与处理、公厕建设与维护，园林绿化等方面的支出。</w:t>
      </w:r>
    </w:p>
    <w:p>
      <w:pPr>
        <w:spacing w:line="576" w:lineRule="exact"/>
        <w:ind w:firstLine="640" w:firstLineChars="200"/>
        <w:rPr>
          <w:rFonts w:ascii="仿宋_GB2312" w:eastAsia="仿宋_GB2312"/>
          <w:color w:val="000000"/>
          <w:sz w:val="32"/>
          <w:szCs w:val="32"/>
        </w:rPr>
      </w:pPr>
      <w:r>
        <w:rPr>
          <w:rStyle w:val="14"/>
          <w:rFonts w:hint="eastAsia" w:ascii="仿宋_GB2312" w:eastAsia="仿宋_GB2312"/>
          <w:b w:val="0"/>
          <w:bCs/>
          <w:color w:val="000000"/>
          <w:sz w:val="32"/>
          <w:szCs w:val="32"/>
        </w:rPr>
        <w:t>13.节能环保支出（类）自然生态保护（款）生态保护（项）: 指用于生态功能保护区、生态示范区、生态省（市、县）管理及能力建设、日常管护、宣教、试点示范等支出，生态修复支出，资源开发生态监管等支出。</w:t>
      </w:r>
    </w:p>
    <w:p>
      <w:pPr>
        <w:spacing w:line="576" w:lineRule="exact"/>
        <w:ind w:firstLine="640" w:firstLineChars="200"/>
        <w:rPr>
          <w:rFonts w:ascii="仿宋_GB2312" w:eastAsia="仿宋_GB2312"/>
          <w:color w:val="000000"/>
          <w:sz w:val="32"/>
          <w:szCs w:val="32"/>
        </w:rPr>
      </w:pPr>
      <w:r>
        <w:rPr>
          <w:rStyle w:val="14"/>
          <w:rFonts w:hint="eastAsia" w:ascii="仿宋_GB2312" w:eastAsia="仿宋_GB2312"/>
          <w:b w:val="0"/>
          <w:bCs/>
          <w:color w:val="000000"/>
          <w:sz w:val="32"/>
          <w:szCs w:val="32"/>
        </w:rPr>
        <w:t>14.社会保障和就业支出（类）行政事业单位离退休费（款）机关事业单位基本养老保险缴费支出（项）: 指机关事业单位实施养老保险制度由单位缴纳的养老保险费支出。</w:t>
      </w:r>
    </w:p>
    <w:p>
      <w:pPr>
        <w:spacing w:line="576" w:lineRule="exact"/>
        <w:ind w:firstLine="640" w:firstLineChars="200"/>
        <w:rPr>
          <w:rFonts w:ascii="仿宋_GB2312" w:eastAsia="仿宋_GB2312"/>
          <w:color w:val="000000"/>
          <w:sz w:val="32"/>
          <w:szCs w:val="32"/>
        </w:rPr>
      </w:pPr>
      <w:r>
        <w:rPr>
          <w:rStyle w:val="14"/>
          <w:rFonts w:hint="eastAsia" w:ascii="仿宋_GB2312" w:eastAsia="仿宋_GB2312"/>
          <w:b w:val="0"/>
          <w:bCs/>
          <w:color w:val="000000"/>
          <w:sz w:val="32"/>
          <w:szCs w:val="32"/>
        </w:rPr>
        <w:t>15.社会保障和就业支出（类）行政事业单位离退休费（款）机关事业单位职业年金缴费支出（项）: 指机关事业单位实施养老保险制度由单位实际缴纳的职业年金支出。</w:t>
      </w:r>
    </w:p>
    <w:p>
      <w:pPr>
        <w:spacing w:line="576"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bCs/>
          <w:color w:val="000000"/>
          <w:sz w:val="32"/>
          <w:szCs w:val="32"/>
        </w:rPr>
        <w:t>16.医疗卫生与计划生育（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pPr>
        <w:spacing w:line="576" w:lineRule="exact"/>
        <w:ind w:firstLine="640" w:firstLineChars="200"/>
        <w:rPr>
          <w:rStyle w:val="14"/>
          <w:rFonts w:ascii="仿宋_GB2312" w:eastAsia="仿宋_GB2312"/>
          <w:b w:val="0"/>
          <w:bCs/>
          <w:color w:val="000000"/>
          <w:sz w:val="32"/>
          <w:szCs w:val="32"/>
        </w:rPr>
      </w:pPr>
      <w:r>
        <w:rPr>
          <w:rStyle w:val="14"/>
          <w:rFonts w:hint="eastAsia" w:ascii="仿宋_GB2312" w:eastAsia="仿宋_GB2312"/>
          <w:b w:val="0"/>
          <w:bCs/>
          <w:color w:val="000000"/>
          <w:sz w:val="32"/>
          <w:szCs w:val="32"/>
        </w:rPr>
        <w:t>17.医疗卫生与计划生育（类）行政事业单位医疗（款）事业单位医疗（项）:指指财政部门安排的事业单位基本医疗保险缴费经费，未参加医疗保险的行政单位的公费医疗经费，按国家规定享受离休人员的医疗经费。</w:t>
      </w:r>
    </w:p>
    <w:p>
      <w:pPr>
        <w:spacing w:line="576" w:lineRule="exact"/>
        <w:ind w:firstLine="640" w:firstLineChars="200"/>
        <w:rPr>
          <w:rFonts w:ascii="仿宋_GB2312" w:eastAsia="仿宋_GB2312"/>
          <w:color w:val="000000"/>
          <w:sz w:val="32"/>
          <w:szCs w:val="32"/>
        </w:rPr>
      </w:pPr>
      <w:r>
        <w:rPr>
          <w:rStyle w:val="14"/>
          <w:rFonts w:hint="eastAsia" w:ascii="仿宋_GB2312" w:eastAsia="仿宋_GB2312"/>
          <w:b w:val="0"/>
          <w:bCs/>
          <w:color w:val="000000"/>
          <w:sz w:val="32"/>
          <w:szCs w:val="32"/>
        </w:rPr>
        <w:t>18.住房保障支出（类）住房改革支出（款）住房公积金（项）: 指行政事业单位按人力资源和社会保障部、财政部规定的基本工资和津贴补贴以及规定比例为职工缴纳的住房公积金。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22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olor w:val="000000"/>
          <w:sz w:val="32"/>
          <w:szCs w:val="32"/>
        </w:rPr>
      </w:pPr>
    </w:p>
    <w:p>
      <w:pPr>
        <w:spacing w:line="600" w:lineRule="exact"/>
        <w:jc w:val="center"/>
        <w:outlineLvl w:val="0"/>
        <w:rPr>
          <w:rStyle w:val="18"/>
          <w:rFonts w:ascii="黑体" w:eastAsia="黑体"/>
          <w:b w:val="0"/>
        </w:rPr>
      </w:pPr>
      <w:bookmarkStart w:id="55" w:name="_Toc15377226"/>
      <w:r>
        <w:rPr>
          <w:rFonts w:ascii="宋体"/>
          <w:b/>
          <w:color w:val="000000"/>
          <w:sz w:val="44"/>
          <w:szCs w:val="44"/>
        </w:rPr>
        <w:br w:type="page"/>
      </w:r>
    </w:p>
    <w:p>
      <w:pPr>
        <w:numPr>
          <w:ilvl w:val="0"/>
          <w:numId w:val="4"/>
        </w:numPr>
        <w:spacing w:line="576" w:lineRule="exact"/>
        <w:ind w:left="0" w:firstLine="660" w:firstLineChars="150"/>
        <w:jc w:val="center"/>
        <w:outlineLvl w:val="0"/>
        <w:rPr>
          <w:rStyle w:val="18"/>
          <w:rFonts w:ascii="方正小标宋简体" w:eastAsia="方正小标宋简体" w:cs="方正小标宋简体"/>
          <w:b w:val="0"/>
        </w:rPr>
      </w:pPr>
      <w:r>
        <w:rPr>
          <w:rStyle w:val="18"/>
          <w:rFonts w:hint="eastAsia" w:ascii="方正小标宋简体" w:eastAsia="方正小标宋简体" w:cs="方正小标宋简体"/>
          <w:b w:val="0"/>
        </w:rPr>
        <w:t xml:space="preserve"> 附件</w:t>
      </w:r>
    </w:p>
    <w:p>
      <w:pPr>
        <w:spacing w:line="576" w:lineRule="exact"/>
        <w:ind w:left="315" w:leftChars="150"/>
        <w:outlineLvl w:val="0"/>
        <w:rPr>
          <w:rStyle w:val="18"/>
          <w:rFonts w:ascii="方正小标宋简体" w:eastAsia="方正小标宋简体" w:cs="方正小标宋简体"/>
          <w:b w:val="0"/>
        </w:rPr>
      </w:pPr>
    </w:p>
    <w:p>
      <w:pPr>
        <w:spacing w:line="576" w:lineRule="exact"/>
        <w:jc w:val="center"/>
        <w:outlineLvl w:val="0"/>
        <w:rPr>
          <w:rFonts w:ascii="方正小标宋简体" w:eastAsia="方正小标宋简体" w:cs="方正小标宋简体"/>
          <w:sz w:val="44"/>
          <w:szCs w:val="44"/>
        </w:rPr>
      </w:pPr>
      <w:bookmarkStart w:id="56" w:name="_Toc15396616"/>
      <w:r>
        <w:rPr>
          <w:rFonts w:hint="eastAsia" w:ascii="方正小标宋简体" w:eastAsia="方正小标宋简体" w:cs="方正小标宋简体"/>
          <w:sz w:val="44"/>
          <w:szCs w:val="44"/>
        </w:rPr>
        <w:t>城市管理局2019年部门整体支出绩效评价报告</w:t>
      </w:r>
      <w:bookmarkEnd w:id="56"/>
    </w:p>
    <w:p>
      <w:pPr>
        <w:spacing w:line="576" w:lineRule="exact"/>
        <w:ind w:firstLine="880" w:firstLineChars="200"/>
        <w:jc w:val="center"/>
        <w:outlineLvl w:val="0"/>
        <w:rPr>
          <w:rFonts w:ascii="方正小标宋简体" w:eastAsia="方正小标宋简体" w:cs="方正小标宋简体"/>
          <w:sz w:val="44"/>
          <w:szCs w:val="44"/>
        </w:rPr>
      </w:pPr>
    </w:p>
    <w:p>
      <w:pPr>
        <w:pStyle w:val="3"/>
        <w:spacing w:line="576" w:lineRule="exact"/>
        <w:ind w:firstLine="640" w:firstLineChars="200"/>
        <w:rPr>
          <w:rFonts w:ascii="黑体" w:eastAsia="黑体"/>
          <w:b w:val="0"/>
          <w:bCs w:val="0"/>
          <w:color w:val="000000"/>
        </w:rPr>
      </w:pPr>
      <w:r>
        <w:rPr>
          <w:rFonts w:hint="eastAsia" w:ascii="黑体" w:eastAsia="黑体" w:cs="黑体"/>
          <w:b w:val="0"/>
          <w:bCs w:val="0"/>
        </w:rPr>
        <w:t>一、部门概况</w:t>
      </w:r>
    </w:p>
    <w:p>
      <w:pPr>
        <w:spacing w:line="576" w:lineRule="exact"/>
        <w:ind w:firstLine="642" w:firstLineChars="200"/>
        <w:rPr>
          <w:rFonts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（一）机构组成</w:t>
      </w:r>
    </w:p>
    <w:p>
      <w:pPr>
        <w:widowControl/>
        <w:adjustRightInd w:val="0"/>
        <w:snapToGrid w:val="0"/>
        <w:spacing w:line="576" w:lineRule="exact"/>
        <w:ind w:firstLine="640" w:firstLineChars="20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茂县城市管理局，于2007年12月经</w:t>
      </w:r>
      <w:r>
        <w:rPr>
          <w:rFonts w:hint="eastAsia" w:ascii="仿宋_GB2312" w:eastAsia="仿宋_GB2312"/>
          <w:sz w:val="32"/>
          <w:szCs w:val="32"/>
        </w:rPr>
        <w:t>茂县机构编制委员会批复正式成立</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sz w:val="32"/>
          <w:szCs w:val="32"/>
        </w:rPr>
        <w:t>机构性质为参照公务员管理的事业单位</w:t>
      </w:r>
      <w:r>
        <w:rPr>
          <w:rFonts w:hint="eastAsia" w:ascii="仿宋_GB2312" w:eastAsia="仿宋_GB2312" w:cs="宋体"/>
          <w:color w:val="000000"/>
          <w:kern w:val="0"/>
          <w:sz w:val="32"/>
          <w:szCs w:val="32"/>
          <w:shd w:val="clear" w:color="auto" w:fill="FFFFFF"/>
          <w:lang w:val="zh-CN"/>
        </w:rPr>
        <w:t>，单位内设城市管理局机关、城监执法大队、清洁卫生管理所构成。</w:t>
      </w:r>
    </w:p>
    <w:p>
      <w:pPr>
        <w:spacing w:line="576" w:lineRule="exact"/>
        <w:ind w:firstLine="642" w:firstLineChars="200"/>
        <w:rPr>
          <w:rFonts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（二）机构职能</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依照国务院《城市市容和环境卫生管理条例》、《城市道路管理条例》，《城市绿化条例》，建设部《城市道路照明设施管理规定》、《城建监察规定》及《四川省城市市容和环境卫生管理条例》、《四川省城市园林绿化条例》等法规，对城市市容市貌、园林绿化、环境卫生、市政设施（道路、照明、河道、排水）维护实施全面管理。</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1.按照有关法律、法规、规章和政府的决定，做好城市管理工作。</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2.贯彻执行国家和地方关于城市市容市貌、园林绿化、环境卫生、市政设施（道路、照明、河道、排水）维护管理的法律、法规、规章及有关规范性文件。</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3.负责制定城市管理目标和计划。按照城市总体规划，研究制定全县城市管理、市政、环卫、城市绿化行业管理的发展战略。</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4.按照规定使用城市管理资金。根据市容、市政维护、环卫和绿化管理的部门资金预算，对资金使用实施监督控制。负责资金使用的核算，保证资金的正确使用。</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负责市容管理。统筹规划协调管理全县城市环境整治工作和“门前四包”工作。负责户外广告及临街各种广告栏、宣传栏、张贴栏、商标牌的位置和审批工作。管理临街建筑物、市政设施、建筑场地、城市交通运输工具等容貌。</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负责城市环境卫生管理。对市区环境卫生管理实行组织、协调、监督。审查环卫专项设施建设，参与城市新建、改建、扩建项目的环卫配套设施方案审核和方案实施的监督管理。监督环卫有偿服务收费和使用管理。负责逐步推行环卫服务社会化。负责监督检查城区工程施工场地的高空环境卫生和建筑垃圾的管理。</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负责城市道路的管理。编制年度维护计划并组织实施。负责城市道路管理、维护和维修。负责各类服务性、经营性占道亭棚、摊点和各类市场、停车场（站、台）等的规划、定位审查、审批工作。负责开挖道路和施工堆码占道的审批。</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负责全县城市路灯的管理。维护管理城市路灯，对市区户外灯饰管理工作进行统筹协调，监督检查。负责重要地段、场所和较大项目灯饰建设方案的审批和竣工验收。负责指导、检查、督促和实施“光亮工程”。</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9.负责城市河道管理工作。实行对城市河道和排水设施的容貌、卫生、环境的管理及城市河道、排水设施进行维护和疏淘。</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10.负责对城市绿化进行管理、维护。</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11.负责市政设施环境卫生。</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12.拟定城市管理规范性文件并组织论证和报批。组织参与行政复议和行政诉讼。</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13.负责组织城市管理法规的宣传，提高市民的文明素质和城市意识。负责办理社会各界、新闻媒体有关城市管理的批评建议意见。</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14.负责城管执法人员的培训、监督、教育和管理，要求依法执法、文明执法。</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主管城市管理的行政执法工作，组织城市管理监察队伍，依法查处违反城市管理法律、法规、规章的各种违法行为。按照有关法律、法规、规章的规定，对下列行为予以查处：一是违反城市管理乱搭乱建的行为；二是破坏城市市政、公用设施的行为；三是未按规定位置设置的户外广告；四是建筑施工现场不规范、噪音、扬尘等环节污染；五是侵占道路，人行道、人行道经营、施工的行为；六是其他影响市容环境卫生的行为。</w:t>
      </w:r>
    </w:p>
    <w:p>
      <w:pP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16.承办县政府交办的其他事项。</w:t>
      </w:r>
    </w:p>
    <w:p>
      <w:pPr>
        <w:snapToGrid w:val="0"/>
        <w:spacing w:line="576" w:lineRule="exact"/>
        <w:ind w:firstLine="642" w:firstLineChars="200"/>
        <w:rPr>
          <w:rFonts w:ascii="楷体" w:eastAsia="楷体" w:cs="楷体"/>
          <w:b/>
          <w:sz w:val="32"/>
          <w:szCs w:val="32"/>
        </w:rPr>
      </w:pPr>
      <w:r>
        <w:rPr>
          <w:rFonts w:hint="eastAsia" w:ascii="楷体" w:eastAsia="楷体" w:cs="楷体"/>
          <w:b/>
          <w:sz w:val="32"/>
          <w:szCs w:val="3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我单位属独立编制机构和独立核算的事业单位。人员编制数22人，其中：事业编制22人；2019年末实有在职职工28人，退休人员15人。</w:t>
      </w:r>
    </w:p>
    <w:p>
      <w:pPr>
        <w:pStyle w:val="3"/>
        <w:numPr>
          <w:ilvl w:val="0"/>
          <w:numId w:val="2"/>
        </w:numPr>
        <w:spacing w:line="576" w:lineRule="exact"/>
        <w:rPr>
          <w:rFonts w:ascii="黑体" w:eastAsia="黑体" w:cs="黑体"/>
          <w:b w:val="0"/>
          <w:bCs w:val="0"/>
        </w:rPr>
      </w:pPr>
      <w:r>
        <w:rPr>
          <w:rFonts w:ascii="黑体" w:eastAsia="黑体" w:cs="黑体"/>
          <w:b w:val="0"/>
          <w:bCs w:val="0"/>
        </w:rPr>
        <w:t>部门财政资金收支情况</w:t>
      </w:r>
    </w:p>
    <w:p>
      <w:pPr>
        <w:pStyle w:val="3"/>
        <w:spacing w:line="576" w:lineRule="exact"/>
        <w:ind w:left="640"/>
        <w:rPr>
          <w:rFonts w:ascii="楷体" w:eastAsia="楷体" w:cs="楷体"/>
          <w:color w:val="000000"/>
        </w:rPr>
      </w:pPr>
      <w:r>
        <w:rPr>
          <w:rFonts w:hint="eastAsia" w:ascii="楷体" w:eastAsia="楷体" w:cs="楷体"/>
        </w:rPr>
        <w:t>（一）部门财政资金收入情况</w:t>
      </w:r>
    </w:p>
    <w:p>
      <w:pPr>
        <w:spacing w:line="576" w:lineRule="exact"/>
        <w:ind w:firstLine="640" w:firstLineChars="200"/>
        <w:rPr>
          <w:rFonts w:ascii="仿宋_GB2312" w:eastAsia="仿宋_GB2312"/>
          <w:color w:val="0000FF"/>
          <w:sz w:val="32"/>
          <w:szCs w:val="32"/>
        </w:rPr>
      </w:pPr>
      <w:r>
        <w:rPr>
          <w:rFonts w:hint="eastAsia" w:ascii="仿宋_GB2312" w:eastAsia="仿宋_GB2312"/>
          <w:sz w:val="32"/>
          <w:szCs w:val="32"/>
        </w:rPr>
        <w:t>2019年部门经费财政总收入6774.15万元。其中：年初结转结余81.41万元；本年收入1692.69万元。</w:t>
      </w:r>
    </w:p>
    <w:p>
      <w:pPr>
        <w:spacing w:line="576" w:lineRule="exact"/>
        <w:ind w:firstLine="642" w:firstLineChars="200"/>
        <w:rPr>
          <w:rFonts w:ascii="楷体" w:eastAsia="楷体" w:cs="楷体"/>
          <w:b/>
          <w:bCs/>
          <w:sz w:val="32"/>
          <w:szCs w:val="32"/>
        </w:rPr>
      </w:pPr>
      <w:r>
        <w:rPr>
          <w:rFonts w:hint="eastAsia" w:ascii="楷体" w:eastAsia="楷体" w:cs="楷体"/>
          <w:b/>
          <w:bCs/>
          <w:sz w:val="32"/>
          <w:szCs w:val="32"/>
        </w:rPr>
        <w:t>（二）部门财政资金支出情况</w:t>
      </w:r>
    </w:p>
    <w:p>
      <w:pPr>
        <w:spacing w:line="576" w:lineRule="exact"/>
        <w:ind w:firstLine="640" w:firstLineChars="200"/>
        <w:rPr>
          <w:rFonts w:ascii="仿宋" w:hAnsi="仿宋" w:eastAsia="仿宋_GB2312"/>
          <w:color w:val="000000"/>
          <w:sz w:val="32"/>
          <w:szCs w:val="32"/>
        </w:rPr>
      </w:pPr>
      <w:r>
        <w:rPr>
          <w:rFonts w:hint="eastAsia" w:ascii="仿宋_GB2312" w:eastAsia="仿宋_GB2312"/>
          <w:sz w:val="32"/>
          <w:szCs w:val="32"/>
        </w:rPr>
        <w:t>2019年部门经费总支出1183.58万元，全部用于单位正常支出。</w:t>
      </w:r>
      <w:r>
        <w:rPr>
          <w:rFonts w:hint="eastAsia" w:ascii="仿宋_GB2312" w:eastAsia="仿宋_GB2312"/>
          <w:color w:val="000000"/>
          <w:sz w:val="32"/>
          <w:szCs w:val="32"/>
        </w:rPr>
        <w:t>主要用于以下方面:城乡社区支出（类）879.22万元，占74%；节能环保支出（类）177.61万元，占16%；社会保障和就业（类）支出58.4万元，占4%；医疗卫生支出（类）28.42万元，占2%；住房保障支出（类）39.09万元，占3%。农林水（类）支出0.84万元，占1%。</w:t>
      </w:r>
    </w:p>
    <w:p>
      <w:pPr>
        <w:pStyle w:val="3"/>
        <w:spacing w:line="576" w:lineRule="exact"/>
        <w:ind w:firstLine="640" w:firstLineChars="200"/>
        <w:rPr>
          <w:rFonts w:ascii="黑体" w:eastAsia="黑体" w:cs="黑体"/>
          <w:b w:val="0"/>
          <w:bCs w:val="0"/>
        </w:rPr>
      </w:pPr>
      <w:r>
        <w:rPr>
          <w:rFonts w:hint="eastAsia" w:ascii="黑体" w:eastAsia="黑体" w:cs="黑体"/>
          <w:b w:val="0"/>
          <w:bCs w:val="0"/>
        </w:rPr>
        <w:t>三、部门整体预算绩效管理情况</w:t>
      </w:r>
    </w:p>
    <w:p>
      <w:pPr>
        <w:pStyle w:val="3"/>
        <w:spacing w:line="576" w:lineRule="exact"/>
        <w:ind w:firstLine="642" w:firstLineChars="200"/>
        <w:rPr>
          <w:rFonts w:ascii="仿宋" w:eastAsia="仿宋"/>
          <w:color w:val="000000"/>
        </w:rPr>
      </w:pPr>
      <w:r>
        <w:rPr>
          <w:rFonts w:ascii="楷体" w:eastAsia="楷体" w:cs="仿宋_GB2312"/>
        </w:rPr>
        <w:t>（一）部门预算管理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我局按照茂财发【2020】40 号文件的规定和要求积极且严格的开展本单位本部门预算支出绩效的自评工作。着重检查关于部门经费的账务处理和财务管理情况，做到账账相符、账实相符，如实反映本单位部门经费的使用管理情况。</w:t>
      </w:r>
    </w:p>
    <w:p>
      <w:pPr>
        <w:pStyle w:val="3"/>
        <w:spacing w:line="576" w:lineRule="exact"/>
        <w:ind w:firstLine="642" w:firstLineChars="200"/>
        <w:rPr>
          <w:rFonts w:ascii="楷体" w:eastAsia="楷体" w:cs="仿宋_GB2312"/>
        </w:rPr>
      </w:pPr>
      <w:r>
        <w:rPr>
          <w:rFonts w:ascii="楷体" w:eastAsia="楷体" w:cs="仿宋_GB2312"/>
        </w:rPr>
        <w:t>（</w:t>
      </w:r>
      <w:r>
        <w:rPr>
          <w:rFonts w:hint="eastAsia" w:ascii="楷体" w:eastAsia="楷体" w:cs="仿宋_GB2312"/>
        </w:rPr>
        <w:t>二</w:t>
      </w:r>
      <w:r>
        <w:rPr>
          <w:rFonts w:ascii="楷体" w:eastAsia="楷体" w:cs="仿宋_GB2312"/>
        </w:rPr>
        <w:t>）结果应用情况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部门整体资金的绩效目标达到了预期效果，成本控制达到了预期目标，使各部门正常运转，发挥好城市管理局的作用，搞好全城的绿化养护及栽植、全城的环境卫生清扫、市政设施维修维护等工作，为全县老百姓提供了一个舒适优美的环境，为我县下一步创建全域旅游城市打下了基础，今后要加大管理力度，提高工作效率，合理安排人员和资金，保障重 点支出，调整支出结构。</w:t>
      </w:r>
    </w:p>
    <w:p>
      <w:pPr>
        <w:pStyle w:val="3"/>
        <w:spacing w:line="576" w:lineRule="exact"/>
        <w:ind w:firstLine="640" w:firstLineChars="200"/>
        <w:rPr>
          <w:rFonts w:ascii="黑体" w:eastAsia="黑体" w:cs="黑体"/>
          <w:b w:val="0"/>
          <w:bCs w:val="0"/>
        </w:rPr>
      </w:pPr>
      <w:r>
        <w:rPr>
          <w:rFonts w:ascii="黑体" w:eastAsia="黑体" w:cs="黑体"/>
          <w:b w:val="0"/>
          <w:bCs w:val="0"/>
        </w:rPr>
        <w:t>四、评价结论及建议</w:t>
      </w:r>
    </w:p>
    <w:p>
      <w:pPr>
        <w:pStyle w:val="3"/>
        <w:spacing w:line="576" w:lineRule="exact"/>
        <w:ind w:firstLine="642" w:firstLineChars="200"/>
        <w:rPr>
          <w:rStyle w:val="19"/>
          <w:rFonts w:ascii="楷体" w:eastAsia="楷体"/>
          <w:b w:val="0"/>
          <w:bCs w:val="0"/>
        </w:rPr>
      </w:pPr>
      <w:r>
        <w:rPr>
          <w:rFonts w:ascii="楷体" w:eastAsia="楷体" w:cs="仿宋_GB2312"/>
        </w:rPr>
        <w:t>（一）评价结论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2019年度我局在预算编制方面严格按照县级部门预算编制通知的有关要求按时更新基础数据，按时完成预算编制工作并提交预算草案，同时预算编制内容准确，绩效目标完备，预控指标细化，部门整体支出绩效评价自查自评结果良好，全年基本支出保证了部门的正常运行和日常工作的正常开展，项目支出保障了重点工作的开展，达到预期绩效目标，根据2019年县级部门整体支出绩效评价指标体系表自评得分 93分。</w:t>
      </w:r>
    </w:p>
    <w:p>
      <w:pPr>
        <w:pStyle w:val="3"/>
        <w:spacing w:line="576" w:lineRule="exact"/>
        <w:ind w:firstLine="642" w:firstLineChars="200"/>
        <w:rPr>
          <w:rFonts w:ascii="楷体" w:eastAsia="楷体" w:cs="仿宋_GB2312"/>
        </w:rPr>
      </w:pPr>
      <w:r>
        <w:rPr>
          <w:rFonts w:ascii="楷体" w:eastAsia="楷体" w:cs="仿宋_GB2312"/>
        </w:rPr>
        <w:t>（二）存在问题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绩效目标设定有待更科学更合理。</w:t>
      </w:r>
    </w:p>
    <w:p>
      <w:pPr>
        <w:pStyle w:val="3"/>
        <w:spacing w:line="576" w:lineRule="exact"/>
        <w:ind w:firstLine="642" w:firstLineChars="200"/>
        <w:rPr>
          <w:rFonts w:ascii="楷体" w:eastAsia="楷体" w:cs="仿宋_GB2312"/>
        </w:rPr>
      </w:pPr>
      <w:r>
        <w:rPr>
          <w:rFonts w:ascii="楷体" w:eastAsia="楷体" w:cs="仿宋_GB2312"/>
        </w:rPr>
        <w:t>（三）改进建议</w:t>
      </w:r>
    </w:p>
    <w:p>
      <w:pPr>
        <w:tabs>
          <w:tab w:val="left" w:pos="-180"/>
        </w:tabs>
        <w:spacing w:line="576" w:lineRule="exact"/>
        <w:ind w:right="-334" w:rightChars="-159" w:firstLine="640" w:firstLineChars="200"/>
        <w:rPr>
          <w:rFonts w:ascii="仿宋_GB2312" w:eastAsia="仿宋_GB2312"/>
          <w:sz w:val="32"/>
          <w:szCs w:val="32"/>
        </w:rPr>
        <w:sectPr>
          <w:headerReference r:id="rId3" w:type="default"/>
          <w:footerReference r:id="rId4" w:type="default"/>
          <w:footerReference r:id="rId5" w:type="even"/>
          <w:pgSz w:w="11906" w:h="16838"/>
          <w:pgMar w:top="907" w:right="1361" w:bottom="851" w:left="1361" w:header="851" w:footer="992" w:gutter="0"/>
          <w:pgNumType w:start="1"/>
          <w:cols w:space="720" w:num="1"/>
          <w:docGrid w:type="lines" w:linePitch="435" w:charSpace="0"/>
        </w:sectPr>
      </w:pPr>
      <w:r>
        <w:rPr>
          <w:rFonts w:hint="eastAsia" w:ascii="仿宋_GB2312" w:eastAsia="仿宋_GB2312"/>
          <w:sz w:val="32"/>
          <w:szCs w:val="32"/>
        </w:rPr>
        <w:t>针对存在的问题，我们将进一步科学设定绩效目标，加 强预算执行管理。一是改进部门收支预算编制，夯实预算基 础工作，提高预算编制质量；二是认真研究政策，加强项目 绩效目标审核，力求科学合理；三是认真研究重点项目的执 行，特别是涉及政府采购的项目，提早规划，提前实施，确 保项目顺利实施，提高财政资金的使用效益。</w:t>
      </w:r>
    </w:p>
    <w:p>
      <w:pPr>
        <w:spacing w:line="600" w:lineRule="exact"/>
        <w:jc w:val="center"/>
        <w:outlineLvl w:val="0"/>
        <w:rPr>
          <w:rStyle w:val="18"/>
          <w:rFonts w:ascii="黑体" w:eastAsia="黑体"/>
          <w:b w:val="0"/>
        </w:rPr>
      </w:pPr>
      <w:bookmarkStart w:id="57" w:name="_Toc15396618"/>
      <w:r>
        <w:rPr>
          <w:rFonts w:hint="eastAsia" w:ascii="黑体" w:eastAsia="黑体"/>
          <w:color w:val="000000"/>
          <w:sz w:val="44"/>
          <w:szCs w:val="44"/>
        </w:rPr>
        <w:t>第</w:t>
      </w:r>
      <w:r>
        <w:rPr>
          <w:rStyle w:val="18"/>
          <w:rFonts w:hint="eastAsia" w:ascii="黑体" w:eastAsia="黑体"/>
          <w:b w:val="0"/>
        </w:rPr>
        <w:t>五部分 附表</w:t>
      </w:r>
      <w:bookmarkEnd w:id="55"/>
      <w:bookmarkEnd w:id="57"/>
    </w:p>
    <w:p>
      <w:pPr>
        <w:spacing w:line="600" w:lineRule="exact"/>
        <w:jc w:val="center"/>
        <w:outlineLvl w:val="0"/>
        <w:rPr>
          <w:rFonts w:ascii="仿宋" w:eastAsia="仿宋"/>
          <w:b/>
          <w:color w:val="000000"/>
          <w:sz w:val="44"/>
          <w:szCs w:val="44"/>
        </w:rPr>
      </w:pPr>
    </w:p>
    <w:p>
      <w:pPr>
        <w:pStyle w:val="3"/>
        <w:rPr>
          <w:rFonts w:ascii="仿宋" w:eastAsia="仿宋"/>
          <w:color w:val="000000"/>
        </w:rPr>
      </w:pPr>
      <w:bookmarkStart w:id="58" w:name="_Toc15396619"/>
      <w:r>
        <w:rPr>
          <w:rFonts w:hint="eastAsia" w:ascii="仿宋" w:eastAsia="仿宋"/>
          <w:b w:val="0"/>
          <w:color w:val="000000"/>
        </w:rPr>
        <w:t>一、收</w:t>
      </w:r>
      <w:r>
        <w:rPr>
          <w:rStyle w:val="19"/>
          <w:rFonts w:hint="eastAsia" w:ascii="仿宋" w:eastAsia="仿宋"/>
          <w:b w:val="0"/>
          <w:bCs w:val="0"/>
        </w:rPr>
        <w:t>入支出决算总表</w:t>
      </w:r>
      <w:bookmarkEnd w:id="58"/>
    </w:p>
    <w:p>
      <w:pPr>
        <w:pStyle w:val="3"/>
        <w:rPr>
          <w:rFonts w:ascii="仿宋" w:eastAsia="仿宋"/>
          <w:color w:val="000000"/>
        </w:rPr>
      </w:pPr>
      <w:bookmarkStart w:id="59" w:name="_Toc15396620"/>
      <w:r>
        <w:rPr>
          <w:rFonts w:hint="eastAsia" w:ascii="仿宋" w:eastAsia="仿宋"/>
          <w:b w:val="0"/>
          <w:color w:val="000000"/>
        </w:rPr>
        <w:t>二、收</w:t>
      </w:r>
      <w:r>
        <w:rPr>
          <w:rStyle w:val="19"/>
          <w:rFonts w:hint="eastAsia" w:ascii="仿宋" w:eastAsia="仿宋"/>
          <w:b w:val="0"/>
          <w:bCs w:val="0"/>
        </w:rPr>
        <w:t>入决算表</w:t>
      </w:r>
      <w:bookmarkEnd w:id="59"/>
    </w:p>
    <w:p>
      <w:pPr>
        <w:pStyle w:val="3"/>
        <w:rPr>
          <w:rFonts w:ascii="仿宋" w:eastAsia="仿宋"/>
          <w:color w:val="000000"/>
        </w:rPr>
      </w:pPr>
      <w:bookmarkStart w:id="60" w:name="_Toc15396621"/>
      <w:r>
        <w:rPr>
          <w:rStyle w:val="19"/>
          <w:rFonts w:hint="eastAsia" w:ascii="仿宋" w:eastAsia="仿宋"/>
          <w:b w:val="0"/>
          <w:bCs w:val="0"/>
        </w:rPr>
        <w:t>三、</w:t>
      </w:r>
      <w:r>
        <w:rPr>
          <w:rFonts w:hint="eastAsia" w:ascii="仿宋" w:eastAsia="仿宋"/>
          <w:b w:val="0"/>
          <w:color w:val="000000"/>
        </w:rPr>
        <w:t>支</w:t>
      </w:r>
      <w:r>
        <w:rPr>
          <w:rStyle w:val="19"/>
          <w:rFonts w:hint="eastAsia" w:ascii="仿宋" w:eastAsia="仿宋"/>
          <w:b w:val="0"/>
          <w:bCs w:val="0"/>
        </w:rPr>
        <w:t>出决算表</w:t>
      </w:r>
      <w:bookmarkEnd w:id="60"/>
    </w:p>
    <w:p>
      <w:pPr>
        <w:pStyle w:val="3"/>
        <w:rPr>
          <w:rFonts w:ascii="仿宋" w:eastAsia="仿宋"/>
          <w:b w:val="0"/>
          <w:color w:val="000000"/>
        </w:rPr>
      </w:pPr>
      <w:bookmarkStart w:id="61" w:name="_Toc15396622"/>
      <w:r>
        <w:rPr>
          <w:rStyle w:val="19"/>
          <w:rFonts w:hint="eastAsia" w:ascii="仿宋" w:eastAsia="仿宋"/>
          <w:b w:val="0"/>
          <w:bCs w:val="0"/>
        </w:rPr>
        <w:t>四、</w:t>
      </w:r>
      <w:r>
        <w:rPr>
          <w:rFonts w:hint="eastAsia" w:ascii="仿宋" w:eastAsia="仿宋"/>
          <w:b w:val="0"/>
          <w:color w:val="000000"/>
        </w:rPr>
        <w:t>财</w:t>
      </w:r>
      <w:r>
        <w:rPr>
          <w:rStyle w:val="19"/>
          <w:rFonts w:hint="eastAsia" w:ascii="仿宋" w:eastAsia="仿宋"/>
          <w:b w:val="0"/>
          <w:bCs w:val="0"/>
        </w:rPr>
        <w:t>政拨款收入支出决算总表</w:t>
      </w:r>
      <w:bookmarkEnd w:id="61"/>
    </w:p>
    <w:p>
      <w:pPr>
        <w:pStyle w:val="3"/>
        <w:rPr>
          <w:rStyle w:val="19"/>
          <w:rFonts w:ascii="仿宋" w:eastAsia="仿宋"/>
          <w:b w:val="0"/>
          <w:bCs w:val="0"/>
        </w:rPr>
      </w:pPr>
      <w:bookmarkStart w:id="62" w:name="_Toc15396623"/>
      <w:r>
        <w:rPr>
          <w:rStyle w:val="19"/>
          <w:rFonts w:hint="eastAsia" w:ascii="仿宋" w:eastAsia="仿宋"/>
          <w:b w:val="0"/>
          <w:bCs w:val="0"/>
        </w:rPr>
        <w:t>五、</w:t>
      </w:r>
      <w:r>
        <w:rPr>
          <w:rFonts w:hint="eastAsia" w:ascii="仿宋" w:eastAsia="仿宋"/>
          <w:b w:val="0"/>
          <w:color w:val="000000"/>
        </w:rPr>
        <w:t>财</w:t>
      </w:r>
      <w:r>
        <w:rPr>
          <w:rStyle w:val="19"/>
          <w:rFonts w:hint="eastAsia" w:ascii="仿宋" w:eastAsia="仿宋"/>
          <w:b w:val="0"/>
          <w:bCs w:val="0"/>
        </w:rPr>
        <w:t>政拨款支出决算明细表</w:t>
      </w:r>
      <w:bookmarkEnd w:id="62"/>
      <w:bookmarkStart w:id="63" w:name="_Toc15396624"/>
    </w:p>
    <w:p>
      <w:pPr>
        <w:pStyle w:val="3"/>
        <w:rPr>
          <w:rFonts w:ascii="仿宋" w:eastAsia="仿宋"/>
          <w:color w:val="000000"/>
        </w:rPr>
      </w:pPr>
      <w:r>
        <w:rPr>
          <w:rStyle w:val="19"/>
          <w:rFonts w:hint="eastAsia" w:ascii="仿宋" w:eastAsia="仿宋"/>
          <w:b w:val="0"/>
          <w:bCs w:val="0"/>
        </w:rPr>
        <w:t>六、</w:t>
      </w:r>
      <w:r>
        <w:rPr>
          <w:rFonts w:hint="eastAsia" w:ascii="仿宋" w:eastAsia="仿宋"/>
          <w:b w:val="0"/>
          <w:color w:val="000000"/>
        </w:rPr>
        <w:t>一</w:t>
      </w:r>
      <w:r>
        <w:rPr>
          <w:rStyle w:val="19"/>
          <w:rFonts w:hint="eastAsia" w:ascii="仿宋" w:eastAsia="仿宋"/>
          <w:b w:val="0"/>
          <w:bCs w:val="0"/>
        </w:rPr>
        <w:t>般公共预算财政拨款支出决算表</w:t>
      </w:r>
      <w:bookmarkEnd w:id="63"/>
    </w:p>
    <w:p>
      <w:pPr>
        <w:pStyle w:val="3"/>
        <w:rPr>
          <w:rFonts w:ascii="仿宋" w:eastAsia="仿宋"/>
          <w:color w:val="000000"/>
        </w:rPr>
      </w:pPr>
      <w:bookmarkStart w:id="64" w:name="_Toc15396625"/>
      <w:r>
        <w:rPr>
          <w:rStyle w:val="19"/>
          <w:rFonts w:hint="eastAsia" w:ascii="仿宋" w:eastAsia="仿宋"/>
          <w:b w:val="0"/>
          <w:bCs w:val="0"/>
        </w:rPr>
        <w:t>七、</w:t>
      </w:r>
      <w:r>
        <w:rPr>
          <w:rFonts w:hint="eastAsia" w:ascii="仿宋" w:eastAsia="仿宋"/>
          <w:b w:val="0"/>
          <w:color w:val="000000"/>
        </w:rPr>
        <w:t>一</w:t>
      </w:r>
      <w:r>
        <w:rPr>
          <w:rStyle w:val="19"/>
          <w:rFonts w:hint="eastAsia" w:ascii="仿宋" w:eastAsia="仿宋"/>
          <w:b w:val="0"/>
          <w:bCs w:val="0"/>
        </w:rPr>
        <w:t>般公共预算财政拨款支出决算明细表</w:t>
      </w:r>
      <w:bookmarkEnd w:id="64"/>
    </w:p>
    <w:p>
      <w:pPr>
        <w:pStyle w:val="3"/>
        <w:rPr>
          <w:rFonts w:ascii="仿宋" w:eastAsia="仿宋"/>
          <w:color w:val="000000"/>
        </w:rPr>
      </w:pPr>
      <w:bookmarkStart w:id="65" w:name="_Toc15396626"/>
      <w:r>
        <w:rPr>
          <w:rStyle w:val="19"/>
          <w:rFonts w:hint="eastAsia" w:ascii="仿宋" w:eastAsia="仿宋"/>
          <w:b w:val="0"/>
          <w:bCs w:val="0"/>
        </w:rPr>
        <w:t>八、</w:t>
      </w:r>
      <w:r>
        <w:rPr>
          <w:rFonts w:hint="eastAsia" w:ascii="仿宋" w:eastAsia="仿宋"/>
          <w:b w:val="0"/>
          <w:color w:val="000000"/>
        </w:rPr>
        <w:t>一</w:t>
      </w:r>
      <w:r>
        <w:rPr>
          <w:rStyle w:val="19"/>
          <w:rFonts w:hint="eastAsia" w:ascii="仿宋" w:eastAsia="仿宋"/>
          <w:b w:val="0"/>
          <w:bCs w:val="0"/>
        </w:rPr>
        <w:t>般公共预算财政拨款基本支出决算表</w:t>
      </w:r>
      <w:bookmarkEnd w:id="65"/>
    </w:p>
    <w:p>
      <w:pPr>
        <w:pStyle w:val="3"/>
        <w:rPr>
          <w:rFonts w:ascii="仿宋" w:eastAsia="仿宋"/>
          <w:color w:val="000000"/>
        </w:rPr>
      </w:pPr>
      <w:bookmarkStart w:id="66" w:name="_Toc15396627"/>
      <w:r>
        <w:rPr>
          <w:rStyle w:val="19"/>
          <w:rFonts w:hint="eastAsia" w:ascii="仿宋" w:eastAsia="仿宋"/>
          <w:b w:val="0"/>
          <w:bCs w:val="0"/>
        </w:rPr>
        <w:t>九、</w:t>
      </w:r>
      <w:r>
        <w:rPr>
          <w:rFonts w:hint="eastAsia" w:ascii="仿宋" w:eastAsia="仿宋"/>
          <w:b w:val="0"/>
          <w:color w:val="000000"/>
        </w:rPr>
        <w:t>一</w:t>
      </w:r>
      <w:r>
        <w:rPr>
          <w:rStyle w:val="19"/>
          <w:rFonts w:hint="eastAsia" w:ascii="仿宋" w:eastAsia="仿宋"/>
          <w:b w:val="0"/>
          <w:bCs w:val="0"/>
        </w:rPr>
        <w:t>般公共预算财政拨款项目支出决算表</w:t>
      </w:r>
      <w:bookmarkEnd w:id="66"/>
    </w:p>
    <w:p>
      <w:pPr>
        <w:pStyle w:val="3"/>
        <w:rPr>
          <w:rFonts w:ascii="仿宋" w:eastAsia="仿宋"/>
          <w:color w:val="000000"/>
        </w:rPr>
      </w:pPr>
      <w:bookmarkStart w:id="67" w:name="_Toc15396628"/>
      <w:r>
        <w:rPr>
          <w:rStyle w:val="19"/>
          <w:rFonts w:hint="eastAsia" w:ascii="仿宋" w:eastAsia="仿宋"/>
          <w:b w:val="0"/>
          <w:bCs w:val="0"/>
        </w:rPr>
        <w:t>十、</w:t>
      </w:r>
      <w:r>
        <w:rPr>
          <w:rFonts w:hint="eastAsia" w:ascii="仿宋" w:eastAsia="仿宋"/>
          <w:b w:val="0"/>
          <w:color w:val="000000"/>
        </w:rPr>
        <w:t>一</w:t>
      </w:r>
      <w:r>
        <w:rPr>
          <w:rStyle w:val="19"/>
          <w:rFonts w:hint="eastAsia" w:ascii="仿宋" w:eastAsia="仿宋"/>
          <w:b w:val="0"/>
          <w:bCs w:val="0"/>
        </w:rPr>
        <w:t>般公共预算财政拨款“三公”经费支出决算表</w:t>
      </w:r>
      <w:bookmarkEnd w:id="67"/>
    </w:p>
    <w:p>
      <w:pPr>
        <w:pStyle w:val="3"/>
        <w:rPr>
          <w:rFonts w:ascii="仿宋" w:eastAsia="仿宋"/>
          <w:color w:val="000000"/>
        </w:rPr>
      </w:pPr>
      <w:bookmarkStart w:id="68" w:name="_Toc15396629"/>
      <w:r>
        <w:rPr>
          <w:rStyle w:val="19"/>
          <w:rFonts w:hint="eastAsia" w:ascii="仿宋" w:eastAsia="仿宋"/>
          <w:b w:val="0"/>
          <w:bCs w:val="0"/>
        </w:rPr>
        <w:t>十一、</w:t>
      </w:r>
      <w:r>
        <w:rPr>
          <w:rFonts w:hint="eastAsia" w:ascii="仿宋" w:eastAsia="仿宋"/>
          <w:b w:val="0"/>
          <w:color w:val="000000"/>
        </w:rPr>
        <w:t>政</w:t>
      </w:r>
      <w:r>
        <w:rPr>
          <w:rStyle w:val="19"/>
          <w:rFonts w:hint="eastAsia" w:ascii="仿宋" w:eastAsia="仿宋"/>
          <w:b w:val="0"/>
          <w:bCs w:val="0"/>
        </w:rPr>
        <w:t>府性基金预算财政拨款收入支出决算表</w:t>
      </w:r>
      <w:bookmarkEnd w:id="68"/>
    </w:p>
    <w:p>
      <w:pPr>
        <w:pStyle w:val="3"/>
        <w:rPr>
          <w:rFonts w:ascii="仿宋" w:eastAsia="仿宋"/>
          <w:color w:val="000000"/>
        </w:rPr>
      </w:pPr>
      <w:bookmarkStart w:id="69" w:name="_Toc15396630"/>
      <w:r>
        <w:rPr>
          <w:rStyle w:val="19"/>
          <w:rFonts w:hint="eastAsia" w:ascii="仿宋" w:eastAsia="仿宋"/>
          <w:b w:val="0"/>
          <w:bCs w:val="0"/>
        </w:rPr>
        <w:t>十二、</w:t>
      </w:r>
      <w:r>
        <w:rPr>
          <w:rFonts w:hint="eastAsia" w:ascii="仿宋" w:eastAsia="仿宋"/>
          <w:b w:val="0"/>
          <w:color w:val="000000"/>
        </w:rPr>
        <w:t>政</w:t>
      </w:r>
      <w:r>
        <w:rPr>
          <w:rStyle w:val="19"/>
          <w:rFonts w:hint="eastAsia" w:ascii="仿宋" w:eastAsia="仿宋"/>
          <w:b w:val="0"/>
          <w:bCs w:val="0"/>
        </w:rPr>
        <w:t>府性基金预算财政拨款“三公”经费支出决算表</w:t>
      </w:r>
      <w:bookmarkEnd w:id="69"/>
    </w:p>
    <w:p>
      <w:pPr>
        <w:pStyle w:val="3"/>
        <w:rPr>
          <w:rFonts w:ascii="仿宋" w:eastAsia="仿宋"/>
          <w:color w:val="000000"/>
        </w:rPr>
      </w:pPr>
      <w:bookmarkStart w:id="70" w:name="_Toc15396631"/>
      <w:r>
        <w:rPr>
          <w:rStyle w:val="19"/>
          <w:rFonts w:hint="eastAsia" w:ascii="仿宋" w:eastAsia="仿宋"/>
          <w:b w:val="0"/>
          <w:bCs w:val="0"/>
        </w:rPr>
        <w:t>十三、</w:t>
      </w:r>
      <w:r>
        <w:rPr>
          <w:rFonts w:hint="eastAsia" w:ascii="仿宋" w:eastAsia="仿宋"/>
          <w:b w:val="0"/>
          <w:color w:val="000000"/>
        </w:rPr>
        <w:t>国</w:t>
      </w:r>
      <w:r>
        <w:rPr>
          <w:rStyle w:val="19"/>
          <w:rFonts w:hint="eastAsia" w:ascii="仿宋" w:eastAsia="仿宋"/>
          <w:b w:val="0"/>
          <w:bCs w:val="0"/>
        </w:rPr>
        <w:t>有资本经营预算支出决算表</w:t>
      </w:r>
      <w:bookmarkEnd w:id="70"/>
    </w:p>
    <w:sectPr>
      <w:headerReference r:id="rId6" w:type="default"/>
      <w:footerReference r:id="rId7"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王羲之行书体">
    <w:panose1 w:val="02010609000101010101"/>
    <w:charset w:val="00"/>
    <w:family w:val="auto"/>
    <w:pitch w:val="default"/>
    <w:sig w:usb0="00000000" w:usb1="00000000" w:usb2="00000000" w:usb3="00000000" w:csb0="00000000" w:csb1="73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fldChar w:fldCharType="separate"/>
    </w:r>
    <w:r>
      <w:rPr>
        <w:rStyle w:val="15"/>
      </w:rPr>
      <w:t>10</w:t>
    </w:r>
    <w:r>
      <w:fldChar w:fldCharType="end"/>
    </w:r>
  </w:p>
  <w:p>
    <w:pPr>
      <w:pStyle w:val="8"/>
      <w:ind w:right="360"/>
    </w:pP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fldChar w:fldCharType="separate"/>
    </w:r>
    <w:r>
      <w:rPr>
        <w:rStyle w:val="15"/>
      </w:rPr>
      <w:t>9</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55835"/>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CFA3E3EE"/>
    <w:multiLevelType w:val="singleLevel"/>
    <w:tmpl w:val="CFA3E3EE"/>
    <w:lvl w:ilvl="0" w:tentative="0">
      <w:start w:val="2"/>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B49D7"/>
    <w:rsid w:val="7F678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800080"/>
      <w:u w:val="single"/>
    </w:rPr>
  </w:style>
  <w:style w:type="character" w:styleId="17">
    <w:name w:val="Hyperlink"/>
    <w:basedOn w:val="13"/>
    <w:qFormat/>
    <w:uiPriority w:val="0"/>
    <w:rPr>
      <w:color w:val="0000FF"/>
      <w:u w:val="single"/>
    </w:rPr>
  </w:style>
  <w:style w:type="character" w:customStyle="1" w:styleId="18">
    <w:name w:val="heading 1 Char"/>
    <w:basedOn w:val="13"/>
    <w:link w:val="2"/>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3"/>
    <w:link w:val="3"/>
    <w:qFormat/>
    <w:uiPriority w:val="0"/>
    <w:rPr>
      <w:rFonts w:ascii="Cambria" w:hAnsi="Cambria" w:eastAsia="宋体" w:cs="Times New Roman"/>
      <w:b/>
      <w:bCs/>
      <w:kern w:val="2"/>
      <w:sz w:val="32"/>
      <w:szCs w:val="32"/>
      <w:lang w:val="en-US" w:eastAsia="zh-CN" w:bidi="ar-SA"/>
    </w:rPr>
  </w:style>
  <w:style w:type="character" w:customStyle="1" w:styleId="20">
    <w:name w:val="Header Char"/>
    <w:basedOn w:val="13"/>
    <w:qFormat/>
    <w:uiPriority w:val="0"/>
    <w:rPr>
      <w:rFonts w:ascii="Times New Roman" w:hAnsi="Times New Roman"/>
      <w:sz w:val="18"/>
      <w:szCs w:val="18"/>
    </w:rPr>
  </w:style>
  <w:style w:type="character" w:customStyle="1" w:styleId="21">
    <w:name w:val="Footer Char"/>
    <w:basedOn w:val="13"/>
    <w:qFormat/>
    <w:uiPriority w:val="0"/>
    <w:rPr>
      <w:rFonts w:ascii="Times New Roman" w:hAnsi="Times New Roman"/>
      <w:sz w:val="18"/>
      <w:szCs w:val="18"/>
    </w:rPr>
  </w:style>
  <w:style w:type="character" w:customStyle="1" w:styleId="22">
    <w:name w:val="Body Text Char"/>
    <w:basedOn w:val="13"/>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6">
    <w:name w:val="TOC 标题2"/>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sz="1400" b="0" i="0" u="none" strike="noStrike" baseline="0">
                <a:solidFill>
                  <a:srgbClr val="595959"/>
                </a:solidFill>
                <a:latin typeface="Times New Roman" panose="02020603050405020304"/>
                <a:ea typeface="宋体" panose="02010600030101010101" charset="-122"/>
                <a:cs typeface="Lucida Sans"/>
              </a:rPr>
              <a:t>图1：收、支决算总计变动情况图</a:t>
            </a:r>
            <a:endParaRPr lang="zh-CN" sz="1400" b="0" i="0" u="none" strike="noStrike" baseline="0">
              <a:solidFill>
                <a:srgbClr val="595959"/>
              </a:solidFill>
              <a:latin typeface="Times New Roman" panose="02020603050405020304"/>
              <a:ea typeface="宋体" panose="02010600030101010101" charset="-122"/>
              <a:cs typeface="Lucida Sans"/>
            </a:endParaRPr>
          </a:p>
        </c:rich>
      </c:tx>
      <c:layout/>
      <c:overlay val="0"/>
      <c:spPr>
        <a:noFill/>
        <a:ln>
          <a:noFill/>
        </a:ln>
      </c:spPr>
    </c:title>
    <c:autoTitleDeleted val="0"/>
    <c:plotArea>
      <c:layout/>
      <c:barChart>
        <c:barDir val="col"/>
        <c:grouping val="clustered"/>
        <c:varyColors val="0"/>
        <c:ser>
          <c:idx val="0"/>
          <c:order val="0"/>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'Sheet1'!$A$1:$A$2</c:f>
              <c:numCache>
                <c:formatCode>General</c:formatCode>
                <c:ptCount val="2"/>
                <c:pt idx="0">
                  <c:v>2018</c:v>
                </c:pt>
                <c:pt idx="1">
                  <c:v>2019</c:v>
                </c:pt>
              </c:numCache>
            </c:numRef>
          </c:cat>
          <c:val>
            <c:numRef>
              <c:f>'Sheet1'!$B$1:$B$2</c:f>
              <c:numCache>
                <c:formatCode>General</c:formatCode>
                <c:ptCount val="2"/>
                <c:pt idx="0">
                  <c:v>1176.51</c:v>
                </c:pt>
                <c:pt idx="1">
                  <c:v>6692.69</c:v>
                </c:pt>
              </c:numCache>
            </c:numRef>
          </c:val>
        </c:ser>
        <c:ser>
          <c:idx val="1"/>
          <c:order val="1"/>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'Sheet1'!$A$1:$A$2</c:f>
              <c:numCache>
                <c:formatCode>General</c:formatCode>
                <c:ptCount val="2"/>
                <c:pt idx="0">
                  <c:v>2018</c:v>
                </c:pt>
                <c:pt idx="1">
                  <c:v>2019</c:v>
                </c:pt>
              </c:numCache>
            </c:numRef>
          </c:cat>
          <c:val>
            <c:numRef>
              <c:f>{1}</c:f>
              <c:numCache>
                <c:formatCode>General</c:formatCode>
                <c:ptCount val="1"/>
                <c:pt idx="0">
                  <c:v>1</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'Sheet1'!$A$1:$A$2</c:f>
              <c:numCache>
                <c:formatCode>General</c:formatCode>
                <c:ptCount val="2"/>
                <c:pt idx="0">
                  <c:v>2018</c:v>
                </c:pt>
                <c:pt idx="1">
                  <c:v>2019</c:v>
                </c:pt>
              </c:numCache>
            </c:num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manualLayout>
          <c:xMode val="edge"/>
          <c:yMode val="edge"/>
          <c:x val="0.462375"/>
          <c:y val="0.02"/>
        </c:manualLayout>
      </c:layout>
      <c:overlay val="0"/>
      <c:spPr>
        <a:noFill/>
        <a:ln>
          <a:noFill/>
        </a:ln>
      </c:spPr>
    </c:title>
    <c:autoTitleDeleted val="0"/>
    <c:plotArea>
      <c:layout/>
      <c:pieChart>
        <c:varyColors val="1"/>
        <c:ser>
          <c:idx val="0"/>
          <c:order val="0"/>
          <c:tx>
            <c:strRef>
              <c:f>'Sheet1 (2)'!$B$1</c:f>
              <c:strCache>
                <c:ptCount val="1"/>
                <c:pt idx="0">
                  <c:v>列2</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delete val="1"/>
            </c:dLbl>
            <c:dLbl>
              <c:idx val="1"/>
              <c:delete val="1"/>
            </c:dLbl>
            <c:numFmt formatCode="0.0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(2)'!$A$2:$A$3</c:f>
              <c:strCache>
                <c:ptCount val="2"/>
                <c:pt idx="0">
                  <c:v>一般公共预算财政拨款收入</c:v>
                </c:pt>
                <c:pt idx="1">
                  <c:v>政府性基金预算财政拨款收入</c:v>
                </c:pt>
              </c:strCache>
            </c:strRef>
          </c:cat>
          <c:val>
            <c:numRef>
              <c:f>'Sheet1 (2)'!$B$2:$B$3</c:f>
              <c:numCache>
                <c:formatCode>0.00%</c:formatCode>
                <c:ptCount val="2"/>
                <c:pt idx="0">
                  <c:v>0.2529</c:v>
                </c:pt>
                <c:pt idx="1">
                  <c:v>0.747</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(3)'!$B$1</c:f>
              <c:strCache>
                <c:ptCount val="1"/>
                <c:pt idx="0">
                  <c:v>列2</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基本支出</c:v>
                </c:pt>
                <c:pt idx="1">
                  <c:v>项目支出</c:v>
                </c:pt>
              </c:strCache>
            </c:strRef>
          </c:cat>
          <c:val>
            <c:numRef>
              <c:f>'Sheet1 (3)'!$B$2:$B$3</c:f>
              <c:numCache>
                <c:formatCode>General</c:formatCode>
                <c:ptCount val="2"/>
                <c:pt idx="0">
                  <c:v>589.49</c:v>
                </c:pt>
                <c:pt idx="1">
                  <c:v>5097.48</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761755"/>
          <c:y val="0.1570854"/>
          <c:w val="0.88653845"/>
          <c:h val="0.726378"/>
        </c:manualLayout>
      </c:layout>
      <c:barChart>
        <c:barDir val="col"/>
        <c:grouping val="clustered"/>
        <c:varyColors val="0"/>
        <c:ser>
          <c:idx val="0"/>
          <c:order val="0"/>
          <c:tx>
            <c:strRef>
              <c:f>'Sheet1 (4)'!$B$1</c:f>
              <c:strCache>
                <c:ptCount val="1"/>
                <c:pt idx="0">
                  <c:v>财政拨款收入</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c:f>
              <c:numCache>
                <c:formatCode>General</c:formatCode>
                <c:ptCount val="1"/>
                <c:pt idx="0">
                  <c:v>2019</c:v>
                </c:pt>
              </c:numCache>
            </c:numRef>
          </c:cat>
          <c:val>
            <c:numRef>
              <c:f>Sheet1 (4)!$B$2</c:f>
              <c:numCache>
                <c:formatCode>General</c:formatCode>
                <c:ptCount val="1"/>
                <c:pt idx="0">
                  <c:v>6774.12</c:v>
                </c:pt>
              </c:numCache>
            </c:numRef>
          </c:val>
        </c:ser>
        <c:ser>
          <c:idx val="1"/>
          <c:order val="1"/>
          <c:tx>
            <c:strRef>
              <c:f>'Sheet1 (4)'!$C$1</c:f>
              <c:strCache>
                <c:ptCount val="1"/>
                <c:pt idx="0">
                  <c:v>财政拨款支出</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c:f>
              <c:numCache>
                <c:formatCode>General</c:formatCode>
                <c:ptCount val="1"/>
                <c:pt idx="0">
                  <c:v>2019</c:v>
                </c:pt>
              </c:numCache>
            </c:numRef>
          </c:cat>
          <c:val>
            <c:numRef>
              <c:f>Sheet1 (4)!$C$2</c:f>
              <c:numCache>
                <c:formatCode>General</c:formatCode>
                <c:ptCount val="1"/>
                <c:pt idx="0">
                  <c:v>6774.12</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(4)'!$A$2</c:f>
              <c:numCache>
                <c:formatCode>General</c:formatCode>
                <c:ptCount val="1"/>
                <c:pt idx="0">
                  <c:v>2019</c:v>
                </c:pt>
              </c:numCache>
            </c:num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egendEntry>
        <c:idx val="2"/>
        <c:delete val="1"/>
      </c:legendEntry>
      <c:layout>
        <c:manualLayout>
          <c:xMode val="edge"/>
          <c:yMode val="edge"/>
          <c:x val="0.2869375"/>
          <c:y val="0.9213333"/>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1080792"/>
          <c:w val="0.8938"/>
          <c:h val="0.8069"/>
        </c:manualLayout>
      </c:layout>
      <c:barChart>
        <c:barDir val="col"/>
        <c:grouping val="clustered"/>
        <c:varyColors val="0"/>
        <c:ser>
          <c:idx val="0"/>
          <c:order val="0"/>
          <c:tx>
            <c:strRef>
              <c:f>'Sheet1 (5)'!$B$1</c:f>
              <c:strCache>
                <c:ptCount val="1"/>
                <c:pt idx="0">
                  <c:v>支出</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(5)'!$A$2:$A$3</c:f>
              <c:numCache>
                <c:formatCode>General</c:formatCode>
                <c:ptCount val="2"/>
                <c:pt idx="0">
                  <c:v>2018</c:v>
                </c:pt>
                <c:pt idx="1">
                  <c:v>2019</c:v>
                </c:pt>
              </c:numCache>
            </c:numRef>
          </c:cat>
          <c:val>
            <c:numRef>
              <c:f>'Sheet1 (5)'!$B$2:$B$3</c:f>
              <c:numCache>
                <c:formatCode>General</c:formatCode>
                <c:ptCount val="2"/>
                <c:pt idx="0">
                  <c:v>1081.4</c:v>
                </c:pt>
                <c:pt idx="1">
                  <c:v>1183.58</c:v>
                </c:pt>
              </c:numCache>
            </c:numRef>
          </c:val>
        </c:ser>
        <c:ser>
          <c:idx val="1"/>
          <c:order val="1"/>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 (5)'!$A$2:$A$3</c:f>
              <c:numCache>
                <c:formatCode>General</c:formatCode>
                <c:ptCount val="2"/>
                <c:pt idx="0">
                  <c:v>2018</c:v>
                </c:pt>
                <c:pt idx="1">
                  <c:v>2019</c:v>
                </c:pt>
              </c:numCache>
            </c:num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egendEntry>
        <c:idx val="1"/>
        <c:delete val="1"/>
      </c:legendEntry>
      <c:layout>
        <c:manualLayout>
          <c:xMode val="edge"/>
          <c:yMode val="edge"/>
          <c:x val="0.373875"/>
          <c:y val="0.9158178"/>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overlay val="0"/>
      <c:spPr>
        <a:noFill/>
        <a:ln>
          <a:noFill/>
        </a:ln>
      </c:spPr>
    </c:title>
    <c:autoTitleDeleted val="0"/>
    <c:plotArea>
      <c:layout/>
      <c:pieChart>
        <c:varyColors val="1"/>
        <c:ser>
          <c:idx val="0"/>
          <c:order val="0"/>
          <c:tx>
            <c:strRef>
              <c:f>'Sheet1 (6)'!$B$1</c:f>
              <c:strCache>
                <c:ptCount val="1"/>
                <c:pt idx="0">
                  <c:v>销售额</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节能环保</c:v>
                </c:pt>
                <c:pt idx="1">
                  <c:v>城乡社区</c:v>
                </c:pt>
                <c:pt idx="2">
                  <c:v>住房保障</c:v>
                </c:pt>
                <c:pt idx="3">
                  <c:v>社会保障和就业</c:v>
                </c:pt>
              </c:strCache>
            </c:strRef>
          </c:cat>
          <c:val>
            <c:numRef>
              <c:f>'Sheet1 (6)'!$B$2:$B$5</c:f>
              <c:numCache>
                <c:formatCode>General</c:formatCode>
                <c:ptCount val="4"/>
                <c:pt idx="0">
                  <c:v>177.61</c:v>
                </c:pt>
                <c:pt idx="1">
                  <c:v>879.22</c:v>
                </c:pt>
                <c:pt idx="2">
                  <c:v>39.09</c:v>
                </c:pt>
                <c:pt idx="3">
                  <c:v>58.4</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overlay val="0"/>
      <c:spPr>
        <a:noFill/>
        <a:ln>
          <a:noFill/>
        </a:ln>
      </c:spPr>
    </c:title>
    <c:autoTitleDeleted val="0"/>
    <c:plotArea>
      <c:layout/>
      <c:pieChart>
        <c:varyColors val="1"/>
        <c:ser>
          <c:idx val="0"/>
          <c:order val="0"/>
          <c:tx>
            <c:strRef>
              <c:f>'Sheet1 (7)'!$B$1</c:f>
              <c:strCache>
                <c:ptCount val="1"/>
                <c:pt idx="0">
                  <c:v>销售额</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(7)'!$A$2:$A$3</c:f>
              <c:strCache>
                <c:ptCount val="2"/>
                <c:pt idx="0">
                  <c:v>；公务用车购置及运行维护费</c:v>
                </c:pt>
                <c:pt idx="1">
                  <c:v>公务接待费</c:v>
                </c:pt>
              </c:strCache>
            </c:strRef>
          </c:cat>
          <c:val>
            <c:numRef>
              <c:f>'Sheet1 (7)'!$B$2:$B$3</c:f>
              <c:numCache>
                <c:formatCode>General</c:formatCode>
                <c:ptCount val="2"/>
                <c:pt idx="0">
                  <c:v>3.97</c:v>
                </c:pt>
                <c:pt idx="1">
                  <c:v>879.22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39</Pages>
  <Words>16973</Words>
  <Characters>18165</Characters>
  <Lines>1264</Lines>
  <Paragraphs>485</Paragraphs>
  <TotalTime>2</TotalTime>
  <ScaleCrop>false</ScaleCrop>
  <LinksUpToDate>false</LinksUpToDate>
  <CharactersWithSpaces>18307</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2021-06-08T00:56:00Z</dcterms:created>
  <dc:creator>曹颖</dc:creator>
  <cp:lastModifiedBy>user</cp:lastModifiedBy>
  <cp:lastPrinted>2020-09-25T19:04:00Z</cp:lastPrinted>
  <dcterms:modified xsi:type="dcterms:W3CDTF">2026-04-22T10:22:04Z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17569915390446F19C724A918733E17D</vt:lpwstr>
  </property>
</Properties>
</file>