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2168" w:firstLineChars="300"/>
        <w:jc w:val="both"/>
        <w:rPr>
          <w:rFonts w:hint="eastAsia" w:ascii="仿宋_GB2312" w:eastAsia="仿宋_GB2312"/>
          <w:b/>
          <w:bCs/>
          <w:color w:val="000000"/>
          <w:sz w:val="72"/>
          <w:szCs w:val="72"/>
          <w:lang w:val="en-US" w:eastAsia="zh-CN"/>
        </w:rPr>
      </w:pPr>
      <w:bookmarkStart w:id="91" w:name="_GoBack"/>
      <w:bookmarkEnd w:id="91"/>
      <w:bookmarkStart w:id="0" w:name="_Toc15396475"/>
      <w:bookmarkStart w:id="1" w:name="_Toc15377425"/>
      <w:bookmarkStart w:id="2" w:name="_Toc15396597"/>
      <w:bookmarkStart w:id="3" w:name="_Toc15378441"/>
      <w:bookmarkStart w:id="4" w:name="_Toc15377193"/>
    </w:p>
    <w:p>
      <w:pPr>
        <w:spacing w:line="240" w:lineRule="auto"/>
        <w:ind w:firstLine="2168" w:firstLineChars="300"/>
        <w:jc w:val="both"/>
        <w:rPr>
          <w:rFonts w:hint="eastAsia" w:ascii="仿宋_GB2312" w:eastAsia="仿宋_GB2312"/>
          <w:b/>
          <w:bCs/>
          <w:color w:val="000000"/>
          <w:sz w:val="72"/>
          <w:szCs w:val="72"/>
          <w:lang w:val="en-US" w:eastAsia="zh-CN"/>
        </w:rPr>
      </w:pPr>
    </w:p>
    <w:p>
      <w:pPr>
        <w:spacing w:line="240" w:lineRule="auto"/>
        <w:ind w:firstLine="2168" w:firstLineChars="300"/>
        <w:jc w:val="both"/>
        <w:rPr>
          <w:rFonts w:hint="eastAsia" w:ascii="仿宋_GB2312" w:eastAsia="仿宋_GB2312"/>
          <w:b/>
          <w:bCs/>
          <w:color w:val="000000"/>
          <w:sz w:val="72"/>
          <w:szCs w:val="72"/>
          <w:lang w:val="en-US" w:eastAsia="zh-CN"/>
        </w:rPr>
      </w:pPr>
      <w:r>
        <w:rPr>
          <w:rFonts w:hint="eastAsia" w:ascii="仿宋_GB2312" w:eastAsia="仿宋_GB2312"/>
          <w:b/>
          <w:bCs/>
          <w:color w:val="000000"/>
          <w:sz w:val="72"/>
          <w:szCs w:val="72"/>
          <w:lang w:val="en-US" w:eastAsia="zh-CN"/>
        </w:rPr>
        <w:t>2022年度</w:t>
      </w:r>
      <w:bookmarkEnd w:id="0"/>
      <w:bookmarkEnd w:id="1"/>
      <w:bookmarkEnd w:id="2"/>
      <w:bookmarkEnd w:id="3"/>
      <w:bookmarkEnd w:id="4"/>
    </w:p>
    <w:p>
      <w:pPr>
        <w:spacing w:line="240" w:lineRule="auto"/>
        <w:jc w:val="both"/>
        <w:rPr>
          <w:rFonts w:hint="eastAsia" w:ascii="仿宋_GB2312" w:eastAsia="仿宋_GB2312"/>
          <w:b/>
          <w:bCs/>
          <w:color w:val="000000"/>
          <w:sz w:val="72"/>
          <w:szCs w:val="72"/>
          <w:lang w:val="en-US" w:eastAsia="zh-CN"/>
        </w:rPr>
      </w:pPr>
      <w:bookmarkStart w:id="5" w:name="_Toc15396598"/>
      <w:bookmarkStart w:id="6" w:name="_Toc15378442"/>
      <w:bookmarkStart w:id="7" w:name="_Toc15377426"/>
      <w:bookmarkStart w:id="8" w:name="_Toc15396476"/>
      <w:bookmarkStart w:id="9" w:name="_Toc15377194"/>
      <w:r>
        <w:rPr>
          <w:rFonts w:hint="eastAsia" w:ascii="仿宋_GB2312" w:eastAsia="仿宋_GB2312"/>
          <w:b/>
          <w:bCs/>
          <w:color w:val="000000"/>
          <w:sz w:val="72"/>
          <w:szCs w:val="72"/>
          <w:lang w:val="en-US" w:eastAsia="zh-CN"/>
        </w:rPr>
        <w:t>四川省茂县</w:t>
      </w:r>
      <w:bookmarkStart w:id="10" w:name="_Toc15306268"/>
      <w:r>
        <w:rPr>
          <w:rFonts w:hint="eastAsia" w:ascii="仿宋_GB2312" w:eastAsia="仿宋_GB2312"/>
          <w:b/>
          <w:bCs/>
          <w:color w:val="000000"/>
          <w:sz w:val="72"/>
          <w:szCs w:val="72"/>
          <w:lang w:val="en-US" w:eastAsia="zh-CN"/>
        </w:rPr>
        <w:t>工业服务中心</w:t>
      </w:r>
    </w:p>
    <w:bookmarkEnd w:id="5"/>
    <w:bookmarkEnd w:id="6"/>
    <w:bookmarkEnd w:id="7"/>
    <w:bookmarkEnd w:id="8"/>
    <w:bookmarkEnd w:id="9"/>
    <w:bookmarkEnd w:id="10"/>
    <w:p>
      <w:pPr>
        <w:spacing w:line="240" w:lineRule="auto"/>
        <w:ind w:firstLine="2168" w:firstLineChars="300"/>
        <w:jc w:val="both"/>
        <w:rPr>
          <w:rFonts w:hint="eastAsia" w:ascii="仿宋_GB2312" w:eastAsia="仿宋_GB2312"/>
          <w:b/>
          <w:bCs/>
          <w:color w:val="000000"/>
          <w:sz w:val="72"/>
          <w:szCs w:val="72"/>
          <w:lang w:val="en-US" w:eastAsia="zh-CN"/>
        </w:rPr>
      </w:pPr>
      <w:r>
        <w:rPr>
          <w:rFonts w:hint="eastAsia" w:ascii="仿宋_GB2312" w:eastAsia="仿宋_GB2312"/>
          <w:b/>
          <w:bCs/>
          <w:color w:val="000000"/>
          <w:sz w:val="72"/>
          <w:szCs w:val="72"/>
          <w:lang w:val="en-US" w:eastAsia="zh-CN"/>
        </w:rPr>
        <w:t>部门决算</w:t>
      </w:r>
    </w:p>
    <w:p>
      <w:pPr>
        <w:pStyle w:val="8"/>
        <w:keepNext w:val="0"/>
        <w:keepLines w:val="0"/>
        <w:pageBreakBefore w:val="0"/>
        <w:widowControl/>
        <w:suppressLineNumbers w:val="0"/>
        <w:kinsoku/>
        <w:wordWrap/>
        <w:overflowPunct/>
        <w:topLinePunct w:val="0"/>
        <w:bidi w:val="0"/>
        <w:spacing w:line="576" w:lineRule="exact"/>
        <w:jc w:val="center"/>
        <w:textAlignment w:val="auto"/>
      </w:pPr>
      <w:r>
        <w:t> </w:t>
      </w:r>
    </w:p>
    <w:p>
      <w:pPr>
        <w:pStyle w:val="8"/>
        <w:keepNext w:val="0"/>
        <w:keepLines w:val="0"/>
        <w:pageBreakBefore w:val="0"/>
        <w:widowControl/>
        <w:suppressLineNumbers w:val="0"/>
        <w:kinsoku/>
        <w:wordWrap/>
        <w:overflowPunct/>
        <w:topLinePunct w:val="0"/>
        <w:bidi w:val="0"/>
        <w:spacing w:line="576" w:lineRule="exact"/>
        <w:jc w:val="center"/>
        <w:textAlignment w:val="auto"/>
      </w:pPr>
      <w:r>
        <w:t> </w:t>
      </w:r>
    </w:p>
    <w:p>
      <w:pPr>
        <w:pStyle w:val="8"/>
        <w:keepNext w:val="0"/>
        <w:keepLines w:val="0"/>
        <w:pageBreakBefore w:val="0"/>
        <w:widowControl/>
        <w:suppressLineNumbers w:val="0"/>
        <w:kinsoku/>
        <w:wordWrap/>
        <w:overflowPunct/>
        <w:topLinePunct w:val="0"/>
        <w:bidi w:val="0"/>
        <w:spacing w:line="576" w:lineRule="exact"/>
        <w:jc w:val="center"/>
        <w:textAlignment w:val="auto"/>
      </w:pPr>
      <w:r>
        <w:t> </w:t>
      </w:r>
    </w:p>
    <w:p>
      <w:pPr>
        <w:pStyle w:val="8"/>
        <w:keepNext w:val="0"/>
        <w:keepLines w:val="0"/>
        <w:pageBreakBefore w:val="0"/>
        <w:widowControl/>
        <w:suppressLineNumbers w:val="0"/>
        <w:kinsoku/>
        <w:wordWrap/>
        <w:overflowPunct/>
        <w:topLinePunct w:val="0"/>
        <w:bidi w:val="0"/>
        <w:spacing w:line="576" w:lineRule="exact"/>
        <w:jc w:val="center"/>
        <w:textAlignment w:val="auto"/>
      </w:pPr>
      <w:r>
        <w:t> </w:t>
      </w:r>
    </w:p>
    <w:p>
      <w:pPr>
        <w:pageBreakBefore w:val="0"/>
        <w:widowControl w:val="0"/>
        <w:kinsoku/>
        <w:wordWrap/>
        <w:overflowPunct/>
        <w:topLinePunct w:val="0"/>
        <w:autoSpaceDE w:val="0"/>
        <w:autoSpaceDN w:val="0"/>
        <w:bidi w:val="0"/>
        <w:adjustRightInd w:val="0"/>
        <w:spacing w:line="576" w:lineRule="exact"/>
        <w:ind w:left="420" w:leftChars="200"/>
        <w:jc w:val="left"/>
        <w:textAlignment w:val="auto"/>
        <w:rPr>
          <w:rFonts w:hint="eastAsia" w:ascii="宋体" w:eastAsia="宋体" w:cs="仿宋_GB2312"/>
          <w:sz w:val="32"/>
          <w:szCs w:val="32"/>
        </w:rPr>
      </w:pPr>
      <w:r>
        <w:rPr>
          <w:rFonts w:hint="eastAsia" w:ascii="宋体" w:eastAsia="宋体" w:cs="仿宋_GB2312"/>
          <w:sz w:val="32"/>
          <w:szCs w:val="32"/>
        </w:rPr>
        <w:t> </w:t>
      </w:r>
    </w:p>
    <w:p>
      <w:pPr>
        <w:pageBreakBefore w:val="0"/>
        <w:widowControl w:val="0"/>
        <w:kinsoku/>
        <w:wordWrap/>
        <w:overflowPunct/>
        <w:topLinePunct w:val="0"/>
        <w:autoSpaceDE w:val="0"/>
        <w:autoSpaceDN w:val="0"/>
        <w:bidi w:val="0"/>
        <w:adjustRightInd w:val="0"/>
        <w:spacing w:line="576" w:lineRule="exact"/>
        <w:ind w:left="420" w:leftChars="200"/>
        <w:jc w:val="left"/>
        <w:textAlignment w:val="auto"/>
        <w:rPr>
          <w:rFonts w:hint="eastAsia" w:ascii="宋体" w:eastAsia="宋体" w:cs="仿宋_GB2312"/>
          <w:sz w:val="32"/>
          <w:szCs w:val="32"/>
        </w:rPr>
      </w:pPr>
      <w:r>
        <w:rPr>
          <w:rFonts w:hint="eastAsia" w:ascii="宋体" w:eastAsia="宋体" w:cs="仿宋_GB2312"/>
          <w:sz w:val="32"/>
          <w:szCs w:val="32"/>
        </w:rPr>
        <w:t>已经保密审查、内容审定，同意对外公开</w:t>
      </w:r>
    </w:p>
    <w:p>
      <w:pPr>
        <w:pStyle w:val="8"/>
        <w:keepNext w:val="0"/>
        <w:keepLines w:val="0"/>
        <w:pageBreakBefore w:val="0"/>
        <w:widowControl/>
        <w:suppressLineNumbers w:val="0"/>
        <w:kinsoku/>
        <w:wordWrap/>
        <w:overflowPunct/>
        <w:topLinePunct w:val="0"/>
        <w:bidi w:val="0"/>
        <w:spacing w:line="576" w:lineRule="exact"/>
        <w:textAlignment w:val="auto"/>
      </w:pPr>
      <w:r>
        <w:t> </w:t>
      </w:r>
    </w:p>
    <w:p>
      <w:pPr>
        <w:pStyle w:val="8"/>
        <w:keepNext w:val="0"/>
        <w:keepLines w:val="0"/>
        <w:pageBreakBefore w:val="0"/>
        <w:widowControl/>
        <w:suppressLineNumbers w:val="0"/>
        <w:kinsoku/>
        <w:wordWrap/>
        <w:overflowPunct/>
        <w:topLinePunct w:val="0"/>
        <w:bidi w:val="0"/>
        <w:spacing w:line="576" w:lineRule="exact"/>
        <w:textAlignment w:val="auto"/>
      </w:pPr>
      <w:r>
        <w:t> </w:t>
      </w:r>
    </w:p>
    <w:p>
      <w:pPr>
        <w:pStyle w:val="8"/>
        <w:keepNext w:val="0"/>
        <w:keepLines w:val="0"/>
        <w:pageBreakBefore w:val="0"/>
        <w:widowControl/>
        <w:suppressLineNumbers w:val="0"/>
        <w:kinsoku/>
        <w:wordWrap/>
        <w:overflowPunct/>
        <w:topLinePunct w:val="0"/>
        <w:bidi w:val="0"/>
        <w:spacing w:line="576" w:lineRule="exact"/>
        <w:jc w:val="center"/>
        <w:textAlignment w:val="auto"/>
      </w:pPr>
      <w:r>
        <w:t> </w:t>
      </w:r>
    </w:p>
    <w:p>
      <w:pPr>
        <w:pStyle w:val="8"/>
        <w:keepNext w:val="0"/>
        <w:keepLines w:val="0"/>
        <w:pageBreakBefore w:val="0"/>
        <w:widowControl/>
        <w:suppressLineNumbers w:val="0"/>
        <w:kinsoku/>
        <w:wordWrap/>
        <w:overflowPunct/>
        <w:topLinePunct w:val="0"/>
        <w:bidi w:val="0"/>
        <w:spacing w:line="576" w:lineRule="exact"/>
        <w:textAlignment w:val="auto"/>
      </w:pPr>
      <w:r>
        <w:t> </w:t>
      </w:r>
    </w:p>
    <w:p>
      <w:pPr>
        <w:pStyle w:val="8"/>
        <w:keepNext w:val="0"/>
        <w:keepLines w:val="0"/>
        <w:pageBreakBefore w:val="0"/>
        <w:widowControl/>
        <w:suppressLineNumbers w:val="0"/>
        <w:kinsoku/>
        <w:wordWrap/>
        <w:overflowPunct/>
        <w:topLinePunct w:val="0"/>
        <w:bidi w:val="0"/>
        <w:spacing w:line="576" w:lineRule="exact"/>
        <w:jc w:val="both"/>
        <w:textAlignment w:val="auto"/>
      </w:pPr>
      <w:r>
        <w:t> </w:t>
      </w:r>
    </w:p>
    <w:p>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pPr>
        <w:pStyle w:val="7"/>
        <w:pageBreakBefore w:val="0"/>
        <w:widowControl w:val="0"/>
        <w:kinsoku/>
        <w:wordWrap/>
        <w:overflowPunct/>
        <w:topLinePunct w:val="0"/>
        <w:bidi w:val="0"/>
        <w:spacing w:line="576" w:lineRule="exact"/>
        <w:jc w:val="center"/>
        <w:textAlignment w:val="auto"/>
      </w:pPr>
      <w:r>
        <w:rPr>
          <w:rFonts w:hint="eastAsia"/>
          <w:b w:val="0"/>
          <w:bCs w:val="0"/>
          <w:sz w:val="24"/>
          <w:szCs w:val="24"/>
        </w:rPr>
        <w:t>公开时间：202</w:t>
      </w:r>
      <w:r>
        <w:rPr>
          <w:b w:val="0"/>
          <w:bCs w:val="0"/>
          <w:sz w:val="24"/>
          <w:szCs w:val="24"/>
        </w:rPr>
        <w:t>3</w:t>
      </w:r>
      <w:r>
        <w:rPr>
          <w:rFonts w:hint="eastAsia"/>
          <w:b w:val="0"/>
          <w:bCs w:val="0"/>
          <w:sz w:val="24"/>
          <w:szCs w:val="24"/>
        </w:rPr>
        <w:t>年</w:t>
      </w:r>
      <w:r>
        <w:rPr>
          <w:b w:val="0"/>
          <w:bCs w:val="0"/>
          <w:sz w:val="24"/>
          <w:szCs w:val="24"/>
        </w:rPr>
        <w:t>9</w:t>
      </w:r>
      <w:r>
        <w:rPr>
          <w:rFonts w:hint="eastAsia"/>
          <w:b w:val="0"/>
          <w:bCs w:val="0"/>
          <w:sz w:val="24"/>
          <w:szCs w:val="24"/>
        </w:rPr>
        <w:t>月</w:t>
      </w:r>
      <w:r>
        <w:rPr>
          <w:b w:val="0"/>
          <w:bCs w:val="0"/>
          <w:sz w:val="24"/>
          <w:szCs w:val="24"/>
        </w:rPr>
        <w:t>12</w:t>
      </w:r>
      <w:r>
        <w:rPr>
          <w:rFonts w:hint="eastAsia"/>
          <w:b w:val="0"/>
          <w:bCs w:val="0"/>
          <w:sz w:val="24"/>
          <w:szCs w:val="24"/>
        </w:rPr>
        <w:t>日</w:t>
      </w:r>
    </w:p>
    <w:p>
      <w:pPr>
        <w:pStyle w:val="13"/>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eastAsia="黑体" w:cs="Times New Roman"/>
          <w:szCs w:val="44"/>
          <w:lang w:bidi="ar-SA"/>
        </w:rPr>
        <w:t>第一部分 单位概况</w:t>
      </w:r>
      <w:r>
        <w:tab/>
      </w:r>
      <w:r>
        <w:rPr>
          <w:rFonts w:hint="eastAsia"/>
          <w:lang w:val="en-US" w:eastAsia="zh-CN"/>
        </w:rPr>
        <w:t>4</w:t>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eastAsia="黑体" w:cs="Times New Roman"/>
          <w:kern w:val="2"/>
          <w:szCs w:val="32"/>
          <w:lang w:bidi="ar-SA"/>
        </w:rPr>
        <w:t>一、主要职责</w:t>
      </w:r>
      <w:r>
        <w:tab/>
      </w:r>
      <w:r>
        <w:fldChar w:fldCharType="begin"/>
      </w:r>
      <w:r>
        <w:instrText xml:space="preserve"> PAGEREF _Toc14656 \h </w:instrText>
      </w:r>
      <w:r>
        <w:fldChar w:fldCharType="separate"/>
      </w:r>
      <w:r>
        <w:t>4</w:t>
      </w:r>
      <w:r>
        <w:fldChar w:fldCharType="end"/>
      </w:r>
      <w:r>
        <w:fldChar w:fldCharType="end"/>
      </w:r>
    </w:p>
    <w:p>
      <w:pPr>
        <w:pStyle w:val="1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_Toc30733 </w:instrText>
      </w:r>
      <w:r>
        <w:fldChar w:fldCharType="separate"/>
      </w:r>
      <w:r>
        <w:rPr>
          <w:rFonts w:hint="eastAsia" w:ascii="仿宋" w:eastAsia="仿宋" w:cs="Times New Roman"/>
          <w:bCs/>
          <w:szCs w:val="32"/>
        </w:rPr>
        <w:t>（一）主要职能</w:t>
      </w:r>
      <w:r>
        <w:tab/>
      </w:r>
      <w:r>
        <w:fldChar w:fldCharType="begin"/>
      </w:r>
      <w:r>
        <w:instrText xml:space="preserve"> PAGEREF _Toc30733 \h </w:instrText>
      </w:r>
      <w:r>
        <w:fldChar w:fldCharType="separate"/>
      </w:r>
      <w:r>
        <w:t>4</w:t>
      </w:r>
      <w:r>
        <w:fldChar w:fldCharType="end"/>
      </w:r>
      <w:r>
        <w:fldChar w:fldCharType="end"/>
      </w:r>
    </w:p>
    <w:p>
      <w:pPr>
        <w:pStyle w:val="1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_Toc2091 </w:instrText>
      </w:r>
      <w:r>
        <w:fldChar w:fldCharType="separate"/>
      </w:r>
      <w:r>
        <w:rPr>
          <w:rFonts w:hint="eastAsia" w:ascii="仿宋" w:eastAsia="仿宋" w:cs="Times New Roman"/>
          <w:bCs/>
          <w:szCs w:val="32"/>
        </w:rPr>
        <w:t>（二）2022年重点工作完成情况</w:t>
      </w:r>
      <w:r>
        <w:tab/>
      </w:r>
      <w:r>
        <w:rPr>
          <w:rFonts w:hint="eastAsia"/>
          <w:lang w:val="en-US" w:eastAsia="zh-CN"/>
        </w:rPr>
        <w:t>5</w:t>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eastAsia="黑体" w:cs="Times New Roman"/>
          <w:kern w:val="2"/>
          <w:szCs w:val="32"/>
          <w:lang w:bidi="ar-SA"/>
        </w:rPr>
        <w:t>二、机构设置</w:t>
      </w:r>
      <w:r>
        <w:tab/>
      </w:r>
      <w:r>
        <w:rPr>
          <w:lang w:val="en-US" w:eastAsia="zh-CN"/>
        </w:rPr>
        <w:t>5</w:t>
      </w:r>
      <w:r>
        <w:fldChar w:fldCharType="end"/>
      </w:r>
    </w:p>
    <w:p>
      <w:pPr>
        <w:pStyle w:val="13"/>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_Toc26951 </w:instrText>
      </w:r>
      <w:r>
        <w:fldChar w:fldCharType="separate"/>
      </w:r>
      <w:r>
        <w:rPr>
          <w:rFonts w:hint="eastAsia" w:ascii="黑体" w:eastAsia="黑体" w:cs="Times New Roman"/>
          <w:szCs w:val="44"/>
          <w:lang w:bidi="ar-SA"/>
        </w:rPr>
        <w:t>第二部分 2022年度单位决算情况说明</w:t>
      </w:r>
      <w:r>
        <w:tab/>
      </w:r>
      <w:r>
        <w:rPr>
          <w:rFonts w:hint="eastAsia"/>
          <w:lang w:val="en-US" w:eastAsia="zh-CN"/>
        </w:rPr>
        <w:t>7</w:t>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_Toc12554 </w:instrText>
      </w:r>
      <w:r>
        <w:fldChar w:fldCharType="separate"/>
      </w:r>
      <w:r>
        <w:rPr>
          <w:rFonts w:ascii="黑体" w:eastAsia="黑体" w:cs="Times New Roman"/>
          <w:szCs w:val="32"/>
        </w:rPr>
        <w:t xml:space="preserve">一、 </w:t>
      </w:r>
      <w:r>
        <w:rPr>
          <w:rFonts w:hint="eastAsia" w:ascii="黑体" w:eastAsia="黑体" w:cs="Times New Roman"/>
          <w:szCs w:val="32"/>
        </w:rPr>
        <w:t>收入支出决算总体情况说明</w:t>
      </w:r>
      <w:r>
        <w:tab/>
      </w:r>
      <w:r>
        <w:rPr>
          <w:rFonts w:hint="eastAsia"/>
          <w:lang w:val="en-US" w:eastAsia="zh-CN"/>
        </w:rPr>
        <w:t>7</w:t>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_Toc11583 </w:instrText>
      </w:r>
      <w:r>
        <w:fldChar w:fldCharType="separate"/>
      </w:r>
      <w:r>
        <w:rPr>
          <w:rFonts w:ascii="黑体" w:eastAsia="黑体" w:cs="Times New Roman"/>
          <w:szCs w:val="32"/>
        </w:rPr>
        <w:t xml:space="preserve">二、 </w:t>
      </w:r>
      <w:r>
        <w:rPr>
          <w:rFonts w:hint="eastAsia" w:ascii="黑体" w:eastAsia="黑体" w:cs="Times New Roman"/>
          <w:szCs w:val="32"/>
        </w:rPr>
        <w:t>收入决算情况说明</w:t>
      </w:r>
      <w:r>
        <w:tab/>
      </w:r>
      <w:r>
        <w:rPr>
          <w:rFonts w:hint="eastAsia"/>
          <w:lang w:val="en-US" w:eastAsia="zh-CN"/>
        </w:rPr>
        <w:t>7</w:t>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_Toc18578 </w:instrText>
      </w:r>
      <w:r>
        <w:fldChar w:fldCharType="separate"/>
      </w:r>
      <w:r>
        <w:rPr>
          <w:rFonts w:ascii="黑体" w:eastAsia="黑体" w:cs="Times New Roman"/>
          <w:szCs w:val="32"/>
        </w:rPr>
        <w:t xml:space="preserve">三、 </w:t>
      </w:r>
      <w:r>
        <w:rPr>
          <w:rFonts w:hint="eastAsia" w:ascii="黑体" w:eastAsia="黑体" w:cs="Times New Roman"/>
          <w:szCs w:val="32"/>
        </w:rPr>
        <w:t>支出决算情况说明</w:t>
      </w:r>
      <w:r>
        <w:tab/>
      </w:r>
      <w:r>
        <w:rPr>
          <w:rFonts w:hint="eastAsia"/>
          <w:lang w:val="en-US" w:eastAsia="zh-CN"/>
        </w:rPr>
        <w:t>8</w:t>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_Toc26488 </w:instrText>
      </w:r>
      <w:r>
        <w:fldChar w:fldCharType="separate"/>
      </w:r>
      <w:r>
        <w:rPr>
          <w:rFonts w:ascii="黑体" w:eastAsia="黑体" w:cs="Times New Roman"/>
          <w:szCs w:val="32"/>
        </w:rPr>
        <w:t xml:space="preserve">四、 </w:t>
      </w:r>
      <w:r>
        <w:rPr>
          <w:rFonts w:hint="eastAsia" w:ascii="黑体" w:eastAsia="黑体" w:cs="Times New Roman"/>
          <w:szCs w:val="32"/>
        </w:rPr>
        <w:t>财政拨款收入支出决算总体情况说明</w:t>
      </w:r>
      <w:r>
        <w:tab/>
      </w:r>
      <w:r>
        <w:rPr>
          <w:rFonts w:hint="eastAsia"/>
          <w:lang w:val="en-US" w:eastAsia="zh-CN"/>
        </w:rPr>
        <w:t>9</w:t>
      </w:r>
      <w:r>
        <w:fldChar w:fldCharType="end"/>
      </w:r>
    </w:p>
    <w:p>
      <w:pPr>
        <w:pStyle w:val="1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ascii="黑体" w:eastAsia="黑体" w:cs="Times New Roman"/>
          <w:szCs w:val="32"/>
        </w:rPr>
        <w:t xml:space="preserve">五、 </w:t>
      </w:r>
      <w:r>
        <w:rPr>
          <w:rFonts w:hint="eastAsia" w:ascii="黑体" w:eastAsia="黑体" w:cs="Times New Roman"/>
          <w:szCs w:val="32"/>
        </w:rPr>
        <w:t>一般公共预算财政拨款支出决算情况说明</w:t>
      </w:r>
      <w:r>
        <w:tab/>
      </w:r>
      <w:r>
        <w:rPr>
          <w:rFonts w:hint="eastAsia"/>
          <w:lang w:val="en-US" w:eastAsia="zh-CN"/>
        </w:rPr>
        <w:t>1</w:t>
      </w:r>
      <w:r>
        <w:fldChar w:fldCharType="end"/>
      </w:r>
      <w:r>
        <w:rPr>
          <w:rFonts w:hint="eastAsia"/>
          <w:lang w:val="en-US" w:eastAsia="zh-CN"/>
        </w:rPr>
        <w:t>0</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_Toc3691 </w:instrText>
      </w:r>
      <w:r>
        <w:fldChar w:fldCharType="separate"/>
      </w:r>
      <w:r>
        <w:rPr>
          <w:rFonts w:hint="eastAsia" w:ascii="仿宋" w:eastAsia="仿宋" w:cs="Times New Roman"/>
          <w:szCs w:val="32"/>
        </w:rPr>
        <w:t>（一）一般公共预算财政拨款支出决算总体情况</w:t>
      </w:r>
      <w:r>
        <w:tab/>
      </w:r>
      <w:r>
        <w:rPr>
          <w:rFonts w:hint="eastAsia"/>
          <w:lang w:val="en-US" w:eastAsia="zh-CN"/>
        </w:rPr>
        <w:t>1</w:t>
      </w:r>
      <w:r>
        <w:fldChar w:fldCharType="end"/>
      </w:r>
      <w:r>
        <w:rPr>
          <w:rFonts w:hint="eastAsia"/>
          <w:lang w:val="en-US" w:eastAsia="zh-CN"/>
        </w:rPr>
        <w:t>0</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_Toc26183 </w:instrText>
      </w:r>
      <w:r>
        <w:fldChar w:fldCharType="separate"/>
      </w:r>
      <w:r>
        <w:rPr>
          <w:rFonts w:hint="eastAsia" w:ascii="仿宋" w:eastAsia="仿宋" w:cs="Times New Roman"/>
          <w:szCs w:val="32"/>
        </w:rPr>
        <w:t>（二）一般公共预算财政拨款支出决算结构情况</w:t>
      </w:r>
      <w:r>
        <w:tab/>
      </w:r>
      <w:r>
        <w:rPr>
          <w:rFonts w:hint="eastAsia"/>
          <w:lang w:val="en-US" w:eastAsia="zh-CN"/>
        </w:rPr>
        <w:t>1</w:t>
      </w:r>
      <w:r>
        <w:fldChar w:fldCharType="end"/>
      </w:r>
      <w:r>
        <w:rPr>
          <w:rFonts w:hint="eastAsia"/>
          <w:lang w:val="en-US" w:eastAsia="zh-CN"/>
        </w:rPr>
        <w:t>0</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_Toc29675 </w:instrText>
      </w:r>
      <w:r>
        <w:fldChar w:fldCharType="separate"/>
      </w:r>
      <w:r>
        <w:rPr>
          <w:rFonts w:hint="eastAsia" w:ascii="仿宋" w:eastAsia="仿宋" w:cs="Times New Roman"/>
          <w:szCs w:val="32"/>
        </w:rPr>
        <w:t>（三）一般公共预算财政拨款支出决算具体情况</w:t>
      </w:r>
      <w:r>
        <w:tab/>
      </w:r>
      <w:r>
        <w:rPr>
          <w:rFonts w:hint="eastAsia"/>
          <w:lang w:val="en-US" w:eastAsia="zh-CN"/>
        </w:rPr>
        <w:t>1</w:t>
      </w:r>
      <w:r>
        <w:fldChar w:fldCharType="end"/>
      </w:r>
      <w:r>
        <w:rPr>
          <w:rFonts w:hint="eastAsia"/>
          <w:lang w:val="en-US" w:eastAsia="zh-CN"/>
        </w:rPr>
        <w:t>1</w:t>
      </w:r>
    </w:p>
    <w:p>
      <w:pPr>
        <w:pStyle w:val="1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eastAsia="黑体" w:cs="Times New Roman"/>
          <w:szCs w:val="32"/>
        </w:rPr>
        <w:t>六、一般公共预算财政拨款基本支出决算情况说明   </w:t>
      </w:r>
      <w:r>
        <w:tab/>
      </w:r>
      <w:r>
        <w:rPr>
          <w:rFonts w:hint="eastAsia"/>
          <w:lang w:val="en-US" w:eastAsia="zh-CN"/>
        </w:rPr>
        <w:t>1</w:t>
      </w:r>
      <w:r>
        <w:fldChar w:fldCharType="end"/>
      </w:r>
      <w:r>
        <w:rPr>
          <w:rFonts w:hint="eastAsia"/>
          <w:lang w:val="en-US" w:eastAsia="zh-CN"/>
        </w:rPr>
        <w:t>2</w:t>
      </w:r>
    </w:p>
    <w:p>
      <w:pPr>
        <w:pStyle w:val="1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eastAsia="黑体" w:cs="Times New Roman"/>
          <w:szCs w:val="32"/>
        </w:rPr>
        <w:t>七、“三公”经费财政拨款支出决算情况说明</w:t>
      </w:r>
      <w:r>
        <w:tab/>
      </w:r>
      <w:r>
        <w:rPr>
          <w:rFonts w:hint="eastAsia"/>
          <w:lang w:val="en-US" w:eastAsia="zh-CN"/>
        </w:rPr>
        <w:t>1</w:t>
      </w:r>
      <w:r>
        <w:fldChar w:fldCharType="end"/>
      </w:r>
      <w:r>
        <w:rPr>
          <w:lang w:val="en-US" w:eastAsia="zh-CN"/>
        </w:rPr>
        <w:t>3</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_Toc22479 </w:instrText>
      </w:r>
      <w:r>
        <w:fldChar w:fldCharType="separate"/>
      </w:r>
      <w:r>
        <w:rPr>
          <w:rFonts w:hint="eastAsia" w:ascii="仿宋" w:eastAsia="仿宋" w:cs="Times New Roman"/>
          <w:szCs w:val="32"/>
        </w:rPr>
        <w:t>（一）“三公”经费财政拨款支出决算总体情况说明</w:t>
      </w:r>
      <w:r>
        <w:tab/>
      </w:r>
      <w:r>
        <w:rPr>
          <w:rFonts w:hint="eastAsia"/>
          <w:lang w:val="en-US" w:eastAsia="zh-CN"/>
        </w:rPr>
        <w:t>1</w:t>
      </w:r>
      <w:r>
        <w:fldChar w:fldCharType="end"/>
      </w:r>
      <w:r>
        <w:rPr>
          <w:lang w:val="en-US" w:eastAsia="zh-CN"/>
        </w:rPr>
        <w:t>3</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_Toc30765 </w:instrText>
      </w:r>
      <w:r>
        <w:fldChar w:fldCharType="separate"/>
      </w:r>
      <w:r>
        <w:rPr>
          <w:rFonts w:hint="eastAsia" w:ascii="仿宋" w:eastAsia="仿宋" w:cs="Times New Roman"/>
          <w:szCs w:val="32"/>
        </w:rPr>
        <w:t>（二）“三公”经费财政拨款支出决算具体情况说明</w:t>
      </w:r>
      <w:r>
        <w:tab/>
      </w:r>
      <w:r>
        <w:rPr>
          <w:rFonts w:hint="eastAsia"/>
          <w:lang w:val="en-US" w:eastAsia="zh-CN"/>
        </w:rPr>
        <w:t>1</w:t>
      </w:r>
      <w:r>
        <w:fldChar w:fldCharType="end"/>
      </w:r>
      <w:r>
        <w:rPr>
          <w:rFonts w:hint="eastAsia"/>
          <w:lang w:val="en-US" w:eastAsia="zh-CN"/>
        </w:rPr>
        <w:t>3</w:t>
      </w:r>
    </w:p>
    <w:p>
      <w:pPr>
        <w:pStyle w:val="1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4</w:t>
      </w:r>
    </w:p>
    <w:p>
      <w:pPr>
        <w:pStyle w:val="1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4</w:t>
      </w:r>
    </w:p>
    <w:p>
      <w:pPr>
        <w:pStyle w:val="1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4</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_Toc12341 </w:instrText>
      </w:r>
      <w:r>
        <w:fldChar w:fldCharType="separate"/>
      </w:r>
      <w:r>
        <w:rPr>
          <w:rFonts w:hint="eastAsia" w:ascii="仿宋" w:eastAsia="仿宋" w:cs="Times New Roman"/>
          <w:szCs w:val="32"/>
        </w:rPr>
        <w:t>（一）机关运行经费支出情况</w:t>
      </w:r>
      <w:r>
        <w:tab/>
      </w:r>
      <w:r>
        <w:rPr>
          <w:rFonts w:hint="eastAsia"/>
          <w:lang w:val="en-US" w:eastAsia="zh-CN"/>
        </w:rPr>
        <w:t>1</w:t>
      </w:r>
      <w:r>
        <w:fldChar w:fldCharType="end"/>
      </w:r>
      <w:r>
        <w:rPr>
          <w:rFonts w:hint="eastAsia"/>
          <w:lang w:val="en-US" w:eastAsia="zh-CN"/>
        </w:rPr>
        <w:t>4</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_Toc9297 </w:instrText>
      </w:r>
      <w:r>
        <w:fldChar w:fldCharType="separate"/>
      </w:r>
      <w:r>
        <w:rPr>
          <w:rFonts w:hint="eastAsia" w:ascii="仿宋" w:eastAsia="仿宋" w:cs="Times New Roman"/>
          <w:szCs w:val="32"/>
        </w:rPr>
        <w:t>（二）政府采购支出情况</w:t>
      </w:r>
      <w:r>
        <w:tab/>
      </w:r>
      <w:r>
        <w:rPr>
          <w:rFonts w:hint="eastAsia"/>
          <w:lang w:val="en-US" w:eastAsia="zh-CN"/>
        </w:rPr>
        <w:t>1</w:t>
      </w:r>
      <w:r>
        <w:fldChar w:fldCharType="end"/>
      </w:r>
      <w:r>
        <w:rPr>
          <w:rFonts w:hint="eastAsia"/>
          <w:lang w:val="en-US" w:eastAsia="zh-CN"/>
        </w:rPr>
        <w:t>4</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_Toc20536 </w:instrText>
      </w:r>
      <w:r>
        <w:fldChar w:fldCharType="separate"/>
      </w:r>
      <w:r>
        <w:rPr>
          <w:rFonts w:hint="eastAsia" w:ascii="仿宋" w:eastAsia="仿宋" w:cs="Times New Roman"/>
          <w:szCs w:val="32"/>
        </w:rPr>
        <w:t>（三）国有资产占有使用情况</w:t>
      </w:r>
      <w:r>
        <w:tab/>
      </w:r>
      <w:r>
        <w:rPr>
          <w:rFonts w:hint="eastAsia"/>
          <w:lang w:val="en-US" w:eastAsia="zh-CN"/>
        </w:rPr>
        <w:t>1</w:t>
      </w:r>
      <w:r>
        <w:fldChar w:fldCharType="end"/>
      </w:r>
      <w:r>
        <w:rPr>
          <w:lang w:val="en-US" w:eastAsia="zh-CN"/>
        </w:rPr>
        <w:t>5</w:t>
      </w:r>
    </w:p>
    <w:p>
      <w:pPr>
        <w:pStyle w:val="1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_Toc27201 </w:instrText>
      </w:r>
      <w:r>
        <w:fldChar w:fldCharType="separate"/>
      </w:r>
      <w:r>
        <w:rPr>
          <w:rFonts w:hint="eastAsia" w:ascii="仿宋" w:eastAsia="仿宋" w:cs="Times New Roman"/>
          <w:szCs w:val="32"/>
        </w:rPr>
        <w:t>（四）预算绩效管理情况</w:t>
      </w:r>
      <w:r>
        <w:tab/>
      </w:r>
      <w:r>
        <w:rPr>
          <w:rFonts w:hint="eastAsia"/>
          <w:lang w:val="en-US" w:eastAsia="zh-CN"/>
        </w:rPr>
        <w:t>1</w:t>
      </w:r>
      <w:r>
        <w:fldChar w:fldCharType="end"/>
      </w:r>
      <w:r>
        <w:rPr>
          <w:rFonts w:hint="eastAsia"/>
          <w:lang w:val="en-US" w:eastAsia="zh-CN"/>
        </w:rPr>
        <w:t>5</w:t>
      </w:r>
    </w:p>
    <w:p>
      <w:pPr>
        <w:pStyle w:val="1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eastAsia="黑体" w:cs="Times New Roman"/>
          <w:szCs w:val="44"/>
        </w:rPr>
        <w:t>第三部分 名词解释</w:t>
      </w:r>
      <w:r>
        <w:tab/>
      </w:r>
      <w:r>
        <w:rPr>
          <w:rFonts w:hint="eastAsia"/>
          <w:lang w:val="en-US" w:eastAsia="zh-CN"/>
        </w:rPr>
        <w:t>1</w:t>
      </w:r>
      <w:r>
        <w:fldChar w:fldCharType="end"/>
      </w:r>
      <w:r>
        <w:rPr>
          <w:lang w:val="en-US" w:eastAsia="zh-CN"/>
        </w:rPr>
        <w:t>6</w:t>
      </w:r>
    </w:p>
    <w:p>
      <w:pPr>
        <w:pStyle w:val="13"/>
        <w:pageBreakBefore w:val="0"/>
        <w:tabs>
          <w:tab w:val="right" w:leader="dot" w:pos="8306"/>
        </w:tabs>
        <w:kinsoku/>
        <w:wordWrap/>
        <w:overflowPunct/>
        <w:topLinePunct w:val="0"/>
        <w:bidi w:val="0"/>
        <w:spacing w:line="576" w:lineRule="exact"/>
        <w:textAlignment w:val="auto"/>
        <w:rPr>
          <w:rFonts w:hint="eastAsia"/>
        </w:rPr>
      </w:pPr>
      <w:r>
        <w:fldChar w:fldCharType="begin"/>
      </w:r>
      <w:r>
        <w:instrText xml:space="preserve"> HYPERLINK \l _Toc7978 </w:instrText>
      </w:r>
      <w:r>
        <w:fldChar w:fldCharType="separate"/>
      </w:r>
      <w:r>
        <w:rPr>
          <w:rFonts w:hint="eastAsia" w:ascii="黑体" w:eastAsia="黑体" w:cs="Times New Roman"/>
          <w:kern w:val="2"/>
          <w:szCs w:val="44"/>
          <w:lang w:val="en-US" w:eastAsia="zh-CN" w:bidi="ar-SA"/>
        </w:rPr>
        <w:t>第四部分 附件</w:t>
      </w:r>
      <w:r>
        <w:tab/>
      </w:r>
      <w:r>
        <w:rPr>
          <w:lang w:val="en-US" w:eastAsia="zh-CN"/>
        </w:rPr>
        <w:t>1</w:t>
      </w:r>
      <w:r>
        <w:fldChar w:fldCharType="end"/>
      </w:r>
      <w:r>
        <w:rPr>
          <w:lang w:val="en-US" w:eastAsia="zh-CN"/>
        </w:rPr>
        <w:t>9</w:t>
      </w:r>
    </w:p>
    <w:p>
      <w:pPr>
        <w:pStyle w:val="13"/>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_Toc9504 </w:instrText>
      </w:r>
      <w:r>
        <w:fldChar w:fldCharType="separate"/>
      </w:r>
      <w:r>
        <w:rPr>
          <w:rFonts w:hint="eastAsia" w:ascii="黑体" w:eastAsia="黑体" w:cs="Times New Roman"/>
          <w:szCs w:val="44"/>
        </w:rPr>
        <w:t>第五部分 附表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_Toc26370 </w:instrText>
      </w:r>
      <w:r>
        <w:fldChar w:fldCharType="separate"/>
      </w:r>
      <w:r>
        <w:rPr>
          <w:rFonts w:hint="eastAsia" w:ascii="仿宋" w:eastAsia="仿宋" w:cs="Times New Roman"/>
          <w:kern w:val="2"/>
          <w:szCs w:val="32"/>
          <w:lang w:bidi="ar-SA"/>
        </w:rPr>
        <w:t>一、收入支出决算总表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_Toc13591 </w:instrText>
      </w:r>
      <w:r>
        <w:fldChar w:fldCharType="separate"/>
      </w:r>
      <w:r>
        <w:rPr>
          <w:rFonts w:hint="eastAsia" w:ascii="仿宋" w:eastAsia="仿宋" w:cs="Times New Roman"/>
          <w:kern w:val="2"/>
          <w:szCs w:val="32"/>
          <w:lang w:bidi="ar-SA"/>
        </w:rPr>
        <w:t>二、收入决算表</w:t>
      </w:r>
      <w:r>
        <w:tab/>
      </w:r>
      <w:r>
        <w:fldChar w:fldCharType="begin"/>
      </w:r>
      <w:r>
        <w:instrText xml:space="preserve"> PAGEREF _Toc13591 \h </w:instrText>
      </w:r>
      <w:r>
        <w:fldChar w:fldCharType="separate"/>
      </w:r>
      <w:r>
        <w:t>25</w:t>
      </w:r>
      <w:r>
        <w:fldChar w:fldCharType="end"/>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_Toc16600 </w:instrText>
      </w:r>
      <w:r>
        <w:fldChar w:fldCharType="separate"/>
      </w:r>
      <w:r>
        <w:rPr>
          <w:rFonts w:hint="eastAsia" w:ascii="仿宋" w:eastAsia="仿宋" w:cs="Times New Roman"/>
          <w:kern w:val="2"/>
          <w:szCs w:val="32"/>
          <w:lang w:bidi="ar-SA"/>
        </w:rPr>
        <w:t>三、支出决算表</w:t>
      </w:r>
      <w:r>
        <w:tab/>
      </w:r>
      <w:r>
        <w:fldChar w:fldCharType="begin"/>
      </w:r>
      <w:r>
        <w:instrText xml:space="preserve"> PAGEREF _Toc16600 \h </w:instrText>
      </w:r>
      <w:r>
        <w:fldChar w:fldCharType="separate"/>
      </w:r>
      <w:r>
        <w:t>25</w:t>
      </w:r>
      <w:r>
        <w:fldChar w:fldCharType="end"/>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_Toc26630 </w:instrText>
      </w:r>
      <w:r>
        <w:fldChar w:fldCharType="separate"/>
      </w:r>
      <w:r>
        <w:rPr>
          <w:rFonts w:hint="eastAsia" w:ascii="仿宋" w:eastAsia="仿宋" w:cs="Times New Roman"/>
          <w:kern w:val="2"/>
          <w:szCs w:val="32"/>
          <w:lang w:bidi="ar-SA"/>
        </w:rPr>
        <w:t>四、财政拨款收入支出决算总表</w:t>
      </w:r>
      <w:r>
        <w:tab/>
      </w:r>
      <w:r>
        <w:fldChar w:fldCharType="begin"/>
      </w:r>
      <w:r>
        <w:instrText xml:space="preserve"> PAGEREF _Toc26630 \h </w:instrText>
      </w:r>
      <w:r>
        <w:fldChar w:fldCharType="separate"/>
      </w:r>
      <w:r>
        <w:t>25</w:t>
      </w:r>
      <w:r>
        <w:fldChar w:fldCharType="end"/>
      </w:r>
      <w:r>
        <w:fldChar w:fldCharType="end"/>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_Toc19934 </w:instrText>
      </w:r>
      <w:r>
        <w:fldChar w:fldCharType="separate"/>
      </w:r>
      <w:r>
        <w:rPr>
          <w:rFonts w:hint="eastAsia" w:ascii="仿宋" w:eastAsia="仿宋" w:cs="Times New Roman"/>
          <w:kern w:val="2"/>
          <w:szCs w:val="32"/>
          <w:lang w:bidi="ar-SA"/>
        </w:rPr>
        <w:t>五、财政拨款支出决算明细表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_Toc6686 </w:instrText>
      </w:r>
      <w:r>
        <w:fldChar w:fldCharType="separate"/>
      </w:r>
      <w:r>
        <w:rPr>
          <w:rFonts w:hint="eastAsia" w:ascii="仿宋" w:eastAsia="仿宋" w:cs="Times New Roman"/>
          <w:kern w:val="2"/>
          <w:szCs w:val="32"/>
          <w:lang w:bidi="ar-SA"/>
        </w:rPr>
        <w:t>六、一般公共预算财政拨款支出决算表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_Toc19514 </w:instrText>
      </w:r>
      <w:r>
        <w:fldChar w:fldCharType="separate"/>
      </w:r>
      <w:r>
        <w:rPr>
          <w:rFonts w:hint="eastAsia" w:ascii="仿宋" w:eastAsia="仿宋" w:cs="Times New Roman"/>
          <w:kern w:val="2"/>
          <w:szCs w:val="32"/>
          <w:lang w:bidi="ar-SA"/>
        </w:rPr>
        <w:t>七、一般公共预算财政拨款支出决算明细表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_Toc191 </w:instrText>
      </w:r>
      <w:r>
        <w:fldChar w:fldCharType="separate"/>
      </w:r>
      <w:r>
        <w:rPr>
          <w:rFonts w:hint="eastAsia" w:ascii="仿宋" w:eastAsia="仿宋" w:cs="Times New Roman"/>
          <w:kern w:val="2"/>
          <w:szCs w:val="32"/>
          <w:lang w:bidi="ar-SA"/>
        </w:rPr>
        <w:t>八、一般公共预算财政拨款基本支出决算表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_Toc5204 </w:instrText>
      </w:r>
      <w:r>
        <w:fldChar w:fldCharType="separate"/>
      </w:r>
      <w:r>
        <w:rPr>
          <w:rFonts w:hint="eastAsia" w:ascii="仿宋" w:eastAsia="仿宋" w:cs="Times New Roman"/>
          <w:kern w:val="2"/>
          <w:szCs w:val="32"/>
          <w:lang w:bidi="ar-SA"/>
        </w:rPr>
        <w:t>九、一般公共预算财政拨款项目支出决算表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_Toc20756 </w:instrText>
      </w:r>
      <w:r>
        <w:fldChar w:fldCharType="separate"/>
      </w:r>
      <w:r>
        <w:rPr>
          <w:rFonts w:hint="eastAsia" w:ascii="仿宋" w:eastAsia="仿宋" w:cs="Times New Roman"/>
          <w:kern w:val="2"/>
          <w:szCs w:val="32"/>
          <w:lang w:bidi="ar-SA"/>
        </w:rPr>
        <w:t>十、政府性基金预算财政拨款收入支出决算表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_Toc21387 </w:instrText>
      </w:r>
      <w:r>
        <w:fldChar w:fldCharType="separate"/>
      </w:r>
      <w:r>
        <w:rPr>
          <w:rFonts w:hint="eastAsia" w:ascii="仿宋" w:eastAsia="仿宋" w:cs="Times New Roman"/>
          <w:kern w:val="2"/>
          <w:szCs w:val="32"/>
          <w:lang w:bidi="ar-SA"/>
        </w:rPr>
        <w:t>十一、国有资本经营预算财政拨款收入支出决算表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_Toc1140 </w:instrText>
      </w:r>
      <w:r>
        <w:fldChar w:fldCharType="separate"/>
      </w:r>
      <w:r>
        <w:rPr>
          <w:rFonts w:hint="eastAsia" w:ascii="仿宋" w:eastAsia="仿宋" w:cs="Times New Roman"/>
          <w:kern w:val="2"/>
          <w:szCs w:val="32"/>
          <w:lang w:bidi="ar-SA"/>
        </w:rPr>
        <w:t>十二、国有资本经营预算财政拨款支出决算表</w:t>
      </w:r>
      <w:r>
        <w:tab/>
      </w:r>
      <w:r>
        <w:t>2</w:t>
      </w:r>
      <w:r>
        <w:fldChar w:fldCharType="end"/>
      </w:r>
      <w:r>
        <w:t>5</w:t>
      </w:r>
    </w:p>
    <w:p>
      <w:pPr>
        <w:pStyle w:val="1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_Toc24957 </w:instrText>
      </w:r>
      <w:r>
        <w:fldChar w:fldCharType="separate"/>
      </w:r>
      <w:r>
        <w:rPr>
          <w:rFonts w:hint="eastAsia" w:ascii="仿宋" w:eastAsia="仿宋" w:cs="Times New Roman"/>
          <w:kern w:val="2"/>
          <w:szCs w:val="32"/>
          <w:lang w:bidi="ar-SA"/>
        </w:rPr>
        <w:t>十三、财政拨款“三公”经费支出决算表</w:t>
      </w:r>
      <w:r>
        <w:tab/>
      </w:r>
      <w:r>
        <w:t>2</w:t>
      </w:r>
      <w:r>
        <w:fldChar w:fldCharType="end"/>
      </w:r>
      <w:r>
        <w:t>5</w:t>
      </w:r>
    </w:p>
    <w:p>
      <w:pPr>
        <w:pageBreakBefore w:val="0"/>
        <w:widowControl w:val="0"/>
        <w:kinsoku/>
        <w:wordWrap/>
        <w:overflowPunct/>
        <w:topLinePunct w:val="0"/>
        <w:bidi w:val="0"/>
        <w:spacing w:line="576" w:lineRule="exact"/>
        <w:textAlignment w:val="auto"/>
      </w:pPr>
      <w:r>
        <w:fldChar w:fldCharType="end"/>
      </w:r>
    </w:p>
    <w:p>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pPr>
        <w:pStyle w:val="2"/>
        <w:keepNext/>
        <w:keepLines/>
        <w:pageBreakBefore w:val="0"/>
        <w:widowControl w:val="0"/>
        <w:kinsoku/>
        <w:wordWrap/>
        <w:overflowPunct/>
        <w:topLinePunct w:val="0"/>
        <w:spacing w:before="340" w:beforeAutospacing="0" w:after="330" w:afterAutospacing="0" w:line="576" w:lineRule="exact"/>
        <w:jc w:val="center"/>
        <w:rPr>
          <w:rFonts w:hint="eastAsia" w:ascii="黑体" w:eastAsia="黑体" w:cs="Times New Roman"/>
          <w:b w:val="0"/>
          <w:sz w:val="44"/>
          <w:szCs w:val="44"/>
        </w:rPr>
      </w:pPr>
      <w:bookmarkStart w:id="11" w:name="_Toc2419"/>
      <w:bookmarkStart w:id="12" w:name="_Toc23324"/>
      <w:r>
        <w:rPr>
          <w:rFonts w:hint="eastAsia" w:ascii="黑体" w:eastAsia="黑体" w:cs="Times New Roman"/>
          <w:b w:val="0"/>
          <w:sz w:val="44"/>
          <w:szCs w:val="44"/>
          <w:lang w:bidi="ar-SA"/>
        </w:rPr>
        <w:t>第一部分 单位概况</w:t>
      </w:r>
      <w:bookmarkEnd w:id="11"/>
      <w:bookmarkEnd w:id="12"/>
    </w:p>
    <w:p>
      <w:pPr>
        <w:pStyle w:val="3"/>
        <w:keepNext/>
        <w:keepLines/>
        <w:pageBreakBefore w:val="0"/>
        <w:widowControl w:val="0"/>
        <w:numPr>
          <w:ilvl w:val="0"/>
          <w:numId w:val="1"/>
        </w:numPr>
        <w:kinsoku/>
        <w:wordWrap/>
        <w:overflowPunct/>
        <w:topLinePunct w:val="0"/>
        <w:bidi w:val="0"/>
        <w:spacing w:before="260" w:beforeAutospacing="0" w:after="260" w:afterAutospacing="0" w:line="576" w:lineRule="exact"/>
        <w:jc w:val="both"/>
        <w:textAlignment w:val="auto"/>
        <w:outlineLvl w:val="1"/>
        <w:rPr>
          <w:rFonts w:hint="eastAsia" w:ascii="黑体" w:eastAsia="黑体" w:cs="黑体"/>
          <w:b w:val="0"/>
          <w:bCs/>
          <w:color w:val="000000"/>
          <w:kern w:val="2"/>
          <w:sz w:val="32"/>
          <w:szCs w:val="32"/>
          <w:lang w:bidi="ar-SA"/>
        </w:rPr>
      </w:pPr>
      <w:bookmarkStart w:id="13" w:name="_Toc15510"/>
      <w:bookmarkStart w:id="14" w:name="_Toc14656"/>
      <w:r>
        <w:rPr>
          <w:rFonts w:hint="eastAsia" w:ascii="黑体" w:eastAsia="黑体" w:cs="黑体"/>
          <w:b w:val="0"/>
          <w:bCs/>
          <w:color w:val="000000"/>
          <w:kern w:val="2"/>
          <w:sz w:val="32"/>
          <w:szCs w:val="32"/>
          <w:lang w:bidi="ar-SA"/>
        </w:rPr>
        <w:t>主要职责</w:t>
      </w:r>
      <w:bookmarkEnd w:id="13"/>
      <w:bookmarkEnd w:id="14"/>
      <w:bookmarkStart w:id="15" w:name="_Toc30733"/>
    </w:p>
    <w:p>
      <w:pPr>
        <w:pStyle w:val="3"/>
        <w:keepNext/>
        <w:keepLines/>
        <w:pageBreakBefore w:val="0"/>
        <w:widowControl w:val="0"/>
        <w:numPr>
          <w:ilvl w:val="0"/>
          <w:numId w:val="2"/>
        </w:numPr>
        <w:kinsoku/>
        <w:wordWrap/>
        <w:overflowPunct/>
        <w:topLinePunct w:val="0"/>
        <w:bidi w:val="0"/>
        <w:spacing w:before="260" w:beforeAutospacing="0" w:after="260" w:afterAutospacing="0" w:line="240" w:lineRule="auto"/>
        <w:ind w:left="0" w:firstLine="320" w:firstLineChars="100"/>
        <w:jc w:val="both"/>
        <w:textAlignment w:val="auto"/>
        <w:outlineLvl w:val="1"/>
        <w:rPr>
          <w:rFonts w:hint="eastAsia" w:ascii="黑体" w:eastAsia="黑体" w:cs="黑体"/>
          <w:b w:val="0"/>
          <w:bCs/>
          <w:color w:val="000000"/>
          <w:sz w:val="32"/>
          <w:szCs w:val="32"/>
        </w:rPr>
      </w:pPr>
      <w:r>
        <w:rPr>
          <w:rFonts w:hint="eastAsia" w:ascii="黑体" w:eastAsia="黑体" w:cs="黑体"/>
          <w:b w:val="0"/>
          <w:bCs/>
          <w:color w:val="000000"/>
          <w:sz w:val="32"/>
          <w:szCs w:val="32"/>
        </w:rPr>
        <w:t>主要职能</w:t>
      </w:r>
      <w:bookmarkEnd w:id="15"/>
      <w:bookmarkStart w:id="16" w:name="_Toc2091"/>
    </w:p>
    <w:p>
      <w:pPr>
        <w:widowControl/>
        <w:spacing w:line="560" w:lineRule="exact"/>
        <w:ind w:firstLine="729" w:firstLineChars="228"/>
        <w:jc w:val="left"/>
        <w:textAlignment w:val="baseline"/>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贯彻执行国家、省、州、县的有关方针、政策、法律、法规，执行州委、州政府、县委、县政府的决定和指示，依法制定园区经济管理规范性文件，检查督促园区内各企业贯彻执行；制定工业园区有关行政管理制度并监督执行。</w:t>
      </w:r>
    </w:p>
    <w:p>
      <w:pPr>
        <w:widowControl/>
        <w:shd w:val="clear" w:color="auto" w:fill="FFFFFF"/>
        <w:spacing w:line="560" w:lineRule="exact"/>
        <w:ind w:firstLine="729" w:firstLineChars="228"/>
        <w:jc w:val="left"/>
        <w:rPr>
          <w:rFonts w:hint="eastAsia" w:ascii="仿宋_GB2312" w:eastAsia="仿宋_GB2312"/>
          <w:color w:val="000000"/>
          <w:sz w:val="32"/>
          <w:szCs w:val="32"/>
        </w:rPr>
      </w:pPr>
      <w:r>
        <w:rPr>
          <w:rFonts w:hint="eastAsia" w:ascii="仿宋_GB2312" w:eastAsia="仿宋_GB2312" w:cs="宋体"/>
          <w:color w:val="000000"/>
          <w:kern w:val="0"/>
          <w:sz w:val="32"/>
          <w:szCs w:val="32"/>
        </w:rPr>
        <w:t>2</w:t>
      </w:r>
      <w:r>
        <w:rPr>
          <w:rFonts w:ascii="仿宋_GB2312" w:eastAsia="仿宋_GB2312" w:cs="宋体"/>
          <w:color w:val="000000"/>
          <w:kern w:val="0"/>
          <w:sz w:val="32"/>
          <w:szCs w:val="32"/>
        </w:rPr>
        <w:t>.</w:t>
      </w:r>
      <w:r>
        <w:rPr>
          <w:rFonts w:hint="eastAsia" w:eastAsia="仿宋_GB2312"/>
          <w:color w:val="000000"/>
          <w:kern w:val="0"/>
          <w:sz w:val="32"/>
          <w:szCs w:val="32"/>
        </w:rPr>
        <w:t> </w:t>
      </w:r>
      <w:r>
        <w:rPr>
          <w:rFonts w:hint="eastAsia" w:ascii="仿宋_GB2312" w:eastAsia="仿宋_GB2312" w:cs="宋体"/>
          <w:color w:val="000000"/>
          <w:kern w:val="0"/>
          <w:sz w:val="32"/>
          <w:szCs w:val="32"/>
        </w:rPr>
        <w:t>按照现代工业发展的要求，</w:t>
      </w:r>
      <w:r>
        <w:rPr>
          <w:rFonts w:hint="eastAsia" w:ascii="仿宋_GB2312" w:eastAsia="仿宋_GB2312"/>
          <w:color w:val="000000"/>
          <w:sz w:val="32"/>
          <w:szCs w:val="32"/>
        </w:rPr>
        <w:t>编制园区发展总体规划、园区控制性详细规划、产业发展规划、</w:t>
      </w:r>
      <w:r>
        <w:rPr>
          <w:rFonts w:hint="eastAsia" w:ascii="仿宋_GB2312" w:eastAsia="仿宋_GB2312" w:cs="Arial"/>
          <w:color w:val="000000"/>
          <w:kern w:val="0"/>
          <w:sz w:val="32"/>
          <w:szCs w:val="32"/>
        </w:rPr>
        <w:t>经济目标规划、</w:t>
      </w:r>
      <w:r>
        <w:rPr>
          <w:rFonts w:hint="eastAsia" w:ascii="仿宋_GB2312" w:eastAsia="仿宋_GB2312"/>
          <w:color w:val="000000"/>
          <w:sz w:val="32"/>
          <w:szCs w:val="32"/>
        </w:rPr>
        <w:t>区域环评、水土保持、行洪论证、林地征占等报告并组织实施。</w:t>
      </w:r>
    </w:p>
    <w:p>
      <w:pPr>
        <w:widowControl/>
        <w:shd w:val="clear" w:color="auto" w:fill="FFFFFF"/>
        <w:spacing w:line="560" w:lineRule="exact"/>
        <w:ind w:firstLine="729" w:firstLineChars="228"/>
        <w:jc w:val="left"/>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w:t>
      </w:r>
      <w:r>
        <w:rPr>
          <w:rFonts w:ascii="仿宋_GB2312" w:eastAsia="仿宋_GB2312" w:cs="宋体"/>
          <w:color w:val="000000"/>
          <w:kern w:val="0"/>
          <w:sz w:val="32"/>
          <w:szCs w:val="32"/>
        </w:rPr>
        <w:t>.</w:t>
      </w:r>
      <w:r>
        <w:rPr>
          <w:rFonts w:hint="eastAsia" w:ascii="仿宋_GB2312" w:eastAsia="仿宋_GB2312"/>
          <w:color w:val="000000"/>
          <w:sz w:val="32"/>
          <w:szCs w:val="32"/>
        </w:rPr>
        <w:t>负责园区内土地的统一开发</w:t>
      </w:r>
      <w:r>
        <w:rPr>
          <w:rFonts w:ascii="仿宋_GB2312" w:eastAsia="仿宋_GB2312"/>
          <w:color w:val="000000"/>
          <w:sz w:val="32"/>
          <w:szCs w:val="32"/>
        </w:rPr>
        <w:t>，</w:t>
      </w:r>
      <w:r>
        <w:rPr>
          <w:rFonts w:hint="eastAsia" w:ascii="仿宋_GB2312" w:eastAsia="仿宋_GB2312"/>
          <w:color w:val="000000"/>
          <w:sz w:val="32"/>
          <w:szCs w:val="32"/>
        </w:rPr>
        <w:t>规划、</w:t>
      </w:r>
      <w:r>
        <w:rPr>
          <w:rFonts w:hint="eastAsia" w:ascii="仿宋_GB2312" w:eastAsia="仿宋_GB2312" w:cs="宋体"/>
          <w:color w:val="000000"/>
          <w:kern w:val="0"/>
          <w:sz w:val="32"/>
          <w:szCs w:val="32"/>
        </w:rPr>
        <w:t>建设和管理园区内的基础设施和公共设施。</w:t>
      </w:r>
    </w:p>
    <w:p>
      <w:pPr>
        <w:widowControl/>
        <w:shd w:val="clear" w:color="auto" w:fill="FFFFFF"/>
        <w:spacing w:line="560" w:lineRule="exact"/>
        <w:ind w:firstLine="729" w:firstLineChars="228"/>
        <w:jc w:val="left"/>
        <w:rPr>
          <w:rFonts w:hint="eastAsia" w:ascii="仿宋_GB2312" w:eastAsia="仿宋_GB2312" w:cs="宋体"/>
          <w:color w:val="000000"/>
          <w:kern w:val="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s="宋体"/>
          <w:color w:val="000000"/>
          <w:kern w:val="0"/>
          <w:sz w:val="32"/>
          <w:szCs w:val="32"/>
        </w:rPr>
        <w:t>配合县相关职能部门开展园区建设用地的实物量调查、土地征用、农户拆迁、土地价款的收支等工作。</w:t>
      </w:r>
    </w:p>
    <w:p>
      <w:pPr>
        <w:widowControl/>
        <w:spacing w:line="560" w:lineRule="exact"/>
        <w:ind w:firstLine="729" w:firstLineChars="228"/>
        <w:jc w:val="left"/>
        <w:textAlignment w:val="baseline"/>
        <w:rPr>
          <w:rFonts w:hint="eastAsia" w:ascii="仿宋_GB2312" w:eastAsia="仿宋_GB2312"/>
          <w:sz w:val="32"/>
          <w:szCs w:val="32"/>
        </w:rPr>
      </w:pPr>
      <w:r>
        <w:rPr>
          <w:rFonts w:hint="eastAsia" w:ascii="仿宋_GB2312" w:eastAsia="仿宋_GB2312" w:cs="宋体"/>
          <w:color w:val="000000"/>
          <w:kern w:val="0"/>
          <w:sz w:val="32"/>
          <w:szCs w:val="32"/>
        </w:rPr>
        <w:t>5</w:t>
      </w:r>
      <w:r>
        <w:rPr>
          <w:rFonts w:ascii="仿宋_GB2312" w:eastAsia="仿宋_GB2312" w:cs="宋体"/>
          <w:color w:val="000000"/>
          <w:kern w:val="0"/>
          <w:sz w:val="32"/>
          <w:szCs w:val="32"/>
        </w:rPr>
        <w:t>.</w:t>
      </w:r>
      <w:r>
        <w:rPr>
          <w:rFonts w:hint="eastAsia" w:ascii="仿宋_GB2312" w:eastAsia="仿宋_GB2312" w:cs="Arial"/>
          <w:color w:val="000000"/>
          <w:kern w:val="0"/>
          <w:sz w:val="32"/>
          <w:szCs w:val="32"/>
        </w:rPr>
        <w:t>坚持正确的产业导向，严格遵守国家制定的企业准入条件。</w:t>
      </w:r>
      <w:r>
        <w:rPr>
          <w:rFonts w:hint="eastAsia" w:ascii="仿宋_GB2312" w:eastAsia="仿宋_GB2312"/>
          <w:sz w:val="32"/>
          <w:szCs w:val="32"/>
        </w:rPr>
        <w:t>对拟投资项目进行调研、论证、评估等相关工作，提出投资项目的可行性报告；</w:t>
      </w:r>
      <w:r>
        <w:rPr>
          <w:rFonts w:hint="eastAsia" w:ascii="仿宋_GB2312" w:eastAsia="仿宋_GB2312" w:cs="宋体"/>
          <w:kern w:val="0"/>
          <w:sz w:val="32"/>
          <w:szCs w:val="32"/>
        </w:rPr>
        <w:t>做好招商引资、</w:t>
      </w:r>
      <w:r>
        <w:rPr>
          <w:rFonts w:hint="eastAsia" w:ascii="仿宋_GB2312" w:eastAsia="仿宋_GB2312" w:cs="Arial"/>
          <w:color w:val="000000"/>
          <w:kern w:val="0"/>
          <w:sz w:val="32"/>
          <w:szCs w:val="32"/>
        </w:rPr>
        <w:t>项目初审、合同</w:t>
      </w:r>
      <w:r>
        <w:rPr>
          <w:rFonts w:hint="eastAsia" w:ascii="仿宋_GB2312" w:eastAsia="仿宋_GB2312" w:cs="宋体"/>
          <w:kern w:val="0"/>
          <w:sz w:val="32"/>
          <w:szCs w:val="32"/>
        </w:rPr>
        <w:t>签订等工作。</w:t>
      </w:r>
    </w:p>
    <w:p>
      <w:pPr>
        <w:widowControl/>
        <w:spacing w:line="560" w:lineRule="exact"/>
        <w:ind w:firstLine="729" w:firstLineChars="228"/>
        <w:jc w:val="left"/>
        <w:textAlignment w:val="baseline"/>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6</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统筹安排和管理园区的投资项目，负责企业入园的评估、选址工作；为企业用地、办证、</w:t>
      </w:r>
      <w:r>
        <w:rPr>
          <w:rFonts w:hint="eastAsia" w:ascii="仿宋_GB2312" w:eastAsia="仿宋_GB2312" w:cs="Arial"/>
          <w:color w:val="000000"/>
          <w:kern w:val="0"/>
          <w:sz w:val="32"/>
          <w:szCs w:val="32"/>
        </w:rPr>
        <w:t>项目备案、</w:t>
      </w:r>
      <w:r>
        <w:rPr>
          <w:rFonts w:hint="eastAsia" w:ascii="仿宋_GB2312" w:eastAsia="仿宋_GB2312" w:cs="宋体"/>
          <w:color w:val="000000"/>
          <w:kern w:val="0"/>
          <w:sz w:val="32"/>
          <w:szCs w:val="32"/>
        </w:rPr>
        <w:t>厂房建设、生产生活提供咨询、服务和协调。</w:t>
      </w:r>
    </w:p>
    <w:p>
      <w:pPr>
        <w:widowControl/>
        <w:spacing w:line="560" w:lineRule="exact"/>
        <w:ind w:firstLine="729" w:firstLineChars="228"/>
        <w:jc w:val="left"/>
        <w:textAlignment w:val="baseline"/>
        <w:rPr>
          <w:rFonts w:hint="eastAsia" w:ascii="仿宋_GB2312" w:eastAsia="仿宋_GB2312" w:cs="宋体"/>
          <w:kern w:val="0"/>
          <w:sz w:val="32"/>
          <w:szCs w:val="32"/>
        </w:rPr>
      </w:pPr>
      <w:r>
        <w:rPr>
          <w:rFonts w:hint="eastAsia" w:ascii="仿宋_GB2312" w:eastAsia="仿宋_GB2312" w:cs="宋体"/>
          <w:color w:val="000000"/>
          <w:kern w:val="0"/>
          <w:sz w:val="32"/>
          <w:szCs w:val="32"/>
        </w:rPr>
        <w:t>7</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贯彻落实州、县人民政府赋予园区的各项优惠政策，</w:t>
      </w:r>
      <w:r>
        <w:rPr>
          <w:rFonts w:hint="eastAsia" w:ascii="仿宋_GB2312" w:eastAsia="仿宋_GB2312" w:cs="宋体"/>
          <w:kern w:val="0"/>
          <w:sz w:val="32"/>
          <w:szCs w:val="32"/>
        </w:rPr>
        <w:t>监督建设项目的实施。</w:t>
      </w:r>
    </w:p>
    <w:p>
      <w:pPr>
        <w:widowControl/>
        <w:shd w:val="clear" w:color="auto" w:fill="FFFFFF"/>
        <w:spacing w:line="560" w:lineRule="exact"/>
        <w:ind w:firstLine="729" w:firstLineChars="228"/>
        <w:jc w:val="left"/>
        <w:rPr>
          <w:rFonts w:hint="eastAsia" w:ascii="仿宋_GB2312" w:eastAsia="仿宋_GB2312" w:cs="宋体"/>
          <w:color w:val="000000"/>
          <w:kern w:val="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s="宋体"/>
          <w:color w:val="000000"/>
          <w:kern w:val="0"/>
          <w:sz w:val="32"/>
          <w:szCs w:val="32"/>
        </w:rPr>
        <w:t>配合有关部门做好安全生产、环境保护等工作；</w:t>
      </w:r>
      <w:r>
        <w:rPr>
          <w:rFonts w:hint="eastAsia" w:ascii="仿宋_GB2312" w:eastAsia="仿宋_GB2312"/>
          <w:color w:val="000000"/>
          <w:sz w:val="32"/>
          <w:szCs w:val="32"/>
        </w:rPr>
        <w:t>会同人力资源和社会保障部门协助企业做好人员招聘、培训和社会保障工作；配合税务、工商、财政部门做好税费征管等工作</w:t>
      </w:r>
      <w:r>
        <w:rPr>
          <w:rFonts w:hint="eastAsia" w:ascii="仿宋_GB2312" w:eastAsia="仿宋_GB2312" w:cs="宋体"/>
          <w:color w:val="000000"/>
          <w:kern w:val="0"/>
          <w:sz w:val="32"/>
          <w:szCs w:val="32"/>
        </w:rPr>
        <w:t>。</w:t>
      </w:r>
    </w:p>
    <w:p>
      <w:pPr>
        <w:widowControl/>
        <w:spacing w:line="560" w:lineRule="exact"/>
        <w:ind w:firstLine="729" w:firstLineChars="228"/>
        <w:jc w:val="left"/>
        <w:textAlignment w:val="baseline"/>
        <w:rPr>
          <w:rFonts w:hint="eastAsia"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贯彻执行国家、省、州、县关于政府投融资管理的政策，构建投融资平台，为企业融资提供方便，促进园区产业又好又快发展。</w:t>
      </w:r>
    </w:p>
    <w:p>
      <w:pPr>
        <w:spacing w:line="240" w:lineRule="auto"/>
        <w:ind w:firstLine="640" w:firstLineChars="200"/>
        <w:rPr>
          <w:rFonts w:hint="eastAsia" w:ascii="仿宋_GB2312" w:eastAsia="仿宋_GB2312"/>
          <w:color w:val="000000"/>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宋体"/>
          <w:color w:val="000000"/>
          <w:kern w:val="0"/>
          <w:sz w:val="32"/>
          <w:szCs w:val="32"/>
        </w:rPr>
        <w:t>承办</w:t>
      </w:r>
      <w:r>
        <w:rPr>
          <w:rFonts w:ascii="仿宋_GB2312" w:eastAsia="仿宋_GB2312" w:cs="宋体"/>
          <w:color w:val="000000"/>
          <w:kern w:val="0"/>
          <w:sz w:val="32"/>
          <w:szCs w:val="32"/>
        </w:rPr>
        <w:t>县委</w:t>
      </w:r>
      <w:r>
        <w:rPr>
          <w:rFonts w:hint="eastAsia" w:ascii="仿宋_GB2312" w:eastAsia="仿宋_GB2312" w:cs="宋体"/>
          <w:color w:val="000000"/>
          <w:kern w:val="0"/>
          <w:sz w:val="32"/>
          <w:szCs w:val="32"/>
        </w:rPr>
        <w:t>县政府交办的其他工作。</w:t>
      </w:r>
    </w:p>
    <w:p>
      <w:pPr>
        <w:pStyle w:val="3"/>
        <w:keepNext/>
        <w:keepLines/>
        <w:pageBreakBefore w:val="0"/>
        <w:widowControl w:val="0"/>
        <w:numPr>
          <w:ilvl w:val="0"/>
          <w:numId w:val="2"/>
        </w:numPr>
        <w:kinsoku/>
        <w:wordWrap/>
        <w:overflowPunct/>
        <w:topLinePunct w:val="0"/>
        <w:spacing w:before="260" w:beforeAutospacing="0" w:after="260" w:afterAutospacing="0"/>
        <w:ind w:left="0" w:firstLine="320" w:firstLineChars="100"/>
        <w:jc w:val="both"/>
        <w:rPr>
          <w:rFonts w:hint="eastAsia" w:ascii="黑体" w:eastAsia="黑体" w:cs="黑体"/>
          <w:b w:val="0"/>
          <w:bCs w:val="0"/>
          <w:color w:val="000000"/>
          <w:sz w:val="32"/>
          <w:szCs w:val="32"/>
        </w:rPr>
      </w:pPr>
      <w:r>
        <w:rPr>
          <w:rFonts w:hint="eastAsia" w:ascii="黑体" w:eastAsia="黑体" w:cs="黑体"/>
          <w:b w:val="0"/>
          <w:bCs w:val="0"/>
          <w:color w:val="000000"/>
          <w:sz w:val="32"/>
          <w:szCs w:val="32"/>
        </w:rPr>
        <w:t>2022年重点工作完成情况</w:t>
      </w:r>
      <w:bookmarkEnd w:id="16"/>
    </w:p>
    <w:p>
      <w:pPr>
        <w:ind w:firstLine="640" w:firstLineChars="200"/>
        <w:rPr>
          <w:rFonts w:ascii="仿宋_GB2312" w:eastAsia="仿宋_GB2312"/>
          <w:bCs/>
          <w:sz w:val="32"/>
          <w:szCs w:val="32"/>
        </w:rPr>
      </w:pPr>
      <w:r>
        <w:rPr>
          <w:rFonts w:ascii="仿宋_GB2312" w:eastAsia="仿宋_GB2312"/>
          <w:color w:val="000000"/>
          <w:sz w:val="32"/>
          <w:szCs w:val="32"/>
        </w:rPr>
        <w:t>1</w:t>
      </w:r>
      <w:r>
        <w:rPr>
          <w:rFonts w:hint="eastAsia" w:ascii="仿宋_GB2312" w:eastAsia="仿宋_GB2312"/>
          <w:color w:val="000000"/>
          <w:sz w:val="32"/>
          <w:szCs w:val="32"/>
        </w:rPr>
        <w:t>.</w:t>
      </w:r>
      <w:r>
        <w:rPr>
          <w:rFonts w:hint="eastAsia" w:ascii="仿宋_GB2312" w:eastAsia="仿宋_GB2312"/>
          <w:bCs/>
          <w:sz w:val="32"/>
          <w:szCs w:val="32"/>
        </w:rPr>
        <w:t>完成</w:t>
      </w:r>
      <w:r>
        <w:rPr>
          <w:rFonts w:ascii="仿宋_GB2312" w:eastAsia="仿宋_GB2312"/>
          <w:bCs/>
          <w:sz w:val="32"/>
          <w:szCs w:val="32"/>
        </w:rPr>
        <w:t>了</w:t>
      </w:r>
      <w:r>
        <w:rPr>
          <w:rFonts w:hint="eastAsia" w:ascii="仿宋_GB2312" w:eastAsia="仿宋_GB2312"/>
          <w:bCs/>
          <w:sz w:val="32"/>
          <w:szCs w:val="32"/>
        </w:rPr>
        <w:t>园区基础设施升级改造</w:t>
      </w:r>
      <w:r>
        <w:rPr>
          <w:rFonts w:ascii="仿宋_GB2312" w:eastAsia="仿宋_GB2312"/>
          <w:bCs/>
          <w:sz w:val="32"/>
          <w:szCs w:val="32"/>
        </w:rPr>
        <w:t>。</w:t>
      </w:r>
    </w:p>
    <w:p>
      <w:pPr>
        <w:ind w:firstLine="640" w:firstLineChars="200"/>
        <w:rPr>
          <w:rFonts w:ascii="仿宋_GB2312" w:eastAsia="仿宋_GB2312"/>
          <w:color w:val="000000"/>
          <w:sz w:val="32"/>
          <w:szCs w:val="32"/>
        </w:rPr>
      </w:pPr>
      <w:r>
        <w:rPr>
          <w:rFonts w:ascii="仿宋_GB2312" w:eastAsia="仿宋_GB2312"/>
          <w:b w:val="0"/>
          <w:bCs/>
          <w:color w:val="000000"/>
          <w:sz w:val="32"/>
          <w:szCs w:val="32"/>
        </w:rPr>
        <w:t>2</w:t>
      </w:r>
      <w:r>
        <w:rPr>
          <w:rFonts w:hint="eastAsia" w:ascii="仿宋_GB2312" w:eastAsia="仿宋_GB2312"/>
          <w:b/>
          <w:color w:val="000000"/>
          <w:sz w:val="32"/>
          <w:szCs w:val="32"/>
        </w:rPr>
        <w:t>.</w:t>
      </w:r>
      <w:r>
        <w:rPr>
          <w:rFonts w:hint="eastAsia" w:ascii="仿宋_GB2312" w:eastAsia="仿宋_GB2312"/>
          <w:color w:val="000000"/>
          <w:sz w:val="32"/>
          <w:szCs w:val="32"/>
        </w:rPr>
        <w:t>加强</w:t>
      </w:r>
      <w:r>
        <w:rPr>
          <w:rFonts w:ascii="仿宋_GB2312" w:eastAsia="仿宋_GB2312"/>
          <w:color w:val="000000"/>
          <w:sz w:val="32"/>
          <w:szCs w:val="32"/>
        </w:rPr>
        <w:t>了</w:t>
      </w:r>
      <w:r>
        <w:rPr>
          <w:rFonts w:hint="eastAsia" w:ascii="仿宋_GB2312" w:eastAsia="仿宋_GB2312"/>
          <w:color w:val="000000"/>
          <w:sz w:val="32"/>
          <w:szCs w:val="32"/>
        </w:rPr>
        <w:t>企业安全生产和环保工作的巡查力度</w:t>
      </w:r>
      <w:r>
        <w:rPr>
          <w:rFonts w:ascii="仿宋_GB2312" w:eastAsia="仿宋_GB2312"/>
          <w:color w:val="000000"/>
          <w:sz w:val="32"/>
          <w:szCs w:val="32"/>
        </w:rPr>
        <w:t>。</w:t>
      </w:r>
    </w:p>
    <w:p>
      <w:pPr>
        <w:spacing w:line="240" w:lineRule="auto"/>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争取和落实省、州、县对企业的各项优惠政策，尽可能地扶持企业发展壮大</w:t>
      </w:r>
      <w:r>
        <w:rPr>
          <w:rFonts w:ascii="仿宋_GB2312" w:eastAsia="仿宋_GB2312"/>
          <w:color w:val="000000"/>
          <w:sz w:val="32"/>
          <w:szCs w:val="32"/>
        </w:rPr>
        <w:t>。</w:t>
      </w:r>
    </w:p>
    <w:p>
      <w:pPr>
        <w:ind w:firstLine="640" w:firstLineChars="200"/>
        <w:rPr>
          <w:rFonts w:hint="eastAsia" w:ascii="仿宋" w:eastAsia="仿宋" w:cs="Times New Roman"/>
          <w:bCs/>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.按照“无事不扰，有求必应”的原则</w:t>
      </w:r>
      <w:r>
        <w:rPr>
          <w:rFonts w:ascii="仿宋_GB2312" w:eastAsia="仿宋_GB2312"/>
          <w:color w:val="000000"/>
          <w:sz w:val="32"/>
          <w:szCs w:val="32"/>
        </w:rPr>
        <w:t>，</w:t>
      </w:r>
      <w:r>
        <w:rPr>
          <w:rFonts w:hint="eastAsia" w:ascii="仿宋_GB2312" w:eastAsia="仿宋_GB2312"/>
          <w:color w:val="000000"/>
          <w:sz w:val="32"/>
          <w:szCs w:val="32"/>
        </w:rPr>
        <w:t>完成</w:t>
      </w:r>
      <w:r>
        <w:rPr>
          <w:rFonts w:ascii="仿宋_GB2312" w:eastAsia="仿宋_GB2312"/>
          <w:color w:val="000000"/>
          <w:sz w:val="32"/>
          <w:szCs w:val="32"/>
        </w:rPr>
        <w:t>了</w:t>
      </w:r>
      <w:r>
        <w:rPr>
          <w:rFonts w:hint="eastAsia" w:ascii="仿宋_GB2312" w:eastAsia="仿宋_GB2312"/>
          <w:color w:val="000000"/>
          <w:sz w:val="32"/>
          <w:szCs w:val="32"/>
        </w:rPr>
        <w:t>园区常规</w:t>
      </w:r>
      <w:r>
        <w:rPr>
          <w:rFonts w:ascii="仿宋_GB2312" w:eastAsia="仿宋_GB2312"/>
          <w:color w:val="000000"/>
          <w:sz w:val="32"/>
          <w:szCs w:val="32"/>
        </w:rPr>
        <w:t>和</w:t>
      </w:r>
      <w:r>
        <w:rPr>
          <w:rFonts w:hint="eastAsia" w:ascii="仿宋_GB2312" w:eastAsia="仿宋_GB2312"/>
          <w:color w:val="000000"/>
          <w:sz w:val="32"/>
          <w:szCs w:val="32"/>
        </w:rPr>
        <w:t>管理服务工作</w:t>
      </w:r>
      <w:r>
        <w:rPr>
          <w:rFonts w:ascii="仿宋_GB2312" w:eastAsia="仿宋_GB2312"/>
          <w:color w:val="000000"/>
          <w:sz w:val="32"/>
          <w:szCs w:val="32"/>
        </w:rPr>
        <w:t>。</w:t>
      </w:r>
    </w:p>
    <w:p>
      <w:pPr>
        <w:pStyle w:val="3"/>
        <w:keepNext/>
        <w:keepLines/>
        <w:pageBreakBefore w:val="0"/>
        <w:widowControl w:val="0"/>
        <w:kinsoku/>
        <w:wordWrap/>
        <w:overflowPunct/>
        <w:topLinePunct w:val="0"/>
        <w:bidi w:val="0"/>
        <w:spacing w:before="260" w:beforeAutospacing="0" w:after="260" w:afterAutospacing="0" w:line="240" w:lineRule="auto"/>
        <w:jc w:val="both"/>
        <w:textAlignment w:val="auto"/>
        <w:outlineLvl w:val="1"/>
        <w:rPr>
          <w:rFonts w:hint="eastAsia" w:ascii="黑体" w:eastAsia="黑体" w:cs="黑体"/>
          <w:b w:val="0"/>
          <w:bCs w:val="0"/>
          <w:color w:val="000000"/>
          <w:sz w:val="32"/>
          <w:szCs w:val="32"/>
        </w:rPr>
      </w:pPr>
      <w:bookmarkStart w:id="17" w:name="_Toc10669"/>
      <w:bookmarkStart w:id="18" w:name="_Toc19708"/>
      <w:r>
        <w:rPr>
          <w:rFonts w:hint="eastAsia" w:ascii="黑体" w:eastAsia="黑体" w:cs="黑体"/>
          <w:b w:val="0"/>
          <w:bCs w:val="0"/>
          <w:color w:val="000000"/>
          <w:sz w:val="32"/>
          <w:szCs w:val="32"/>
        </w:rPr>
        <w:t>二、机构设置</w:t>
      </w:r>
      <w:bookmarkEnd w:id="17"/>
      <w:bookmarkEnd w:id="18"/>
    </w:p>
    <w:p>
      <w:pPr>
        <w:spacing w:line="24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机构情况：茂县工业服务中心属正科级公益一类事业单位，属一级预算单位，茂县工业服务中心共设立3个职能股室：办公室、企业服务股、规划建设管理股。下属二级单位0个，其中行政单位0个，参照公务员法管理的事业单位0个，其他事业单位0个。</w:t>
      </w:r>
    </w:p>
    <w:p>
      <w:pPr>
        <w:spacing w:line="24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2.人员情况：茂县工业服务中心总编制 9 名</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w:t>
      </w:r>
      <w:r>
        <w:rPr>
          <w:rFonts w:hint="eastAsia" w:ascii="仿宋_GB2312" w:eastAsia="仿宋_GB2312"/>
          <w:color w:val="000000"/>
          <w:sz w:val="32"/>
          <w:szCs w:val="32"/>
          <w:lang w:eastAsia="zh-CN"/>
        </w:rPr>
        <w:t>：</w:t>
      </w:r>
      <w:r>
        <w:rPr>
          <w:rFonts w:hint="eastAsia" w:ascii="仿宋_GB2312" w:eastAsia="仿宋_GB2312"/>
          <w:color w:val="000000"/>
          <w:sz w:val="32"/>
          <w:szCs w:val="32"/>
        </w:rPr>
        <w:t>行政编制 0 名</w:t>
      </w:r>
      <w:r>
        <w:rPr>
          <w:rFonts w:hint="eastAsia" w:ascii="仿宋_GB2312" w:eastAsia="仿宋_GB2312"/>
          <w:color w:val="000000"/>
          <w:sz w:val="32"/>
          <w:szCs w:val="32"/>
          <w:lang w:eastAsia="zh-CN"/>
        </w:rPr>
        <w:t>，</w:t>
      </w:r>
      <w:r>
        <w:rPr>
          <w:rFonts w:hint="eastAsia" w:ascii="仿宋_GB2312" w:eastAsia="仿宋_GB2312"/>
          <w:color w:val="000000"/>
          <w:sz w:val="32"/>
          <w:szCs w:val="32"/>
        </w:rPr>
        <w:t>参照公务员法管理的事业编制 0 名，行政工勤编制 0 名，事业编制 9 名，事业工勤编制 0 名。在职人员总数 9 名，其中：行政人员 0 名，参照公务员法管理的事业人员 0 名，行政工勤人员 0 名；事业人员 9 名，事业工勤人员 0 名。离休人员 0 人，退休人员 0 人。</w:t>
      </w:r>
    </w:p>
    <w:p>
      <w:pPr>
        <w:ind w:left="0"/>
        <w:rPr>
          <w:rFonts w:ascii="仿宋_GB2312" w:eastAsia="仿宋_GB2312"/>
          <w:color w:val="000000"/>
          <w:sz w:val="32"/>
          <w:szCs w:val="32"/>
        </w:rPr>
      </w:pPr>
      <w:bookmarkStart w:id="19" w:name="_Toc20110"/>
      <w:bookmarkStart w:id="20" w:name="_Toc26951"/>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ascii="仿宋_GB2312" w:eastAsia="仿宋_GB2312"/>
          <w:color w:val="000000"/>
          <w:sz w:val="32"/>
          <w:szCs w:val="32"/>
        </w:rPr>
      </w:pPr>
    </w:p>
    <w:p>
      <w:pPr>
        <w:ind w:left="0"/>
        <w:rPr>
          <w:rFonts w:hint="eastAsia" w:ascii="仿宋_GB2312" w:eastAsia="仿宋_GB2312"/>
          <w:color w:val="000000"/>
          <w:sz w:val="32"/>
          <w:szCs w:val="32"/>
        </w:rPr>
      </w:pPr>
    </w:p>
    <w:p>
      <w:pPr>
        <w:pStyle w:val="2"/>
        <w:keepNext/>
        <w:keepLines/>
        <w:pageBreakBefore w:val="0"/>
        <w:widowControl w:val="0"/>
        <w:kinsoku/>
        <w:wordWrap/>
        <w:overflowPunct/>
        <w:topLinePunct w:val="0"/>
        <w:bidi w:val="0"/>
        <w:spacing w:before="340" w:beforeAutospacing="0" w:after="330" w:afterAutospacing="0" w:line="576" w:lineRule="exact"/>
        <w:ind w:left="0" w:right="440"/>
        <w:jc w:val="both"/>
        <w:textAlignment w:val="auto"/>
        <w:outlineLvl w:val="0"/>
        <w:rPr>
          <w:rFonts w:ascii="黑体" w:eastAsia="黑体" w:cs="Times New Roman"/>
          <w:b w:val="0"/>
          <w:color w:val="000000"/>
          <w:sz w:val="8"/>
          <w:szCs w:val="8"/>
          <w:lang w:bidi="ar-SA"/>
        </w:rPr>
      </w:pPr>
    </w:p>
    <w:p>
      <w:pPr>
        <w:keepNext w:val="0"/>
        <w:keepLines w:val="0"/>
        <w:pageBreakBefore w:val="0"/>
        <w:widowControl w:val="0"/>
        <w:suppressLineNumbers w:val="0"/>
        <w:suppressAutoHyphens w:val="0"/>
        <w:bidi w:val="0"/>
        <w:jc w:val="both"/>
      </w:pPr>
    </w:p>
    <w:p>
      <w:pPr>
        <w:pStyle w:val="2"/>
        <w:keepNext/>
        <w:keepLines/>
        <w:pageBreakBefore w:val="0"/>
        <w:widowControl w:val="0"/>
        <w:kinsoku/>
        <w:wordWrap/>
        <w:overflowPunct/>
        <w:topLinePunct w:val="0"/>
        <w:bidi w:val="0"/>
        <w:spacing w:before="340" w:beforeAutospacing="0" w:after="330" w:afterAutospacing="0" w:line="576" w:lineRule="exact"/>
        <w:ind w:left="0" w:right="440" w:firstLine="220" w:firstLineChars="50"/>
        <w:jc w:val="both"/>
        <w:textAlignment w:val="auto"/>
        <w:outlineLvl w:val="0"/>
      </w:pPr>
      <w:r>
        <w:rPr>
          <w:rFonts w:hint="eastAsia" w:ascii="黑体" w:eastAsia="黑体" w:cs="Times New Roman"/>
          <w:b w:val="0"/>
          <w:color w:val="000000"/>
          <w:sz w:val="44"/>
          <w:szCs w:val="44"/>
          <w:lang w:bidi="ar-SA"/>
        </w:rPr>
        <w:t>第二部分 2022年度单位决算情况说明</w:t>
      </w:r>
      <w:bookmarkEnd w:id="19"/>
      <w:bookmarkEnd w:id="20"/>
    </w:p>
    <w:p>
      <w:pPr>
        <w:pStyle w:val="16"/>
        <w:pageBreakBefore w:val="0"/>
        <w:widowControl w:val="0"/>
        <w:numPr>
          <w:ilvl w:val="0"/>
          <w:numId w:val="3"/>
        </w:numPr>
        <w:kinsoku/>
        <w:wordWrap/>
        <w:overflowPunct/>
        <w:topLinePunct w:val="0"/>
        <w:bidi w:val="0"/>
        <w:spacing w:line="576" w:lineRule="exact"/>
        <w:ind w:firstLineChars="0"/>
        <w:textAlignment w:val="auto"/>
        <w:outlineLvl w:val="1"/>
        <w:rPr>
          <w:rFonts w:hint="eastAsia" w:ascii="黑体" w:eastAsia="黑体" w:cs="Times New Roman"/>
          <w:color w:val="000000"/>
          <w:sz w:val="32"/>
          <w:szCs w:val="32"/>
        </w:rPr>
      </w:pPr>
      <w:bookmarkStart w:id="21" w:name="_Toc12554"/>
      <w:bookmarkStart w:id="22" w:name="_Toc24824"/>
      <w:r>
        <w:rPr>
          <w:rFonts w:hint="eastAsia" w:ascii="黑体" w:eastAsia="黑体" w:cs="Times New Roman"/>
          <w:color w:val="000000"/>
          <w:sz w:val="32"/>
          <w:szCs w:val="32"/>
        </w:rPr>
        <w:t>收入支出决算总体情况说明</w:t>
      </w:r>
      <w:bookmarkEnd w:id="21"/>
      <w:bookmarkEnd w:id="22"/>
    </w:p>
    <w:p>
      <w:pPr>
        <w:spacing w:line="24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2022年度收、支总计</w:t>
      </w:r>
      <w:r>
        <w:rPr>
          <w:rFonts w:hint="eastAsia" w:ascii="仿宋_GB2312" w:eastAsia="仿宋_GB2312"/>
          <w:color w:val="000000"/>
          <w:sz w:val="32"/>
          <w:szCs w:val="32"/>
          <w:lang w:val="en-US" w:eastAsia="zh-CN"/>
        </w:rPr>
        <w:t>161.18</w:t>
      </w:r>
      <w:r>
        <w:rPr>
          <w:rFonts w:hint="eastAsia" w:ascii="仿宋_GB2312" w:eastAsia="仿宋_GB2312"/>
          <w:color w:val="000000"/>
          <w:sz w:val="32"/>
          <w:szCs w:val="32"/>
        </w:rPr>
        <w:t>万元。与2021年相比，收、支总计各</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93.95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36.82</w:t>
      </w:r>
      <w:r>
        <w:rPr>
          <w:rFonts w:hint="eastAsia" w:ascii="仿宋_GB2312" w:eastAsia="仿宋_GB2312"/>
          <w:color w:val="000000"/>
          <w:sz w:val="32"/>
          <w:szCs w:val="32"/>
        </w:rPr>
        <w:t>%。主要变动原因</w:t>
      </w:r>
      <w:r>
        <w:rPr>
          <w:rFonts w:hint="eastAsia" w:ascii="仿宋_GB2312" w:eastAsia="仿宋_GB2312"/>
          <w:color w:val="000000"/>
          <w:sz w:val="32"/>
          <w:szCs w:val="32"/>
          <w:lang w:eastAsia="zh-CN"/>
        </w:rPr>
        <w:t>是</w:t>
      </w:r>
      <w:r>
        <w:rPr>
          <w:rStyle w:val="11"/>
          <w:rFonts w:hint="eastAsia" w:ascii="仿宋_GB2312" w:hAnsi="仿宋" w:eastAsia="仿宋_GB2312"/>
          <w:b w:val="0"/>
          <w:bCs/>
          <w:color w:val="000000"/>
          <w:sz w:val="32"/>
          <w:szCs w:val="32"/>
          <w:lang w:eastAsia="zh-CN"/>
        </w:rPr>
        <w:t>招商引资项目</w:t>
      </w:r>
      <w:r>
        <w:rPr>
          <w:rStyle w:val="11"/>
          <w:rFonts w:hint="eastAsia" w:ascii="仿宋_GB2312" w:hAnsi="仿宋" w:eastAsia="仿宋_GB2312"/>
          <w:b w:val="0"/>
          <w:bCs/>
          <w:color w:val="000000"/>
          <w:sz w:val="32"/>
          <w:szCs w:val="32"/>
        </w:rPr>
        <w:t>支出</w:t>
      </w:r>
      <w:r>
        <w:rPr>
          <w:rStyle w:val="11"/>
          <w:rFonts w:hint="eastAsia" w:ascii="仿宋_GB2312" w:hAnsi="仿宋" w:eastAsia="仿宋_GB2312"/>
          <w:b w:val="0"/>
          <w:bCs/>
          <w:color w:val="000000"/>
          <w:sz w:val="32"/>
          <w:szCs w:val="32"/>
          <w:lang w:eastAsia="zh-CN"/>
        </w:rPr>
        <w:t>减少</w:t>
      </w:r>
      <w:r>
        <w:rPr>
          <w:rStyle w:val="11"/>
          <w:rFonts w:hint="eastAsia" w:ascii="仿宋_GB2312" w:hAnsi="仿宋" w:eastAsia="仿宋_GB2312"/>
          <w:b w:val="0"/>
          <w:bCs/>
          <w:color w:val="000000"/>
          <w:sz w:val="32"/>
          <w:szCs w:val="32"/>
          <w:lang w:val="en-US" w:eastAsia="zh-CN"/>
        </w:rPr>
        <w:t>89.32万元、人员经费支出减少3.79万元、公用经费支出减少0.84万元</w:t>
      </w:r>
      <w:r>
        <w:rPr>
          <w:rFonts w:ascii="仿宋_GB2312" w:eastAsia="仿宋_GB2312"/>
          <w:color w:val="000000"/>
          <w:sz w:val="32"/>
          <w:szCs w:val="32"/>
        </w:rPr>
        <w:t>。</w:t>
      </w:r>
    </w:p>
    <w:p>
      <w:pPr>
        <w:pageBreakBefore w:val="0"/>
        <w:widowControl w:val="0"/>
        <w:kinsoku/>
        <w:wordWrap/>
        <w:overflowPunct/>
        <w:topLinePunct w:val="0"/>
        <w:bidi w:val="0"/>
        <w:spacing w:before="3822" w:beforeLines="1225" w:beforeAutospacing="0" w:afterAutospacing="0" w:line="576" w:lineRule="exact"/>
        <w:ind w:right="5250" w:rightChars="2500"/>
        <w:textAlignment w:val="auto"/>
        <w:rPr>
          <w:rFonts w:ascii="仿宋" w:eastAsia="仿宋" w:cs="Times New Roman"/>
          <w:color w:val="FF0000"/>
          <w:sz w:val="32"/>
          <w:szCs w:val="32"/>
        </w:rPr>
      </w:pPr>
      <w:r>
        <w:rPr>
          <w:rFonts w:hint="eastAsia" w:ascii="仿宋" w:eastAsia="仿宋" w:cs="Times New Roman"/>
          <w:color w:val="FF0000"/>
          <w:sz w:val="32"/>
          <w:szCs w:val="32"/>
          <w:lang w:eastAsia="zh-CN"/>
        </w:rPr>
        <w:drawing>
          <wp:inline distT="0" distB="0" distL="114300" distR="114300">
            <wp:extent cx="5856605" cy="2652395"/>
            <wp:effectExtent l="0" t="0" r="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40" w:lineRule="auto"/>
        <w:ind w:left="0" w:firstLine="280" w:firstLineChars="100"/>
        <w:rPr>
          <w:rFonts w:hint="eastAsia" w:ascii="仿宋_GB2312" w:eastAsia="仿宋_GB2312"/>
          <w:color w:val="000000"/>
          <w:sz w:val="28"/>
          <w:szCs w:val="28"/>
          <w:lang w:eastAsia="zh-CN"/>
        </w:rPr>
      </w:pPr>
      <w:r>
        <w:rPr>
          <w:rFonts w:hint="eastAsia" w:ascii="仿宋_GB2312" w:eastAsia="仿宋_GB2312"/>
          <w:color w:val="000000"/>
          <w:sz w:val="28"/>
          <w:szCs w:val="28"/>
        </w:rPr>
        <w:t>图1：收、支决算总计变动情况图</w:t>
      </w:r>
      <w:r>
        <w:rPr>
          <w:rFonts w:hint="eastAsia" w:ascii="仿宋_GB2312" w:eastAsia="仿宋_GB2312"/>
          <w:color w:val="000000"/>
          <w:sz w:val="28"/>
          <w:szCs w:val="28"/>
          <w:lang w:eastAsia="zh-CN"/>
        </w:rPr>
        <w:t>（柱状图）</w:t>
      </w:r>
      <w:r>
        <w:rPr>
          <w:rFonts w:ascii="仿宋_GB2312" w:eastAsia="仿宋_GB2312"/>
          <w:color w:val="000000"/>
          <w:sz w:val="28"/>
          <w:szCs w:val="28"/>
          <w:lang w:eastAsia="zh-CN"/>
        </w:rPr>
        <w:t>（单位：万元）</w:t>
      </w:r>
    </w:p>
    <w:p>
      <w:pPr>
        <w:pStyle w:val="16"/>
        <w:pageBreakBefore w:val="0"/>
        <w:widowControl w:val="0"/>
        <w:numPr>
          <w:ilvl w:val="0"/>
          <w:numId w:val="3"/>
        </w:numPr>
        <w:kinsoku/>
        <w:wordWrap/>
        <w:overflowPunct/>
        <w:topLinePunct w:val="0"/>
        <w:bidi w:val="0"/>
        <w:spacing w:line="576" w:lineRule="exact"/>
        <w:ind w:firstLineChars="0"/>
        <w:textAlignment w:val="auto"/>
        <w:outlineLvl w:val="1"/>
        <w:rPr>
          <w:rFonts w:hint="eastAsia" w:ascii="黑体" w:eastAsia="黑体" w:cs="Times New Roman"/>
          <w:color w:val="000000"/>
          <w:sz w:val="32"/>
          <w:szCs w:val="32"/>
        </w:rPr>
      </w:pPr>
      <w:bookmarkStart w:id="23" w:name="_Toc11583"/>
      <w:bookmarkStart w:id="24" w:name="_Toc5639"/>
      <w:r>
        <w:rPr>
          <w:rFonts w:hint="eastAsia" w:ascii="黑体" w:eastAsia="黑体" w:cs="Times New Roman"/>
          <w:color w:val="000000"/>
          <w:sz w:val="32"/>
          <w:szCs w:val="32"/>
        </w:rPr>
        <w:t>收入决算情况说明</w:t>
      </w:r>
      <w:bookmarkEnd w:id="23"/>
      <w:bookmarkEnd w:id="24"/>
      <w:r>
        <w:rPr>
          <w:rFonts w:ascii="黑体" w:eastAsia="黑体" w:cs="Times New Roman"/>
          <w:color w:val="000000"/>
          <w:sz w:val="32"/>
          <w:szCs w:val="32"/>
        </w:rPr>
        <w:t xml:space="preserve"> </w:t>
      </w:r>
    </w:p>
    <w:p>
      <w:pPr>
        <w:spacing w:line="240" w:lineRule="auto"/>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2022年本年收入合计161.18万元，其中：一般公共预算财政拨款收入161.18万元，占100%；政府性基金预算财政拨款</w:t>
      </w:r>
      <w:r>
        <w:rPr>
          <w:rFonts w:hint="eastAsia" w:ascii="仿宋_GB2312" w:eastAsia="仿宋_GB2312"/>
          <w:color w:val="000000"/>
          <w:sz w:val="32"/>
          <w:szCs w:val="32"/>
          <w:lang w:val="en-US" w:eastAsia="zh-CN"/>
        </w:rPr>
        <w:object>
          <v:shape id="_x0000_i1025" o:spt="75" type="#_x0000_t75" style="height:0.05pt;width:0.05pt;" o:ole="t" filled="f" o:preferrelative="t" stroked="f" coordsize="21600,21600">
            <v:path/>
            <v:fill on="f" focussize="0,0"/>
            <v:stroke on="f" color="#000000"/>
            <v:imagedata r:id="rId8" o:title="3"/>
            <o:lock v:ext="edit" aspectratio="t"/>
            <w10:wrap type="none"/>
            <w10:anchorlock/>
          </v:shape>
          <o:OLEObject Type="Embed" ProgID="Package" ShapeID="_x0000_i1025" DrawAspect="Content" ObjectID="_1468075725" r:id="rId7">
            <o:LockedField>false</o:LockedField>
          </o:OLEObject>
        </w:object>
      </w:r>
      <w:r>
        <w:rPr>
          <w:rFonts w:hint="eastAsia" w:ascii="仿宋_GB2312" w:eastAsia="仿宋_GB2312"/>
          <w:color w:val="000000"/>
          <w:sz w:val="32"/>
          <w:szCs w:val="32"/>
          <w:lang w:val="en-US" w:eastAsia="zh-CN"/>
        </w:rPr>
        <w:t>收入0万元，占0%；国有资本经营预算财政拨款收入0万元，占0%；上级补助收入0万元，占0%；事业收入0万元，占0%；经营收入0万元，占0%；附属单位上缴收入0万元，占 0%；其他收入0万元，占0%。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600" w:hanging="1600" w:hangingChars="500"/>
        <w:jc w:val="left"/>
        <w:textAlignment w:val="auto"/>
        <w:rPr>
          <w:rFonts w:ascii="仿宋" w:eastAsia="仿宋" w:cs="Times New Roman"/>
          <w:color w:val="000000"/>
          <w:kern w:val="2"/>
          <w:sz w:val="32"/>
          <w:szCs w:val="32"/>
          <w:lang w:val="en-US" w:eastAsia="zh-CN" w:bidi="ar-SA"/>
        </w:rPr>
      </w:pPr>
      <w:r>
        <w:rPr>
          <w:rFonts w:ascii="仿宋" w:eastAsia="仿宋" w:cs="Times New Roman"/>
          <w:color w:val="000000"/>
          <w:kern w:val="2"/>
          <w:sz w:val="32"/>
          <w:szCs w:val="32"/>
          <w:lang w:val="en-US" w:eastAsia="zh-CN" w:bidi="ar-SA"/>
        </w:rPr>
        <w:drawing>
          <wp:inline distT="0" distB="0" distL="114300" distR="114300">
            <wp:extent cx="5368925" cy="397637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仿宋_GB2312" w:eastAsia="仿宋_GB2312" w:cs="Times New Roman"/>
          <w:color w:val="000000"/>
          <w:kern w:val="2"/>
          <w:sz w:val="28"/>
          <w:szCs w:val="28"/>
          <w:lang w:val="en-US" w:eastAsia="zh-CN" w:bidi="ar-SA"/>
        </w:rPr>
        <w:t>图2：收入决算结构图（饼状图）</w:t>
      </w:r>
    </w:p>
    <w:p>
      <w:pPr>
        <w:pStyle w:val="16"/>
        <w:pageBreakBefore w:val="0"/>
        <w:widowControl w:val="0"/>
        <w:numPr>
          <w:ilvl w:val="0"/>
          <w:numId w:val="3"/>
        </w:numPr>
        <w:kinsoku/>
        <w:wordWrap/>
        <w:overflowPunct/>
        <w:topLinePunct w:val="0"/>
        <w:bidi w:val="0"/>
        <w:spacing w:line="576" w:lineRule="exact"/>
        <w:ind w:firstLineChars="0"/>
        <w:textAlignment w:val="auto"/>
        <w:outlineLvl w:val="1"/>
        <w:rPr>
          <w:rFonts w:hint="eastAsia" w:ascii="黑体" w:eastAsia="黑体" w:cs="Times New Roman"/>
          <w:color w:val="000000"/>
          <w:sz w:val="32"/>
          <w:szCs w:val="32"/>
        </w:rPr>
      </w:pPr>
      <w:bookmarkStart w:id="25" w:name="_Toc23777"/>
      <w:bookmarkStart w:id="26" w:name="_Toc18578"/>
      <w:r>
        <w:rPr>
          <w:rFonts w:hint="eastAsia" w:ascii="黑体" w:eastAsia="黑体" w:cs="Times New Roman"/>
          <w:color w:val="000000"/>
          <w:sz w:val="32"/>
          <w:szCs w:val="32"/>
        </w:rPr>
        <w:t>支出决算情况说明</w:t>
      </w:r>
      <w:bookmarkEnd w:id="25"/>
      <w:bookmarkEnd w:id="26"/>
    </w:p>
    <w:p>
      <w:pPr>
        <w:pageBreakBefore w:val="0"/>
        <w:widowControl w:val="0"/>
        <w:kinsoku/>
        <w:wordWrap/>
        <w:overflowPunct/>
        <w:topLinePunct w:val="0"/>
        <w:bidi w:val="0"/>
        <w:spacing w:line="576" w:lineRule="exact"/>
        <w:ind w:firstLine="640" w:firstLineChars="200"/>
        <w:textAlignment w:val="auto"/>
        <w:rPr>
          <w:rFonts w:ascii="仿宋" w:eastAsia="仿宋" w:cs="Times New Roman"/>
          <w:color w:val="000000"/>
          <w:sz w:val="32"/>
          <w:szCs w:val="32"/>
          <w:lang w:val="en-US" w:eastAsia="zh-CN"/>
        </w:rPr>
      </w:pPr>
      <w:r>
        <w:rPr>
          <w:rFonts w:hint="eastAsia" w:ascii="仿宋_GB2312" w:eastAsia="仿宋_GB2312" w:cs="Times New Roman"/>
          <w:color w:val="000000"/>
          <w:kern w:val="2"/>
          <w:sz w:val="32"/>
          <w:szCs w:val="32"/>
          <w:lang w:val="en-US" w:eastAsia="zh-CN" w:bidi="ar-SA"/>
        </w:rPr>
        <w:t>2022年本年支出合计161.18万元，其中：基本支出160.34万元，占99.48%；项目支出0.84万元，占0.52%；上缴上级支出0万元，占0%；经营支出0万元，占0%；对附属单位补助支出0万元，占0%。</w:t>
      </w:r>
    </w:p>
    <w:p>
      <w:pPr>
        <w:bidi w:val="0"/>
        <w:rPr>
          <w:rFonts w:ascii="Calibri" w:hAnsi="Calibri" w:eastAsia="宋体" w:cs="Times New Roman"/>
          <w:kern w:val="2"/>
          <w:sz w:val="21"/>
          <w:szCs w:val="24"/>
          <w:lang w:val="en-US" w:eastAsia="zh-CN" w:bidi="ar-SA"/>
        </w:rPr>
      </w:pPr>
    </w:p>
    <w:p>
      <w:pPr>
        <w:bidi w:val="0"/>
        <w:rPr>
          <w:rFonts w:ascii="仿宋" w:eastAsia="仿宋" w:cs="Times New Roman"/>
          <w:color w:val="000000"/>
          <w:kern w:val="2"/>
          <w:sz w:val="32"/>
          <w:szCs w:val="32"/>
          <w:lang w:val="en-US" w:eastAsia="zh-CN" w:bidi="ar-SA"/>
        </w:rPr>
      </w:pPr>
      <w:r>
        <w:rPr>
          <w:lang w:val="en-US" w:eastAsia="zh-CN"/>
        </w:rPr>
        <w:drawing>
          <wp:inline distT="0" distB="0" distL="114300" distR="114300">
            <wp:extent cx="5494020" cy="3121025"/>
            <wp:effectExtent l="0" t="0" r="0" b="0"/>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1400" w:firstLineChars="500"/>
        <w:textAlignment w:val="auto"/>
        <w:rPr>
          <w:rFonts w:hint="eastAsia" w:ascii="仿宋_GB2312" w:eastAsia="仿宋_GB2312" w:cs="Times New Roman"/>
          <w:color w:val="000000"/>
          <w:kern w:val="2"/>
          <w:sz w:val="28"/>
          <w:szCs w:val="28"/>
          <w:lang w:val="en-US" w:eastAsia="zh-CN" w:bidi="ar-SA"/>
        </w:rPr>
      </w:pPr>
      <w:r>
        <w:rPr>
          <w:rFonts w:hint="eastAsia" w:ascii="仿宋_GB2312" w:eastAsia="仿宋_GB2312" w:cs="Times New Roman"/>
          <w:color w:val="000000"/>
          <w:kern w:val="2"/>
          <w:sz w:val="28"/>
          <w:szCs w:val="28"/>
          <w:lang w:val="en-US" w:eastAsia="zh-CN" w:bidi="ar-SA"/>
        </w:rPr>
        <w:t>图3：支出决算结构图（饼状图）</w:t>
      </w:r>
    </w:p>
    <w:p>
      <w:pPr>
        <w:pStyle w:val="16"/>
        <w:pageBreakBefore w:val="0"/>
        <w:widowControl w:val="0"/>
        <w:numPr>
          <w:ilvl w:val="0"/>
          <w:numId w:val="3"/>
        </w:numPr>
        <w:kinsoku/>
        <w:wordWrap/>
        <w:overflowPunct/>
        <w:topLinePunct w:val="0"/>
        <w:bidi w:val="0"/>
        <w:spacing w:line="576" w:lineRule="exact"/>
        <w:ind w:firstLineChars="0"/>
        <w:textAlignment w:val="auto"/>
        <w:outlineLvl w:val="1"/>
        <w:rPr>
          <w:rFonts w:hint="eastAsia" w:ascii="黑体" w:eastAsia="黑体" w:cs="Times New Roman"/>
          <w:color w:val="000000"/>
          <w:sz w:val="32"/>
          <w:szCs w:val="32"/>
        </w:rPr>
      </w:pPr>
      <w:bookmarkStart w:id="27" w:name="_Toc5490"/>
      <w:bookmarkStart w:id="28" w:name="_Toc26488"/>
      <w:r>
        <w:rPr>
          <w:rFonts w:hint="eastAsia" w:ascii="黑体" w:eastAsia="黑体" w:cs="Times New Roman"/>
          <w:color w:val="000000"/>
          <w:sz w:val="32"/>
          <w:szCs w:val="32"/>
        </w:rPr>
        <w:t>财政拨款收入支出决算总体情况说明</w:t>
      </w:r>
      <w:bookmarkEnd w:id="27"/>
      <w:bookmarkEnd w:id="28"/>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eastAsia="仿宋_GB2312" w:cs="Times New Roman"/>
          <w:color w:val="0000FF"/>
          <w:kern w:val="2"/>
          <w:sz w:val="32"/>
          <w:szCs w:val="32"/>
          <w:lang w:val="en-US" w:eastAsia="zh-CN" w:bidi="ar-SA"/>
        </w:rPr>
      </w:pPr>
      <w:r>
        <w:rPr>
          <w:rFonts w:hint="eastAsia" w:ascii="仿宋_GB2312" w:eastAsia="仿宋_GB2312" w:cs="Times New Roman"/>
          <w:color w:val="000000"/>
          <w:kern w:val="2"/>
          <w:sz w:val="32"/>
          <w:szCs w:val="32"/>
          <w:lang w:val="en-US" w:eastAsia="zh-CN" w:bidi="ar-SA"/>
        </w:rPr>
        <w:t>2022年财政拨款收、支总计161.18万元。与2021年相比，财政拨款收、支总计各减少93.95万元，减少36.82%。</w:t>
      </w:r>
      <w:r>
        <w:rPr>
          <w:rFonts w:hint="eastAsia" w:ascii="仿宋_GB2312" w:eastAsia="仿宋_GB2312"/>
          <w:color w:val="000000"/>
          <w:sz w:val="32"/>
          <w:szCs w:val="32"/>
        </w:rPr>
        <w:t>主要变动原因</w:t>
      </w:r>
      <w:r>
        <w:rPr>
          <w:rFonts w:hint="eastAsia" w:ascii="仿宋_GB2312" w:eastAsia="仿宋_GB2312"/>
          <w:color w:val="000000"/>
          <w:sz w:val="32"/>
          <w:szCs w:val="32"/>
          <w:lang w:eastAsia="zh-CN"/>
        </w:rPr>
        <w:t>是</w:t>
      </w:r>
      <w:r>
        <w:rPr>
          <w:rStyle w:val="11"/>
          <w:rFonts w:hint="eastAsia" w:ascii="仿宋_GB2312" w:hAnsi="仿宋" w:eastAsia="仿宋_GB2312"/>
          <w:b w:val="0"/>
          <w:bCs/>
          <w:color w:val="000000"/>
          <w:sz w:val="32"/>
          <w:szCs w:val="32"/>
          <w:lang w:eastAsia="zh-CN"/>
        </w:rPr>
        <w:t>招商引资项目</w:t>
      </w:r>
      <w:r>
        <w:rPr>
          <w:rStyle w:val="11"/>
          <w:rFonts w:hint="eastAsia" w:ascii="仿宋_GB2312" w:hAnsi="仿宋" w:eastAsia="仿宋_GB2312"/>
          <w:b w:val="0"/>
          <w:bCs/>
          <w:color w:val="000000"/>
          <w:sz w:val="32"/>
          <w:szCs w:val="32"/>
        </w:rPr>
        <w:t>支出</w:t>
      </w:r>
      <w:r>
        <w:rPr>
          <w:rStyle w:val="11"/>
          <w:rFonts w:hint="eastAsia" w:ascii="仿宋_GB2312" w:hAnsi="仿宋" w:eastAsia="仿宋_GB2312"/>
          <w:b w:val="0"/>
          <w:bCs/>
          <w:color w:val="000000"/>
          <w:sz w:val="32"/>
          <w:szCs w:val="32"/>
          <w:lang w:eastAsia="zh-CN"/>
        </w:rPr>
        <w:t>减少</w:t>
      </w:r>
      <w:r>
        <w:rPr>
          <w:rStyle w:val="11"/>
          <w:rFonts w:hint="eastAsia" w:ascii="仿宋_GB2312" w:hAnsi="仿宋" w:eastAsia="仿宋_GB2312"/>
          <w:b w:val="0"/>
          <w:bCs/>
          <w:color w:val="000000"/>
          <w:sz w:val="32"/>
          <w:szCs w:val="32"/>
          <w:lang w:val="en-US" w:eastAsia="zh-CN"/>
        </w:rPr>
        <w:t>89.32万元、人员经费支出减少3.79万元、公用经费支出减少0.84万元</w:t>
      </w:r>
      <w:r>
        <w:rPr>
          <w:rFonts w:ascii="仿宋_GB2312" w:eastAsia="仿宋_GB2312"/>
          <w:color w:val="000000"/>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textAlignment w:val="auto"/>
        <w:rPr>
          <w:rFonts w:ascii="仿宋" w:eastAsia="仿宋" w:cs="Times New Roman"/>
          <w:color w:val="000000"/>
          <w:kern w:val="2"/>
          <w:sz w:val="32"/>
          <w:szCs w:val="32"/>
          <w:lang w:val="en-US" w:eastAsia="zh-CN" w:bidi="ar-SA"/>
        </w:rPr>
      </w:pPr>
      <w:r>
        <w:rPr>
          <w:rFonts w:hint="eastAsia" w:ascii="仿宋" w:eastAsia="仿宋" w:cs="Times New Roman"/>
          <w:color w:val="FF0000"/>
          <w:sz w:val="32"/>
          <w:szCs w:val="32"/>
          <w:lang w:eastAsia="zh-CN"/>
        </w:rPr>
        <w:drawing>
          <wp:inline distT="0" distB="0" distL="114300" distR="114300">
            <wp:extent cx="5856605" cy="2747645"/>
            <wp:effectExtent l="0" t="0" r="0" b="0"/>
            <wp:docPr id="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8"/>
        <w:keepNext w:val="0"/>
        <w:keepLines w:val="0"/>
        <w:pageBreakBefore w:val="0"/>
        <w:widowControl/>
        <w:suppressLineNumbers w:val="0"/>
        <w:kinsoku/>
        <w:wordWrap/>
        <w:overflowPunct/>
        <w:topLinePunct w:val="0"/>
        <w:autoSpaceDE/>
        <w:autoSpaceDN/>
        <w:bidi w:val="0"/>
        <w:adjustRightInd/>
        <w:snapToGrid/>
        <w:spacing w:line="576" w:lineRule="exact"/>
        <w:ind w:left="0" w:firstLine="280" w:firstLineChars="100"/>
        <w:textAlignment w:val="auto"/>
        <w:rPr>
          <w:rFonts w:hint="eastAsia" w:ascii="仿宋_GB2312" w:eastAsia="仿宋_GB2312" w:cs="Times New Roman"/>
          <w:color w:val="000000"/>
          <w:kern w:val="2"/>
          <w:sz w:val="28"/>
          <w:szCs w:val="28"/>
          <w:lang w:val="en-US" w:eastAsia="zh-CN" w:bidi="ar-SA"/>
        </w:rPr>
      </w:pPr>
      <w:r>
        <w:rPr>
          <w:rFonts w:hint="eastAsia" w:ascii="仿宋_GB2312" w:eastAsia="仿宋_GB2312" w:cs="Times New Roman"/>
          <w:color w:val="000000"/>
          <w:kern w:val="2"/>
          <w:sz w:val="28"/>
          <w:szCs w:val="28"/>
          <w:lang w:val="en-US" w:eastAsia="zh-CN" w:bidi="ar-SA"/>
        </w:rPr>
        <w:t>图4：财政拨款收、支决算总计变动情况（柱状图）</w:t>
      </w:r>
      <w:r>
        <w:rPr>
          <w:rFonts w:ascii="仿宋_GB2312" w:eastAsia="仿宋_GB2312" w:cs="Times New Roman"/>
          <w:color w:val="000000"/>
          <w:kern w:val="2"/>
          <w:sz w:val="28"/>
          <w:szCs w:val="28"/>
          <w:lang w:val="en-US" w:eastAsia="zh-CN" w:bidi="ar-SA"/>
        </w:rPr>
        <w:t>（单位：万元）</w:t>
      </w:r>
    </w:p>
    <w:p>
      <w:pPr>
        <w:pStyle w:val="16"/>
        <w:pageBreakBefore w:val="0"/>
        <w:widowControl w:val="0"/>
        <w:numPr>
          <w:ilvl w:val="0"/>
          <w:numId w:val="3"/>
        </w:numPr>
        <w:kinsoku/>
        <w:wordWrap/>
        <w:overflowPunct/>
        <w:topLinePunct w:val="0"/>
        <w:bidi w:val="0"/>
        <w:spacing w:line="576" w:lineRule="exact"/>
        <w:ind w:firstLineChars="0"/>
        <w:textAlignment w:val="auto"/>
        <w:outlineLvl w:val="1"/>
        <w:rPr>
          <w:rFonts w:hint="eastAsia" w:ascii="黑体" w:eastAsia="黑体" w:cs="黑体"/>
          <w:b w:val="0"/>
          <w:bCs w:val="0"/>
          <w:color w:val="000000"/>
          <w:sz w:val="32"/>
          <w:szCs w:val="32"/>
        </w:rPr>
      </w:pPr>
      <w:bookmarkStart w:id="29" w:name="_Toc18133"/>
      <w:bookmarkStart w:id="30" w:name="_Toc5657"/>
      <w:r>
        <w:rPr>
          <w:rFonts w:hint="eastAsia" w:ascii="黑体" w:eastAsia="黑体" w:cs="黑体"/>
          <w:b w:val="0"/>
          <w:bCs w:val="0"/>
          <w:color w:val="000000"/>
          <w:sz w:val="32"/>
          <w:szCs w:val="32"/>
        </w:rPr>
        <w:t>一般公共预算财政拨款支出决算情况说明</w:t>
      </w:r>
      <w:bookmarkEnd w:id="29"/>
      <w:bookmarkEnd w:id="30"/>
    </w:p>
    <w:p>
      <w:pPr>
        <w:pageBreakBefore w:val="0"/>
        <w:widowControl w:val="0"/>
        <w:kinsoku/>
        <w:wordWrap/>
        <w:overflowPunct/>
        <w:topLinePunct w:val="0"/>
        <w:bidi w:val="0"/>
        <w:spacing w:line="576" w:lineRule="exact"/>
        <w:ind w:firstLine="640" w:firstLineChars="200"/>
        <w:textAlignment w:val="auto"/>
        <w:outlineLvl w:val="2"/>
        <w:rPr>
          <w:rFonts w:hint="eastAsia" w:ascii="黑体" w:eastAsia="黑体" w:cs="黑体"/>
          <w:b w:val="0"/>
          <w:bCs w:val="0"/>
          <w:color w:val="000000"/>
          <w:sz w:val="32"/>
          <w:szCs w:val="32"/>
        </w:rPr>
      </w:pPr>
      <w:bookmarkStart w:id="31" w:name="_Toc23064"/>
      <w:bookmarkStart w:id="32" w:name="_Toc3691"/>
      <w:r>
        <w:rPr>
          <w:rFonts w:hint="eastAsia" w:ascii="黑体" w:eastAsia="黑体" w:cs="黑体"/>
          <w:b w:val="0"/>
          <w:bCs w:val="0"/>
          <w:color w:val="000000"/>
          <w:sz w:val="32"/>
          <w:szCs w:val="32"/>
        </w:rPr>
        <w:t>（一）一般公共预算财政拨款支出决算总体情况</w:t>
      </w:r>
      <w:bookmarkEnd w:id="31"/>
      <w:bookmarkEnd w:id="32"/>
    </w:p>
    <w:p>
      <w:pPr>
        <w:pageBreakBefore w:val="0"/>
        <w:widowControl w:val="0"/>
        <w:kinsoku/>
        <w:wordWrap/>
        <w:overflowPunct/>
        <w:topLinePunct w:val="0"/>
        <w:bidi w:val="0"/>
        <w:spacing w:line="576" w:lineRule="exact"/>
        <w:ind w:firstLine="640" w:firstLineChars="200"/>
        <w:textAlignment w:val="auto"/>
        <w:rPr>
          <w:rFonts w:ascii="仿宋" w:eastAsia="仿宋" w:cs="Times New Roman"/>
          <w:color w:val="000000"/>
          <w:sz w:val="32"/>
          <w:szCs w:val="32"/>
          <w:lang w:val="en-US" w:eastAsia="zh-CN"/>
        </w:rPr>
      </w:pPr>
      <w:r>
        <w:rPr>
          <w:rFonts w:hint="eastAsia" w:ascii="仿宋_GB2312" w:eastAsia="仿宋_GB2312" w:cs="Times New Roman"/>
          <w:color w:val="000000"/>
          <w:kern w:val="2"/>
          <w:sz w:val="32"/>
          <w:szCs w:val="32"/>
          <w:lang w:val="en-US" w:eastAsia="zh-CN" w:bidi="ar-SA"/>
        </w:rPr>
        <w:t>2022年一般公共预算财政拨款支出161.18万元，占本年支出合计的100%。与2021年相比，一般公共预算财政拨款支出减少93.95万元，减少36.82%。</w:t>
      </w:r>
      <w:r>
        <w:rPr>
          <w:rFonts w:hint="eastAsia" w:ascii="仿宋_GB2312" w:eastAsia="仿宋_GB2312"/>
          <w:color w:val="000000"/>
          <w:sz w:val="32"/>
          <w:szCs w:val="32"/>
        </w:rPr>
        <w:t>主要变动原因</w:t>
      </w:r>
      <w:r>
        <w:rPr>
          <w:rFonts w:hint="eastAsia" w:ascii="仿宋_GB2312" w:eastAsia="仿宋_GB2312"/>
          <w:color w:val="000000"/>
          <w:sz w:val="32"/>
          <w:szCs w:val="32"/>
          <w:lang w:eastAsia="zh-CN"/>
        </w:rPr>
        <w:t>是</w:t>
      </w:r>
      <w:r>
        <w:rPr>
          <w:rStyle w:val="11"/>
          <w:rFonts w:hint="eastAsia" w:ascii="仿宋_GB2312" w:hAnsi="仿宋" w:eastAsia="仿宋_GB2312"/>
          <w:b w:val="0"/>
          <w:bCs/>
          <w:color w:val="000000"/>
          <w:sz w:val="32"/>
          <w:szCs w:val="32"/>
          <w:lang w:eastAsia="zh-CN"/>
        </w:rPr>
        <w:t>招商引资项目</w:t>
      </w:r>
      <w:r>
        <w:rPr>
          <w:rStyle w:val="11"/>
          <w:rFonts w:hint="eastAsia" w:ascii="仿宋_GB2312" w:hAnsi="仿宋" w:eastAsia="仿宋_GB2312"/>
          <w:b w:val="0"/>
          <w:bCs/>
          <w:color w:val="000000"/>
          <w:sz w:val="32"/>
          <w:szCs w:val="32"/>
        </w:rPr>
        <w:t>支出</w:t>
      </w:r>
      <w:r>
        <w:rPr>
          <w:rStyle w:val="11"/>
          <w:rFonts w:hint="eastAsia" w:ascii="仿宋_GB2312" w:hAnsi="仿宋" w:eastAsia="仿宋_GB2312"/>
          <w:b w:val="0"/>
          <w:bCs/>
          <w:color w:val="000000"/>
          <w:sz w:val="32"/>
          <w:szCs w:val="32"/>
          <w:lang w:eastAsia="zh-CN"/>
        </w:rPr>
        <w:t>减少</w:t>
      </w:r>
      <w:r>
        <w:rPr>
          <w:rStyle w:val="11"/>
          <w:rFonts w:hint="eastAsia" w:ascii="仿宋_GB2312" w:hAnsi="仿宋" w:eastAsia="仿宋_GB2312"/>
          <w:b w:val="0"/>
          <w:bCs/>
          <w:color w:val="000000"/>
          <w:sz w:val="32"/>
          <w:szCs w:val="32"/>
          <w:lang w:val="en-US" w:eastAsia="zh-CN"/>
        </w:rPr>
        <w:t>89.32万元、人员经费支出减少3.79万元、公用经费支出减少0.84万元。</w:t>
      </w:r>
    </w:p>
    <w:p>
      <w:pPr>
        <w:pageBreakBefore w:val="0"/>
        <w:widowControl w:val="0"/>
        <w:kinsoku/>
        <w:wordWrap/>
        <w:overflowPunct/>
        <w:topLinePunct w:val="0"/>
        <w:ind w:firstLine="0"/>
        <w:rPr>
          <w:rFonts w:hint="eastAsia" w:ascii="仿宋" w:eastAsia="仿宋"/>
          <w:color w:val="000000"/>
          <w:sz w:val="32"/>
          <w:szCs w:val="32"/>
        </w:rPr>
      </w:pPr>
      <w:r>
        <w:rPr>
          <w:rFonts w:ascii="仿宋" w:eastAsia="仿宋" w:cs="Times New Roman"/>
          <w:color w:val="000000"/>
          <w:sz w:val="32"/>
          <w:szCs w:val="32"/>
          <w:lang w:val="en-US" w:eastAsia="zh-CN"/>
        </w:rPr>
        <w:drawing>
          <wp:inline distT="0" distB="0" distL="114300" distR="114300">
            <wp:extent cx="5360670" cy="2773045"/>
            <wp:effectExtent l="0" t="0" r="0" b="0"/>
            <wp:docPr id="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仿宋_GB2312" w:eastAsia="仿宋_GB2312" w:cs="Times New Roman"/>
          <w:color w:val="000000"/>
          <w:kern w:val="2"/>
          <w:sz w:val="28"/>
          <w:szCs w:val="28"/>
          <w:lang w:val="en-US" w:eastAsia="zh-CN" w:bidi="ar-SA"/>
        </w:rPr>
        <w:t>图5：一般公共预算财政拨款支出决算变动情况（柱状图）</w:t>
      </w:r>
      <w:r>
        <w:rPr>
          <w:rFonts w:ascii="仿宋_GB2312" w:eastAsia="仿宋_GB2312" w:cs="Times New Roman"/>
          <w:color w:val="000000"/>
          <w:kern w:val="2"/>
          <w:sz w:val="28"/>
          <w:szCs w:val="28"/>
          <w:lang w:val="en-US" w:eastAsia="zh-CN" w:bidi="ar-SA"/>
        </w:rPr>
        <w:t>（单位：万元）</w:t>
      </w:r>
    </w:p>
    <w:p>
      <w:pPr>
        <w:pageBreakBefore w:val="0"/>
        <w:widowControl w:val="0"/>
        <w:kinsoku/>
        <w:wordWrap/>
        <w:overflowPunct/>
        <w:topLinePunct w:val="0"/>
        <w:bidi w:val="0"/>
        <w:spacing w:line="576" w:lineRule="exact"/>
        <w:ind w:left="210" w:leftChars="100"/>
        <w:textAlignment w:val="auto"/>
        <w:outlineLvl w:val="2"/>
        <w:rPr>
          <w:rFonts w:hint="eastAsia" w:ascii="黑体" w:eastAsia="黑体" w:cs="黑体"/>
          <w:b w:val="0"/>
          <w:bCs/>
          <w:color w:val="000000"/>
          <w:sz w:val="32"/>
          <w:szCs w:val="32"/>
        </w:rPr>
      </w:pPr>
      <w:bookmarkStart w:id="33" w:name="_Toc16376"/>
      <w:bookmarkStart w:id="34" w:name="_Toc26183"/>
      <w:r>
        <w:rPr>
          <w:rFonts w:hint="eastAsia" w:ascii="黑体" w:eastAsia="黑体" w:cs="黑体"/>
          <w:b w:val="0"/>
          <w:bCs/>
          <w:color w:val="000000"/>
          <w:sz w:val="32"/>
          <w:szCs w:val="32"/>
          <w:lang w:eastAsia="zh-CN"/>
        </w:rPr>
        <w:t>（二）</w:t>
      </w:r>
      <w:r>
        <w:rPr>
          <w:rFonts w:hint="eastAsia" w:ascii="黑体" w:eastAsia="黑体" w:cs="黑体"/>
          <w:b w:val="0"/>
          <w:bCs/>
          <w:color w:val="000000"/>
          <w:sz w:val="32"/>
          <w:szCs w:val="32"/>
        </w:rPr>
        <w:t>一般公共预算财政拨款支出决算结构情况</w:t>
      </w:r>
      <w:bookmarkEnd w:id="33"/>
      <w:bookmarkEnd w:id="34"/>
    </w:p>
    <w:p>
      <w:pPr>
        <w:pageBreakBefore w:val="0"/>
        <w:widowControl w:val="0"/>
        <w:kinsoku/>
        <w:wordWrap/>
        <w:overflowPunct/>
        <w:topLinePunct w:val="0"/>
        <w:bidi w:val="0"/>
        <w:spacing w:line="576" w:lineRule="exact"/>
        <w:ind w:firstLine="640" w:firstLineChars="20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2022年一般公共预算财政拨款支出161.18万元，主要用于以下方面：一般公共服务（类）支出121.21万元，占75.20%；公共安全支出0.84万元，占0.52%；教育支出（类）0万元，占0%；科学技术（类）支出0万元，占0%；文化旅游体育与传媒（类）支出0万元，占0%；社会保障和就业（类）支出19.83万元，占12.3%；卫生健康支出8.04万元，占4.99%；住房保障支出11.26万元，占6.99%。</w:t>
      </w:r>
    </w:p>
    <w:p>
      <w:pPr>
        <w:pStyle w:val="8"/>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 w:eastAsia="仿宋" w:cs="Times New Roman"/>
          <w:color w:val="000000"/>
          <w:kern w:val="2"/>
          <w:sz w:val="32"/>
          <w:szCs w:val="32"/>
          <w:lang w:val="en-US" w:eastAsia="zh-CN" w:bidi="ar-SA"/>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rPr>
          <w:rFonts w:ascii="仿宋" w:eastAsia="仿宋" w:cs="Times New Roman"/>
          <w:color w:val="000000"/>
          <w:kern w:val="2"/>
          <w:sz w:val="32"/>
          <w:szCs w:val="32"/>
          <w:lang w:val="en-US" w:eastAsia="zh-CN" w:bidi="ar-SA"/>
        </w:rPr>
      </w:pPr>
      <w:r>
        <w:rPr>
          <w:rFonts w:ascii="仿宋" w:eastAsia="仿宋" w:cs="Times New Roman"/>
          <w:color w:val="000000"/>
          <w:kern w:val="2"/>
          <w:sz w:val="32"/>
          <w:szCs w:val="32"/>
          <w:lang w:val="en-US" w:eastAsia="zh-CN" w:bidi="ar-SA"/>
        </w:rPr>
        <w:drawing>
          <wp:inline distT="0" distB="0" distL="114300" distR="114300">
            <wp:extent cx="5227955" cy="3577590"/>
            <wp:effectExtent l="0" t="0" r="0" b="0"/>
            <wp:docPr id="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8"/>
        <w:keepNext w:val="0"/>
        <w:keepLines w:val="0"/>
        <w:pageBreakBefore w:val="0"/>
        <w:widowControl/>
        <w:suppressLineNumbers w:val="0"/>
        <w:kinsoku/>
        <w:wordWrap/>
        <w:overflowPunct/>
        <w:topLinePunct w:val="0"/>
        <w:autoSpaceDE/>
        <w:autoSpaceDN/>
        <w:bidi w:val="0"/>
        <w:adjustRightInd/>
        <w:snapToGrid/>
        <w:spacing w:line="576" w:lineRule="exact"/>
        <w:ind w:firstLine="560" w:firstLineChars="200"/>
        <w:jc w:val="left"/>
        <w:textAlignment w:val="auto"/>
        <w:rPr>
          <w:sz w:val="22"/>
          <w:szCs w:val="22"/>
        </w:rPr>
      </w:pPr>
      <w:r>
        <w:rPr>
          <w:rFonts w:ascii="仿宋" w:eastAsia="仿宋" w:cs="Times New Roman"/>
          <w:color w:val="000000"/>
          <w:kern w:val="2"/>
          <w:sz w:val="28"/>
          <w:szCs w:val="28"/>
          <w:lang w:val="en-US" w:eastAsia="zh-CN" w:bidi="ar-SA"/>
        </w:rPr>
        <w:t>（图6：一般公共预算财政拨款支出决算结构）（饼状图）</w:t>
      </w:r>
    </w:p>
    <w:p>
      <w:pPr>
        <w:pageBreakBefore w:val="0"/>
        <w:widowControl w:val="0"/>
        <w:kinsoku/>
        <w:wordWrap/>
        <w:overflowPunct/>
        <w:topLinePunct w:val="0"/>
        <w:bidi w:val="0"/>
        <w:spacing w:line="576" w:lineRule="exact"/>
        <w:ind w:firstLine="640" w:firstLineChars="200"/>
        <w:textAlignment w:val="auto"/>
        <w:outlineLvl w:val="2"/>
        <w:rPr>
          <w:rFonts w:hint="eastAsia" w:ascii="黑体" w:eastAsia="黑体" w:cs="黑体"/>
          <w:b w:val="0"/>
          <w:bCs/>
          <w:color w:val="000000"/>
          <w:sz w:val="32"/>
          <w:szCs w:val="32"/>
        </w:rPr>
      </w:pPr>
      <w:bookmarkStart w:id="35" w:name="_Toc29675"/>
      <w:bookmarkStart w:id="36" w:name="_Toc11660"/>
      <w:r>
        <w:rPr>
          <w:rFonts w:hint="eastAsia" w:ascii="黑体" w:eastAsia="黑体" w:cs="黑体"/>
          <w:b w:val="0"/>
          <w:bCs/>
          <w:color w:val="000000"/>
          <w:sz w:val="32"/>
          <w:szCs w:val="32"/>
        </w:rPr>
        <w:t>（三）一般公共预算财政拨款支出决算具体情况</w:t>
      </w:r>
      <w:bookmarkEnd w:id="35"/>
      <w:bookmarkEnd w:id="36"/>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2022年一般公共预算支出决算数为161.18万元，完成预算100%。其中：</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1.一般公共服务支出（类）商贸事务（款）事业运行（项）： 支出决算为121.21万元，完成预算100%。</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2.住房保障支出（类）住房改革支出（款）住房公积金（项）： 支出决算为11.26万元，完成预算100%。</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3.社会保障和就业支出（类）行政事业单位养老支出（款）机关事业单位基本养老保险缴费支出（项）： 支出决算为13.22万元，完成预算100%。</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4. 社会保障和就业支出（类）行政事业单位养老支出（款）机关事业单位职业年金缴费支出（项）： 支出决算为6.61万元，完成预算100%。</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5.卫生健康支出（类）行政事业单位医疗（款）事业单位医疗（项）：支出决算为8.04万元，完成预算100%。</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6.农林水支出（类）巩固脱贫衔接乡村振兴（款） 其他巩固脱贫衔接乡村振兴支出（项）：支出决算为0.84万元，完成预算100%。</w:t>
      </w:r>
    </w:p>
    <w:p>
      <w:pPr>
        <w:pageBreakBefore w:val="0"/>
        <w:widowControl w:val="0"/>
        <w:tabs>
          <w:tab w:val="right" w:pos="8306"/>
        </w:tabs>
        <w:kinsoku/>
        <w:wordWrap/>
        <w:overflowPunct/>
        <w:topLinePunct w:val="0"/>
        <w:bidi w:val="0"/>
        <w:spacing w:line="576" w:lineRule="exact"/>
        <w:ind w:firstLine="640"/>
        <w:textAlignment w:val="auto"/>
        <w:outlineLvl w:val="1"/>
        <w:rPr>
          <w:rFonts w:hint="eastAsia" w:ascii="黑体" w:eastAsia="黑体" w:cs="Times New Roman"/>
          <w:color w:val="000000"/>
          <w:sz w:val="32"/>
          <w:szCs w:val="32"/>
        </w:rPr>
      </w:pPr>
      <w:bookmarkStart w:id="37" w:name="_Toc17476"/>
      <w:bookmarkStart w:id="38" w:name="_Toc19624"/>
      <w:r>
        <w:rPr>
          <w:rFonts w:hint="eastAsia" w:ascii="黑体" w:eastAsia="黑体" w:cs="Times New Roman"/>
          <w:color w:val="000000"/>
          <w:sz w:val="32"/>
          <w:szCs w:val="32"/>
        </w:rPr>
        <w:t>六、一般公共预算财政拨款基本支出决算情况说明   </w:t>
      </w:r>
      <w:bookmarkEnd w:id="37"/>
      <w:bookmarkEnd w:id="38"/>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2022年一般公共预算财政拨款基本支出160.34万元，其中：</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人员经费151.12万元，主要包括：基本工资、津贴补贴、绩效工资、机关事业单位基本养老保险缴费、职业年金缴费、其他社会保障缴费、职工基本医疗保险缴费、医疗费补助、奖励金、住房公积金、生活补助支出等，同比减少3.79万元，下降2.46%，主要原因是人员工资保险的变动。</w:t>
      </w:r>
    </w:p>
    <w:p>
      <w:pPr>
        <w:pStyle w:val="8"/>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公用经费10.22万元，主要包括：办公费、邮电费、差旅费、公务用车运行维护费等，同比减少0.83万元，下降7.55%，主要原因是厉行节俭，减少不必要开支。</w:t>
      </w:r>
    </w:p>
    <w:p>
      <w:pPr>
        <w:pageBreakBefore w:val="0"/>
        <w:widowControl w:val="0"/>
        <w:tabs>
          <w:tab w:val="right" w:pos="8306"/>
        </w:tabs>
        <w:kinsoku/>
        <w:wordWrap/>
        <w:overflowPunct/>
        <w:topLinePunct w:val="0"/>
        <w:bidi w:val="0"/>
        <w:spacing w:line="576" w:lineRule="exact"/>
        <w:ind w:firstLine="640"/>
        <w:textAlignment w:val="auto"/>
        <w:outlineLvl w:val="1"/>
        <w:rPr>
          <w:rFonts w:hint="eastAsia" w:ascii="黑体" w:eastAsia="黑体" w:cs="Times New Roman"/>
          <w:color w:val="000000"/>
          <w:sz w:val="32"/>
          <w:szCs w:val="32"/>
        </w:rPr>
      </w:pPr>
      <w:bookmarkStart w:id="39" w:name="_Toc31902"/>
      <w:bookmarkStart w:id="40" w:name="_Toc10106"/>
      <w:r>
        <w:rPr>
          <w:rFonts w:hint="eastAsia" w:ascii="黑体" w:eastAsia="黑体" w:cs="Times New Roman"/>
          <w:color w:val="000000"/>
          <w:sz w:val="32"/>
          <w:szCs w:val="32"/>
        </w:rPr>
        <w:t>七、“三公”经费财政拨款支出决算情况说明</w:t>
      </w:r>
      <w:bookmarkEnd w:id="39"/>
      <w:bookmarkEnd w:id="40"/>
    </w:p>
    <w:p>
      <w:pPr>
        <w:pageBreakBefore w:val="0"/>
        <w:widowControl w:val="0"/>
        <w:tabs>
          <w:tab w:val="right" w:pos="8306"/>
        </w:tabs>
        <w:kinsoku/>
        <w:wordWrap/>
        <w:overflowPunct/>
        <w:topLinePunct w:val="0"/>
        <w:bidi w:val="0"/>
        <w:spacing w:line="576" w:lineRule="exact"/>
        <w:ind w:firstLine="640"/>
        <w:textAlignment w:val="auto"/>
        <w:outlineLvl w:val="1"/>
        <w:rPr>
          <w:rFonts w:hint="eastAsia" w:ascii="黑体" w:eastAsia="黑体" w:cs="Times New Roman"/>
          <w:color w:val="000000"/>
          <w:sz w:val="32"/>
          <w:szCs w:val="32"/>
        </w:rPr>
      </w:pPr>
      <w:bookmarkStart w:id="41" w:name="_Toc22479"/>
      <w:bookmarkStart w:id="42" w:name="_Toc24446"/>
      <w:r>
        <w:rPr>
          <w:rFonts w:hint="eastAsia" w:ascii="黑体" w:eastAsia="黑体" w:cs="Times New Roman"/>
          <w:color w:val="000000"/>
          <w:sz w:val="32"/>
          <w:szCs w:val="32"/>
        </w:rPr>
        <w:t>（一）“三公”经费财政拨款支出决算总体情况说明</w:t>
      </w:r>
      <w:bookmarkEnd w:id="41"/>
      <w:bookmarkEnd w:id="42"/>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2022年“三公”经费财政拨款支出决算为3.87万元，完成预算100%。</w:t>
      </w:r>
    </w:p>
    <w:p>
      <w:pPr>
        <w:pageBreakBefore w:val="0"/>
        <w:widowControl w:val="0"/>
        <w:kinsoku/>
        <w:wordWrap/>
        <w:overflowPunct/>
        <w:topLinePunct w:val="0"/>
        <w:bidi w:val="0"/>
        <w:spacing w:line="576" w:lineRule="exact"/>
        <w:ind w:firstLine="640"/>
        <w:textAlignment w:val="auto"/>
        <w:outlineLvl w:val="2"/>
        <w:rPr>
          <w:rFonts w:hint="eastAsia" w:ascii="黑体" w:eastAsia="黑体"/>
          <w:color w:val="000000"/>
          <w:sz w:val="32"/>
          <w:szCs w:val="32"/>
        </w:rPr>
      </w:pPr>
      <w:bookmarkStart w:id="43" w:name="_Toc19254"/>
      <w:bookmarkStart w:id="44" w:name="_Toc30765"/>
      <w:r>
        <w:rPr>
          <w:rFonts w:hint="eastAsia" w:ascii="黑体" w:eastAsia="黑体"/>
          <w:color w:val="000000"/>
          <w:sz w:val="32"/>
          <w:szCs w:val="32"/>
        </w:rPr>
        <w:t>（二）“三公”经费财政拨款支出决算具体情况说明</w:t>
      </w:r>
      <w:bookmarkEnd w:id="43"/>
      <w:bookmarkEnd w:id="44"/>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2022年“三公”经费财政拨款支出决算中，因公出国（境）费支出决算0万元，占0%；公务用车购置及运行维护费支出决算3.87万元，占100%，同比减少0.13万元，下降3.2%,其中：公务用车购置0万元，同比增加0元，增长0%，无变动；公车运行维护费3.87万元，同比减少0.13万元，下降3.2%，原因分析：厉行节约，减少不必要开支；公务接待费支出决算0万元，占0%。具体情况如下：</w:t>
      </w:r>
    </w:p>
    <w:p>
      <w:pPr>
        <w:pageBreakBefore w:val="0"/>
        <w:widowControl w:val="0"/>
        <w:kinsoku/>
        <w:wordWrap/>
        <w:overflowPunct/>
        <w:topLinePunct w:val="0"/>
        <w:bidi w:val="0"/>
        <w:spacing w:line="240" w:lineRule="auto"/>
        <w:ind w:firstLine="0"/>
        <w:textAlignment w:val="auto"/>
        <w:rPr>
          <w:rFonts w:hint="eastAsia" w:ascii="仿宋" w:eastAsia="仿宋" w:cs="Times New Roman"/>
          <w:color w:val="000000"/>
          <w:sz w:val="32"/>
          <w:szCs w:val="32"/>
          <w:lang w:eastAsia="zh-CN"/>
        </w:rPr>
      </w:pPr>
      <w:r>
        <w:rPr>
          <w:rFonts w:hint="eastAsia" w:ascii="仿宋" w:eastAsia="仿宋" w:cs="Times New Roman"/>
          <w:color w:val="000000"/>
          <w:sz w:val="32"/>
          <w:szCs w:val="32"/>
          <w:lang w:eastAsia="zh-CN"/>
        </w:rPr>
        <w:drawing>
          <wp:inline distT="0" distB="0" distL="114300" distR="114300">
            <wp:extent cx="5256530" cy="3188335"/>
            <wp:effectExtent l="0" t="0" r="0" b="0"/>
            <wp:docPr id="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widowControl w:val="0"/>
        <w:kinsoku/>
        <w:wordWrap/>
        <w:overflowPunct/>
        <w:topLinePunct w:val="0"/>
        <w:bidi w:val="0"/>
        <w:spacing w:line="576" w:lineRule="exact"/>
        <w:ind w:firstLine="840" w:firstLineChars="300"/>
        <w:jc w:val="both"/>
        <w:textAlignment w:val="auto"/>
        <w:rPr>
          <w:rFonts w:ascii="仿宋" w:eastAsia="仿宋" w:cs="Times New Roman"/>
          <w:color w:val="000000"/>
          <w:sz w:val="28"/>
          <w:szCs w:val="28"/>
        </w:rPr>
      </w:pPr>
      <w:r>
        <w:rPr>
          <w:rFonts w:ascii="仿宋" w:eastAsia="仿宋" w:cs="Times New Roman"/>
          <w:color w:val="000000"/>
          <w:sz w:val="28"/>
          <w:szCs w:val="28"/>
        </w:rPr>
        <w:t>图7：“三公”经费财政拨款支出结构（饼状图）</w:t>
      </w:r>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1.因公出国（境）经费支出0万元。全年安排因公出国（境）团组0次，出国（境）0人，相比于2021年无变化。</w:t>
      </w:r>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公务用车购置及运行维护费支出3.87万元，完成预算100%，同比减少0.13万元，下降3.2%,其中：公务用车购置0万元，同比增加0元，增长0%，相比于2021年无变化；公车运行维护费3.87万元，同比减少0.13万元，下降3.2%，主要原因是厉行节约，减少不必要开支。</w:t>
      </w:r>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其中：公务用车购置支出0万元，相比于2021年无变化。全年按规定更新购置公务用车0辆，其中：轿车0辆、金额0万元，越野车0辆、金额0万元，载客汽车0辆、金额0万元。截至202</w:t>
      </w:r>
      <w:r>
        <w:rPr>
          <w:rFonts w:ascii="仿宋_GB2312" w:eastAsia="仿宋_GB2312" w:cs="Times New Roman"/>
          <w:color w:val="000000"/>
          <w:kern w:val="2"/>
          <w:sz w:val="32"/>
          <w:szCs w:val="32"/>
          <w:lang w:val="en-US" w:eastAsia="zh-CN" w:bidi="ar-SA"/>
        </w:rPr>
        <w:t>2</w:t>
      </w:r>
      <w:r>
        <w:rPr>
          <w:rFonts w:hint="eastAsia" w:ascii="仿宋_GB2312" w:eastAsia="仿宋_GB2312" w:cs="Times New Roman"/>
          <w:color w:val="000000"/>
          <w:kern w:val="2"/>
          <w:sz w:val="32"/>
          <w:szCs w:val="32"/>
          <w:lang w:val="en-US" w:eastAsia="zh-CN" w:bidi="ar-SA"/>
        </w:rPr>
        <w:t>年12月底，单位共有公务用车3辆，其中：轿车0辆、越野车3辆、载客汽车0辆。</w:t>
      </w:r>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公务用车运行维护费支出3.87万元，同比减少0.13万元，下降3.2%，主要原因是厉行节约，减少不必要开支。主要用于工业园区管理等所需的公务用车燃料费、维修费、过路过桥费、保险费等支出。</w:t>
      </w:r>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3.公务接待费支出0万元，完成预算100%。公务接待费支出决算相比2021年无变化。其中：</w:t>
      </w:r>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bookmarkStart w:id="45" w:name="_Toc17717"/>
      <w:bookmarkStart w:id="46" w:name="_Toc1331"/>
      <w:r>
        <w:rPr>
          <w:rFonts w:hint="eastAsia" w:ascii="仿宋_GB2312" w:eastAsia="仿宋_GB2312" w:cs="Times New Roman"/>
          <w:color w:val="000000"/>
          <w:kern w:val="2"/>
          <w:sz w:val="32"/>
          <w:szCs w:val="32"/>
          <w:lang w:val="en-US" w:eastAsia="zh-CN" w:bidi="ar-SA"/>
        </w:rPr>
        <w:t>国内公务接待支出0万元，国内公务接待0批次，0人次（不包括陪同人员），共计支出0万元，相比于2021年无变化。</w:t>
      </w:r>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外事接待支出0万元，外事接待0批次，0人，共计支出0万元，相比于2021年无变化。</w:t>
      </w:r>
    </w:p>
    <w:p>
      <w:pPr>
        <w:pageBreakBefore w:val="0"/>
        <w:widowControl w:val="0"/>
        <w:kinsoku/>
        <w:wordWrap/>
        <w:overflowPunct/>
        <w:topLinePunct w:val="0"/>
        <w:bidi w:val="0"/>
        <w:spacing w:line="576" w:lineRule="exact"/>
        <w:ind w:firstLine="640"/>
        <w:textAlignment w:val="auto"/>
        <w:outlineLvl w:val="1"/>
        <w:rPr>
          <w:rFonts w:hint="eastAsia" w:ascii="黑体" w:eastAsia="黑体" w:cs="Times New Roman"/>
          <w:color w:val="000000"/>
          <w:sz w:val="32"/>
          <w:szCs w:val="32"/>
        </w:rPr>
      </w:pPr>
      <w:r>
        <w:rPr>
          <w:rFonts w:hint="eastAsia" w:ascii="黑体" w:eastAsia="黑体" w:cs="Times New Roman"/>
          <w:color w:val="000000"/>
          <w:sz w:val="32"/>
          <w:szCs w:val="32"/>
        </w:rPr>
        <w:t>八、政府性基金预算支出决算情况说明</w:t>
      </w:r>
      <w:bookmarkEnd w:id="45"/>
      <w:bookmarkEnd w:id="46"/>
    </w:p>
    <w:p>
      <w:pPr>
        <w:pageBreakBefore w:val="0"/>
        <w:widowControl w:val="0"/>
        <w:kinsoku/>
        <w:wordWrap/>
        <w:overflowPunct/>
        <w:topLinePunct w:val="0"/>
        <w:bidi w:val="0"/>
        <w:spacing w:line="576" w:lineRule="exact"/>
        <w:ind w:firstLine="640"/>
        <w:textAlignment w:val="auto"/>
        <w:rPr>
          <w:rFonts w:ascii="仿宋_GB2312" w:eastAsia="仿宋_GB2312" w:cs="Times New Roman"/>
          <w:color w:val="000000"/>
          <w:sz w:val="32"/>
          <w:szCs w:val="32"/>
        </w:rPr>
      </w:pPr>
      <w:r>
        <w:rPr>
          <w:rFonts w:hint="eastAsia" w:ascii="仿宋_GB2312" w:eastAsia="仿宋_GB2312" w:cs="Times New Roman"/>
          <w:color w:val="000000"/>
          <w:kern w:val="2"/>
          <w:sz w:val="32"/>
          <w:szCs w:val="32"/>
          <w:lang w:val="en-US" w:eastAsia="zh-CN" w:bidi="ar-SA"/>
        </w:rPr>
        <w:t>2022年政府性基金预算财政拨款支出0万元，相比于2021年无变化。</w:t>
      </w:r>
    </w:p>
    <w:p>
      <w:pPr>
        <w:pageBreakBefore w:val="0"/>
        <w:widowControl w:val="0"/>
        <w:kinsoku/>
        <w:wordWrap/>
        <w:overflowPunct/>
        <w:topLinePunct w:val="0"/>
        <w:bidi w:val="0"/>
        <w:spacing w:line="576" w:lineRule="exact"/>
        <w:ind w:firstLine="640"/>
        <w:textAlignment w:val="auto"/>
        <w:outlineLvl w:val="1"/>
        <w:rPr>
          <w:rFonts w:hint="eastAsia" w:ascii="黑体" w:eastAsia="黑体" w:cs="Times New Roman"/>
          <w:color w:val="000000"/>
          <w:sz w:val="32"/>
          <w:szCs w:val="32"/>
        </w:rPr>
      </w:pPr>
      <w:bookmarkStart w:id="47" w:name="_Toc18417"/>
      <w:bookmarkStart w:id="48" w:name="_Toc30324"/>
      <w:r>
        <w:rPr>
          <w:rFonts w:hint="eastAsia" w:ascii="黑体" w:eastAsia="黑体" w:cs="Times New Roman"/>
          <w:color w:val="000000"/>
          <w:sz w:val="32"/>
          <w:szCs w:val="32"/>
        </w:rPr>
        <w:t>九、国有资本经营预算支出决算情况说明</w:t>
      </w:r>
      <w:bookmarkEnd w:id="47"/>
      <w:bookmarkEnd w:id="48"/>
    </w:p>
    <w:p>
      <w:pPr>
        <w:pageBreakBefore w:val="0"/>
        <w:widowControl w:val="0"/>
        <w:kinsoku/>
        <w:wordWrap/>
        <w:overflowPunct/>
        <w:topLinePunct w:val="0"/>
        <w:bidi w:val="0"/>
        <w:spacing w:line="576" w:lineRule="exact"/>
        <w:ind w:firstLine="640"/>
        <w:textAlignment w:val="auto"/>
        <w:rPr>
          <w:rFonts w:hint="eastAsia" w:ascii="仿宋_GB2312" w:eastAsia="仿宋_GB2312" w:cs="Times New Roman"/>
          <w:color w:val="000000"/>
          <w:kern w:val="2"/>
          <w:sz w:val="32"/>
          <w:szCs w:val="32"/>
          <w:lang w:val="en-US" w:eastAsia="zh-CN" w:bidi="ar-SA"/>
        </w:rPr>
      </w:pPr>
      <w:r>
        <w:rPr>
          <w:rFonts w:hint="eastAsia" w:ascii="仿宋_GB2312" w:eastAsia="仿宋_GB2312" w:cs="Times New Roman"/>
          <w:color w:val="000000"/>
          <w:kern w:val="2"/>
          <w:sz w:val="32"/>
          <w:szCs w:val="32"/>
          <w:lang w:val="en-US" w:eastAsia="zh-CN" w:bidi="ar-SA"/>
        </w:rPr>
        <w:t>2022年国有资本经营预算财政拨款支出0万元，相比于2021年无变化。 </w:t>
      </w:r>
      <w:bookmarkStart w:id="49" w:name="_Toc16622"/>
      <w:bookmarkStart w:id="50" w:name="_Toc26033"/>
    </w:p>
    <w:p>
      <w:pPr>
        <w:pageBreakBefore w:val="0"/>
        <w:widowControl w:val="0"/>
        <w:kinsoku/>
        <w:wordWrap/>
        <w:overflowPunct/>
        <w:topLinePunct w:val="0"/>
        <w:bidi w:val="0"/>
        <w:spacing w:line="576" w:lineRule="exact"/>
        <w:ind w:firstLine="640"/>
        <w:textAlignment w:val="auto"/>
        <w:outlineLvl w:val="1"/>
        <w:rPr>
          <w:rFonts w:hint="eastAsia" w:ascii="黑体" w:eastAsia="黑体" w:cs="Times New Roman"/>
          <w:color w:val="000000"/>
          <w:sz w:val="32"/>
          <w:szCs w:val="32"/>
          <w:lang w:val="en-US" w:eastAsia="zh-CN"/>
        </w:rPr>
      </w:pPr>
      <w:r>
        <w:rPr>
          <w:rFonts w:hint="eastAsia" w:ascii="黑体" w:eastAsia="黑体" w:cs="Times New Roman"/>
          <w:color w:val="000000"/>
          <w:sz w:val="32"/>
          <w:szCs w:val="32"/>
          <w:lang w:val="en-US" w:eastAsia="zh-CN"/>
        </w:rPr>
        <w:t>十、其他重要事项的情况说明</w:t>
      </w:r>
      <w:bookmarkEnd w:id="49"/>
      <w:bookmarkEnd w:id="50"/>
    </w:p>
    <w:p>
      <w:pPr>
        <w:pageBreakBefore w:val="0"/>
        <w:widowControl w:val="0"/>
        <w:kinsoku/>
        <w:wordWrap/>
        <w:overflowPunct/>
        <w:topLinePunct w:val="0"/>
        <w:bidi w:val="0"/>
        <w:spacing w:line="576" w:lineRule="exact"/>
        <w:ind w:firstLine="642" w:firstLineChars="200"/>
        <w:textAlignment w:val="auto"/>
        <w:outlineLvl w:val="2"/>
        <w:rPr>
          <w:rFonts w:hint="eastAsia" w:ascii="仿宋" w:eastAsia="仿宋" w:cs="Times New Roman"/>
          <w:b/>
          <w:color w:val="000000"/>
          <w:sz w:val="32"/>
          <w:szCs w:val="32"/>
        </w:rPr>
      </w:pPr>
      <w:bookmarkStart w:id="51" w:name="_Toc12341"/>
      <w:bookmarkStart w:id="52" w:name="_Toc21265"/>
      <w:r>
        <w:rPr>
          <w:rFonts w:hint="eastAsia" w:ascii="仿宋" w:eastAsia="仿宋" w:cs="Times New Roman"/>
          <w:b/>
          <w:color w:val="000000"/>
          <w:sz w:val="32"/>
          <w:szCs w:val="32"/>
        </w:rPr>
        <w:t>（一）机关运行经费支出情况</w:t>
      </w:r>
      <w:bookmarkEnd w:id="51"/>
      <w:bookmarkEnd w:id="52"/>
    </w:p>
    <w:p>
      <w:pPr>
        <w:pageBreakBefore w:val="0"/>
        <w:widowControl w:val="0"/>
        <w:kinsoku/>
        <w:wordWrap/>
        <w:overflowPunct/>
        <w:topLinePunct w:val="0"/>
        <w:bidi w:val="0"/>
        <w:spacing w:line="576" w:lineRule="exact"/>
        <w:ind w:firstLine="640" w:firstLineChars="200"/>
        <w:textAlignment w:val="auto"/>
        <w:rPr>
          <w:rFonts w:ascii="仿宋_GB2312" w:eastAsia="仿宋_GB2312" w:cs="Times New Roman"/>
          <w:color w:val="FF0000"/>
          <w:sz w:val="32"/>
          <w:szCs w:val="32"/>
        </w:rPr>
      </w:pPr>
      <w:r>
        <w:rPr>
          <w:rFonts w:ascii="仿宋_GB2312" w:eastAsia="仿宋_GB2312" w:cs="Times New Roman"/>
          <w:color w:val="000000"/>
          <w:sz w:val="32"/>
          <w:szCs w:val="32"/>
        </w:rPr>
        <w:t>2022年</w:t>
      </w:r>
      <w:r>
        <w:rPr>
          <w:rFonts w:hint="eastAsia" w:ascii="仿宋_GB2312" w:eastAsia="仿宋_GB2312"/>
          <w:color w:val="000000"/>
          <w:sz w:val="32"/>
          <w:szCs w:val="32"/>
        </w:rPr>
        <w:t>茂县工业服务中心无机关运行经费</w:t>
      </w:r>
      <w:r>
        <w:rPr>
          <w:rFonts w:hint="eastAsia" w:ascii="仿宋_GB2312" w:eastAsia="仿宋_GB2312"/>
          <w:color w:val="000000"/>
          <w:sz w:val="32"/>
          <w:szCs w:val="32"/>
          <w:lang w:eastAsia="zh-CN"/>
        </w:rPr>
        <w:t>，</w:t>
      </w:r>
      <w:r>
        <w:rPr>
          <w:rFonts w:hint="eastAsia" w:ascii="仿宋_GB2312" w:eastAsia="仿宋_GB2312" w:cs="Times New Roman"/>
          <w:color w:val="000000"/>
          <w:kern w:val="2"/>
          <w:sz w:val="32"/>
          <w:szCs w:val="32"/>
          <w:lang w:val="en-US" w:eastAsia="zh-CN" w:bidi="ar-SA"/>
        </w:rPr>
        <w:t>相比于2021年无变化</w:t>
      </w:r>
      <w:r>
        <w:rPr>
          <w:rFonts w:hint="eastAsia" w:ascii="仿宋_GB2312" w:eastAsia="仿宋_GB2312"/>
          <w:color w:val="000000"/>
          <w:sz w:val="32"/>
          <w:szCs w:val="32"/>
        </w:rPr>
        <w:t>。</w:t>
      </w:r>
    </w:p>
    <w:p>
      <w:pPr>
        <w:pageBreakBefore w:val="0"/>
        <w:widowControl w:val="0"/>
        <w:kinsoku/>
        <w:wordWrap/>
        <w:overflowPunct/>
        <w:topLinePunct w:val="0"/>
        <w:bidi w:val="0"/>
        <w:spacing w:line="576" w:lineRule="exact"/>
        <w:ind w:firstLine="642" w:firstLineChars="200"/>
        <w:textAlignment w:val="auto"/>
        <w:outlineLvl w:val="2"/>
        <w:rPr>
          <w:rFonts w:hint="eastAsia" w:ascii="仿宋" w:eastAsia="仿宋" w:cs="Times New Roman"/>
          <w:b/>
          <w:color w:val="000000"/>
          <w:sz w:val="32"/>
          <w:szCs w:val="32"/>
        </w:rPr>
      </w:pPr>
      <w:bookmarkStart w:id="53" w:name="_Toc9297"/>
      <w:bookmarkStart w:id="54" w:name="_Toc25446"/>
      <w:r>
        <w:rPr>
          <w:rFonts w:hint="eastAsia" w:ascii="仿宋" w:eastAsia="仿宋" w:cs="Times New Roman"/>
          <w:b/>
          <w:color w:val="000000"/>
          <w:sz w:val="32"/>
          <w:szCs w:val="32"/>
        </w:rPr>
        <w:t>（二）政府采购支出情况</w:t>
      </w:r>
      <w:bookmarkEnd w:id="53"/>
      <w:bookmarkEnd w:id="54"/>
    </w:p>
    <w:p>
      <w:pPr>
        <w:pageBreakBefore w:val="0"/>
        <w:widowControl w:val="0"/>
        <w:kinsoku/>
        <w:wordWrap/>
        <w:overflowPunct/>
        <w:topLinePunct w:val="0"/>
        <w:bidi w:val="0"/>
        <w:spacing w:line="576" w:lineRule="exact"/>
        <w:ind w:firstLine="640" w:firstLineChars="200"/>
        <w:textAlignment w:val="auto"/>
        <w:rPr>
          <w:rFonts w:ascii="仿宋_GB2312" w:eastAsia="仿宋_GB2312" w:cs="Times New Roman"/>
          <w:color w:val="FF0000"/>
          <w:sz w:val="32"/>
          <w:szCs w:val="32"/>
        </w:rPr>
      </w:pPr>
      <w:r>
        <w:rPr>
          <w:rFonts w:ascii="仿宋_GB2312" w:eastAsia="仿宋_GB2312" w:cs="Times New Roman"/>
          <w:color w:val="000000"/>
          <w:sz w:val="32"/>
          <w:szCs w:val="32"/>
        </w:rPr>
        <w:t>2022年</w:t>
      </w:r>
      <w:r>
        <w:rPr>
          <w:rFonts w:hint="eastAsia" w:ascii="仿宋_GB2312" w:eastAsia="仿宋_GB2312"/>
          <w:color w:val="000000"/>
          <w:sz w:val="32"/>
          <w:szCs w:val="32"/>
        </w:rPr>
        <w:t>茂县工业服务中心</w:t>
      </w:r>
      <w:r>
        <w:rPr>
          <w:rFonts w:ascii="仿宋_GB2312" w:eastAsia="仿宋_GB2312"/>
          <w:color w:val="000000"/>
          <w:sz w:val="32"/>
          <w:szCs w:val="32"/>
        </w:rPr>
        <w:t>无</w:t>
      </w:r>
      <w:r>
        <w:rPr>
          <w:rFonts w:hint="eastAsia" w:ascii="仿宋_GB2312" w:eastAsia="仿宋_GB2312"/>
          <w:color w:val="000000"/>
          <w:sz w:val="32"/>
          <w:szCs w:val="32"/>
        </w:rPr>
        <w:t>政府采购支出</w:t>
      </w:r>
      <w:r>
        <w:rPr>
          <w:rFonts w:hint="eastAsia" w:ascii="仿宋_GB2312" w:eastAsia="仿宋_GB2312"/>
          <w:color w:val="000000"/>
          <w:sz w:val="32"/>
          <w:szCs w:val="32"/>
          <w:lang w:eastAsia="zh-CN"/>
        </w:rPr>
        <w:t>，</w:t>
      </w:r>
      <w:r>
        <w:rPr>
          <w:rFonts w:hint="eastAsia" w:ascii="仿宋_GB2312" w:eastAsia="仿宋_GB2312" w:cs="Times New Roman"/>
          <w:color w:val="000000"/>
          <w:kern w:val="2"/>
          <w:sz w:val="32"/>
          <w:szCs w:val="32"/>
          <w:lang w:val="en-US" w:eastAsia="zh-CN" w:bidi="ar-SA"/>
        </w:rPr>
        <w:t>相比于2021年无变化</w:t>
      </w:r>
      <w:r>
        <w:rPr>
          <w:rFonts w:hint="eastAsia" w:ascii="仿宋_GB2312" w:eastAsia="仿宋_GB2312"/>
          <w:color w:val="000000"/>
          <w:sz w:val="32"/>
          <w:szCs w:val="32"/>
        </w:rPr>
        <w:t>。</w:t>
      </w:r>
    </w:p>
    <w:p>
      <w:pPr>
        <w:pageBreakBefore w:val="0"/>
        <w:widowControl w:val="0"/>
        <w:kinsoku/>
        <w:wordWrap/>
        <w:overflowPunct/>
        <w:topLinePunct w:val="0"/>
        <w:bidi w:val="0"/>
        <w:spacing w:line="576" w:lineRule="exact"/>
        <w:ind w:firstLine="642" w:firstLineChars="200"/>
        <w:textAlignment w:val="auto"/>
        <w:outlineLvl w:val="2"/>
        <w:rPr>
          <w:rFonts w:hint="eastAsia" w:ascii="仿宋" w:eastAsia="仿宋" w:cs="Times New Roman"/>
          <w:b/>
          <w:color w:val="000000"/>
          <w:sz w:val="32"/>
          <w:szCs w:val="32"/>
        </w:rPr>
      </w:pPr>
      <w:bookmarkStart w:id="55" w:name="_Toc20536"/>
      <w:bookmarkStart w:id="56" w:name="_Toc19415"/>
      <w:r>
        <w:rPr>
          <w:rFonts w:hint="eastAsia" w:ascii="仿宋" w:eastAsia="仿宋" w:cs="Times New Roman"/>
          <w:b/>
          <w:color w:val="000000"/>
          <w:sz w:val="32"/>
          <w:szCs w:val="32"/>
        </w:rPr>
        <w:t>（三）国有资产占有使用情况</w:t>
      </w:r>
      <w:bookmarkEnd w:id="55"/>
      <w:bookmarkEnd w:id="56"/>
    </w:p>
    <w:p>
      <w:pPr>
        <w:autoSpaceDE w:val="0"/>
        <w:autoSpaceDN w:val="0"/>
        <w:adjustRightInd w:val="0"/>
        <w:spacing w:line="600" w:lineRule="exact"/>
        <w:ind w:firstLine="640" w:firstLineChars="200"/>
        <w:jc w:val="left"/>
        <w:rPr>
          <w:rFonts w:ascii="仿宋" w:eastAsia="仿宋"/>
          <w:b/>
          <w:color w:val="FF0000"/>
          <w:sz w:val="32"/>
          <w:szCs w:val="32"/>
        </w:rPr>
      </w:pPr>
      <w:r>
        <w:rPr>
          <w:rFonts w:ascii="仿宋_GB2312" w:eastAsia="仿宋_GB2312" w:cs="Times New Roman"/>
          <w:color w:val="000000"/>
          <w:sz w:val="32"/>
          <w:szCs w:val="32"/>
        </w:rPr>
        <w:t>截至2022年12月31日，</w:t>
      </w:r>
      <w:r>
        <w:rPr>
          <w:rFonts w:hint="eastAsia" w:ascii="仿宋_GB2312" w:eastAsia="仿宋_GB2312"/>
          <w:color w:val="000000"/>
          <w:sz w:val="32"/>
          <w:szCs w:val="32"/>
        </w:rPr>
        <w:t>茂县工业服务中心共有车辆</w:t>
      </w:r>
      <w:r>
        <w:rPr>
          <w:rFonts w:ascii="仿宋_GB2312" w:eastAsia="仿宋_GB2312"/>
          <w:color w:val="000000"/>
          <w:sz w:val="32"/>
          <w:szCs w:val="32"/>
        </w:rPr>
        <w:t>3</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3</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pageBreakBefore w:val="0"/>
        <w:widowControl w:val="0"/>
        <w:kinsoku/>
        <w:wordWrap/>
        <w:overflowPunct/>
        <w:topLinePunct w:val="0"/>
        <w:bidi w:val="0"/>
        <w:spacing w:line="576" w:lineRule="exact"/>
        <w:ind w:firstLine="642" w:firstLineChars="200"/>
        <w:textAlignment w:val="auto"/>
        <w:outlineLvl w:val="2"/>
        <w:rPr>
          <w:rFonts w:hint="eastAsia" w:ascii="仿宋" w:eastAsia="仿宋" w:cs="Times New Roman"/>
          <w:b/>
          <w:color w:val="000000"/>
          <w:sz w:val="32"/>
          <w:szCs w:val="32"/>
        </w:rPr>
      </w:pPr>
      <w:bookmarkStart w:id="57" w:name="_Toc27201"/>
      <w:bookmarkStart w:id="58" w:name="_Toc15649"/>
      <w:r>
        <w:rPr>
          <w:rFonts w:hint="eastAsia" w:ascii="仿宋" w:eastAsia="仿宋" w:cs="Times New Roman"/>
          <w:b/>
          <w:color w:val="000000"/>
          <w:sz w:val="32"/>
          <w:szCs w:val="32"/>
        </w:rPr>
        <w:t>（四）预算绩效管理情况</w:t>
      </w:r>
      <w:bookmarkEnd w:id="57"/>
      <w:bookmarkEnd w:id="5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本中心按要求对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整体支出开展绩效自评，从评价情况来看，绩效评价自查覆盖重点支出，将评价结果作为预算安排的重要依据，参照项目年度预算执行情况“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autoSpaceDE w:val="0"/>
        <w:autoSpaceDN w:val="0"/>
        <w:adjustRightInd w:val="0"/>
        <w:spacing w:line="600" w:lineRule="exact"/>
        <w:ind w:firstLine="640" w:firstLineChars="200"/>
        <w:jc w:val="left"/>
      </w:pPr>
      <w:r>
        <w:rPr>
          <w:rFonts w:hint="eastAsia" w:ascii="仿宋_GB2312" w:eastAsia="仿宋_GB2312"/>
          <w:color w:val="000000"/>
          <w:sz w:val="32"/>
          <w:szCs w:val="32"/>
        </w:rPr>
        <w:t>部门绩效评价结果</w:t>
      </w:r>
      <w:r>
        <w:rPr>
          <w:rFonts w:hint="eastAsia" w:ascii="仿宋_GB2312" w:eastAsia="仿宋_GB2312"/>
          <w:color w:val="000000"/>
          <w:sz w:val="32"/>
          <w:szCs w:val="32"/>
          <w:lang w:eastAsia="zh-CN"/>
        </w:rPr>
        <w:t>：</w:t>
      </w:r>
      <w:r>
        <w:rPr>
          <w:rFonts w:hint="eastAsia" w:ascii="仿宋_GB2312" w:eastAsia="仿宋_GB2312"/>
          <w:color w:val="000000"/>
          <w:sz w:val="32"/>
          <w:szCs w:val="32"/>
        </w:rPr>
        <w:t>本中心按要求对</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年部门整体支出绩效评价情况开展自评，我中心整体支出绩效评价自查自评结果良好，全年基本支出保证了部门的正常运行和日常工作的正常开展，达到预期绩效目标，按照</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年中心整体支出绩效评价指标体系自评得分</w:t>
      </w:r>
      <w:r>
        <w:rPr>
          <w:rFonts w:hint="eastAsia" w:ascii="仿宋_GB2312" w:eastAsia="仿宋_GB2312"/>
          <w:color w:val="000000"/>
          <w:sz w:val="32"/>
          <w:szCs w:val="32"/>
          <w:lang w:val="en-US" w:eastAsia="zh-CN"/>
        </w:rPr>
        <w:t>81</w:t>
      </w:r>
      <w:r>
        <w:rPr>
          <w:rFonts w:hint="eastAsia" w:ascii="仿宋_GB2312" w:eastAsia="仿宋_GB2312"/>
          <w:color w:val="000000"/>
          <w:sz w:val="32"/>
          <w:szCs w:val="32"/>
        </w:rPr>
        <w:t>分。《茂县工业服务中心</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年部门整体支出绩效评价报告》见附件。</w:t>
      </w:r>
    </w:p>
    <w:p>
      <w:pPr>
        <w:pStyle w:val="8"/>
        <w:keepNext w:val="0"/>
        <w:keepLines w:val="0"/>
        <w:pageBreakBefore w:val="0"/>
        <w:widowControl/>
        <w:suppressLineNumbers w:val="0"/>
        <w:kinsoku/>
        <w:wordWrap/>
        <w:overflowPunct/>
        <w:topLinePunct w:val="0"/>
        <w:bidi w:val="0"/>
        <w:spacing w:line="576" w:lineRule="exact"/>
        <w:jc w:val="left"/>
        <w:textAlignment w:val="auto"/>
      </w:pPr>
    </w:p>
    <w:p>
      <w:pPr>
        <w:pStyle w:val="8"/>
        <w:keepNext w:val="0"/>
        <w:keepLines w:val="0"/>
        <w:pageBreakBefore w:val="0"/>
        <w:widowControl/>
        <w:suppressLineNumbers w:val="0"/>
        <w:kinsoku/>
        <w:wordWrap/>
        <w:overflowPunct/>
        <w:topLinePunct w:val="0"/>
        <w:bidi w:val="0"/>
        <w:spacing w:line="576" w:lineRule="exact"/>
        <w:jc w:val="left"/>
        <w:textAlignment w:val="auto"/>
      </w:pPr>
    </w:p>
    <w:p>
      <w:pPr>
        <w:pStyle w:val="8"/>
        <w:keepNext w:val="0"/>
        <w:keepLines w:val="0"/>
        <w:pageBreakBefore w:val="0"/>
        <w:widowControl/>
        <w:suppressLineNumbers w:val="0"/>
        <w:kinsoku/>
        <w:wordWrap/>
        <w:overflowPunct/>
        <w:topLinePunct w:val="0"/>
        <w:bidi w:val="0"/>
        <w:spacing w:line="576" w:lineRule="exact"/>
        <w:jc w:val="left"/>
        <w:textAlignment w:val="auto"/>
      </w:pPr>
    </w:p>
    <w:p>
      <w:pPr>
        <w:pStyle w:val="8"/>
        <w:keepNext w:val="0"/>
        <w:keepLines w:val="0"/>
        <w:pageBreakBefore w:val="0"/>
        <w:widowControl/>
        <w:suppressLineNumbers w:val="0"/>
        <w:kinsoku/>
        <w:wordWrap/>
        <w:overflowPunct/>
        <w:topLinePunct w:val="0"/>
        <w:bidi w:val="0"/>
        <w:spacing w:line="576" w:lineRule="exact"/>
        <w:jc w:val="left"/>
        <w:textAlignment w:val="auto"/>
      </w:pPr>
    </w:p>
    <w:p>
      <w:pPr>
        <w:pageBreakBefore w:val="0"/>
        <w:widowControl w:val="0"/>
        <w:numPr>
          <w:ilvl w:val="0"/>
          <w:numId w:val="4"/>
        </w:numPr>
        <w:kinsoku/>
        <w:wordWrap/>
        <w:overflowPunct/>
        <w:topLinePunct w:val="0"/>
        <w:bidi w:val="0"/>
        <w:spacing w:line="576" w:lineRule="exact"/>
        <w:ind w:left="0" w:firstLine="660" w:firstLineChars="150"/>
        <w:jc w:val="center"/>
        <w:textAlignment w:val="auto"/>
        <w:outlineLvl w:val="0"/>
        <w:rPr>
          <w:rFonts w:hint="eastAsia" w:ascii="黑体" w:eastAsia="黑体" w:cs="Times New Roman"/>
          <w:color w:val="000000"/>
          <w:sz w:val="44"/>
          <w:szCs w:val="44"/>
        </w:rPr>
      </w:pPr>
      <w:bookmarkStart w:id="59" w:name="_Toc17564"/>
      <w:bookmarkStart w:id="60" w:name="_Toc24473"/>
      <w:r>
        <w:rPr>
          <w:rFonts w:hint="eastAsia" w:ascii="黑体" w:eastAsia="黑体" w:cs="Times New Roman"/>
          <w:color w:val="000000"/>
          <w:sz w:val="44"/>
          <w:szCs w:val="44"/>
        </w:rPr>
        <w:t>名词解释</w:t>
      </w:r>
      <w:bookmarkEnd w:id="59"/>
      <w:bookmarkEnd w:id="60"/>
    </w:p>
    <w:p>
      <w:pPr>
        <w:pStyle w:val="8"/>
        <w:keepNext w:val="0"/>
        <w:keepLines w:val="0"/>
        <w:pageBreakBefore w:val="0"/>
        <w:widowControl/>
        <w:suppressLineNumbers w:val="0"/>
        <w:kinsoku/>
        <w:wordWrap/>
        <w:overflowPunct/>
        <w:topLinePunct w:val="0"/>
        <w:bidi w:val="0"/>
        <w:spacing w:line="576" w:lineRule="exact"/>
        <w:jc w:val="left"/>
        <w:textAlignment w:val="auto"/>
      </w:pPr>
      <w:r>
        <w:t> </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1.财政拨款收入：指单位从同级财政部门取得的财政预算资金。</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2.事业收入：指事业单位开展专业业务活动及辅助活动取得的收入。如…（二级预算单位事业收入情况）等。</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3.经营收入：指事业单位在专业业务活动及其辅助活动之外开展非独立核算经营活动取得的收入。如…（二级预算单位经营收入情况）等。</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4.其他收入：指单位取得的除上述收入以外的各项收入。主要是…（收入类型）等。</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5.使用非财政拨款结余：指事业单位使用以前年度积累的非财政拨款结余弥补当年收支差额的金额。</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6.年初结转和结余：指以前年度尚未完成、结转到本年按有关规定继续使用的资金。</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7.结余分配：指事业单位按照会计制度规定缴纳的所得税、提取的专用结余以及转入非财政拨款结余的金额等。</w:t>
      </w:r>
    </w:p>
    <w:p>
      <w:pPr>
        <w:pStyle w:val="17"/>
        <w:pageBreakBefore w:val="0"/>
        <w:widowControl w:val="0"/>
        <w:kinsoku/>
        <w:wordWrap/>
        <w:overflowPunct/>
        <w:topLinePunct w:val="0"/>
        <w:autoSpaceDE w:val="0"/>
        <w:autoSpaceDN w:val="0"/>
        <w:bidi w:val="0"/>
        <w:spacing w:line="576" w:lineRule="exact"/>
        <w:ind w:firstLine="640" w:firstLineChars="200"/>
        <w:textAlignment w:val="auto"/>
        <w:rPr>
          <w:rFonts w:ascii="仿宋_GB2312" w:eastAsia="仿宋_GB2312"/>
          <w:sz w:val="32"/>
          <w:szCs w:val="32"/>
        </w:rPr>
      </w:pPr>
      <w:r>
        <w:rPr>
          <w:rFonts w:ascii="仿宋_GB2312" w:eastAsia="仿宋_GB2312"/>
          <w:sz w:val="32"/>
          <w:szCs w:val="32"/>
        </w:rPr>
        <w:t>8、年末结转和结余：指单位按有关规定结转到下年或以后年度继续使用的资金。</w:t>
      </w:r>
    </w:p>
    <w:p>
      <w:pPr>
        <w:pageBreakBefore w:val="0"/>
        <w:widowControl w:val="0"/>
        <w:kinsoku/>
        <w:wordWrap/>
        <w:overflowPunct/>
        <w:topLinePunct w:val="0"/>
        <w:bidi w:val="0"/>
        <w:spacing w:line="576" w:lineRule="exact"/>
        <w:ind w:firstLine="640"/>
        <w:textAlignment w:val="auto"/>
        <w:rPr>
          <w:rFonts w:hint="eastAsia" w:ascii="仿宋" w:eastAsia="仿宋" w:cs="Times New Roman"/>
          <w:b/>
          <w:color w:val="000000"/>
          <w:sz w:val="32"/>
          <w:szCs w:val="32"/>
        </w:rPr>
      </w:pPr>
      <w:r>
        <w:rPr>
          <w:rFonts w:hint="eastAsia" w:ascii="仿宋" w:eastAsia="仿宋" w:cs="Times New Roman"/>
          <w:b/>
          <w:color w:val="000000"/>
          <w:sz w:val="32"/>
          <w:szCs w:val="32"/>
        </w:rPr>
        <w:t>（解释本部门决算报表中涉及的全部功能分类科目至项级，不涉及的科目请自行删除。请参照《2022年政府收支分类科目》增减内容。）</w:t>
      </w:r>
    </w:p>
    <w:p>
      <w:pPr>
        <w:pageBreakBefore w:val="0"/>
        <w:widowControl w:val="0"/>
        <w:kinsoku/>
        <w:wordWrap/>
        <w:overflowPunct/>
        <w:topLinePunct w:val="0"/>
        <w:bidi w:val="0"/>
        <w:spacing w:line="576" w:lineRule="exact"/>
        <w:ind w:firstLine="640" w:firstLineChars="200"/>
        <w:textAlignment w:val="auto"/>
        <w:rPr>
          <w:rFonts w:ascii="仿宋_GB2312" w:eastAsia="仿宋_GB2312" w:cs="仿宋"/>
          <w:color w:val="000000"/>
          <w:kern w:val="0"/>
          <w:sz w:val="32"/>
          <w:szCs w:val="32"/>
          <w:lang w:val="en-US" w:eastAsia="zh-CN" w:bidi="ar-SA"/>
        </w:rPr>
      </w:pPr>
      <w:r>
        <w:rPr>
          <w:rFonts w:ascii="仿宋_GB2312" w:eastAsia="仿宋_GB2312" w:cs="仿宋"/>
          <w:color w:val="000000"/>
          <w:kern w:val="0"/>
          <w:sz w:val="32"/>
          <w:szCs w:val="32"/>
          <w:lang w:val="en-US" w:eastAsia="zh-CN" w:bidi="ar-SA"/>
        </w:rPr>
        <w:t>9.基本支出：指为保障机构正常运转、完成日常工作任务而发生的人员支出和公用支出。</w:t>
      </w:r>
    </w:p>
    <w:p>
      <w:pPr>
        <w:pageBreakBefore w:val="0"/>
        <w:widowControl w:val="0"/>
        <w:kinsoku/>
        <w:wordWrap/>
        <w:overflowPunct/>
        <w:topLinePunct w:val="0"/>
        <w:bidi w:val="0"/>
        <w:spacing w:line="576" w:lineRule="exact"/>
        <w:ind w:firstLine="640" w:firstLineChars="200"/>
        <w:textAlignment w:val="auto"/>
        <w:rPr>
          <w:rFonts w:ascii="仿宋_GB2312" w:eastAsia="仿宋_GB2312" w:cs="仿宋"/>
          <w:color w:val="000000"/>
          <w:kern w:val="0"/>
          <w:sz w:val="32"/>
          <w:szCs w:val="32"/>
          <w:lang w:val="en-US" w:eastAsia="zh-CN" w:bidi="ar-SA"/>
        </w:rPr>
      </w:pPr>
      <w:r>
        <w:rPr>
          <w:rFonts w:ascii="仿宋_GB2312" w:eastAsia="仿宋_GB2312" w:cs="仿宋"/>
          <w:color w:val="000000"/>
          <w:kern w:val="0"/>
          <w:sz w:val="32"/>
          <w:szCs w:val="32"/>
          <w:lang w:val="en-US" w:eastAsia="zh-CN" w:bidi="ar-SA"/>
        </w:rPr>
        <w:t>10.项目支出：指在基本支出之外为完成特定行政任务和事业发展目标所发生的支出。</w:t>
      </w:r>
    </w:p>
    <w:p>
      <w:pPr>
        <w:pageBreakBefore w:val="0"/>
        <w:widowControl w:val="0"/>
        <w:kinsoku/>
        <w:wordWrap/>
        <w:overflowPunct/>
        <w:topLinePunct w:val="0"/>
        <w:bidi w:val="0"/>
        <w:spacing w:line="576" w:lineRule="exact"/>
        <w:ind w:firstLine="640" w:firstLineChars="200"/>
        <w:textAlignment w:val="auto"/>
        <w:rPr>
          <w:rFonts w:ascii="仿宋_GB2312" w:eastAsia="仿宋_GB2312" w:cs="仿宋"/>
          <w:color w:val="000000"/>
          <w:kern w:val="0"/>
          <w:sz w:val="32"/>
          <w:szCs w:val="32"/>
          <w:lang w:val="en-US" w:eastAsia="zh-CN" w:bidi="ar-SA"/>
        </w:rPr>
      </w:pPr>
      <w:r>
        <w:rPr>
          <w:rFonts w:ascii="仿宋_GB2312" w:eastAsia="仿宋_GB2312" w:cs="仿宋"/>
          <w:color w:val="000000"/>
          <w:kern w:val="0"/>
          <w:sz w:val="32"/>
          <w:szCs w:val="32"/>
          <w:lang w:val="en-US" w:eastAsia="zh-CN" w:bidi="ar-SA"/>
        </w:rPr>
        <w:t>11.经营支出：指事业单位在专业业务活动及其辅助活动之外开展非独立核算经营活动发生的支出。</w:t>
      </w:r>
    </w:p>
    <w:p>
      <w:pPr>
        <w:pageBreakBefore w:val="0"/>
        <w:widowControl w:val="0"/>
        <w:kinsoku/>
        <w:wordWrap/>
        <w:overflowPunct/>
        <w:topLinePunct w:val="0"/>
        <w:bidi w:val="0"/>
        <w:spacing w:line="576" w:lineRule="exact"/>
        <w:ind w:firstLine="640" w:firstLineChars="200"/>
        <w:textAlignment w:val="auto"/>
        <w:rPr>
          <w:rFonts w:ascii="仿宋_GB2312" w:eastAsia="仿宋_GB2312" w:cs="仿宋"/>
          <w:color w:val="000000"/>
          <w:kern w:val="0"/>
          <w:sz w:val="32"/>
          <w:szCs w:val="32"/>
          <w:lang w:val="en-US" w:eastAsia="zh-CN" w:bidi="ar-SA"/>
        </w:rPr>
      </w:pPr>
      <w:r>
        <w:rPr>
          <w:rFonts w:ascii="仿宋_GB2312" w:eastAsia="仿宋_GB2312" w:cs="仿宋"/>
          <w:color w:val="000000"/>
          <w:kern w:val="0"/>
          <w:sz w:val="32"/>
          <w:szCs w:val="32"/>
          <w:lang w:val="en-US" w:eastAsia="zh-CN" w:bidi="ar-SA"/>
        </w:rPr>
        <w:t>12.“三公”经费：指部门用财政拨款安排的因公出国（境）费、公务用车购置及运行费和公务接待费。其中，因公出国（境）费反映单位公务出国（境） 的国际旅费、国外城市间交通费、住宿费、伙食费、培训费、公杂费等支出；公务用车购置及运行费反映单位公务用车车辆购置支出（含车辆购置税）及租用费、燃 料费、维修费、过路过桥费、保险费等支出；公务接待费反映单位按规定开支的各类公务接待（含外宾接待）支出。</w:t>
      </w:r>
    </w:p>
    <w:p>
      <w:pPr>
        <w:pageBreakBefore w:val="0"/>
        <w:widowControl w:val="0"/>
        <w:kinsoku/>
        <w:wordWrap/>
        <w:overflowPunct/>
        <w:topLinePunct w:val="0"/>
        <w:bidi w:val="0"/>
        <w:spacing w:line="576" w:lineRule="exact"/>
        <w:ind w:left="0" w:firstLine="480" w:firstLineChars="150"/>
        <w:textAlignment w:val="auto"/>
        <w:rPr>
          <w:rFonts w:ascii="仿宋_GB2312" w:eastAsia="仿宋_GB2312" w:cs="仿宋"/>
          <w:color w:val="000000"/>
          <w:kern w:val="0"/>
          <w:sz w:val="32"/>
          <w:szCs w:val="32"/>
          <w:lang w:val="en-US" w:eastAsia="zh-CN" w:bidi="ar-SA"/>
        </w:rPr>
      </w:pPr>
      <w:r>
        <w:rPr>
          <w:rFonts w:ascii="仿宋_GB2312" w:eastAsia="仿宋_GB2312" w:cs="仿宋"/>
          <w:color w:val="000000"/>
          <w:kern w:val="0"/>
          <w:sz w:val="32"/>
          <w:szCs w:val="32"/>
          <w:lang w:val="en-US" w:eastAsia="zh-CN" w:bidi="ar-SA"/>
        </w:rPr>
        <w:t>13.机关运行经费：为保障行政单位（含参照公务员法管理的事业单位）运行用于购买货物和服务的各项资金，包括办公及印刷费、邮电费、差旅费、会议 费、福利费、日常维修费、专用材料及一般设备购置费、办公用房水电费、办公用房取暖费、办公用房物业管理费、公务用车运行维护费以及其他费用。</w:t>
      </w:r>
    </w:p>
    <w:p>
      <w:pPr>
        <w:pageBreakBefore w:val="0"/>
        <w:widowControl w:val="0"/>
        <w:kinsoku/>
        <w:wordWrap/>
        <w:overflowPunct/>
        <w:topLinePunct w:val="0"/>
        <w:bidi w:val="0"/>
        <w:spacing w:line="576" w:lineRule="exact"/>
        <w:ind w:firstLine="640" w:firstLineChars="200"/>
        <w:textAlignment w:val="auto"/>
        <w:rPr>
          <w:rFonts w:ascii="仿宋_GB2312" w:eastAsia="仿宋_GB2312" w:cs="仿宋"/>
          <w:color w:val="000000"/>
          <w:kern w:val="0"/>
          <w:sz w:val="32"/>
          <w:szCs w:val="32"/>
          <w:lang w:val="en-US" w:eastAsia="zh-CN" w:bidi="ar-SA"/>
        </w:rPr>
      </w:pPr>
    </w:p>
    <w:p>
      <w:pPr>
        <w:pageBreakBefore w:val="0"/>
        <w:widowControl w:val="0"/>
        <w:kinsoku/>
        <w:wordWrap/>
        <w:overflowPunct/>
        <w:topLinePunct w:val="0"/>
        <w:bidi w:val="0"/>
        <w:spacing w:line="576" w:lineRule="exact"/>
        <w:ind w:firstLine="642" w:firstLineChars="200"/>
        <w:textAlignment w:val="auto"/>
        <w:rPr>
          <w:rFonts w:hint="eastAsia" w:ascii="仿宋" w:eastAsia="仿宋" w:cs="Times New Roman"/>
          <w:b/>
          <w:color w:val="000000"/>
          <w:sz w:val="32"/>
          <w:szCs w:val="32"/>
        </w:rPr>
      </w:pPr>
      <w:r>
        <w:rPr>
          <w:rFonts w:hint="eastAsia" w:ascii="仿宋" w:eastAsia="仿宋" w:cs="Times New Roman"/>
          <w:b/>
          <w:color w:val="000000"/>
          <w:sz w:val="32"/>
          <w:szCs w:val="32"/>
        </w:rPr>
        <w:t>（名词解释部分请根据各部门实际列支情况罗列，并根据本部门职责职能增减名词解释内容。）</w:t>
      </w:r>
    </w:p>
    <w:p>
      <w:pPr>
        <w:pStyle w:val="8"/>
        <w:keepNext w:val="0"/>
        <w:keepLines w:val="0"/>
        <w:pageBreakBefore w:val="0"/>
        <w:widowControl/>
        <w:suppressLineNumbers w:val="0"/>
        <w:kinsoku/>
        <w:wordWrap/>
        <w:overflowPunct/>
        <w:topLinePunct w:val="0"/>
        <w:bidi w:val="0"/>
        <w:spacing w:line="576" w:lineRule="exact"/>
        <w:textAlignment w:val="auto"/>
      </w:pPr>
      <w:r>
        <w:t> </w:t>
      </w:r>
    </w:p>
    <w:p>
      <w:pPr>
        <w:pStyle w:val="8"/>
        <w:keepNext w:val="0"/>
        <w:keepLines w:val="0"/>
        <w:pageBreakBefore w:val="0"/>
        <w:widowControl/>
        <w:suppressLineNumbers w:val="0"/>
        <w:kinsoku/>
        <w:wordWrap/>
        <w:overflowPunct/>
        <w:topLinePunct w:val="0"/>
        <w:bidi w:val="0"/>
        <w:spacing w:line="576" w:lineRule="exact"/>
        <w:jc w:val="center"/>
        <w:textAlignment w:val="auto"/>
        <w:outlineLvl w:val="0"/>
        <w:rPr>
          <w:rFonts w:hint="eastAsia" w:ascii="黑体" w:eastAsia="黑体" w:cs="Times New Roman"/>
          <w:color w:val="000000"/>
          <w:kern w:val="2"/>
          <w:sz w:val="44"/>
          <w:szCs w:val="44"/>
          <w:lang w:val="en-US" w:eastAsia="zh-CN" w:bidi="ar-SA"/>
        </w:rPr>
      </w:pPr>
      <w:bookmarkStart w:id="61" w:name="_Toc19088"/>
      <w:bookmarkStart w:id="62" w:name="_Toc7978"/>
      <w:r>
        <w:rPr>
          <w:rFonts w:hint="eastAsia" w:ascii="黑体" w:eastAsia="黑体" w:cs="Times New Roman"/>
          <w:color w:val="000000"/>
          <w:kern w:val="2"/>
          <w:sz w:val="44"/>
          <w:szCs w:val="44"/>
          <w:lang w:val="en-US" w:eastAsia="zh-CN" w:bidi="ar-SA"/>
        </w:rPr>
        <w:t>第四部分 附件</w:t>
      </w:r>
      <w:bookmarkEnd w:id="61"/>
      <w:bookmarkEnd w:id="62"/>
    </w:p>
    <w:p>
      <w:pPr>
        <w:pageBreakBefore w:val="0"/>
        <w:widowControl w:val="0"/>
        <w:kinsoku/>
        <w:wordWrap/>
        <w:overflowPunct/>
        <w:topLinePunct w:val="0"/>
        <w:bidi w:val="0"/>
        <w:spacing w:line="576" w:lineRule="exact"/>
        <w:jc w:val="center"/>
        <w:textAlignment w:val="auto"/>
        <w:outlineLvl w:val="9"/>
        <w:rPr>
          <w:rFonts w:ascii="方正小标宋简体" w:eastAsia="方正小标宋简体" w:cs="黑体"/>
          <w:sz w:val="44"/>
          <w:szCs w:val="44"/>
        </w:rPr>
      </w:pPr>
      <w:r>
        <w:t> </w:t>
      </w:r>
    </w:p>
    <w:p>
      <w:pPr>
        <w:widowControl/>
        <w:spacing w:line="580" w:lineRule="exact"/>
        <w:ind w:firstLine="240" w:firstLineChars="50"/>
        <w:contextualSpacing/>
        <w:rPr>
          <w:rFonts w:hint="eastAsia" w:ascii="仿宋_GB2312" w:eastAsia="仿宋_GB2312" w:cs="宋体"/>
          <w:b/>
          <w:bCs/>
          <w:color w:val="000000"/>
          <w:kern w:val="0"/>
          <w:sz w:val="48"/>
          <w:szCs w:val="48"/>
          <w:shd w:val="clear" w:color="auto" w:fill="FFFFFF"/>
          <w:lang w:val="zh-CN"/>
        </w:rPr>
      </w:pPr>
      <w:r>
        <w:rPr>
          <w:rFonts w:hint="eastAsia" w:ascii="仿宋_GB2312" w:eastAsia="仿宋_GB2312" w:cs="宋体"/>
          <w:b/>
          <w:bCs/>
          <w:color w:val="000000"/>
          <w:kern w:val="0"/>
          <w:sz w:val="48"/>
          <w:szCs w:val="48"/>
          <w:shd w:val="clear" w:color="auto" w:fill="FFFFFF"/>
          <w:lang w:val="zh-CN"/>
        </w:rPr>
        <w:t>202</w:t>
      </w:r>
      <w:r>
        <w:rPr>
          <w:rFonts w:ascii="仿宋_GB2312" w:eastAsia="仿宋_GB2312" w:cs="宋体"/>
          <w:b/>
          <w:bCs/>
          <w:color w:val="000000"/>
          <w:kern w:val="0"/>
          <w:sz w:val="48"/>
          <w:szCs w:val="48"/>
          <w:shd w:val="clear" w:color="auto" w:fill="FFFFFF"/>
          <w:lang w:val="zh-CN" w:eastAsia="zh-CN"/>
        </w:rPr>
        <w:t>2</w:t>
      </w:r>
      <w:r>
        <w:rPr>
          <w:rFonts w:hint="eastAsia" w:ascii="仿宋_GB2312" w:eastAsia="仿宋_GB2312" w:cs="宋体"/>
          <w:b/>
          <w:bCs/>
          <w:color w:val="000000"/>
          <w:kern w:val="0"/>
          <w:sz w:val="48"/>
          <w:szCs w:val="48"/>
          <w:shd w:val="clear" w:color="auto" w:fill="FFFFFF"/>
          <w:lang w:val="zh-CN"/>
        </w:rPr>
        <w:t>年茂县工业服务中心整体支出</w:t>
      </w:r>
    </w:p>
    <w:p>
      <w:pPr>
        <w:widowControl/>
        <w:spacing w:line="480" w:lineRule="exact"/>
        <w:jc w:val="center"/>
        <w:rPr>
          <w:rFonts w:hint="eastAsia" w:ascii="仿宋_GB2312" w:eastAsia="仿宋_GB2312" w:cs="宋体"/>
          <w:b/>
          <w:bCs/>
          <w:color w:val="000000"/>
          <w:kern w:val="0"/>
          <w:sz w:val="48"/>
          <w:szCs w:val="48"/>
          <w:shd w:val="clear" w:color="auto" w:fill="FFFFFF"/>
          <w:lang w:val="zh-CN"/>
        </w:rPr>
      </w:pPr>
      <w:r>
        <w:rPr>
          <w:rFonts w:hint="eastAsia" w:ascii="仿宋_GB2312" w:eastAsia="仿宋_GB2312" w:cs="宋体"/>
          <w:b/>
          <w:bCs/>
          <w:color w:val="000000"/>
          <w:kern w:val="0"/>
          <w:sz w:val="48"/>
          <w:szCs w:val="48"/>
          <w:shd w:val="clear" w:color="auto" w:fill="FFFFFF"/>
          <w:lang w:val="zh-CN"/>
        </w:rPr>
        <w:t>绩效评价报告</w:t>
      </w:r>
    </w:p>
    <w:p>
      <w:pPr>
        <w:widowControl/>
        <w:adjustRightInd w:val="0"/>
        <w:snapToGrid w:val="0"/>
        <w:spacing w:line="360" w:lineRule="auto"/>
        <w:ind w:firstLine="720"/>
        <w:jc w:val="left"/>
        <w:rPr>
          <w:rFonts w:hint="eastAsia" w:ascii="仿宋_GB2312" w:eastAsia="仿宋_GB2312" w:cs="宋体"/>
          <w:b/>
          <w:bCs/>
          <w:color w:val="000000"/>
          <w:kern w:val="0"/>
          <w:shd w:val="clear" w:color="auto" w:fill="FFFFFF"/>
          <w:lang w:val="zh-CN"/>
        </w:rPr>
      </w:pPr>
    </w:p>
    <w:p>
      <w:pPr>
        <w:widowControl/>
        <w:adjustRightInd w:val="0"/>
        <w:snapToGrid w:val="0"/>
        <w:spacing w:line="360" w:lineRule="auto"/>
        <w:ind w:firstLine="720"/>
        <w:jc w:val="left"/>
        <w:rPr>
          <w:rFonts w:hint="eastAsia"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一、部门（单位）概况</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为茂县经济商务和信息化局所属正科级公益一类事业单位，属一级预算单位，茂县工业服务中心共设立3个职能股室：办公室、企业服务股、规划建设管理股。</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pPr>
        <w:widowControl/>
        <w:spacing w:line="560" w:lineRule="exact"/>
        <w:ind w:firstLine="729" w:firstLineChars="228"/>
        <w:jc w:val="left"/>
        <w:textAlignment w:val="baseline"/>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1</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贯彻执行国家、省、州、县的有关方针、政策、法律、法规，执行州委、州政府、县委、县政府的决定和指示，依法制定园区经济管理规范性文件，检查督促园区内各企业贯彻执行；制定工业园区有关行政管理制度并监督执行。</w:t>
      </w:r>
    </w:p>
    <w:p>
      <w:pPr>
        <w:widowControl/>
        <w:shd w:val="clear" w:color="auto" w:fill="FFFFFF"/>
        <w:spacing w:line="560" w:lineRule="exact"/>
        <w:ind w:firstLine="729" w:firstLineChars="228"/>
        <w:jc w:val="left"/>
        <w:rPr>
          <w:rFonts w:hint="eastAsia" w:ascii="仿宋_GB2312" w:eastAsia="仿宋_GB2312"/>
          <w:color w:val="000000"/>
          <w:sz w:val="32"/>
          <w:szCs w:val="32"/>
        </w:rPr>
      </w:pPr>
      <w:r>
        <w:rPr>
          <w:rFonts w:hint="eastAsia" w:ascii="仿宋_GB2312" w:eastAsia="仿宋_GB2312" w:cs="宋体"/>
          <w:color w:val="000000"/>
          <w:kern w:val="0"/>
          <w:sz w:val="32"/>
          <w:szCs w:val="32"/>
        </w:rPr>
        <w:t>2</w:t>
      </w:r>
      <w:r>
        <w:rPr>
          <w:rFonts w:ascii="仿宋_GB2312" w:eastAsia="仿宋_GB2312" w:cs="宋体"/>
          <w:color w:val="000000"/>
          <w:kern w:val="0"/>
          <w:sz w:val="32"/>
          <w:szCs w:val="32"/>
        </w:rPr>
        <w:t>.</w:t>
      </w:r>
      <w:r>
        <w:rPr>
          <w:rFonts w:hint="eastAsia" w:eastAsia="仿宋_GB2312"/>
          <w:color w:val="000000"/>
          <w:kern w:val="0"/>
          <w:sz w:val="32"/>
          <w:szCs w:val="32"/>
        </w:rPr>
        <w:t> </w:t>
      </w:r>
      <w:r>
        <w:rPr>
          <w:rFonts w:hint="eastAsia" w:ascii="仿宋_GB2312" w:eastAsia="仿宋_GB2312" w:cs="宋体"/>
          <w:color w:val="000000"/>
          <w:kern w:val="0"/>
          <w:sz w:val="32"/>
          <w:szCs w:val="32"/>
        </w:rPr>
        <w:t>按照现代工业发展的要求，</w:t>
      </w:r>
      <w:r>
        <w:rPr>
          <w:rFonts w:hint="eastAsia" w:ascii="仿宋_GB2312" w:eastAsia="仿宋_GB2312"/>
          <w:color w:val="000000"/>
          <w:sz w:val="32"/>
          <w:szCs w:val="32"/>
        </w:rPr>
        <w:t>编制园区发展总体规划、园区控制性详细规划、产业发展规划、</w:t>
      </w:r>
      <w:r>
        <w:rPr>
          <w:rFonts w:hint="eastAsia" w:ascii="仿宋_GB2312" w:eastAsia="仿宋_GB2312" w:cs="Arial"/>
          <w:color w:val="000000"/>
          <w:kern w:val="0"/>
          <w:sz w:val="32"/>
          <w:szCs w:val="32"/>
        </w:rPr>
        <w:t>经济目标规划、</w:t>
      </w:r>
      <w:r>
        <w:rPr>
          <w:rFonts w:hint="eastAsia" w:ascii="仿宋_GB2312" w:eastAsia="仿宋_GB2312"/>
          <w:color w:val="000000"/>
          <w:sz w:val="32"/>
          <w:szCs w:val="32"/>
        </w:rPr>
        <w:t>区域环评、水土保持、行洪论证、林地征占等报告并组织实施。</w:t>
      </w:r>
    </w:p>
    <w:p>
      <w:pPr>
        <w:widowControl/>
        <w:shd w:val="clear" w:color="auto" w:fill="FFFFFF"/>
        <w:spacing w:line="560" w:lineRule="exact"/>
        <w:ind w:firstLine="729" w:firstLineChars="228"/>
        <w:jc w:val="left"/>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w:t>
      </w:r>
      <w:r>
        <w:rPr>
          <w:rFonts w:ascii="仿宋_GB2312" w:eastAsia="仿宋_GB2312" w:cs="宋体"/>
          <w:color w:val="000000"/>
          <w:kern w:val="0"/>
          <w:sz w:val="32"/>
          <w:szCs w:val="32"/>
        </w:rPr>
        <w:t>.</w:t>
      </w:r>
      <w:r>
        <w:rPr>
          <w:rFonts w:hint="eastAsia" w:ascii="仿宋_GB2312" w:eastAsia="仿宋_GB2312"/>
          <w:color w:val="000000"/>
          <w:sz w:val="32"/>
          <w:szCs w:val="32"/>
        </w:rPr>
        <w:t>负责园区内土地的统一开发</w:t>
      </w:r>
      <w:r>
        <w:rPr>
          <w:rFonts w:ascii="仿宋_GB2312" w:eastAsia="仿宋_GB2312"/>
          <w:color w:val="000000"/>
          <w:sz w:val="32"/>
          <w:szCs w:val="32"/>
        </w:rPr>
        <w:t>，</w:t>
      </w:r>
      <w:r>
        <w:rPr>
          <w:rFonts w:hint="eastAsia" w:ascii="仿宋_GB2312" w:eastAsia="仿宋_GB2312"/>
          <w:color w:val="000000"/>
          <w:sz w:val="32"/>
          <w:szCs w:val="32"/>
        </w:rPr>
        <w:t>规划、</w:t>
      </w:r>
      <w:r>
        <w:rPr>
          <w:rFonts w:hint="eastAsia" w:ascii="仿宋_GB2312" w:eastAsia="仿宋_GB2312" w:cs="宋体"/>
          <w:color w:val="000000"/>
          <w:kern w:val="0"/>
          <w:sz w:val="32"/>
          <w:szCs w:val="32"/>
        </w:rPr>
        <w:t>建设和管理园区内的基础设施和公共设施。</w:t>
      </w:r>
    </w:p>
    <w:p>
      <w:pPr>
        <w:widowControl/>
        <w:shd w:val="clear" w:color="auto" w:fill="FFFFFF"/>
        <w:spacing w:line="560" w:lineRule="exact"/>
        <w:ind w:firstLine="729" w:firstLineChars="228"/>
        <w:jc w:val="left"/>
        <w:rPr>
          <w:rFonts w:hint="eastAsia" w:ascii="仿宋_GB2312" w:eastAsia="仿宋_GB2312" w:cs="宋体"/>
          <w:color w:val="000000"/>
          <w:kern w:val="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s="宋体"/>
          <w:color w:val="000000"/>
          <w:kern w:val="0"/>
          <w:sz w:val="32"/>
          <w:szCs w:val="32"/>
        </w:rPr>
        <w:t>配合县相关职能部门开展园区建设用地的实物量调查、土地征用、农户拆迁、土地价款的收支等工作。</w:t>
      </w:r>
    </w:p>
    <w:p>
      <w:pPr>
        <w:widowControl/>
        <w:spacing w:line="560" w:lineRule="exact"/>
        <w:ind w:firstLine="729" w:firstLineChars="228"/>
        <w:jc w:val="left"/>
        <w:textAlignment w:val="baseline"/>
        <w:rPr>
          <w:rFonts w:hint="eastAsia" w:ascii="仿宋_GB2312" w:eastAsia="仿宋_GB2312"/>
          <w:sz w:val="32"/>
          <w:szCs w:val="32"/>
        </w:rPr>
      </w:pPr>
      <w:r>
        <w:rPr>
          <w:rFonts w:hint="eastAsia" w:ascii="仿宋_GB2312" w:eastAsia="仿宋_GB2312" w:cs="宋体"/>
          <w:color w:val="000000"/>
          <w:kern w:val="0"/>
          <w:sz w:val="32"/>
          <w:szCs w:val="32"/>
        </w:rPr>
        <w:t>5</w:t>
      </w:r>
      <w:r>
        <w:rPr>
          <w:rFonts w:ascii="仿宋_GB2312" w:eastAsia="仿宋_GB2312" w:cs="宋体"/>
          <w:color w:val="000000"/>
          <w:kern w:val="0"/>
          <w:sz w:val="32"/>
          <w:szCs w:val="32"/>
        </w:rPr>
        <w:t>.</w:t>
      </w:r>
      <w:r>
        <w:rPr>
          <w:rFonts w:hint="eastAsia" w:ascii="仿宋_GB2312" w:eastAsia="仿宋_GB2312" w:cs="Arial"/>
          <w:color w:val="000000"/>
          <w:kern w:val="0"/>
          <w:sz w:val="32"/>
          <w:szCs w:val="32"/>
        </w:rPr>
        <w:t>坚持正确的产业导向，严格遵守国家制定的企业准入条件。</w:t>
      </w:r>
      <w:r>
        <w:rPr>
          <w:rFonts w:hint="eastAsia" w:ascii="仿宋_GB2312" w:eastAsia="仿宋_GB2312"/>
          <w:sz w:val="32"/>
          <w:szCs w:val="32"/>
        </w:rPr>
        <w:t>对拟投资项目进行调研、论证、评估等相关工作，提出投资项目的可行性报告；</w:t>
      </w:r>
      <w:r>
        <w:rPr>
          <w:rFonts w:hint="eastAsia" w:ascii="仿宋_GB2312" w:eastAsia="仿宋_GB2312" w:cs="宋体"/>
          <w:kern w:val="0"/>
          <w:sz w:val="32"/>
          <w:szCs w:val="32"/>
        </w:rPr>
        <w:t>做好招商引资、</w:t>
      </w:r>
      <w:r>
        <w:rPr>
          <w:rFonts w:hint="eastAsia" w:ascii="仿宋_GB2312" w:eastAsia="仿宋_GB2312" w:cs="Arial"/>
          <w:color w:val="000000"/>
          <w:kern w:val="0"/>
          <w:sz w:val="32"/>
          <w:szCs w:val="32"/>
        </w:rPr>
        <w:t>项目初审、合同</w:t>
      </w:r>
      <w:r>
        <w:rPr>
          <w:rFonts w:hint="eastAsia" w:ascii="仿宋_GB2312" w:eastAsia="仿宋_GB2312" w:cs="宋体"/>
          <w:kern w:val="0"/>
          <w:sz w:val="32"/>
          <w:szCs w:val="32"/>
        </w:rPr>
        <w:t>签订等工作。</w:t>
      </w:r>
    </w:p>
    <w:p>
      <w:pPr>
        <w:widowControl/>
        <w:spacing w:line="560" w:lineRule="exact"/>
        <w:ind w:firstLine="729" w:firstLineChars="228"/>
        <w:jc w:val="left"/>
        <w:textAlignment w:val="baseline"/>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6</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统筹安排和管理园区的投资项目，负责企业入园的评估、选址工作；为企业用地、办证、</w:t>
      </w:r>
      <w:r>
        <w:rPr>
          <w:rFonts w:hint="eastAsia" w:ascii="仿宋_GB2312" w:eastAsia="仿宋_GB2312" w:cs="Arial"/>
          <w:color w:val="000000"/>
          <w:kern w:val="0"/>
          <w:sz w:val="32"/>
          <w:szCs w:val="32"/>
        </w:rPr>
        <w:t>项目备案、</w:t>
      </w:r>
      <w:r>
        <w:rPr>
          <w:rFonts w:hint="eastAsia" w:ascii="仿宋_GB2312" w:eastAsia="仿宋_GB2312" w:cs="宋体"/>
          <w:color w:val="000000"/>
          <w:kern w:val="0"/>
          <w:sz w:val="32"/>
          <w:szCs w:val="32"/>
        </w:rPr>
        <w:t>厂房建设、生产生活提供咨询、服务和协调。</w:t>
      </w:r>
    </w:p>
    <w:p>
      <w:pPr>
        <w:widowControl/>
        <w:spacing w:line="560" w:lineRule="exact"/>
        <w:ind w:firstLine="729" w:firstLineChars="228"/>
        <w:jc w:val="left"/>
        <w:textAlignment w:val="baseline"/>
        <w:rPr>
          <w:rFonts w:hint="eastAsia" w:ascii="仿宋_GB2312" w:eastAsia="仿宋_GB2312" w:cs="宋体"/>
          <w:kern w:val="0"/>
          <w:sz w:val="32"/>
          <w:szCs w:val="32"/>
        </w:rPr>
      </w:pPr>
      <w:r>
        <w:rPr>
          <w:rFonts w:hint="eastAsia" w:ascii="仿宋_GB2312" w:eastAsia="仿宋_GB2312" w:cs="宋体"/>
          <w:color w:val="000000"/>
          <w:kern w:val="0"/>
          <w:sz w:val="32"/>
          <w:szCs w:val="32"/>
        </w:rPr>
        <w:t>7</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贯彻落实州、县人民政府赋予园区的各项优惠政策，</w:t>
      </w:r>
      <w:r>
        <w:rPr>
          <w:rFonts w:hint="eastAsia" w:ascii="仿宋_GB2312" w:eastAsia="仿宋_GB2312" w:cs="宋体"/>
          <w:kern w:val="0"/>
          <w:sz w:val="32"/>
          <w:szCs w:val="32"/>
        </w:rPr>
        <w:t>监督建设项目的实施。</w:t>
      </w:r>
    </w:p>
    <w:p>
      <w:pPr>
        <w:widowControl/>
        <w:shd w:val="clear" w:color="auto" w:fill="FFFFFF"/>
        <w:spacing w:line="560" w:lineRule="exact"/>
        <w:ind w:firstLine="729" w:firstLineChars="228"/>
        <w:jc w:val="left"/>
        <w:rPr>
          <w:rFonts w:hint="eastAsia" w:ascii="仿宋_GB2312" w:eastAsia="仿宋_GB2312" w:cs="宋体"/>
          <w:color w:val="000000"/>
          <w:kern w:val="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s="宋体"/>
          <w:color w:val="000000"/>
          <w:kern w:val="0"/>
          <w:sz w:val="32"/>
          <w:szCs w:val="32"/>
        </w:rPr>
        <w:t>配合有关部门做好安全生产、环境保护等工作；</w:t>
      </w:r>
      <w:r>
        <w:rPr>
          <w:rFonts w:hint="eastAsia" w:ascii="仿宋_GB2312" w:eastAsia="仿宋_GB2312"/>
          <w:color w:val="000000"/>
          <w:sz w:val="32"/>
          <w:szCs w:val="32"/>
        </w:rPr>
        <w:t>会同人力资源和社会保障部门协助企业做好人员招聘、培训和社会保障工作；配合税务、工商、财政部门做好税费征管等工作</w:t>
      </w:r>
      <w:r>
        <w:rPr>
          <w:rFonts w:hint="eastAsia" w:ascii="仿宋_GB2312" w:eastAsia="仿宋_GB2312" w:cs="宋体"/>
          <w:color w:val="000000"/>
          <w:kern w:val="0"/>
          <w:sz w:val="32"/>
          <w:szCs w:val="32"/>
        </w:rPr>
        <w:t>。</w:t>
      </w:r>
    </w:p>
    <w:p>
      <w:pPr>
        <w:widowControl/>
        <w:spacing w:line="560" w:lineRule="exact"/>
        <w:ind w:firstLine="729" w:firstLineChars="228"/>
        <w:jc w:val="left"/>
        <w:textAlignment w:val="baseline"/>
        <w:rPr>
          <w:rFonts w:hint="eastAsia"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贯彻执行国家、省、州、县关于政府投融资管理的政策，构建投融资平台，为企业融资提供方便，促进园区产业又好又快发展。</w:t>
      </w:r>
    </w:p>
    <w:p>
      <w:pPr>
        <w:spacing w:line="240" w:lineRule="auto"/>
        <w:ind w:firstLine="640" w:firstLineChars="200"/>
        <w:rPr>
          <w:rFonts w:hint="eastAsia" w:ascii="仿宋_GB2312" w:eastAsia="仿宋_GB2312"/>
          <w:color w:val="000000"/>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宋体"/>
          <w:color w:val="000000"/>
          <w:kern w:val="0"/>
          <w:sz w:val="32"/>
          <w:szCs w:val="32"/>
        </w:rPr>
        <w:t>承办</w:t>
      </w:r>
      <w:r>
        <w:rPr>
          <w:rFonts w:ascii="仿宋_GB2312" w:eastAsia="仿宋_GB2312" w:cs="宋体"/>
          <w:color w:val="000000"/>
          <w:kern w:val="0"/>
          <w:sz w:val="32"/>
          <w:szCs w:val="32"/>
        </w:rPr>
        <w:t>县委</w:t>
      </w:r>
      <w:r>
        <w:rPr>
          <w:rFonts w:hint="eastAsia" w:ascii="仿宋_GB2312" w:eastAsia="仿宋_GB2312" w:cs="宋体"/>
          <w:color w:val="000000"/>
          <w:kern w:val="0"/>
          <w:sz w:val="32"/>
          <w:szCs w:val="32"/>
        </w:rPr>
        <w:t>县政府交办的其他工作。</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县工业服务中心事业编制</w:t>
      </w:r>
      <w:r>
        <w:rPr>
          <w:rFonts w:hint="eastAsia" w:ascii="仿宋_GB2312" w:eastAsia="仿宋_GB2312" w:cs="宋体"/>
          <w:color w:val="000000"/>
          <w:kern w:val="0"/>
          <w:sz w:val="32"/>
          <w:szCs w:val="32"/>
          <w:shd w:val="clear" w:color="auto" w:fill="FFFFFF"/>
          <w:lang w:val="zh-CN" w:eastAsia="zh-CN"/>
        </w:rPr>
        <w:t>9</w:t>
      </w:r>
      <w:r>
        <w:rPr>
          <w:rFonts w:hint="eastAsia" w:ascii="仿宋_GB2312" w:eastAsia="仿宋_GB2312" w:cs="宋体"/>
          <w:color w:val="000000"/>
          <w:kern w:val="0"/>
          <w:sz w:val="32"/>
          <w:szCs w:val="32"/>
          <w:shd w:val="clear" w:color="auto" w:fill="FFFFFF"/>
          <w:lang w:val="zh-CN"/>
        </w:rPr>
        <w:t>人。其中：主任1名，副主任2名。202</w:t>
      </w:r>
      <w:r>
        <w:rPr>
          <w:rFonts w:hint="eastAsia" w:ascii="仿宋_GB2312" w:eastAsia="仿宋_GB2312" w:cs="宋体"/>
          <w:color w:val="000000"/>
          <w:kern w:val="0"/>
          <w:sz w:val="32"/>
          <w:szCs w:val="32"/>
          <w:shd w:val="clear" w:color="auto" w:fill="FFFFFF"/>
          <w:lang w:val="zh-CN" w:eastAsia="zh-CN"/>
        </w:rPr>
        <w:t>2</w:t>
      </w:r>
      <w:r>
        <w:rPr>
          <w:rFonts w:hint="eastAsia" w:ascii="仿宋_GB2312" w:eastAsia="仿宋_GB2312" w:cs="宋体"/>
          <w:color w:val="000000"/>
          <w:kern w:val="0"/>
          <w:sz w:val="32"/>
          <w:szCs w:val="32"/>
          <w:shd w:val="clear" w:color="auto" w:fill="FFFFFF"/>
          <w:lang w:val="zh-CN"/>
        </w:rPr>
        <w:t>年在职职工</w:t>
      </w:r>
      <w:r>
        <w:rPr>
          <w:rFonts w:hint="eastAsia" w:ascii="仿宋_GB2312" w:eastAsia="仿宋_GB2312" w:cs="宋体"/>
          <w:color w:val="000000"/>
          <w:kern w:val="0"/>
          <w:sz w:val="32"/>
          <w:szCs w:val="32"/>
          <w:shd w:val="clear" w:color="auto" w:fill="FFFFFF"/>
          <w:lang w:val="zh-CN" w:eastAsia="zh-CN"/>
        </w:rPr>
        <w:t>9</w:t>
      </w:r>
      <w:r>
        <w:rPr>
          <w:rFonts w:hint="eastAsia" w:ascii="仿宋_GB2312" w:eastAsia="仿宋_GB2312" w:cs="宋体"/>
          <w:color w:val="000000"/>
          <w:kern w:val="0"/>
          <w:sz w:val="32"/>
          <w:szCs w:val="32"/>
          <w:shd w:val="clear" w:color="auto" w:fill="FFFFFF"/>
          <w:lang w:val="zh-CN"/>
        </w:rPr>
        <w:t>人，其中：专业技术人员</w:t>
      </w:r>
      <w:r>
        <w:rPr>
          <w:rFonts w:hint="eastAsia" w:ascii="仿宋_GB2312" w:eastAsia="仿宋_GB2312" w:cs="宋体"/>
          <w:color w:val="000000"/>
          <w:kern w:val="0"/>
          <w:sz w:val="32"/>
          <w:szCs w:val="32"/>
          <w:shd w:val="clear" w:color="auto" w:fill="FFFFFF"/>
          <w:lang w:val="zh-CN" w:eastAsia="zh-CN"/>
        </w:rPr>
        <w:t>5</w:t>
      </w:r>
      <w:r>
        <w:rPr>
          <w:rFonts w:hint="eastAsia" w:ascii="仿宋_GB2312" w:eastAsia="仿宋_GB2312" w:cs="宋体"/>
          <w:color w:val="000000"/>
          <w:kern w:val="0"/>
          <w:sz w:val="32"/>
          <w:szCs w:val="32"/>
          <w:shd w:val="clear" w:color="auto" w:fill="FFFFFF"/>
          <w:lang w:val="zh-CN"/>
        </w:rPr>
        <w:t>人，管理人员4人。</w:t>
      </w:r>
    </w:p>
    <w:p>
      <w:pPr>
        <w:widowControl/>
        <w:adjustRightInd w:val="0"/>
        <w:snapToGrid w:val="0"/>
        <w:spacing w:line="580" w:lineRule="exact"/>
        <w:ind w:firstLine="642" w:firstLineChars="200"/>
        <w:contextualSpacing/>
        <w:jc w:val="left"/>
        <w:rPr>
          <w:rFonts w:hint="eastAsia"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二、部门财政资金收支情况</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w:t>
      </w:r>
      <w:r>
        <w:rPr>
          <w:rFonts w:hint="eastAsia" w:ascii="仿宋_GB2312" w:eastAsia="仿宋_GB2312" w:cs="宋体"/>
          <w:color w:val="000000"/>
          <w:kern w:val="0"/>
          <w:sz w:val="32"/>
          <w:szCs w:val="32"/>
          <w:shd w:val="clear" w:color="auto" w:fill="FFFFFF"/>
          <w:lang w:val="zh-CN" w:eastAsia="zh-CN"/>
        </w:rPr>
        <w:t>2</w:t>
      </w:r>
      <w:r>
        <w:rPr>
          <w:rFonts w:hint="eastAsia" w:ascii="仿宋_GB2312" w:eastAsia="仿宋_GB2312" w:cs="宋体"/>
          <w:color w:val="000000"/>
          <w:kern w:val="0"/>
          <w:sz w:val="32"/>
          <w:szCs w:val="32"/>
          <w:shd w:val="clear" w:color="auto" w:fill="FFFFFF"/>
          <w:lang w:val="zh-CN"/>
        </w:rPr>
        <w:t>年本中心财政拨款收入决算总额</w:t>
      </w:r>
      <w:r>
        <w:rPr>
          <w:rFonts w:hint="eastAsia" w:ascii="仿宋_GB2312" w:eastAsia="仿宋_GB2312" w:cs="宋体"/>
          <w:color w:val="000000"/>
          <w:kern w:val="0"/>
          <w:sz w:val="32"/>
          <w:szCs w:val="32"/>
          <w:shd w:val="clear" w:color="auto" w:fill="FFFFFF"/>
          <w:lang w:val="zh-CN" w:eastAsia="zh-CN"/>
        </w:rPr>
        <w:t>为161.1</w:t>
      </w:r>
      <w:r>
        <w:rPr>
          <w:rFonts w:ascii="仿宋_GB2312" w:eastAsia="仿宋_GB2312" w:cs="宋体"/>
          <w:color w:val="000000"/>
          <w:kern w:val="0"/>
          <w:sz w:val="32"/>
          <w:szCs w:val="32"/>
          <w:shd w:val="clear" w:color="auto" w:fill="FFFFFF"/>
          <w:lang w:val="zh-CN" w:eastAsia="zh-CN"/>
        </w:rPr>
        <w:t>8</w:t>
      </w:r>
      <w:r>
        <w:rPr>
          <w:rFonts w:hint="eastAsia" w:ascii="仿宋_GB2312" w:eastAsia="仿宋_GB2312" w:cs="宋体"/>
          <w:color w:val="000000"/>
          <w:kern w:val="0"/>
          <w:sz w:val="32"/>
          <w:szCs w:val="32"/>
          <w:shd w:val="clear" w:color="auto" w:fill="FFFFFF"/>
          <w:lang w:val="zh-CN"/>
        </w:rPr>
        <w:t>万元，其中：当年财政拨款收入</w:t>
      </w:r>
      <w:r>
        <w:rPr>
          <w:rFonts w:hint="eastAsia" w:ascii="仿宋_GB2312" w:eastAsia="仿宋_GB2312" w:cs="宋体"/>
          <w:color w:val="000000"/>
          <w:kern w:val="0"/>
          <w:sz w:val="32"/>
          <w:szCs w:val="32"/>
          <w:shd w:val="clear" w:color="auto" w:fill="FFFFFF"/>
          <w:lang w:val="zh-CN" w:eastAsia="zh-CN"/>
        </w:rPr>
        <w:t>161.1</w:t>
      </w:r>
      <w:r>
        <w:rPr>
          <w:rFonts w:ascii="仿宋_GB2312" w:eastAsia="仿宋_GB2312" w:cs="宋体"/>
          <w:color w:val="000000"/>
          <w:kern w:val="0"/>
          <w:sz w:val="32"/>
          <w:szCs w:val="32"/>
          <w:shd w:val="clear" w:color="auto" w:fill="FFFFFF"/>
          <w:lang w:val="zh-CN" w:eastAsia="zh-CN"/>
        </w:rPr>
        <w:t>8</w:t>
      </w:r>
      <w:r>
        <w:rPr>
          <w:rFonts w:hint="eastAsia" w:ascii="仿宋_GB2312" w:eastAsia="仿宋_GB2312" w:cs="宋体"/>
          <w:color w:val="000000"/>
          <w:kern w:val="0"/>
          <w:sz w:val="32"/>
          <w:szCs w:val="32"/>
          <w:shd w:val="clear" w:color="auto" w:fill="FFFFFF"/>
          <w:lang w:val="zh-CN"/>
        </w:rPr>
        <w:t>万元，均为一般公共预算财政拨款。</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widowControl/>
        <w:adjustRightInd w:val="0"/>
        <w:snapToGrid w:val="0"/>
        <w:spacing w:line="360" w:lineRule="auto"/>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w:t>
      </w:r>
      <w:r>
        <w:rPr>
          <w:rFonts w:hint="eastAsia" w:ascii="仿宋_GB2312" w:eastAsia="仿宋_GB2312" w:cs="宋体"/>
          <w:color w:val="000000"/>
          <w:kern w:val="0"/>
          <w:sz w:val="32"/>
          <w:szCs w:val="32"/>
          <w:shd w:val="clear" w:color="auto" w:fill="FFFFFF"/>
          <w:lang w:val="zh-CN" w:eastAsia="zh-CN"/>
        </w:rPr>
        <w:t>22</w:t>
      </w:r>
      <w:r>
        <w:rPr>
          <w:rFonts w:hint="eastAsia" w:ascii="仿宋_GB2312" w:eastAsia="仿宋_GB2312" w:cs="宋体"/>
          <w:color w:val="000000"/>
          <w:kern w:val="0"/>
          <w:sz w:val="32"/>
          <w:szCs w:val="32"/>
          <w:shd w:val="clear" w:color="auto" w:fill="FFFFFF"/>
          <w:lang w:val="zh-CN"/>
        </w:rPr>
        <w:t>年本部门财政拨款支出决算总额</w:t>
      </w:r>
      <w:r>
        <w:rPr>
          <w:rFonts w:hint="eastAsia" w:ascii="仿宋_GB2312" w:eastAsia="仿宋_GB2312" w:cs="宋体"/>
          <w:color w:val="000000"/>
          <w:kern w:val="0"/>
          <w:sz w:val="32"/>
          <w:szCs w:val="32"/>
          <w:shd w:val="clear" w:color="auto" w:fill="FFFFFF"/>
          <w:lang w:val="zh-CN" w:eastAsia="zh-CN"/>
        </w:rPr>
        <w:t>161.1</w:t>
      </w:r>
      <w:r>
        <w:rPr>
          <w:rFonts w:ascii="仿宋_GB2312" w:eastAsia="仿宋_GB2312" w:cs="宋体"/>
          <w:color w:val="000000"/>
          <w:kern w:val="0"/>
          <w:sz w:val="32"/>
          <w:szCs w:val="32"/>
          <w:shd w:val="clear" w:color="auto" w:fill="FFFFFF"/>
          <w:lang w:val="zh-CN" w:eastAsia="zh-CN"/>
        </w:rPr>
        <w:t>8万</w:t>
      </w:r>
      <w:r>
        <w:rPr>
          <w:rFonts w:hint="eastAsia" w:ascii="仿宋_GB2312" w:eastAsia="仿宋_GB2312" w:cs="宋体"/>
          <w:color w:val="000000"/>
          <w:kern w:val="0"/>
          <w:sz w:val="32"/>
          <w:szCs w:val="32"/>
          <w:shd w:val="clear" w:color="auto" w:fill="FFFFFF"/>
          <w:lang w:val="zh-CN"/>
        </w:rPr>
        <w:t>元。其中：当年财政拨款支出</w:t>
      </w:r>
      <w:r>
        <w:rPr>
          <w:rFonts w:hint="eastAsia" w:ascii="仿宋_GB2312" w:eastAsia="仿宋_GB2312" w:cs="宋体"/>
          <w:color w:val="000000"/>
          <w:kern w:val="0"/>
          <w:sz w:val="32"/>
          <w:szCs w:val="32"/>
          <w:shd w:val="clear" w:color="auto" w:fill="FFFFFF"/>
          <w:lang w:val="zh-CN" w:eastAsia="zh-CN"/>
        </w:rPr>
        <w:t>161.1</w:t>
      </w:r>
      <w:r>
        <w:rPr>
          <w:rFonts w:ascii="仿宋_GB2312" w:eastAsia="仿宋_GB2312" w:cs="宋体"/>
          <w:color w:val="000000"/>
          <w:kern w:val="0"/>
          <w:sz w:val="32"/>
          <w:szCs w:val="32"/>
          <w:shd w:val="clear" w:color="auto" w:fill="FFFFFF"/>
          <w:lang w:val="zh-CN" w:eastAsia="zh-CN"/>
        </w:rPr>
        <w:t>8</w:t>
      </w:r>
      <w:r>
        <w:rPr>
          <w:rFonts w:hint="eastAsia" w:ascii="仿宋_GB2312" w:eastAsia="仿宋_GB2312" w:cs="宋体"/>
          <w:color w:val="000000"/>
          <w:kern w:val="0"/>
          <w:sz w:val="32"/>
          <w:szCs w:val="32"/>
          <w:shd w:val="clear" w:color="auto" w:fill="FFFFFF"/>
          <w:lang w:val="zh-CN"/>
        </w:rPr>
        <w:t>万元,均为一般公共预算财政拨款。</w:t>
      </w:r>
      <w:r>
        <w:rPr>
          <w:rFonts w:ascii="仿宋_GB2312" w:eastAsia="仿宋_GB2312" w:cs="宋体"/>
          <w:color w:val="000000"/>
          <w:kern w:val="0"/>
          <w:sz w:val="32"/>
          <w:szCs w:val="32"/>
          <w:shd w:val="clear" w:color="auto" w:fill="FFFFFF"/>
          <w:lang w:val="zh-CN"/>
        </w:rPr>
        <w:t xml:space="preserve">                           </w:t>
      </w:r>
    </w:p>
    <w:p>
      <w:pPr>
        <w:widowControl/>
        <w:adjustRightInd w:val="0"/>
        <w:snapToGrid w:val="0"/>
        <w:spacing w:line="360" w:lineRule="auto"/>
        <w:ind w:firstLine="720"/>
        <w:jc w:val="left"/>
        <w:rPr>
          <w:rFonts w:hint="eastAsia" w:ascii="仿宋_GB2312" w:eastAsia="仿宋_GB2312" w:cs="宋体"/>
          <w:b/>
          <w:bCs/>
          <w:color w:val="000000"/>
          <w:kern w:val="0"/>
          <w:sz w:val="32"/>
          <w:szCs w:val="32"/>
          <w:shd w:val="clear" w:color="auto" w:fill="FFFFFF"/>
          <w:lang w:val="zh-CN"/>
        </w:rPr>
      </w:pPr>
      <w:r>
        <w:rPr>
          <w:rFonts w:ascii="仿宋_GB2312" w:eastAsia="仿宋_GB2312" w:cs="宋体"/>
          <w:b/>
          <w:bCs/>
          <w:color w:val="000000"/>
          <w:kern w:val="0"/>
          <w:sz w:val="32"/>
          <w:szCs w:val="32"/>
          <w:shd w:val="clear" w:color="auto" w:fill="FFFFFF"/>
          <w:lang w:val="zh-CN"/>
        </w:rPr>
        <w:t>三、</w:t>
      </w:r>
      <w:r>
        <w:rPr>
          <w:rFonts w:hint="eastAsia" w:ascii="仿宋_GB2312" w:eastAsia="仿宋_GB2312" w:cs="宋体"/>
          <w:b/>
          <w:bCs/>
          <w:color w:val="000000"/>
          <w:kern w:val="0"/>
          <w:sz w:val="32"/>
          <w:szCs w:val="32"/>
          <w:shd w:val="clear" w:color="auto" w:fill="FFFFFF"/>
          <w:lang w:val="zh-CN"/>
        </w:rPr>
        <w:t>部门整体预算绩效管理情况</w:t>
      </w:r>
    </w:p>
    <w:p>
      <w:pPr>
        <w:widowControl/>
        <w:adjustRightInd w:val="0"/>
        <w:snapToGrid w:val="0"/>
        <w:spacing w:line="360" w:lineRule="auto"/>
        <w:ind w:firstLine="720"/>
        <w:jc w:val="left"/>
        <w:rPr>
          <w:rFonts w:hint="eastAsia"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（一）部门预算管理。</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w:t>
      </w:r>
      <w:r>
        <w:rPr>
          <w:rFonts w:hint="eastAsia" w:ascii="仿宋_GB2312" w:eastAsia="仿宋_GB2312" w:cs="宋体"/>
          <w:color w:val="000000"/>
          <w:kern w:val="0"/>
          <w:sz w:val="32"/>
          <w:szCs w:val="32"/>
          <w:shd w:val="clear" w:color="auto" w:fill="FFFFFF"/>
          <w:lang w:val="zh-CN" w:eastAsia="zh-CN"/>
        </w:rPr>
        <w:t>2</w:t>
      </w:r>
      <w:r>
        <w:rPr>
          <w:rFonts w:hint="eastAsia" w:ascii="仿宋_GB2312" w:eastAsia="仿宋_GB2312" w:cs="宋体"/>
          <w:color w:val="000000"/>
          <w:kern w:val="0"/>
          <w:sz w:val="32"/>
          <w:szCs w:val="32"/>
          <w:shd w:val="clear" w:color="auto" w:fill="FFFFFF"/>
          <w:lang w:val="zh-CN"/>
        </w:rPr>
        <w:t>年茂县工业服务中心预算收入合计</w:t>
      </w:r>
      <w:r>
        <w:rPr>
          <w:rFonts w:hint="eastAsia" w:ascii="仿宋_GB2312" w:eastAsia="仿宋_GB2312" w:cs="宋体"/>
          <w:color w:val="000000"/>
          <w:kern w:val="0"/>
          <w:sz w:val="32"/>
          <w:szCs w:val="32"/>
          <w:shd w:val="clear" w:color="auto" w:fill="FFFFFF"/>
          <w:lang w:val="zh-CN" w:eastAsia="zh-CN"/>
        </w:rPr>
        <w:t>161.1</w:t>
      </w:r>
      <w:r>
        <w:rPr>
          <w:rFonts w:ascii="仿宋_GB2312" w:eastAsia="仿宋_GB2312" w:cs="宋体"/>
          <w:color w:val="000000"/>
          <w:kern w:val="0"/>
          <w:sz w:val="32"/>
          <w:szCs w:val="32"/>
          <w:shd w:val="clear" w:color="auto" w:fill="FFFFFF"/>
          <w:lang w:val="zh-CN" w:eastAsia="zh-CN"/>
        </w:rPr>
        <w:t>8</w:t>
      </w:r>
      <w:r>
        <w:rPr>
          <w:rFonts w:hint="eastAsia" w:ascii="仿宋_GB2312" w:eastAsia="仿宋_GB2312" w:cs="宋体"/>
          <w:color w:val="000000"/>
          <w:kern w:val="0"/>
          <w:sz w:val="32"/>
          <w:szCs w:val="32"/>
          <w:shd w:val="clear" w:color="auto" w:fill="FFFFFF"/>
          <w:lang w:val="zh-CN"/>
        </w:rPr>
        <w:t>万元，其中：当年财政拨款收入</w:t>
      </w:r>
      <w:r>
        <w:rPr>
          <w:rFonts w:hint="eastAsia" w:ascii="仿宋_GB2312" w:eastAsia="仿宋_GB2312" w:cs="宋体"/>
          <w:color w:val="000000"/>
          <w:kern w:val="0"/>
          <w:sz w:val="32"/>
          <w:szCs w:val="32"/>
          <w:shd w:val="clear" w:color="auto" w:fill="FFFFFF"/>
          <w:lang w:val="zh-CN" w:eastAsia="zh-CN"/>
        </w:rPr>
        <w:t>161.1</w:t>
      </w:r>
      <w:r>
        <w:rPr>
          <w:rFonts w:ascii="仿宋_GB2312" w:eastAsia="仿宋_GB2312" w:cs="宋体"/>
          <w:color w:val="000000"/>
          <w:kern w:val="0"/>
          <w:sz w:val="32"/>
          <w:szCs w:val="32"/>
          <w:shd w:val="clear" w:color="auto" w:fill="FFFFFF"/>
          <w:lang w:val="zh-CN" w:eastAsia="zh-CN"/>
        </w:rPr>
        <w:t>8</w:t>
      </w:r>
      <w:r>
        <w:rPr>
          <w:rFonts w:hint="eastAsia" w:ascii="仿宋_GB2312" w:eastAsia="仿宋_GB2312" w:cs="宋体"/>
          <w:color w:val="000000"/>
          <w:kern w:val="0"/>
          <w:sz w:val="32"/>
          <w:szCs w:val="32"/>
          <w:shd w:val="clear" w:color="auto" w:fill="FFFFFF"/>
          <w:lang w:val="zh-CN"/>
        </w:rPr>
        <w:t>万元,均为一般公共预算财政拨款。</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按功能分类支出情况，其中事业运行</w:t>
      </w:r>
      <w:r>
        <w:rPr>
          <w:rFonts w:hint="eastAsia" w:ascii="仿宋_GB2312" w:eastAsia="仿宋_GB2312" w:cs="宋体"/>
          <w:color w:val="000000"/>
          <w:kern w:val="0"/>
          <w:sz w:val="32"/>
          <w:szCs w:val="32"/>
          <w:shd w:val="clear" w:color="auto" w:fill="FFFFFF"/>
          <w:lang w:val="zh-CN" w:eastAsia="zh-CN"/>
        </w:rPr>
        <w:t>121.2</w:t>
      </w:r>
      <w:r>
        <w:rPr>
          <w:rFonts w:ascii="仿宋_GB2312" w:eastAsia="仿宋_GB2312" w:cs="宋体"/>
          <w:color w:val="000000"/>
          <w:kern w:val="0"/>
          <w:sz w:val="32"/>
          <w:szCs w:val="32"/>
          <w:shd w:val="clear" w:color="auto" w:fill="FFFFFF"/>
          <w:lang w:val="zh-CN" w:eastAsia="zh-CN"/>
        </w:rPr>
        <w:t>1</w:t>
      </w:r>
      <w:r>
        <w:rPr>
          <w:rFonts w:hint="eastAsia" w:ascii="仿宋_GB2312" w:eastAsia="仿宋_GB2312" w:cs="宋体"/>
          <w:color w:val="000000"/>
          <w:kern w:val="0"/>
          <w:sz w:val="32"/>
          <w:szCs w:val="32"/>
          <w:shd w:val="clear" w:color="auto" w:fill="FFFFFF"/>
          <w:lang w:val="zh-CN"/>
        </w:rPr>
        <w:t>万元，事业单位医疗</w:t>
      </w:r>
      <w:r>
        <w:rPr>
          <w:rFonts w:hint="eastAsia" w:ascii="仿宋_GB2312" w:eastAsia="仿宋_GB2312" w:cs="宋体"/>
          <w:color w:val="000000"/>
          <w:kern w:val="0"/>
          <w:sz w:val="32"/>
          <w:szCs w:val="32"/>
          <w:shd w:val="clear" w:color="auto" w:fill="FFFFFF"/>
          <w:lang w:val="zh-CN" w:eastAsia="zh-CN"/>
        </w:rPr>
        <w:t>8.04</w:t>
      </w:r>
      <w:r>
        <w:rPr>
          <w:rFonts w:hint="eastAsia" w:ascii="仿宋_GB2312" w:eastAsia="仿宋_GB2312" w:cs="宋体"/>
          <w:color w:val="000000"/>
          <w:kern w:val="0"/>
          <w:sz w:val="32"/>
          <w:szCs w:val="32"/>
          <w:shd w:val="clear" w:color="auto" w:fill="FFFFFF"/>
          <w:lang w:val="zh-CN"/>
        </w:rPr>
        <w:t>万元，机关事业单位基本养老保险缴费支出</w:t>
      </w:r>
      <w:r>
        <w:rPr>
          <w:rFonts w:hint="eastAsia" w:ascii="仿宋_GB2312" w:eastAsia="仿宋_GB2312" w:cs="宋体"/>
          <w:color w:val="000000"/>
          <w:kern w:val="0"/>
          <w:sz w:val="32"/>
          <w:szCs w:val="32"/>
          <w:shd w:val="clear" w:color="auto" w:fill="FFFFFF"/>
          <w:lang w:val="zh-CN" w:eastAsia="zh-CN"/>
        </w:rPr>
        <w:t>13.22</w:t>
      </w:r>
      <w:r>
        <w:rPr>
          <w:rFonts w:hint="eastAsia" w:ascii="仿宋_GB2312" w:eastAsia="仿宋_GB2312" w:cs="宋体"/>
          <w:color w:val="000000"/>
          <w:kern w:val="0"/>
          <w:sz w:val="32"/>
          <w:szCs w:val="32"/>
          <w:shd w:val="clear" w:color="auto" w:fill="FFFFFF"/>
          <w:lang w:val="zh-CN"/>
        </w:rPr>
        <w:t>万元，机关事业单位职业年金缴费支出</w:t>
      </w:r>
      <w:r>
        <w:rPr>
          <w:rFonts w:hint="eastAsia" w:ascii="仿宋_GB2312" w:eastAsia="仿宋_GB2312" w:cs="宋体"/>
          <w:color w:val="000000"/>
          <w:kern w:val="0"/>
          <w:sz w:val="32"/>
          <w:szCs w:val="32"/>
          <w:shd w:val="clear" w:color="auto" w:fill="FFFFFF"/>
          <w:lang w:val="zh-CN" w:eastAsia="zh-CN"/>
        </w:rPr>
        <w:t>6.61</w:t>
      </w:r>
      <w:r>
        <w:rPr>
          <w:rFonts w:hint="eastAsia" w:ascii="仿宋_GB2312" w:eastAsia="仿宋_GB2312" w:cs="宋体"/>
          <w:color w:val="000000"/>
          <w:kern w:val="0"/>
          <w:sz w:val="32"/>
          <w:szCs w:val="32"/>
          <w:shd w:val="clear" w:color="auto" w:fill="FFFFFF"/>
          <w:lang w:val="zh-CN"/>
        </w:rPr>
        <w:t>万元，住房公积金</w:t>
      </w:r>
      <w:r>
        <w:rPr>
          <w:rFonts w:hint="eastAsia" w:ascii="仿宋_GB2312" w:eastAsia="仿宋_GB2312" w:cs="宋体"/>
          <w:color w:val="000000"/>
          <w:kern w:val="0"/>
          <w:sz w:val="32"/>
          <w:szCs w:val="32"/>
          <w:shd w:val="clear" w:color="auto" w:fill="FFFFFF"/>
          <w:lang w:val="zh-CN" w:eastAsia="zh-CN"/>
        </w:rPr>
        <w:t>11.26</w:t>
      </w:r>
      <w:r>
        <w:rPr>
          <w:rFonts w:hint="eastAsia" w:ascii="仿宋_GB2312" w:eastAsia="仿宋_GB2312" w:cs="宋体"/>
          <w:color w:val="000000"/>
          <w:kern w:val="0"/>
          <w:sz w:val="32"/>
          <w:szCs w:val="32"/>
          <w:shd w:val="clear" w:color="auto" w:fill="FFFFFF"/>
          <w:lang w:val="zh-CN"/>
        </w:rPr>
        <w:t>万元，农林水支出</w:t>
      </w:r>
      <w:r>
        <w:rPr>
          <w:rFonts w:hint="eastAsia" w:ascii="仿宋_GB2312" w:eastAsia="仿宋_GB2312" w:cs="宋体"/>
          <w:color w:val="000000"/>
          <w:kern w:val="0"/>
          <w:sz w:val="32"/>
          <w:szCs w:val="32"/>
          <w:shd w:val="clear" w:color="auto" w:fill="FFFFFF"/>
          <w:lang w:val="zh-CN" w:eastAsia="zh-CN"/>
        </w:rPr>
        <w:t>0.84</w:t>
      </w:r>
      <w:r>
        <w:rPr>
          <w:rFonts w:hint="eastAsia" w:ascii="仿宋_GB2312" w:eastAsia="仿宋_GB2312" w:cs="宋体"/>
          <w:color w:val="000000"/>
          <w:kern w:val="0"/>
          <w:sz w:val="32"/>
          <w:szCs w:val="32"/>
          <w:shd w:val="clear" w:color="auto" w:fill="FFFFFF"/>
          <w:lang w:val="zh-CN"/>
        </w:rPr>
        <w:t>万元，完成预算100%。</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按支出性质分类，基本支出</w:t>
      </w:r>
      <w:r>
        <w:rPr>
          <w:rFonts w:hint="eastAsia" w:ascii="仿宋_GB2312" w:eastAsia="仿宋_GB2312" w:cs="宋体"/>
          <w:color w:val="000000"/>
          <w:kern w:val="0"/>
          <w:sz w:val="32"/>
          <w:szCs w:val="32"/>
          <w:shd w:val="clear" w:color="auto" w:fill="FFFFFF"/>
          <w:lang w:val="zh-CN" w:eastAsia="zh-CN"/>
        </w:rPr>
        <w:t>160.3</w:t>
      </w:r>
      <w:r>
        <w:rPr>
          <w:rFonts w:ascii="仿宋_GB2312" w:eastAsia="仿宋_GB2312" w:cs="宋体"/>
          <w:color w:val="000000"/>
          <w:kern w:val="0"/>
          <w:sz w:val="32"/>
          <w:szCs w:val="32"/>
          <w:shd w:val="clear" w:color="auto" w:fill="FFFFFF"/>
          <w:lang w:val="zh-CN" w:eastAsia="zh-CN"/>
        </w:rPr>
        <w:t>4</w:t>
      </w:r>
      <w:r>
        <w:rPr>
          <w:rFonts w:hint="eastAsia" w:ascii="仿宋_GB2312" w:eastAsia="仿宋_GB2312" w:cs="宋体"/>
          <w:color w:val="000000"/>
          <w:kern w:val="0"/>
          <w:sz w:val="32"/>
          <w:szCs w:val="32"/>
          <w:shd w:val="clear" w:color="auto" w:fill="FFFFFF"/>
          <w:lang w:val="zh-CN"/>
        </w:rPr>
        <w:t>万元，项目支出</w:t>
      </w:r>
      <w:r>
        <w:rPr>
          <w:rFonts w:hint="eastAsia" w:ascii="仿宋_GB2312" w:eastAsia="仿宋_GB2312" w:cs="宋体"/>
          <w:color w:val="000000"/>
          <w:kern w:val="0"/>
          <w:sz w:val="32"/>
          <w:szCs w:val="32"/>
          <w:shd w:val="clear" w:color="auto" w:fill="FFFFFF"/>
          <w:lang w:val="zh-CN" w:eastAsia="zh-CN"/>
        </w:rPr>
        <w:t>0.84</w:t>
      </w:r>
      <w:r>
        <w:rPr>
          <w:rFonts w:hint="eastAsia" w:ascii="仿宋_GB2312" w:eastAsia="仿宋_GB2312" w:cs="宋体"/>
          <w:color w:val="000000"/>
          <w:kern w:val="0"/>
          <w:sz w:val="32"/>
          <w:szCs w:val="32"/>
          <w:shd w:val="clear" w:color="auto" w:fill="FFFFFF"/>
          <w:lang w:val="zh-CN"/>
        </w:rPr>
        <w:t>万元。</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按经济分类支出情况，工资福利支出</w:t>
      </w:r>
      <w:r>
        <w:rPr>
          <w:rFonts w:hint="eastAsia" w:ascii="仿宋_GB2312" w:eastAsia="仿宋_GB2312" w:cs="宋体"/>
          <w:color w:val="000000"/>
          <w:kern w:val="0"/>
          <w:sz w:val="32"/>
          <w:szCs w:val="32"/>
          <w:shd w:val="clear" w:color="auto" w:fill="FFFFFF"/>
          <w:lang w:val="zh-CN" w:eastAsia="zh-CN"/>
        </w:rPr>
        <w:t>150.1</w:t>
      </w:r>
      <w:r>
        <w:rPr>
          <w:rFonts w:ascii="仿宋_GB2312" w:eastAsia="仿宋_GB2312" w:cs="宋体"/>
          <w:color w:val="000000"/>
          <w:kern w:val="0"/>
          <w:sz w:val="32"/>
          <w:szCs w:val="32"/>
          <w:shd w:val="clear" w:color="auto" w:fill="FFFFFF"/>
          <w:lang w:val="zh-CN" w:eastAsia="zh-CN"/>
        </w:rPr>
        <w:t>1</w:t>
      </w:r>
      <w:r>
        <w:rPr>
          <w:rFonts w:hint="eastAsia" w:ascii="仿宋_GB2312" w:eastAsia="仿宋_GB2312" w:cs="宋体"/>
          <w:color w:val="000000"/>
          <w:kern w:val="0"/>
          <w:sz w:val="32"/>
          <w:szCs w:val="32"/>
          <w:shd w:val="clear" w:color="auto" w:fill="FFFFFF"/>
          <w:lang w:val="zh-CN"/>
        </w:rPr>
        <w:t>万元，商品和服务支出</w:t>
      </w:r>
      <w:r>
        <w:rPr>
          <w:rFonts w:hint="eastAsia" w:ascii="仿宋_GB2312" w:eastAsia="仿宋_GB2312" w:cs="宋体"/>
          <w:color w:val="000000"/>
          <w:kern w:val="0"/>
          <w:sz w:val="32"/>
          <w:szCs w:val="32"/>
          <w:shd w:val="clear" w:color="auto" w:fill="FFFFFF"/>
          <w:lang w:val="zh-CN" w:eastAsia="zh-CN"/>
        </w:rPr>
        <w:t>10.21</w:t>
      </w:r>
      <w:r>
        <w:rPr>
          <w:rFonts w:hint="eastAsia" w:ascii="仿宋_GB2312" w:eastAsia="仿宋_GB2312" w:cs="宋体"/>
          <w:color w:val="000000"/>
          <w:kern w:val="0"/>
          <w:sz w:val="32"/>
          <w:szCs w:val="32"/>
          <w:shd w:val="clear" w:color="auto" w:fill="FFFFFF"/>
          <w:lang w:val="zh-CN"/>
        </w:rPr>
        <w:t>万元，对个人和家庭的补助</w:t>
      </w:r>
      <w:r>
        <w:rPr>
          <w:rFonts w:hint="eastAsia" w:ascii="仿宋_GB2312" w:eastAsia="仿宋_GB2312" w:cs="宋体"/>
          <w:color w:val="000000"/>
          <w:kern w:val="0"/>
          <w:sz w:val="32"/>
          <w:szCs w:val="32"/>
          <w:shd w:val="clear" w:color="auto" w:fill="FFFFFF"/>
          <w:lang w:val="zh-CN" w:eastAsia="zh-CN"/>
        </w:rPr>
        <w:t>0.86</w:t>
      </w:r>
      <w:r>
        <w:rPr>
          <w:rFonts w:hint="eastAsia" w:ascii="仿宋_GB2312" w:eastAsia="仿宋_GB2312" w:cs="宋体"/>
          <w:color w:val="000000"/>
          <w:kern w:val="0"/>
          <w:sz w:val="32"/>
          <w:szCs w:val="32"/>
          <w:shd w:val="clear" w:color="auto" w:fill="FFFFFF"/>
          <w:lang w:val="zh-CN"/>
        </w:rPr>
        <w:t>万元。</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202</w:t>
      </w:r>
      <w:r>
        <w:rPr>
          <w:rFonts w:hint="eastAsia" w:ascii="仿宋_GB2312" w:eastAsia="仿宋_GB2312" w:cs="宋体"/>
          <w:color w:val="000000"/>
          <w:kern w:val="0"/>
          <w:sz w:val="32"/>
          <w:szCs w:val="32"/>
          <w:shd w:val="clear" w:color="auto" w:fill="FFFFFF"/>
          <w:lang w:val="zh-CN" w:eastAsia="zh-CN"/>
        </w:rPr>
        <w:t>2</w:t>
      </w:r>
      <w:r>
        <w:rPr>
          <w:rFonts w:hint="eastAsia" w:ascii="仿宋_GB2312" w:eastAsia="仿宋_GB2312" w:cs="宋体"/>
          <w:color w:val="000000"/>
          <w:kern w:val="0"/>
          <w:sz w:val="32"/>
          <w:szCs w:val="32"/>
          <w:shd w:val="clear" w:color="auto" w:fill="FFFFFF"/>
          <w:lang w:val="zh-CN"/>
        </w:rPr>
        <w:t>年我单位当年财政拨款收入决算总额为</w:t>
      </w:r>
      <w:r>
        <w:rPr>
          <w:rFonts w:hint="eastAsia" w:ascii="仿宋_GB2312" w:eastAsia="仿宋_GB2312" w:cs="宋体"/>
          <w:color w:val="000000"/>
          <w:kern w:val="0"/>
          <w:sz w:val="32"/>
          <w:szCs w:val="32"/>
          <w:shd w:val="clear" w:color="auto" w:fill="FFFFFF"/>
          <w:lang w:val="zh-CN" w:eastAsia="zh-CN"/>
        </w:rPr>
        <w:t>161.1</w:t>
      </w:r>
      <w:r>
        <w:rPr>
          <w:rFonts w:ascii="仿宋_GB2312" w:eastAsia="仿宋_GB2312" w:cs="宋体"/>
          <w:color w:val="000000"/>
          <w:kern w:val="0"/>
          <w:sz w:val="32"/>
          <w:szCs w:val="32"/>
          <w:shd w:val="clear" w:color="auto" w:fill="FFFFFF"/>
          <w:lang w:val="zh-CN" w:eastAsia="zh-CN"/>
        </w:rPr>
        <w:t>8</w:t>
      </w:r>
      <w:r>
        <w:rPr>
          <w:rFonts w:hint="eastAsia" w:ascii="仿宋_GB2312" w:eastAsia="仿宋_GB2312" w:cs="宋体"/>
          <w:color w:val="000000"/>
          <w:kern w:val="0"/>
          <w:sz w:val="32"/>
          <w:szCs w:val="32"/>
          <w:shd w:val="clear" w:color="auto" w:fill="FFFFFF"/>
          <w:lang w:val="zh-CN"/>
        </w:rPr>
        <w:t>万元，当年财政拨款支出决算总额</w:t>
      </w:r>
      <w:r>
        <w:rPr>
          <w:rFonts w:hint="eastAsia" w:ascii="仿宋_GB2312" w:eastAsia="仿宋_GB2312" w:cs="宋体"/>
          <w:color w:val="000000"/>
          <w:kern w:val="0"/>
          <w:sz w:val="32"/>
          <w:szCs w:val="32"/>
          <w:shd w:val="clear" w:color="auto" w:fill="FFFFFF"/>
          <w:lang w:val="zh-CN" w:eastAsia="zh-CN"/>
        </w:rPr>
        <w:t>161.1</w:t>
      </w:r>
      <w:r>
        <w:rPr>
          <w:rFonts w:ascii="仿宋_GB2312" w:eastAsia="仿宋_GB2312" w:cs="宋体"/>
          <w:color w:val="000000"/>
          <w:kern w:val="0"/>
          <w:sz w:val="32"/>
          <w:szCs w:val="32"/>
          <w:shd w:val="clear" w:color="auto" w:fill="FFFFFF"/>
          <w:lang w:val="zh-CN" w:eastAsia="zh-CN"/>
        </w:rPr>
        <w:t>8</w:t>
      </w:r>
      <w:r>
        <w:rPr>
          <w:rFonts w:hint="eastAsia" w:ascii="仿宋_GB2312" w:eastAsia="仿宋_GB2312" w:cs="宋体"/>
          <w:color w:val="000000"/>
          <w:kern w:val="0"/>
          <w:sz w:val="32"/>
          <w:szCs w:val="32"/>
          <w:shd w:val="clear" w:color="auto" w:fill="FFFFFF"/>
          <w:lang w:val="zh-CN"/>
        </w:rPr>
        <w:t>万元，均为一般公共预算财政拨款，执行进度为100%。</w:t>
      </w:r>
    </w:p>
    <w:p>
      <w:pPr>
        <w:widowControl/>
        <w:adjustRightInd w:val="0"/>
        <w:snapToGrid w:val="0"/>
        <w:spacing w:line="360" w:lineRule="auto"/>
        <w:ind w:firstLine="720"/>
        <w:jc w:val="left"/>
        <w:rPr>
          <w:rFonts w:hint="eastAsia" w:ascii="仿宋_GB2312" w:eastAsia="仿宋_GB2312" w:cs="宋体"/>
          <w:b/>
          <w:bCs/>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（二）结果应用情况。</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我中心认真学习</w:t>
      </w:r>
      <w:r>
        <w:rPr>
          <w:rFonts w:hint="default" w:ascii="仿宋_GB2312" w:eastAsia="仿宋_GB2312" w:cs="宋体"/>
          <w:color w:val="000000"/>
          <w:kern w:val="0"/>
          <w:sz w:val="32"/>
          <w:szCs w:val="32"/>
          <w:shd w:val="clear" w:color="auto" w:fill="FFFFFF"/>
        </w:rPr>
        <w:t>贯彻党中央、国务院</w:t>
      </w:r>
      <w:r>
        <w:rPr>
          <w:rFonts w:hint="eastAsia" w:ascii="仿宋_GB2312" w:eastAsia="仿宋_GB2312" w:cs="宋体"/>
          <w:color w:val="000000"/>
          <w:kern w:val="0"/>
          <w:sz w:val="32"/>
          <w:szCs w:val="32"/>
          <w:shd w:val="clear" w:color="auto" w:fill="FFFFFF"/>
          <w:lang w:val="zh-CN"/>
        </w:rPr>
        <w:t>和省委省政府关于全面实施预算绩效管理决策部署，以习近平新时代中国特色社会主义思想为指导，按照《中共四川省委办公厅</w:t>
      </w:r>
      <w:r>
        <w:rPr>
          <w:rFonts w:hint="eastAsia" w:ascii="仿宋_GB2312" w:eastAsia="仿宋_GB2312" w:cs="宋体"/>
          <w:color w:val="000000"/>
          <w:kern w:val="0"/>
          <w:sz w:val="32"/>
          <w:szCs w:val="32"/>
          <w:shd w:val="clear" w:color="auto" w:fill="FFFFFF"/>
          <w:lang w:val="zh-CN" w:eastAsia="zh-CN"/>
        </w:rPr>
        <w:t xml:space="preserve"> 四川省人民政府办公厅关于深入实施预算绩效管理的通知</w:t>
      </w:r>
      <w:r>
        <w:rPr>
          <w:rFonts w:hint="eastAsia" w:ascii="仿宋_GB2312" w:eastAsia="仿宋_GB2312" w:cs="宋体"/>
          <w:color w:val="000000"/>
          <w:kern w:val="0"/>
          <w:sz w:val="32"/>
          <w:szCs w:val="32"/>
          <w:shd w:val="clear" w:color="auto" w:fill="FFFFFF"/>
          <w:lang w:val="zh-CN"/>
        </w:rPr>
        <w:t>》（川委厅〔</w:t>
      </w:r>
      <w:r>
        <w:rPr>
          <w:rFonts w:hint="eastAsia" w:ascii="仿宋_GB2312" w:eastAsia="仿宋_GB2312" w:cs="宋体"/>
          <w:color w:val="000000"/>
          <w:kern w:val="0"/>
          <w:sz w:val="32"/>
          <w:szCs w:val="32"/>
          <w:shd w:val="clear" w:color="auto" w:fill="FFFFFF"/>
          <w:lang w:val="zh-CN" w:eastAsia="zh-CN"/>
        </w:rPr>
        <w:t>2022</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eastAsia="zh-CN"/>
        </w:rPr>
        <w:t>5号</w:t>
      </w:r>
      <w:r>
        <w:rPr>
          <w:rFonts w:hint="eastAsia" w:ascii="仿宋_GB2312" w:eastAsia="仿宋_GB2312" w:cs="宋体"/>
          <w:color w:val="000000"/>
          <w:kern w:val="0"/>
          <w:sz w:val="32"/>
          <w:szCs w:val="32"/>
          <w:shd w:val="clear" w:color="auto" w:fill="FFFFFF"/>
          <w:lang w:val="zh-CN"/>
        </w:rPr>
        <w:t>）和阿坝州财政局《关于开展</w:t>
      </w:r>
      <w:r>
        <w:rPr>
          <w:rFonts w:hint="eastAsia" w:ascii="仿宋_GB2312" w:eastAsia="仿宋_GB2312" w:cs="宋体"/>
          <w:color w:val="000000"/>
          <w:kern w:val="0"/>
          <w:sz w:val="32"/>
          <w:szCs w:val="32"/>
          <w:shd w:val="clear" w:color="auto" w:fill="FFFFFF"/>
          <w:lang w:val="zh-CN" w:eastAsia="zh-CN"/>
        </w:rPr>
        <w:t>2023年财政重点绩效评价工作的通知</w:t>
      </w:r>
      <w:r>
        <w:rPr>
          <w:rFonts w:hint="eastAsia" w:ascii="仿宋_GB2312" w:eastAsia="仿宋_GB2312" w:cs="宋体"/>
          <w:color w:val="000000"/>
          <w:kern w:val="0"/>
          <w:sz w:val="32"/>
          <w:szCs w:val="32"/>
          <w:shd w:val="clear" w:color="auto" w:fill="FFFFFF"/>
          <w:lang w:val="zh-CN"/>
        </w:rPr>
        <w:t>》（阿坝州监绩〔</w:t>
      </w:r>
      <w:r>
        <w:rPr>
          <w:rFonts w:hint="eastAsia" w:ascii="仿宋_GB2312" w:eastAsia="仿宋_GB2312" w:cs="宋体"/>
          <w:color w:val="000000"/>
          <w:kern w:val="0"/>
          <w:sz w:val="32"/>
          <w:szCs w:val="32"/>
          <w:shd w:val="clear" w:color="auto" w:fill="FFFFFF"/>
          <w:lang w:val="zh-CN" w:eastAsia="zh-CN"/>
        </w:rPr>
        <w:t>2023</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eastAsia="zh-CN"/>
        </w:rPr>
        <w:t>17号</w:t>
      </w:r>
      <w:r>
        <w:rPr>
          <w:rFonts w:hint="eastAsia" w:ascii="仿宋_GB2312" w:eastAsia="仿宋_GB2312" w:cs="宋体"/>
          <w:color w:val="000000"/>
          <w:kern w:val="0"/>
          <w:sz w:val="32"/>
          <w:szCs w:val="32"/>
          <w:shd w:val="clear" w:color="auto" w:fill="FFFFFF"/>
          <w:lang w:val="zh-CN"/>
        </w:rPr>
        <w:t xml:space="preserve">）工作要求，根据职能职责积极谋划，确定目标任务，积极发挥公共财政职能作用，推动落实稳增长、促改革、调结构、惠民生、防风险各项工作。 </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一是按照2</w:t>
      </w:r>
      <w:r>
        <w:rPr>
          <w:rFonts w:hint="eastAsia" w:ascii="仿宋_GB2312" w:eastAsia="仿宋_GB2312" w:cs="宋体"/>
          <w:color w:val="000000"/>
          <w:kern w:val="0"/>
          <w:sz w:val="32"/>
          <w:szCs w:val="32"/>
          <w:shd w:val="clear" w:color="auto" w:fill="FFFFFF"/>
          <w:lang w:val="zh-CN" w:eastAsia="zh-CN"/>
        </w:rPr>
        <w:t>022</w:t>
      </w:r>
      <w:r>
        <w:rPr>
          <w:rFonts w:hint="eastAsia" w:ascii="仿宋_GB2312" w:eastAsia="仿宋_GB2312" w:cs="宋体"/>
          <w:color w:val="000000"/>
          <w:kern w:val="0"/>
          <w:sz w:val="32"/>
          <w:szCs w:val="32"/>
          <w:shd w:val="clear" w:color="auto" w:fill="FFFFFF"/>
          <w:lang w:val="zh-CN"/>
        </w:rPr>
        <w:t>年部门预算编审要求，根据我单位职能职责，结合中长期规划和年度工作计划，明确了年度主要工作任务及年度内履职所要达到的总体产出和效果，认真填报了我单位整体支出绩效目标，设定了年度绩效数量指标、成本指标效益指标等。</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二是按照财政部门统一部署，本单位按要求公开绩效目标管理情况及部门整体支出绩效自评开展情况并依法接受财政监督。</w:t>
      </w:r>
    </w:p>
    <w:p>
      <w:pPr>
        <w:widowControl/>
        <w:adjustRightInd w:val="0"/>
        <w:snapToGrid w:val="0"/>
        <w:spacing w:line="360" w:lineRule="auto"/>
        <w:ind w:firstLine="720"/>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我单位对部门预算绩效管理工作开展情况进行了自评。绩效评价自查开展覆盖单位所有支出（本部门无专项预算项目，因此本部门未组织开展项目支出绩效评价），将评价结果作为预算安排的重要依据，参照项目年度预算执行情况“三年滚动规划”执行情况，调整支出结构，优化财政资金配置，不断强化绩效理念，推动本部门整体绩效管理水平不断提升。</w:t>
      </w:r>
    </w:p>
    <w:p>
      <w:pPr>
        <w:widowControl/>
        <w:adjustRightInd w:val="0"/>
        <w:snapToGrid w:val="0"/>
        <w:spacing w:line="360" w:lineRule="auto"/>
        <w:ind w:left="0" w:firstLine="642" w:firstLineChars="20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b/>
          <w:bCs/>
          <w:color w:val="000000"/>
          <w:kern w:val="0"/>
          <w:sz w:val="32"/>
          <w:szCs w:val="32"/>
          <w:shd w:val="clear" w:color="auto" w:fill="FFFFFF"/>
          <w:lang w:val="zh-CN"/>
        </w:rPr>
        <w:t>四、评价结论及建议</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茂县工业服务中心按照财政局的要求，对本单位财政支出进行全面绩效评价工作。按照县委组织部工作要求，深化拓展“两学一做”学习教育，扎实做好“城乡党建结对共建工作”，进一步推动“主题党日”活动，认真按照活动方案，精心组织实施。切实加强园区管委会“讲政治、守纪律、强素质、突服务”</w:t>
      </w:r>
      <w:r>
        <w:rPr>
          <w:rFonts w:ascii="仿宋_GB2312" w:eastAsia="仿宋_GB2312" w:cs="宋体"/>
          <w:color w:val="000000"/>
          <w:kern w:val="0"/>
          <w:sz w:val="32"/>
          <w:szCs w:val="32"/>
          <w:shd w:val="clear" w:color="auto" w:fill="FFFFFF"/>
          <w:lang w:val="zh-CN"/>
        </w:rPr>
        <w:t>的</w:t>
      </w:r>
      <w:r>
        <w:rPr>
          <w:rFonts w:hint="eastAsia" w:ascii="仿宋_GB2312" w:eastAsia="仿宋_GB2312" w:cs="宋体"/>
          <w:color w:val="000000"/>
          <w:kern w:val="0"/>
          <w:sz w:val="32"/>
          <w:szCs w:val="32"/>
          <w:shd w:val="clear" w:color="auto" w:fill="FFFFFF"/>
          <w:lang w:val="zh-CN"/>
        </w:rPr>
        <w:t>队伍建设。加强各集中区循环经济健康发展</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加强企业安全生产和环保工作的巡查力度</w:t>
      </w:r>
      <w:r>
        <w:rPr>
          <w:rFonts w:ascii="仿宋_GB2312" w:eastAsia="仿宋_GB2312" w:cs="宋体"/>
          <w:color w:val="000000"/>
          <w:kern w:val="0"/>
          <w:sz w:val="32"/>
          <w:szCs w:val="32"/>
          <w:shd w:val="clear" w:color="auto" w:fill="FFFFFF"/>
          <w:lang w:val="zh-CN"/>
        </w:rPr>
        <w:t>；</w:t>
      </w:r>
      <w:r>
        <w:rPr>
          <w:rFonts w:hint="eastAsia" w:ascii="仿宋_GB2312" w:eastAsia="仿宋_GB2312" w:cs="宋体"/>
          <w:color w:val="000000"/>
          <w:kern w:val="0"/>
          <w:sz w:val="32"/>
          <w:szCs w:val="32"/>
          <w:shd w:val="clear" w:color="auto" w:fill="FFFFFF"/>
          <w:lang w:val="zh-CN"/>
        </w:rPr>
        <w:t>争取和落实、省、州、县对企业的各项优惠政策，尽可能地扶持企业发展壮大。按照“无事不扰，有求必应”的原则，为企业做好“保姆式”的服务协调工作。全面完成园区常规工作和管理服务工作。</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（二）存在问题。</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 对绩效管理认识不清，需更进一步规范财务报账资料。</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2.属于公务卡结算目录内的费用,应加大使用公务卡结算比例。</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3.需严格报账审批，切实履行各自职能职责，保障会计资料的真实性、完整性。</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4. 绩效管理申诉与评估系统不健全，财务核算和档案管理需进一步规范。</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5.绩效管理的跟踪反馈不足</w:t>
      </w:r>
      <w:r>
        <w:rPr>
          <w:rFonts w:ascii="仿宋_GB2312" w:eastAsia="仿宋_GB2312" w:cs="宋体"/>
          <w:color w:val="000000"/>
          <w:kern w:val="0"/>
          <w:sz w:val="32"/>
          <w:szCs w:val="32"/>
          <w:shd w:val="clear" w:color="auto" w:fill="FFFFFF"/>
          <w:lang w:val="zh-CN"/>
        </w:rPr>
        <w:t>。</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（三）改进建议。</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1.针对绩效管理存在的问题，我中心将进一步科学合理的设定绩效管理目标。加强培训提升职工对绩效管理的认识；建立目标明确的绩效管理计划；绩效考核实行过程控制；实行全方位绩效评估，考评结果公开；建立健全绩效反馈机制。绩效管理是一个逐步改进和发展的循环过程，我们必须在一个阶段之后对前一阶段使用的绩效管理体系进行诊断，使之不断得以完善，通过单位领导和职工的共同努力，我中心的绩效管理工作会得到持续改进，从而确保整体绩效的提高。</w:t>
      </w:r>
    </w:p>
    <w:p>
      <w:pPr>
        <w:widowControl/>
        <w:adjustRightInd w:val="0"/>
        <w:snapToGrid w:val="0"/>
        <w:spacing w:line="360" w:lineRule="auto"/>
        <w:ind w:firstLine="720"/>
        <w:jc w:val="left"/>
        <w:rPr>
          <w:rFonts w:ascii="仿宋_GB2312" w:eastAsia="仿宋_GB2312" w:cs="宋体"/>
          <w:strike/>
          <w:dstrike w:val="0"/>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2.进一步加强单位预算编制、支出执行、决算编制等工作的管理，特别是应加快专项资金的预算执行进度。</w:t>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3.在会计核算过程中，严格按照单位内控制度、财务管理制度，加强票据审核，报销凭证应为真实、合法、有效的票据；严禁超范围、超标准、进行报销。</w:t>
      </w:r>
      <w:r>
        <w:rPr>
          <w:rFonts w:hint="eastAsia" w:ascii="仿宋_GB2312" w:eastAsia="仿宋_GB2312" w:cs="宋体"/>
          <w:color w:val="000000"/>
          <w:kern w:val="0"/>
          <w:sz w:val="32"/>
          <w:szCs w:val="32"/>
          <w:shd w:val="clear" w:color="auto" w:fill="FFFFFF"/>
          <w:lang w:val="zh-CN"/>
        </w:rPr>
        <w:tab/>
      </w:r>
    </w:p>
    <w:p>
      <w:pPr>
        <w:widowControl/>
        <w:adjustRightInd w:val="0"/>
        <w:snapToGrid w:val="0"/>
        <w:spacing w:line="360" w:lineRule="auto"/>
        <w:ind w:firstLine="72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4.针对存在的问题，我们将进一步科学设定绩效目标，加强预算执行管理。改进部门收支预算编制，务实预算基础工作，提高预算编制质量。</w:t>
      </w:r>
    </w:p>
    <w:p>
      <w:pPr>
        <w:pStyle w:val="8"/>
        <w:keepNext w:val="0"/>
        <w:keepLines w:val="0"/>
        <w:pageBreakBefore w:val="0"/>
        <w:widowControl/>
        <w:suppressLineNumbers w:val="0"/>
        <w:kinsoku/>
        <w:wordWrap/>
        <w:overflowPunct/>
        <w:topLinePunct w:val="0"/>
        <w:bidi w:val="0"/>
        <w:spacing w:line="576" w:lineRule="exact"/>
        <w:textAlignment w:val="auto"/>
      </w:pPr>
    </w:p>
    <w:p>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bookmarkStart w:id="63" w:name="_Toc9504"/>
      <w:bookmarkStart w:id="64" w:name="_Toc6196"/>
      <w:r>
        <w:rPr>
          <w:rFonts w:hint="eastAsia" w:ascii="黑体" w:eastAsia="黑体" w:cs="Times New Roman"/>
          <w:color w:val="000000"/>
          <w:sz w:val="44"/>
          <w:szCs w:val="44"/>
        </w:rPr>
        <w:t>第五部分 附表</w:t>
      </w:r>
      <w:bookmarkEnd w:id="63"/>
      <w:bookmarkEnd w:id="64"/>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rPr>
      </w:pPr>
      <w:bookmarkStart w:id="65" w:name="_Toc26370"/>
      <w:bookmarkStart w:id="66" w:name="_Toc12986"/>
      <w:r>
        <w:rPr>
          <w:rFonts w:hint="eastAsia" w:ascii="仿宋" w:eastAsia="仿宋" w:cs="Times New Roman"/>
          <w:b w:val="0"/>
          <w:color w:val="000000"/>
          <w:kern w:val="2"/>
          <w:sz w:val="32"/>
          <w:szCs w:val="32"/>
          <w:lang w:bidi="ar-SA"/>
        </w:rPr>
        <w:t>一、收入支出决算总表</w:t>
      </w:r>
      <w:bookmarkEnd w:id="65"/>
      <w:bookmarkEnd w:id="6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7" w:name="_Toc13591"/>
      <w:bookmarkStart w:id="68" w:name="_Toc13062"/>
      <w:r>
        <w:rPr>
          <w:rFonts w:hint="eastAsia" w:ascii="仿宋" w:eastAsia="仿宋" w:cs="Times New Roman"/>
          <w:b w:val="0"/>
          <w:color w:val="000000"/>
          <w:kern w:val="2"/>
          <w:sz w:val="32"/>
          <w:szCs w:val="32"/>
          <w:lang w:bidi="ar-SA"/>
        </w:rPr>
        <w:t>二、收入决算表</w:t>
      </w:r>
      <w:bookmarkEnd w:id="67"/>
      <w:bookmarkEnd w:id="6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69" w:name="_Toc16600"/>
      <w:bookmarkStart w:id="70" w:name="_Toc29688"/>
      <w:r>
        <w:rPr>
          <w:rFonts w:hint="eastAsia" w:ascii="仿宋" w:eastAsia="仿宋" w:cs="Times New Roman"/>
          <w:b w:val="0"/>
          <w:color w:val="000000"/>
          <w:kern w:val="2"/>
          <w:sz w:val="32"/>
          <w:szCs w:val="32"/>
          <w:lang w:bidi="ar-SA"/>
        </w:rPr>
        <w:t>三、支出决算表</w:t>
      </w:r>
      <w:bookmarkEnd w:id="69"/>
      <w:bookmarkEnd w:id="70"/>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1" w:name="_Toc26630"/>
      <w:bookmarkStart w:id="72" w:name="_Toc5964"/>
      <w:r>
        <w:rPr>
          <w:rFonts w:hint="eastAsia" w:ascii="仿宋" w:eastAsia="仿宋" w:cs="Times New Roman"/>
          <w:b w:val="0"/>
          <w:color w:val="000000"/>
          <w:kern w:val="2"/>
          <w:sz w:val="32"/>
          <w:szCs w:val="32"/>
          <w:lang w:bidi="ar-SA"/>
        </w:rPr>
        <w:t>四、财政拨款收入支出决算总表</w:t>
      </w:r>
      <w:bookmarkEnd w:id="71"/>
      <w:bookmarkEnd w:id="7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3" w:name="_Toc19934"/>
      <w:bookmarkStart w:id="74" w:name="_Toc14273"/>
      <w:r>
        <w:rPr>
          <w:rFonts w:hint="eastAsia" w:ascii="仿宋" w:eastAsia="仿宋" w:cs="Times New Roman"/>
          <w:b w:val="0"/>
          <w:color w:val="000000"/>
          <w:kern w:val="2"/>
          <w:sz w:val="32"/>
          <w:szCs w:val="32"/>
          <w:lang w:bidi="ar-SA"/>
        </w:rPr>
        <w:t>五、财政拨款支出决算明细表</w:t>
      </w:r>
      <w:bookmarkEnd w:id="73"/>
      <w:bookmarkEnd w:id="74"/>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5" w:name="_Toc6686"/>
      <w:bookmarkStart w:id="76" w:name="_Toc16449"/>
      <w:r>
        <w:rPr>
          <w:rFonts w:hint="eastAsia" w:ascii="仿宋" w:eastAsia="仿宋" w:cs="Times New Roman"/>
          <w:b w:val="0"/>
          <w:color w:val="000000"/>
          <w:kern w:val="2"/>
          <w:sz w:val="32"/>
          <w:szCs w:val="32"/>
          <w:lang w:bidi="ar-SA"/>
        </w:rPr>
        <w:t>六、一般公共预算财政拨款支出决算表</w:t>
      </w:r>
      <w:bookmarkEnd w:id="75"/>
      <w:bookmarkEnd w:id="7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7" w:name="_Toc3478"/>
      <w:bookmarkStart w:id="78" w:name="_Toc19514"/>
      <w:r>
        <w:rPr>
          <w:rFonts w:hint="eastAsia" w:ascii="仿宋" w:eastAsia="仿宋" w:cs="Times New Roman"/>
          <w:b w:val="0"/>
          <w:color w:val="000000"/>
          <w:kern w:val="2"/>
          <w:sz w:val="32"/>
          <w:szCs w:val="32"/>
          <w:lang w:bidi="ar-SA"/>
        </w:rPr>
        <w:t>七、一般公共预算财政拨款支出决算明细表</w:t>
      </w:r>
      <w:bookmarkEnd w:id="77"/>
      <w:bookmarkEnd w:id="7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79" w:name="_Toc191"/>
      <w:bookmarkStart w:id="80" w:name="_Toc17352"/>
      <w:r>
        <w:rPr>
          <w:rFonts w:hint="eastAsia" w:ascii="仿宋" w:eastAsia="仿宋" w:cs="Times New Roman"/>
          <w:b w:val="0"/>
          <w:color w:val="000000"/>
          <w:kern w:val="2"/>
          <w:sz w:val="32"/>
          <w:szCs w:val="32"/>
          <w:lang w:bidi="ar-SA"/>
        </w:rPr>
        <w:t>八、一般公共预算财政拨款基本支出决算表</w:t>
      </w:r>
      <w:bookmarkEnd w:id="79"/>
      <w:bookmarkEnd w:id="80"/>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81" w:name="_Toc5204"/>
      <w:bookmarkStart w:id="82" w:name="_Toc3726"/>
      <w:r>
        <w:rPr>
          <w:rFonts w:hint="eastAsia" w:ascii="仿宋" w:eastAsia="仿宋" w:cs="Times New Roman"/>
          <w:b w:val="0"/>
          <w:color w:val="000000"/>
          <w:kern w:val="2"/>
          <w:sz w:val="32"/>
          <w:szCs w:val="32"/>
          <w:lang w:bidi="ar-SA"/>
        </w:rPr>
        <w:t>九、一般公共预算财政拨款项目支出决算表</w:t>
      </w:r>
      <w:bookmarkEnd w:id="81"/>
      <w:bookmarkEnd w:id="82"/>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83" w:name="_Toc20056"/>
      <w:bookmarkStart w:id="84" w:name="_Toc20756"/>
      <w:r>
        <w:rPr>
          <w:rFonts w:hint="eastAsia" w:ascii="仿宋" w:eastAsia="仿宋" w:cs="Times New Roman"/>
          <w:b w:val="0"/>
          <w:color w:val="000000"/>
          <w:kern w:val="2"/>
          <w:sz w:val="32"/>
          <w:szCs w:val="32"/>
          <w:lang w:bidi="ar-SA"/>
        </w:rPr>
        <w:t>十、政府性基金预算财政拨款收入支出决算表</w:t>
      </w:r>
      <w:bookmarkEnd w:id="83"/>
      <w:bookmarkEnd w:id="84"/>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85" w:name="_Toc21387"/>
      <w:bookmarkStart w:id="86" w:name="_Toc13849"/>
      <w:r>
        <w:rPr>
          <w:rFonts w:hint="eastAsia" w:ascii="仿宋" w:eastAsia="仿宋" w:cs="Times New Roman"/>
          <w:b w:val="0"/>
          <w:color w:val="000000"/>
          <w:kern w:val="2"/>
          <w:sz w:val="32"/>
          <w:szCs w:val="32"/>
          <w:lang w:bidi="ar-SA"/>
        </w:rPr>
        <w:t>十一、国有资本经营预算财政拨款收入支出决算表</w:t>
      </w:r>
      <w:bookmarkEnd w:id="85"/>
      <w:bookmarkEnd w:id="86"/>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87" w:name="_Toc1140"/>
      <w:bookmarkStart w:id="88" w:name="_Toc13099"/>
      <w:r>
        <w:rPr>
          <w:rFonts w:hint="eastAsia" w:ascii="仿宋" w:eastAsia="仿宋" w:cs="Times New Roman"/>
          <w:b w:val="0"/>
          <w:color w:val="000000"/>
          <w:kern w:val="2"/>
          <w:sz w:val="32"/>
          <w:szCs w:val="32"/>
          <w:lang w:bidi="ar-SA"/>
        </w:rPr>
        <w:t>十二、国有资本经营预算财政拨款支出决算表</w:t>
      </w:r>
      <w:bookmarkEnd w:id="87"/>
      <w:bookmarkEnd w:id="88"/>
    </w:p>
    <w:p>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89" w:name="_Toc25065"/>
      <w:bookmarkStart w:id="90" w:name="_Toc24957"/>
      <w:r>
        <w:rPr>
          <w:rFonts w:hint="eastAsia" w:ascii="仿宋" w:eastAsia="仿宋" w:cs="Times New Roman"/>
          <w:b w:val="0"/>
          <w:color w:val="000000"/>
          <w:kern w:val="2"/>
          <w:sz w:val="32"/>
          <w:szCs w:val="32"/>
          <w:lang w:bidi="ar-SA"/>
        </w:rPr>
        <w:t>十三、财政拨款“三公”经费支出决算表</w:t>
      </w:r>
      <w:bookmarkEnd w:id="89"/>
      <w:bookmarkEnd w:id="90"/>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5"/>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1C32A"/>
    <w:multiLevelType w:val="singleLevel"/>
    <w:tmpl w:val="CA41C32A"/>
    <w:lvl w:ilvl="0" w:tentative="0">
      <w:start w:val="1"/>
      <w:numFmt w:val="chineseCounting"/>
      <w:suff w:val="nothing"/>
      <w:lvlText w:val="（%1）"/>
      <w:lvlJc w:val="left"/>
      <w:pPr>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F90F7D07"/>
    <w:multiLevelType w:val="singleLevel"/>
    <w:tmpl w:val="F90F7D07"/>
    <w:lvl w:ilvl="0" w:tentative="0">
      <w:start w:val="1"/>
      <w:numFmt w:val="chineseCounting"/>
      <w:suff w:val="nothing"/>
      <w:lvlText w:val="%1、"/>
      <w:lvlJc w:val="left"/>
      <w:pPr>
        <w:ind w:left="0" w:firstLine="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Q3Yzg2NWU0ZWU2NjUzNmU1M2YwNGIzODI3ODUxNmYifQ=="/>
  </w:docVars>
  <w:rsids>
    <w:rsidRoot w:val="00000000"/>
    <w:rsid w:val="05542810"/>
    <w:rsid w:val="139D37F3"/>
    <w:rsid w:val="1F761AB6"/>
    <w:rsid w:val="44D33084"/>
    <w:rsid w:val="4A3414FD"/>
    <w:rsid w:val="7FBC5A7C"/>
    <w:rsid w:val="B4ACFB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spacing w:before="100" w:beforeAutospacing="1" w:after="100" w:afterAutospacing="1"/>
      <w:jc w:val="left"/>
      <w:outlineLvl w:val="1"/>
    </w:pPr>
    <w:rPr>
      <w:rFonts w:ascii="宋体" w:eastAsia="宋体" w:cs="宋体"/>
      <w:b/>
      <w:bCs/>
      <w:kern w:val="0"/>
      <w:sz w:val="36"/>
      <w:szCs w:val="36"/>
      <w:lang w:val="en-US" w:eastAsia="zh-CN"/>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before="120" w:after="120"/>
      <w:jc w:val="left"/>
    </w:pPr>
    <w:rPr>
      <w:rFonts w:ascii="等线" w:eastAsia="等线"/>
      <w:b/>
      <w:bCs/>
      <w:caps/>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WPSOffice手动目录 1"/>
    <w:qFormat/>
    <w:uiPriority w:val="0"/>
    <w:rPr>
      <w:rFonts w:ascii="Times New Roman" w:hAnsi="Times New Roman" w:eastAsia="宋体" w:cs="Times New Roman"/>
      <w:sz w:val="20"/>
      <w:szCs w:val="20"/>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15">
    <w:name w:val="WPSOffice手动目录 3"/>
    <w:qFormat/>
    <w:uiPriority w:val="0"/>
    <w:pPr>
      <w:ind w:left="400" w:leftChars="400"/>
    </w:pPr>
    <w:rPr>
      <w:rFonts w:ascii="Times New Roman" w:hAnsi="Times New Roman" w:eastAsia="宋体" w:cs="Times New Roman"/>
      <w:sz w:val="20"/>
      <w:szCs w:val="20"/>
      <w:lang w:val="en-US" w:eastAsia="zh-CN" w:bidi="ar-SA"/>
    </w:rPr>
  </w:style>
  <w:style w:type="paragraph" w:customStyle="1" w:styleId="16">
    <w:name w:val="列表段落1"/>
    <w:basedOn w:val="1"/>
    <w:qFormat/>
    <w:uiPriority w:val="0"/>
    <w:pPr>
      <w:ind w:firstLine="200" w:firstLineChars="200"/>
    </w:pPr>
  </w:style>
  <w:style w:type="paragraph" w:customStyle="1" w:styleId="1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0522575"/>
          <c:y val="0.15841995"/>
          <c:w val="0.9170657"/>
          <c:h val="0.6468607"/>
        </c:manualLayout>
      </c:layout>
      <c:barChart>
        <c:barDir val="col"/>
        <c:grouping val="clustered"/>
        <c:varyColors val="0"/>
        <c:ser>
          <c:idx val="0"/>
          <c:order val="0"/>
          <c:tx>
            <c:strRef>
              <c:f>'Sheet1'!$B$1</c:f>
              <c:strCache>
                <c:ptCount val="1"/>
                <c:pt idx="0">
                  <c:v>收入</c:v>
                </c:pt>
              </c:strCache>
            </c:strRef>
          </c:tx>
          <c:spPr>
            <a:solidFill>
              <a:srgbClr val="4874CB"/>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2021年</c:v>
                </c:pt>
                <c:pt idx="1">
                  <c:v>2022年</c:v>
                </c:pt>
              </c:strCache>
            </c:strRef>
          </c:cat>
          <c:val>
            <c:numRef>
              <c:f>'Sheet1'!$B$2:$B$3</c:f>
              <c:numCache>
                <c:formatCode>General</c:formatCode>
                <c:ptCount val="2"/>
                <c:pt idx="0">
                  <c:v>255.13</c:v>
                </c:pt>
                <c:pt idx="1">
                  <c:v>161.18</c:v>
                </c:pt>
              </c:numCache>
            </c:numRef>
          </c:val>
        </c:ser>
        <c:ser>
          <c:idx val="1"/>
          <c:order val="1"/>
          <c:tx>
            <c:strRef>
              <c:f>'Sheet1'!$C$1</c:f>
              <c:strCache>
                <c:ptCount val="1"/>
                <c:pt idx="0">
                  <c:v>支出</c:v>
                </c:pt>
              </c:strCache>
            </c:strRef>
          </c:tx>
          <c:spPr>
            <a:solidFill>
              <a:srgbClr val="EE822F"/>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2021年</c:v>
                </c:pt>
                <c:pt idx="1">
                  <c:v>2022年</c:v>
                </c:pt>
              </c:strCache>
            </c:strRef>
          </c:cat>
          <c:val>
            <c:numRef>
              <c:f>'Sheet1'!$C$2:$C$3</c:f>
              <c:numCache>
                <c:formatCode>General</c:formatCode>
                <c:ptCount val="2"/>
                <c:pt idx="0">
                  <c:v>255.13</c:v>
                </c:pt>
                <c:pt idx="1">
                  <c:v>161.18</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charset="-122"/>
                <a:cs typeface="Arial" panose="020B0604020202020204" pitchFamily="2"/>
              </a:defRPr>
            </a:pPr>
            <a:r>
              <a:rPr lang="zh-CN"/>
              <a:t>收入占比</a:t>
            </a:r>
            <a:endParaRPr lang="zh-CN"/>
          </a:p>
        </c:rich>
      </c:tx>
      <c:layout/>
      <c:overlay val="0"/>
      <c:spPr>
        <a:noFill/>
        <a:ln>
          <a:noFill/>
        </a:ln>
      </c:spPr>
    </c:title>
    <c:autoTitleDeleted val="0"/>
    <c:plotArea>
      <c:layout/>
      <c:pieChart>
        <c:varyColors val="1"/>
        <c:ser>
          <c:idx val="0"/>
          <c:order val="0"/>
          <c:tx>
            <c:strRef>
              <c:f>'Sheet1 (2)'!$B$1</c:f>
              <c:strCache>
                <c:ptCount val="1"/>
                <c:pt idx="0">
                  <c:v>收入占比</c:v>
                </c:pt>
              </c:strCache>
            </c:strRef>
          </c:tx>
          <c:spPr>
            <a:solidFill>
              <a:srgbClr val="4F81BD"/>
            </a:solidFill>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Pt>
            <c:idx val="3"/>
            <c:bubble3D val="0"/>
            <c:spPr>
              <a:solidFill>
                <a:srgbClr val="75BD42"/>
              </a:solidFill>
              <a:ln w="6350">
                <a:solidFill>
                  <a:srgbClr val="FFFFFF"/>
                </a:solidFill>
                <a:prstDash val="solid"/>
              </a:ln>
            </c:spPr>
          </c:dPt>
          <c:dPt>
            <c:idx val="4"/>
            <c:bubble3D val="0"/>
            <c:spPr>
              <a:solidFill>
                <a:srgbClr val="30C0B4"/>
              </a:solidFill>
              <a:ln w="6350">
                <a:solidFill>
                  <a:srgbClr val="FFFFFF"/>
                </a:solidFill>
                <a:prstDash val="solid"/>
              </a:ln>
            </c:spPr>
          </c:dPt>
          <c:dPt>
            <c:idx val="5"/>
            <c:bubble3D val="0"/>
            <c:spPr>
              <a:solidFill>
                <a:srgbClr val="E54C5E"/>
              </a:solidFill>
              <a:ln w="6350">
                <a:solidFill>
                  <a:srgbClr val="FFFFFF"/>
                </a:solidFill>
                <a:prstDash val="solid"/>
              </a:ln>
            </c:spPr>
          </c:dPt>
          <c:dPt>
            <c:idx val="6"/>
            <c:bubble3D val="0"/>
            <c:spPr>
              <a:solidFill>
                <a:srgbClr val="254380"/>
              </a:solidFill>
              <a:ln w="6350">
                <a:solidFill>
                  <a:srgbClr val="FFFFFF"/>
                </a:solidFill>
                <a:prstDash val="solid"/>
              </a:ln>
            </c:spPr>
          </c:dPt>
          <c:dPt>
            <c:idx val="7"/>
            <c:bubble3D val="0"/>
            <c:spPr>
              <a:solidFill>
                <a:srgbClr val="9E4C0D"/>
              </a:solidFill>
              <a:ln w="6350">
                <a:solidFill>
                  <a:srgbClr val="FFFFFF"/>
                </a:solidFill>
                <a:prstDash val="solid"/>
              </a:ln>
            </c:spPr>
          </c:dPt>
          <c:dLbls>
            <c:dLbl>
              <c:idx val="0"/>
              <c:layout>
                <c:manualLayout>
                  <c:x val="-0.09422681"/>
                  <c:y val="-0.37607756"/>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(2)'!$A$2:$A$9</c:f>
              <c:strCache>
                <c:ptCount val="8"/>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pt idx="7">
                  <c:v>上级补助收入</c:v>
                </c:pt>
              </c:strCache>
            </c:strRef>
          </c:cat>
          <c:val>
            <c:numRef>
              <c:f>'Sheet1 (2)'!$B$2:$B$9</c:f>
              <c:numCache>
                <c:formatCode>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manualLayout>
          <c:xMode val="edge"/>
          <c:yMode val="edge"/>
          <c:x val="0.07530229"/>
          <c:y val="0.07767646"/>
          <c:w val="0.8691488"/>
          <c:h val="0.2254306"/>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45816"/>
          <c:y val="0.18453713"/>
          <c:w val="0.40961626"/>
          <c:h val="0.721058"/>
        </c:manualLayout>
      </c:layout>
      <c:pieChart>
        <c:varyColors val="1"/>
        <c:ser>
          <c:idx val="0"/>
          <c:order val="0"/>
          <c:tx>
            <c:strRef>
              <c:f>'Sheet1 (3)'!$B$1</c:f>
              <c:strCache>
                <c:ptCount val="1"/>
                <c:pt idx="0">
                  <c:v>销售额</c:v>
                </c:pt>
              </c:strCache>
            </c:strRef>
          </c:tx>
          <c:spPr>
            <a:solidFill>
              <a:srgbClr val="4F81BD"/>
            </a:solidFill>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Pt>
            <c:idx val="3"/>
            <c:bubble3D val="0"/>
            <c:spPr>
              <a:solidFill>
                <a:srgbClr val="75BD42"/>
              </a:solidFill>
              <a:ln w="6350">
                <a:solidFill>
                  <a:srgbClr val="FFFFFF"/>
                </a:solidFill>
                <a:prstDash val="solid"/>
              </a:ln>
            </c:spPr>
          </c:dPt>
          <c:dPt>
            <c:idx val="4"/>
            <c:bubble3D val="0"/>
            <c:spPr>
              <a:solidFill>
                <a:srgbClr val="30C0B4"/>
              </a:solidFill>
              <a:ln w="6350">
                <a:solidFill>
                  <a:srgbClr val="FFFFFF"/>
                </a:solidFill>
                <a:prstDash val="solid"/>
              </a:ln>
            </c:spPr>
          </c:dPt>
          <c:dLbls>
            <c:dLbl>
              <c:idx val="0"/>
              <c:layout>
                <c:manualLayout>
                  <c:x val="0.03967148"/>
                  <c:y val="-0.2583895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525202"/>
                  <c:y val="-0.074500516"/>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304663"/>
                  <c:y val="-0.03187420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5764678"/>
                  <c:y val="0.02222336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6240637"/>
                  <c:y val="-0.04209541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0.00%</c:formatCode>
                <c:ptCount val="5"/>
                <c:pt idx="0">
                  <c:v>0.9948</c:v>
                </c:pt>
                <c:pt idx="1">
                  <c:v>0.0052</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manualLayout>
          <c:xMode val="edge"/>
          <c:yMode val="edge"/>
          <c:x val="0.13952646"/>
          <c:y val="0.90707827"/>
          <c:w val="0.7500604"/>
          <c:h val="0.08247583"/>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0522575"/>
          <c:y val="0.15841995"/>
          <c:w val="0.9170657"/>
          <c:h val="0.6468607"/>
        </c:manualLayout>
      </c:layout>
      <c:barChart>
        <c:barDir val="col"/>
        <c:grouping val="clustered"/>
        <c:varyColors val="0"/>
        <c:ser>
          <c:idx val="0"/>
          <c:order val="0"/>
          <c:tx>
            <c:strRef>
              <c:f>'Sheet1 (4)'!$B$1</c:f>
              <c:strCache>
                <c:ptCount val="1"/>
                <c:pt idx="0">
                  <c:v>收入</c:v>
                </c:pt>
              </c:strCache>
            </c:strRef>
          </c:tx>
          <c:spPr>
            <a:solidFill>
              <a:srgbClr val="4874CB"/>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2021年</c:v>
                </c:pt>
                <c:pt idx="1">
                  <c:v>2022年</c:v>
                </c:pt>
              </c:strCache>
            </c:strRef>
          </c:cat>
          <c:val>
            <c:numRef>
              <c:f>'Sheet1 (4)'!$B$2:$B$3</c:f>
              <c:numCache>
                <c:formatCode>General</c:formatCode>
                <c:ptCount val="2"/>
                <c:pt idx="0">
                  <c:v>255.13</c:v>
                </c:pt>
                <c:pt idx="1">
                  <c:v>161.18</c:v>
                </c:pt>
              </c:numCache>
            </c:numRef>
          </c:val>
        </c:ser>
        <c:ser>
          <c:idx val="1"/>
          <c:order val="1"/>
          <c:tx>
            <c:strRef>
              <c:f>'Sheet1 (4)'!$C$1</c:f>
              <c:strCache>
                <c:ptCount val="1"/>
                <c:pt idx="0">
                  <c:v>支出</c:v>
                </c:pt>
              </c:strCache>
            </c:strRef>
          </c:tx>
          <c:spPr>
            <a:solidFill>
              <a:srgbClr val="EE822F"/>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2021年</c:v>
                </c:pt>
                <c:pt idx="1">
                  <c:v>2022年</c:v>
                </c:pt>
              </c:strCache>
            </c:strRef>
          </c:cat>
          <c:val>
            <c:numRef>
              <c:f>'Sheet1 (4)'!$C$2:$C$3</c:f>
              <c:numCache>
                <c:formatCode>General</c:formatCode>
                <c:ptCount val="2"/>
                <c:pt idx="0">
                  <c:v>255.13</c:v>
                </c:pt>
                <c:pt idx="1">
                  <c:v>161.18</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ayout>
        <c:manualLayout>
          <c:xMode val="edge"/>
          <c:yMode val="edge"/>
          <c:x val="0.3981351"/>
          <c:y val="0.91309553"/>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(5)'!$B$1</c:f>
              <c:strCache>
                <c:ptCount val="1"/>
                <c:pt idx="0">
                  <c:v>一般公共预算财政拨款支出</c:v>
                </c:pt>
              </c:strCache>
            </c:strRef>
          </c:tx>
          <c:spPr>
            <a:solidFill>
              <a:srgbClr val="4874CB"/>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(5)'!$A$2:$A$3</c:f>
              <c:strCache>
                <c:ptCount val="2"/>
                <c:pt idx="0">
                  <c:v>2021年</c:v>
                </c:pt>
                <c:pt idx="1">
                  <c:v>2022年</c:v>
                </c:pt>
              </c:strCache>
            </c:strRef>
          </c:cat>
          <c:val>
            <c:numRef>
              <c:f>'Sheet1 (5)'!$B$2:$B$3</c:f>
              <c:numCache>
                <c:formatCode>General</c:formatCode>
                <c:ptCount val="2"/>
                <c:pt idx="0">
                  <c:v>255.13</c:v>
                </c:pt>
                <c:pt idx="1">
                  <c:v>161.18</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crossAx val="0"/>
        <c:crossesAt val="1"/>
        <c:crossBetween val="between"/>
      </c:valAx>
      <c:spPr>
        <a:noFill/>
        <a:ln>
          <a:noFill/>
        </a:ln>
      </c:spPr>
    </c:plotArea>
    <c:legend>
      <c:legendPos val="b"/>
      <c:layout>
        <c:manualLayout>
          <c:xMode val="edge"/>
          <c:yMode val="edge"/>
          <c:x val="0.35508034"/>
          <c:y val="0.8780096"/>
          <c:w val="0.31182796"/>
          <c:h val="0.08942903"/>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4F81BD"/>
            </a:solidFill>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Pt>
            <c:idx val="3"/>
            <c:bubble3D val="0"/>
            <c:spPr>
              <a:solidFill>
                <a:srgbClr val="75BD42"/>
              </a:solidFill>
              <a:ln w="6350">
                <a:solidFill>
                  <a:srgbClr val="FFFFFF"/>
                </a:solidFill>
                <a:prstDash val="solid"/>
              </a:ln>
            </c:spPr>
          </c:dPt>
          <c:dPt>
            <c:idx val="4"/>
            <c:bubble3D val="0"/>
            <c:spPr>
              <a:solidFill>
                <a:srgbClr val="30C0B4"/>
              </a:solidFill>
              <a:ln w="6350">
                <a:solidFill>
                  <a:srgbClr val="FFFFFF"/>
                </a:solidFill>
                <a:prstDash val="solid"/>
              </a:ln>
            </c:spPr>
          </c:dPt>
          <c:dPt>
            <c:idx val="5"/>
            <c:bubble3D val="0"/>
            <c:spPr>
              <a:solidFill>
                <a:srgbClr val="E54C5E"/>
              </a:solidFill>
              <a:ln w="6350">
                <a:solidFill>
                  <a:srgbClr val="FFFFFF"/>
                </a:solidFill>
                <a:prstDash val="solid"/>
              </a:ln>
            </c:spPr>
          </c:dPt>
          <c:dPt>
            <c:idx val="6"/>
            <c:bubble3D val="0"/>
            <c:spPr>
              <a:solidFill>
                <a:srgbClr val="254380"/>
              </a:solidFill>
              <a:ln w="6350">
                <a:solidFill>
                  <a:srgbClr val="FFFFFF"/>
                </a:solidFill>
                <a:prstDash val="solid"/>
              </a:ln>
            </c:spPr>
          </c:dPt>
          <c:dPt>
            <c:idx val="7"/>
            <c:bubble3D val="0"/>
            <c:spPr>
              <a:solidFill>
                <a:srgbClr val="9E4C0D"/>
              </a:solidFill>
              <a:ln w="6350">
                <a:solidFill>
                  <a:srgbClr val="FFFFFF"/>
                </a:solidFill>
                <a:prstDash val="solid"/>
              </a:ln>
            </c:spPr>
          </c:dPt>
          <c:dLbls>
            <c:dLbl>
              <c:idx val="0"/>
              <c:layout>
                <c:manualLayout>
                  <c:x val="-0.1350717"/>
                  <c:y val="-0.21187598"/>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184547"/>
                  <c:y val="-0.2168593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566865"/>
                  <c:y val="0.122470714"/>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834325"/>
                  <c:y val="0.1890308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846715"/>
                  <c:y val="-0.039936103"/>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7836306"/>
                  <c:y val="-0.2308430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1038582"/>
                  <c:y val="-0.1565943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7329663"/>
                  <c:y val="-0.037348375"/>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(6)'!$A$2:$A$9</c:f>
              <c:strCache>
                <c:ptCount val="8"/>
                <c:pt idx="0">
                  <c:v>一般公共服务</c:v>
                </c:pt>
                <c:pt idx="1">
                  <c:v>公共安全</c:v>
                </c:pt>
                <c:pt idx="2">
                  <c:v>教育支出</c:v>
                </c:pt>
                <c:pt idx="3">
                  <c:v>科学技术</c:v>
                </c:pt>
                <c:pt idx="4">
                  <c:v>文化旅游体育与传媒</c:v>
                </c:pt>
                <c:pt idx="5">
                  <c:v>社会保障和就业</c:v>
                </c:pt>
                <c:pt idx="6">
                  <c:v>卫生健康类</c:v>
                </c:pt>
                <c:pt idx="7">
                  <c:v>住房保障类</c:v>
                </c:pt>
              </c:strCache>
            </c:strRef>
          </c:cat>
          <c:val>
            <c:numRef>
              <c:f>'Sheet1 (6)'!$B$2:$B$9</c:f>
              <c:numCache>
                <c:formatCode>0.00%</c:formatCode>
                <c:ptCount val="8"/>
                <c:pt idx="0">
                  <c:v>0.752</c:v>
                </c:pt>
                <c:pt idx="1">
                  <c:v>0.0052</c:v>
                </c:pt>
                <c:pt idx="2">
                  <c:v>0</c:v>
                </c:pt>
                <c:pt idx="3">
                  <c:v>0</c:v>
                </c:pt>
                <c:pt idx="4">
                  <c:v>0</c:v>
                </c:pt>
                <c:pt idx="5">
                  <c:v>0.123</c:v>
                </c:pt>
                <c:pt idx="6">
                  <c:v>0.0499</c:v>
                </c:pt>
                <c:pt idx="7">
                  <c:v>0.0699</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manualLayout>
          <c:xMode val="edge"/>
          <c:yMode val="edge"/>
          <c:x val="0.056237094"/>
          <c:y val="0.899006"/>
          <c:w val="0.940119"/>
          <c:h val="0.08714945"/>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(7)'!$B$1</c:f>
              <c:strCache>
                <c:ptCount val="1"/>
                <c:pt idx="0">
                  <c:v>“三公经费”</c:v>
                </c:pt>
              </c:strCache>
            </c:strRef>
          </c:tx>
          <c:spPr>
            <a:solidFill>
              <a:srgbClr val="4F81BD"/>
            </a:solidFill>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Lbls>
            <c:dLbl>
              <c:idx val="1"/>
              <c:layout>
                <c:manualLayout>
                  <c:x val="0.005435441"/>
                  <c:y val="-0.22091152"/>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charset="-122"/>
                    <a:cs typeface="Arial" panose="020B0604020202020204" pitchFamily="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因公出国（境）费支出</c:v>
                </c:pt>
                <c:pt idx="1">
                  <c:v>公务用车购置及运行维护费支出</c:v>
                </c:pt>
                <c:pt idx="2">
                  <c:v>公务接待费支出</c:v>
                </c:pt>
              </c:strCache>
            </c:strRef>
          </c:cat>
          <c:val>
            <c:numRef>
              <c:f>'Sheet1 (7)'!$B$2:$B$4</c:f>
              <c:numCache>
                <c:formatCode>0%</c:formatCode>
                <c:ptCount val="3"/>
                <c:pt idx="0">
                  <c:v>0</c:v>
                </c:pt>
                <c:pt idx="1">
                  <c:v>1</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manualLayout>
          <c:xMode val="edge"/>
          <c:yMode val="edge"/>
          <c:x val="0.046871226"/>
          <c:y val="0.92286444"/>
          <c:w val="0.8897077"/>
          <c:h val="0.070760734"/>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26</Pages>
  <Words>8295</Words>
  <Characters>8936</Characters>
  <Lines>475</Lines>
  <Paragraphs>207</Paragraphs>
  <TotalTime>5</TotalTime>
  <ScaleCrop>false</ScaleCrop>
  <LinksUpToDate>false</LinksUpToDate>
  <CharactersWithSpaces>9085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2023-09-06T14:12:00Z</dcterms:created>
  <dc:creator>@*</dc:creator>
  <cp:lastModifiedBy>user</cp:lastModifiedBy>
  <cp:lastPrinted>2023-09-12T15:25:00Z</cp:lastPrinted>
  <dcterms:modified xsi:type="dcterms:W3CDTF">2026-05-15T09:15:27Z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60530563F2F14D449207FE73F11C59F2_13</vt:lpwstr>
  </property>
</Properties>
</file>