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ACBE1">
      <w:pPr>
        <w:pStyle w:val="6"/>
        <w:jc w:val="center"/>
        <w:rPr>
          <w:rFonts w:hint="eastAsia" w:ascii="方正小标宋简体" w:eastAsia="方正小标宋简体" w:cs="Times New Roman"/>
          <w:color w:val="auto"/>
          <w:kern w:val="2"/>
          <w:sz w:val="72"/>
          <w:szCs w:val="72"/>
          <w:highlight w:val="none"/>
          <w:lang w:val="en-US" w:eastAsia="zh-CN" w:bidi="ar-SA"/>
        </w:rPr>
      </w:pPr>
    </w:p>
    <w:p w14:paraId="6FF321C8">
      <w:pPr>
        <w:pStyle w:val="6"/>
        <w:jc w:val="center"/>
        <w:rPr>
          <w:rFonts w:hint="eastAsia" w:ascii="方正小标宋简体" w:eastAsia="方正小标宋简体" w:cs="Times New Roman"/>
          <w:color w:val="auto"/>
          <w:kern w:val="2"/>
          <w:sz w:val="72"/>
          <w:szCs w:val="72"/>
          <w:highlight w:val="none"/>
          <w:lang w:val="en-US" w:eastAsia="zh-CN" w:bidi="ar-SA"/>
        </w:rPr>
      </w:pPr>
    </w:p>
    <w:p w14:paraId="53FA65B6">
      <w:pPr>
        <w:pStyle w:val="6"/>
        <w:jc w:val="center"/>
        <w:rPr>
          <w:rFonts w:hint="eastAsia" w:ascii="方正小标宋简体" w:eastAsia="方正小标宋简体" w:cs="Times New Roman"/>
          <w:color w:val="auto"/>
          <w:kern w:val="2"/>
          <w:sz w:val="72"/>
          <w:szCs w:val="72"/>
          <w:highlight w:val="none"/>
          <w:lang w:val="en-US" w:eastAsia="zh-CN" w:bidi="ar-SA"/>
        </w:rPr>
      </w:pPr>
      <w:r>
        <w:rPr>
          <w:rFonts w:hint="eastAsia" w:ascii="方正小标宋简体" w:eastAsia="方正小标宋简体" w:cs="Times New Roman"/>
          <w:color w:val="auto"/>
          <w:kern w:val="2"/>
          <w:sz w:val="72"/>
          <w:szCs w:val="72"/>
          <w:highlight w:val="none"/>
          <w:lang w:val="en-US" w:eastAsia="zh-CN" w:bidi="ar-SA"/>
        </w:rPr>
        <w:t>2023年度</w:t>
      </w:r>
      <w:bookmarkStart w:id="0" w:name="_Toc15396476"/>
      <w:bookmarkStart w:id="1" w:name="_Toc15377426"/>
      <w:bookmarkStart w:id="2" w:name="_Toc15378442"/>
      <w:bookmarkStart w:id="3" w:name="_Toc15377194"/>
      <w:bookmarkStart w:id="4" w:name="_Toc15396598"/>
      <w:r>
        <w:rPr>
          <w:rFonts w:hint="eastAsia" w:ascii="方正小标宋简体" w:eastAsia="方正小标宋简体" w:cs="Times New Roman"/>
          <w:color w:val="auto"/>
          <w:kern w:val="2"/>
          <w:sz w:val="72"/>
          <w:szCs w:val="72"/>
          <w:highlight w:val="none"/>
          <w:lang w:val="en-US" w:eastAsia="zh-CN" w:bidi="ar-SA"/>
        </w:rPr>
        <w:t>四川省阿坝州</w:t>
      </w:r>
    </w:p>
    <w:p w14:paraId="76DB7AC1">
      <w:pPr>
        <w:pStyle w:val="6"/>
        <w:jc w:val="center"/>
        <w:rPr>
          <w:rFonts w:hint="eastAsia" w:ascii="方正小标宋简体" w:eastAsia="方正小标宋简体" w:cs="Times New Roman"/>
          <w:color w:val="auto"/>
          <w:kern w:val="2"/>
          <w:sz w:val="72"/>
          <w:szCs w:val="72"/>
          <w:highlight w:val="none"/>
          <w:lang w:val="en-US" w:eastAsia="zh-CN" w:bidi="ar-SA"/>
        </w:rPr>
      </w:pPr>
      <w:r>
        <w:rPr>
          <w:rFonts w:hint="eastAsia" w:ascii="方正小标宋简体" w:eastAsia="方正小标宋简体" w:cs="Times New Roman"/>
          <w:color w:val="auto"/>
          <w:kern w:val="2"/>
          <w:sz w:val="72"/>
          <w:szCs w:val="72"/>
          <w:highlight w:val="none"/>
          <w:lang w:val="en-US" w:eastAsia="zh-CN" w:bidi="ar-SA"/>
        </w:rPr>
        <w:t>茂县</w:t>
      </w:r>
      <w:bookmarkStart w:id="5" w:name="_Toc15306268"/>
      <w:r>
        <w:rPr>
          <w:rFonts w:hint="eastAsia" w:ascii="方正小标宋简体" w:eastAsia="方正小标宋简体" w:cs="Times New Roman"/>
          <w:color w:val="auto"/>
          <w:kern w:val="2"/>
          <w:sz w:val="72"/>
          <w:szCs w:val="72"/>
          <w:highlight w:val="none"/>
          <w:lang w:val="en-US" w:eastAsia="zh-CN" w:bidi="ar-SA"/>
        </w:rPr>
        <w:t>工业服务中心</w:t>
      </w:r>
    </w:p>
    <w:p w14:paraId="244C1E7E">
      <w:pPr>
        <w:pStyle w:val="6"/>
        <w:jc w:val="center"/>
        <w:rPr>
          <w:rFonts w:hint="eastAsia" w:ascii="方正小标宋简体" w:eastAsia="方正小标宋简体" w:cs="Times New Roman"/>
          <w:color w:val="auto"/>
          <w:kern w:val="2"/>
          <w:sz w:val="44"/>
          <w:szCs w:val="44"/>
          <w:highlight w:val="none"/>
          <w:lang w:val="en-US" w:eastAsia="zh-CN" w:bidi="ar-SA"/>
        </w:rPr>
      </w:pPr>
      <w:r>
        <w:rPr>
          <w:rFonts w:hint="eastAsia" w:ascii="方正小标宋简体" w:eastAsia="方正小标宋简体" w:cs="Times New Roman"/>
          <w:color w:val="auto"/>
          <w:kern w:val="2"/>
          <w:sz w:val="72"/>
          <w:szCs w:val="72"/>
          <w:highlight w:val="none"/>
          <w:lang w:val="en-US" w:eastAsia="zh-CN" w:bidi="ar-SA"/>
        </w:rPr>
        <w:t>部门决算</w:t>
      </w:r>
      <w:bookmarkEnd w:id="0"/>
      <w:bookmarkEnd w:id="1"/>
      <w:bookmarkEnd w:id="2"/>
      <w:bookmarkEnd w:id="3"/>
      <w:bookmarkEnd w:id="4"/>
      <w:bookmarkEnd w:id="5"/>
    </w:p>
    <w:p w14:paraId="1ABEF0BE">
      <w:pPr>
        <w:widowControl/>
        <w:suppressAutoHyphens/>
        <w:jc w:val="center"/>
        <w:rPr>
          <w:rFonts w:hint="eastAsia" w:ascii="黑体" w:eastAsia="黑体"/>
          <w:color w:val="auto"/>
          <w:sz w:val="48"/>
          <w:szCs w:val="48"/>
          <w:highlight w:val="none"/>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16926571">
      <w:pPr>
        <w:widowControl/>
        <w:suppressAutoHyphens/>
        <w:jc w:val="center"/>
        <w:rPr>
          <w:rFonts w:ascii="黑体" w:eastAsia="黑体"/>
          <w:color w:val="auto"/>
          <w:sz w:val="48"/>
          <w:szCs w:val="48"/>
          <w:highlight w:val="none"/>
        </w:rPr>
      </w:pPr>
      <w:r>
        <w:rPr>
          <w:rFonts w:hint="eastAsia" w:ascii="黑体" w:eastAsia="黑体"/>
          <w:color w:val="auto"/>
          <w:sz w:val="48"/>
          <w:szCs w:val="48"/>
          <w:highlight w:val="none"/>
        </w:rPr>
        <w:t>目录</w:t>
      </w:r>
    </w:p>
    <w:p w14:paraId="1AD56898">
      <w:pPr>
        <w:widowControl/>
        <w:suppressAutoHyphens/>
        <w:jc w:val="center"/>
        <w:rPr>
          <w:rFonts w:ascii="黑体" w:eastAsia="黑体" w:cs="Times New Roman"/>
          <w:color w:val="auto"/>
          <w:sz w:val="28"/>
          <w:szCs w:val="28"/>
          <w:highlight w:val="none"/>
        </w:rPr>
      </w:pPr>
    </w:p>
    <w:p w14:paraId="1805F1E6">
      <w:pPr>
        <w:pStyle w:val="11"/>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14:paraId="158DA531">
      <w:pPr>
        <w:rPr>
          <w:color w:val="auto"/>
          <w:highlight w:val="none"/>
        </w:rPr>
      </w:pPr>
    </w:p>
    <w:p w14:paraId="3D09DBCD">
      <w:pPr>
        <w:pStyle w:val="11"/>
        <w:adjustRightInd w:val="0"/>
        <w:snapToGrid w:val="0"/>
        <w:spacing w:before="0" w:line="440" w:lineRule="exact"/>
        <w:jc w:val="left"/>
        <w:rPr>
          <w:rFonts w:hint="eastAsia" w:eastAsia="仿宋" w:cs="Times New Roman"/>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tab/>
      </w:r>
      <w:r>
        <w:rPr>
          <w:rFonts w:hint="eastAsia" w:ascii="Calibri" w:hAnsi="Calibri" w:eastAsia="宋体" w:cs="Times New Roman"/>
          <w:color w:val="auto"/>
          <w:kern w:val="2"/>
          <w:sz w:val="21"/>
          <w:szCs w:val="24"/>
          <w:lang w:val="en-US" w:eastAsia="zh-CN" w:bidi="ar-SA"/>
        </w:rPr>
        <w:t>1</w:t>
      </w:r>
    </w:p>
    <w:p w14:paraId="44C5D34E">
      <w:pPr>
        <w:pStyle w:val="12"/>
        <w:adjustRightInd w:val="0"/>
        <w:snapToGrid w:val="0"/>
        <w:spacing w:line="440" w:lineRule="exact"/>
        <w:jc w:val="left"/>
        <w:rPr>
          <w:rFonts w:hint="eastAsia" w:ascii="仿宋" w:hAnsi="仿宋"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eastAsia="zh-CN"/>
        </w:rPr>
        <w:t>部门职责</w:t>
      </w:r>
      <w:r>
        <w:tab/>
      </w:r>
      <w:r>
        <w:rPr>
          <w:rFonts w:hint="eastAsia"/>
          <w:lang w:val="en-US" w:eastAsia="zh-CN"/>
        </w:rPr>
        <w:t>1</w:t>
      </w:r>
    </w:p>
    <w:p w14:paraId="36E37638">
      <w:pPr>
        <w:pStyle w:val="12"/>
        <w:adjustRightInd w:val="0"/>
        <w:snapToGrid w:val="0"/>
        <w:spacing w:line="440" w:lineRule="exact"/>
        <w:jc w:val="left"/>
        <w:rPr>
          <w:rFonts w:hint="eastAsia" w:ascii="仿宋" w:hAnsi="仿宋" w:eastAsia="宋体" w:cs="Times New Roman"/>
          <w:color w:val="auto"/>
          <w:sz w:val="24"/>
          <w:highlight w:val="none"/>
          <w:lang w:val="en-US" w:eastAsia="zh-CN"/>
        </w:rPr>
      </w:pPr>
      <w:r>
        <w:rPr>
          <w:rFonts w:hint="eastAsia"/>
          <w:color w:val="auto"/>
          <w:sz w:val="24"/>
          <w:highlight w:val="none"/>
        </w:rPr>
        <w:t>二、机构设置</w:t>
      </w:r>
      <w:r>
        <w:tab/>
      </w:r>
      <w:r>
        <w:rPr>
          <w:rFonts w:hint="eastAsia"/>
          <w:lang w:val="en-US" w:eastAsia="zh-CN"/>
        </w:rPr>
        <w:t>2</w:t>
      </w:r>
    </w:p>
    <w:p w14:paraId="66799B0D">
      <w:pPr>
        <w:pStyle w:val="11"/>
        <w:adjustRightInd w:val="0"/>
        <w:snapToGrid w:val="0"/>
        <w:spacing w:before="0" w:line="440" w:lineRule="exact"/>
        <w:jc w:val="left"/>
        <w:rPr>
          <w:rFonts w:hint="eastAsia"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2023年度</w:t>
      </w:r>
      <w:r>
        <w:rPr>
          <w:rFonts w:hint="eastAsia"/>
          <w:color w:val="auto"/>
          <w:sz w:val="24"/>
          <w:highlight w:val="none"/>
        </w:rPr>
        <w:t>部门决算情况说明</w:t>
      </w:r>
      <w:r>
        <w:tab/>
      </w:r>
      <w:r>
        <w:rPr>
          <w:rFonts w:hint="eastAsia" w:ascii="Calibri" w:hAnsi="Calibri" w:eastAsia="宋体" w:cs="Times New Roman"/>
          <w:color w:val="auto"/>
          <w:kern w:val="2"/>
          <w:sz w:val="21"/>
          <w:szCs w:val="24"/>
          <w:lang w:val="en-US" w:eastAsia="zh-CN" w:bidi="ar-SA"/>
        </w:rPr>
        <w:t>3</w:t>
      </w:r>
    </w:p>
    <w:p w14:paraId="61A891AE">
      <w:pPr>
        <w:pStyle w:val="12"/>
        <w:adjustRightInd w:val="0"/>
        <w:snapToGrid w:val="0"/>
        <w:spacing w:line="440" w:lineRule="exact"/>
        <w:jc w:val="left"/>
        <w:rPr>
          <w:rFonts w:hint="eastAsia" w:ascii="仿宋" w:hAnsi="仿宋" w:eastAsia="宋体" w:cs="Times New Roman"/>
          <w:color w:val="auto"/>
          <w:sz w:val="24"/>
          <w:highlight w:val="none"/>
          <w:lang w:val="en-US" w:eastAsia="zh-CN"/>
        </w:rPr>
      </w:pPr>
      <w:r>
        <w:rPr>
          <w:rFonts w:hint="eastAsia"/>
          <w:color w:val="auto"/>
          <w:sz w:val="24"/>
          <w:highlight w:val="none"/>
        </w:rPr>
        <w:t>一、收入支出决算总体情况说明</w:t>
      </w:r>
      <w:r>
        <w:tab/>
      </w:r>
      <w:r>
        <w:rPr>
          <w:rFonts w:hint="eastAsia"/>
          <w:lang w:val="en-US" w:eastAsia="zh-CN"/>
        </w:rPr>
        <w:t>3</w:t>
      </w:r>
    </w:p>
    <w:p w14:paraId="0C2630E4">
      <w:pPr>
        <w:pStyle w:val="12"/>
        <w:adjustRightInd w:val="0"/>
        <w:snapToGrid w:val="0"/>
        <w:spacing w:line="440" w:lineRule="exact"/>
        <w:jc w:val="left"/>
        <w:rPr>
          <w:rFonts w:hint="eastAsia" w:ascii="仿宋" w:hAnsi="仿宋" w:eastAsia="宋体" w:cs="Times New Roman"/>
          <w:color w:val="auto"/>
          <w:sz w:val="24"/>
          <w:highlight w:val="none"/>
          <w:lang w:val="en-US" w:eastAsia="zh-CN"/>
        </w:rPr>
      </w:pPr>
      <w:r>
        <w:rPr>
          <w:rFonts w:hint="eastAsia"/>
          <w:color w:val="auto"/>
          <w:sz w:val="24"/>
          <w:highlight w:val="none"/>
        </w:rPr>
        <w:t>二、收入决算情况说明</w:t>
      </w:r>
      <w:r>
        <w:tab/>
      </w:r>
      <w:r>
        <w:rPr>
          <w:rFonts w:hint="eastAsia"/>
          <w:lang w:val="en-US" w:eastAsia="zh-CN"/>
        </w:rPr>
        <w:t>3</w:t>
      </w:r>
    </w:p>
    <w:p w14:paraId="5A96A116">
      <w:pPr>
        <w:pStyle w:val="12"/>
        <w:adjustRightInd w:val="0"/>
        <w:snapToGrid w:val="0"/>
        <w:spacing w:line="440" w:lineRule="exact"/>
        <w:jc w:val="left"/>
        <w:rPr>
          <w:rFonts w:hint="eastAsia" w:ascii="仿宋" w:hAnsi="仿宋" w:eastAsia="宋体" w:cs="Times New Roman"/>
          <w:color w:val="auto"/>
          <w:sz w:val="24"/>
          <w:highlight w:val="none"/>
          <w:lang w:val="en-US" w:eastAsia="zh-CN"/>
        </w:rPr>
      </w:pPr>
      <w:r>
        <w:rPr>
          <w:rFonts w:hint="eastAsia"/>
          <w:color w:val="auto"/>
          <w:sz w:val="24"/>
          <w:highlight w:val="none"/>
        </w:rPr>
        <w:t>三、支出决算情况说明</w:t>
      </w:r>
      <w:r>
        <w:tab/>
      </w:r>
      <w:r>
        <w:rPr>
          <w:rFonts w:hint="eastAsia"/>
          <w:lang w:val="en-US" w:eastAsia="zh-CN"/>
        </w:rPr>
        <w:t>4</w:t>
      </w:r>
    </w:p>
    <w:p w14:paraId="3EBBC8C1">
      <w:pPr>
        <w:pStyle w:val="12"/>
        <w:adjustRightInd w:val="0"/>
        <w:snapToGrid w:val="0"/>
        <w:spacing w:line="440" w:lineRule="exact"/>
        <w:jc w:val="left"/>
        <w:rPr>
          <w:rFonts w:hint="eastAsia" w:ascii="仿宋" w:hAnsi="仿宋" w:eastAsia="宋体" w:cs="Times New Roman"/>
          <w:color w:val="auto"/>
          <w:sz w:val="24"/>
          <w:highlight w:val="none"/>
          <w:lang w:val="en-US" w:eastAsia="zh-CN"/>
        </w:rPr>
      </w:pPr>
      <w:r>
        <w:rPr>
          <w:rFonts w:hint="eastAsia"/>
          <w:color w:val="auto"/>
          <w:sz w:val="24"/>
          <w:highlight w:val="none"/>
        </w:rPr>
        <w:t>四、财政拨款收入支出决算总体情况说明</w:t>
      </w:r>
      <w:r>
        <w:tab/>
      </w:r>
      <w:r>
        <w:rPr>
          <w:rFonts w:hint="eastAsia"/>
          <w:lang w:val="en-US" w:eastAsia="zh-CN"/>
        </w:rPr>
        <w:t>5</w:t>
      </w:r>
    </w:p>
    <w:p w14:paraId="559D0A62">
      <w:pPr>
        <w:pStyle w:val="12"/>
        <w:adjustRightInd w:val="0"/>
        <w:snapToGrid w:val="0"/>
        <w:spacing w:line="440" w:lineRule="exact"/>
        <w:jc w:val="left"/>
        <w:rPr>
          <w:rFonts w:hint="eastAsia" w:ascii="仿宋" w:hAnsi="仿宋" w:eastAsia="宋体" w:cs="Times New Roman"/>
          <w:color w:val="auto"/>
          <w:sz w:val="24"/>
          <w:highlight w:val="none"/>
          <w:lang w:val="en-US" w:eastAsia="zh-CN"/>
        </w:rPr>
      </w:pPr>
      <w:r>
        <w:rPr>
          <w:rFonts w:hint="eastAsia"/>
          <w:color w:val="auto"/>
          <w:sz w:val="24"/>
          <w:highlight w:val="none"/>
        </w:rPr>
        <w:t>五、一般公共预算财政拨款支出决算情况说明</w:t>
      </w:r>
      <w:r>
        <w:tab/>
      </w:r>
      <w:r>
        <w:rPr>
          <w:rFonts w:hint="eastAsia"/>
          <w:lang w:val="en-US" w:eastAsia="zh-CN"/>
        </w:rPr>
        <w:t>5</w:t>
      </w:r>
    </w:p>
    <w:p w14:paraId="663D10F4">
      <w:pPr>
        <w:pStyle w:val="12"/>
        <w:adjustRightInd w:val="0"/>
        <w:snapToGrid w:val="0"/>
        <w:spacing w:line="440" w:lineRule="exact"/>
        <w:jc w:val="left"/>
        <w:rPr>
          <w:rFonts w:hint="eastAsia" w:ascii="仿宋" w:hAnsi="仿宋" w:eastAsia="宋体" w:cs="Times New Roman"/>
          <w:color w:val="auto"/>
          <w:sz w:val="24"/>
          <w:highlight w:val="none"/>
          <w:lang w:val="en-US" w:eastAsia="zh-CN"/>
        </w:rPr>
      </w:pPr>
      <w:r>
        <w:rPr>
          <w:rFonts w:hint="eastAsia"/>
          <w:color w:val="auto"/>
          <w:sz w:val="24"/>
          <w:highlight w:val="none"/>
        </w:rPr>
        <w:t>六、一般公共预算财政拨款基本支出决算情况说明</w:t>
      </w:r>
      <w:r>
        <w:tab/>
      </w:r>
      <w:r>
        <w:rPr>
          <w:rFonts w:hint="eastAsia"/>
          <w:lang w:val="en-US" w:eastAsia="zh-CN"/>
        </w:rPr>
        <w:t>8</w:t>
      </w:r>
    </w:p>
    <w:p w14:paraId="3C720CCB">
      <w:pPr>
        <w:pStyle w:val="12"/>
        <w:adjustRightInd w:val="0"/>
        <w:snapToGrid w:val="0"/>
        <w:spacing w:line="440" w:lineRule="exact"/>
        <w:jc w:val="left"/>
        <w:rPr>
          <w:rFonts w:hint="eastAsia" w:ascii="仿宋" w:hAnsi="仿宋" w:eastAsia="宋体"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tab/>
      </w:r>
      <w:r>
        <w:rPr>
          <w:rFonts w:hint="eastAsia"/>
          <w:lang w:val="en-US" w:eastAsia="zh-CN"/>
        </w:rPr>
        <w:t>8</w:t>
      </w:r>
    </w:p>
    <w:p w14:paraId="45DC9F76">
      <w:pPr>
        <w:pStyle w:val="12"/>
        <w:adjustRightInd w:val="0"/>
        <w:snapToGrid w:val="0"/>
        <w:spacing w:line="440" w:lineRule="exact"/>
        <w:jc w:val="left"/>
        <w:rPr>
          <w:rFonts w:ascii="仿宋" w:hAnsi="仿宋" w:eastAsia="宋体" w:cs="Times New Roman"/>
          <w:color w:val="auto"/>
          <w:sz w:val="24"/>
          <w:highlight w:val="none"/>
          <w:lang w:val="en-US" w:eastAsia="zh-CN"/>
        </w:rPr>
      </w:pPr>
      <w:r>
        <w:rPr>
          <w:rFonts w:hint="eastAsia"/>
          <w:color w:val="auto"/>
          <w:sz w:val="24"/>
          <w:highlight w:val="none"/>
        </w:rPr>
        <w:t>八、政府性基金预算支出决算情况说明</w:t>
      </w:r>
      <w:r>
        <w:tab/>
      </w:r>
      <w:r>
        <w:rPr>
          <w:rFonts w:hint="eastAsia" w:ascii="Calibri" w:hAnsi="Calibri" w:eastAsia="宋体" w:cs="Times New Roman"/>
          <w:color w:val="auto"/>
          <w:kern w:val="2"/>
          <w:sz w:val="21"/>
          <w:szCs w:val="24"/>
          <w:lang w:val="en-US" w:eastAsia="zh-CN" w:bidi="ar-SA"/>
        </w:rPr>
        <w:t>10</w:t>
      </w:r>
    </w:p>
    <w:p w14:paraId="1FA03EDB">
      <w:pPr>
        <w:pStyle w:val="12"/>
        <w:adjustRightInd w:val="0"/>
        <w:snapToGrid w:val="0"/>
        <w:spacing w:line="440" w:lineRule="exact"/>
        <w:ind w:left="0" w:leftChars="0"/>
        <w:jc w:val="left"/>
        <w:rPr>
          <w:rFonts w:ascii="宋体" w:eastAsia="宋体" w:cs="宋体"/>
          <w:color w:val="auto"/>
          <w:sz w:val="24"/>
          <w:highlight w:val="none"/>
          <w:lang w:val="en-US" w:eastAsia="zh-CN"/>
        </w:rPr>
      </w:pPr>
      <w:r>
        <w:rPr>
          <w:rFonts w:hint="eastAsia" w:ascii="宋体" w:eastAsia="宋体" w:cs="宋体"/>
          <w:color w:val="auto"/>
          <w:sz w:val="24"/>
          <w:highlight w:val="none"/>
        </w:rPr>
        <w:t>九、</w:t>
      </w:r>
      <w:r>
        <w:rPr>
          <w:rFonts w:hint="eastAsia" w:ascii="宋体" w:eastAsia="宋体" w:cs="宋体"/>
          <w:color w:val="auto"/>
          <w:sz w:val="24"/>
          <w:highlight w:val="none"/>
          <w:lang w:eastAsia="zh-CN"/>
        </w:rPr>
        <w:t>国</w:t>
      </w:r>
      <w:r>
        <w:rPr>
          <w:rFonts w:hint="eastAsia" w:ascii="宋体" w:eastAsia="宋体" w:cs="宋体"/>
          <w:color w:val="auto"/>
          <w:sz w:val="24"/>
          <w:highlight w:val="none"/>
        </w:rPr>
        <w:t>有资本经营预算支出决算情况说明</w:t>
      </w:r>
      <w:r>
        <w:tab/>
      </w:r>
      <w:r>
        <w:rPr>
          <w:rFonts w:hint="eastAsia"/>
          <w:lang w:val="en-US" w:eastAsia="zh-CN"/>
        </w:rPr>
        <w:t>10</w:t>
      </w:r>
    </w:p>
    <w:p w14:paraId="45729970">
      <w:pPr>
        <w:keepNext w:val="0"/>
        <w:keepLines w:val="0"/>
        <w:pageBreakBefore w:val="0"/>
        <w:widowControl w:val="0"/>
        <w:suppressAutoHyphens/>
        <w:kinsoku/>
        <w:wordWrap/>
        <w:overflowPunct/>
        <w:topLinePunct w:val="0"/>
        <w:autoSpaceDE/>
        <w:autoSpaceDN/>
        <w:bidi w:val="0"/>
        <w:adjustRightInd w:val="0"/>
        <w:snapToGrid w:val="0"/>
        <w:spacing w:line="440" w:lineRule="exact"/>
        <w:ind w:left="0" w:firstLine="420" w:firstLineChars="175"/>
        <w:jc w:val="left"/>
        <w:textAlignment w:val="auto"/>
        <w:rPr>
          <w:rFonts w:ascii="宋体" w:eastAsia="宋体" w:cs="宋体"/>
          <w:color w:val="auto"/>
          <w:sz w:val="24"/>
          <w:highlight w:val="none"/>
          <w:lang w:val="en-US" w:eastAsia="zh-CN"/>
        </w:rPr>
      </w:pPr>
      <w:r>
        <w:rPr>
          <w:rStyle w:val="16"/>
          <w:rFonts w:hint="eastAsia" w:ascii="宋体" w:eastAsia="宋体" w:cs="宋体"/>
          <w:color w:val="auto"/>
          <w:sz w:val="24"/>
          <w:highlight w:val="none"/>
          <w:u w:val="none"/>
          <w:lang w:eastAsia="zh-CN"/>
        </w:rPr>
        <w:t>十</w:t>
      </w:r>
      <w:r>
        <w:rPr>
          <w:rStyle w:val="16"/>
          <w:rFonts w:hint="eastAsia" w:ascii="宋体" w:eastAsia="宋体" w:cs="宋体"/>
          <w:color w:val="auto"/>
          <w:sz w:val="24"/>
          <w:highlight w:val="none"/>
          <w:u w:val="none"/>
        </w:rPr>
        <w:t>、</w:t>
      </w:r>
      <w:r>
        <w:rPr>
          <w:rFonts w:hint="eastAsia" w:ascii="宋体" w:eastAsia="宋体" w:cs="宋体"/>
          <w:color w:val="auto"/>
          <w:sz w:val="24"/>
          <w:highlight w:val="none"/>
        </w:rPr>
        <w:t>其他重要事项的情况说明</w:t>
      </w:r>
      <w:r>
        <w:rPr>
          <w:rFonts w:ascii="Arial" w:hAnsi="Arial" w:eastAsia="宋体" w:cs="Arial"/>
          <w:color w:val="auto"/>
          <w:sz w:val="24"/>
          <w:highlight w:val="none"/>
        </w:rPr>
        <w:t>…………………………………………………</w:t>
      </w:r>
      <w:r>
        <w:rPr>
          <w:rFonts w:hint="eastAsia" w:ascii="Calibri" w:hAnsi="Calibri" w:eastAsia="宋体" w:cs="Times New Roman"/>
          <w:color w:val="auto"/>
          <w:kern w:val="2"/>
          <w:sz w:val="21"/>
          <w:szCs w:val="24"/>
          <w:lang w:val="en-US" w:eastAsia="zh-CN" w:bidi="ar-SA"/>
        </w:rPr>
        <w:t>10</w:t>
      </w:r>
    </w:p>
    <w:p w14:paraId="7370F4DF">
      <w:pPr>
        <w:pStyle w:val="11"/>
        <w:adjustRightInd w:val="0"/>
        <w:snapToGrid w:val="0"/>
        <w:spacing w:before="0" w:line="440" w:lineRule="exact"/>
        <w:jc w:val="left"/>
        <w:rPr>
          <w:rFonts w:eastAsia="仿宋" w:cs="Times New Roman"/>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tab/>
      </w:r>
      <w:r>
        <w:rPr>
          <w:rFonts w:hint="eastAsia" w:ascii="Calibri" w:hAnsi="Calibri" w:eastAsia="宋体" w:cs="Times New Roman"/>
          <w:color w:val="auto"/>
          <w:kern w:val="2"/>
          <w:sz w:val="21"/>
          <w:szCs w:val="24"/>
          <w:lang w:val="en-US" w:eastAsia="zh-CN" w:bidi="ar-SA"/>
        </w:rPr>
        <w:t>12</w:t>
      </w:r>
    </w:p>
    <w:p w14:paraId="241077F7">
      <w:pPr>
        <w:pStyle w:val="11"/>
        <w:adjustRightInd w:val="0"/>
        <w:snapToGrid w:val="0"/>
        <w:spacing w:before="0" w:line="440" w:lineRule="exact"/>
        <w:jc w:val="left"/>
        <w:rPr>
          <w:rFonts w:eastAsia="仿宋" w:cs="Times New Roman"/>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tab/>
      </w:r>
      <w:r>
        <w:rPr>
          <w:rFonts w:hint="eastAsia" w:ascii="Calibri" w:hAnsi="Calibri" w:eastAsia="宋体" w:cs="Times New Roman"/>
          <w:color w:val="auto"/>
          <w:kern w:val="2"/>
          <w:sz w:val="21"/>
          <w:szCs w:val="24"/>
          <w:lang w:val="en-US" w:eastAsia="zh-CN" w:bidi="ar-SA"/>
        </w:rPr>
        <w:t>15</w:t>
      </w:r>
    </w:p>
    <w:p w14:paraId="3612DE75">
      <w:pPr>
        <w:pStyle w:val="11"/>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tab/>
      </w:r>
      <w:r>
        <w:rPr>
          <w:rFonts w:hint="eastAsia" w:ascii="Calibri" w:eastAsia="宋体" w:cs="Times New Roman"/>
          <w:color w:val="auto"/>
          <w:kern w:val="2"/>
          <w:sz w:val="21"/>
          <w:szCs w:val="24"/>
          <w:lang w:val="en-US" w:eastAsia="zh-CN" w:bidi="ar-SA"/>
        </w:rPr>
        <w:t>32</w:t>
      </w:r>
    </w:p>
    <w:p w14:paraId="6D0EDB46">
      <w:pPr>
        <w:pStyle w:val="12"/>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7948F443">
      <w:pPr>
        <w:pStyle w:val="12"/>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5F5BE7F9">
      <w:pPr>
        <w:pStyle w:val="12"/>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584907ED">
      <w:pPr>
        <w:pStyle w:val="12"/>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14720881">
      <w:pPr>
        <w:pStyle w:val="12"/>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63608133">
      <w:pPr>
        <w:pStyle w:val="12"/>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232C48F8">
      <w:pPr>
        <w:pStyle w:val="12"/>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1344B139">
      <w:pPr>
        <w:pStyle w:val="12"/>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6CFDAF55">
      <w:pPr>
        <w:pStyle w:val="12"/>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4A8C8012">
      <w:pPr>
        <w:pStyle w:val="12"/>
        <w:adjustRightInd w:val="0"/>
        <w:snapToGrid w:val="0"/>
        <w:spacing w:line="440" w:lineRule="exact"/>
        <w:jc w:val="left"/>
        <w:rPr>
          <w:rFonts w:hint="eastAsia"/>
          <w:color w:val="auto"/>
          <w:sz w:val="24"/>
          <w:highlight w:val="none"/>
        </w:rPr>
        <w:sectPr>
          <w:footerReference r:id="rId5" w:type="default"/>
          <w:pgSz w:w="11906" w:h="16838"/>
          <w:pgMar w:top="1440" w:right="1800" w:bottom="1440" w:left="1800" w:header="720" w:footer="720" w:gutter="0"/>
          <w:pgNumType w:start="1"/>
          <w:cols w:space="720" w:num="1"/>
          <w:docGrid w:type="lines" w:linePitch="312" w:charSpace="0"/>
        </w:sectPr>
      </w:pPr>
    </w:p>
    <w:p w14:paraId="4ECB7157">
      <w:pPr>
        <w:pStyle w:val="12"/>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7B550278">
      <w:pPr>
        <w:pStyle w:val="12"/>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2E05018C">
      <w:pPr>
        <w:pStyle w:val="12"/>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30185A37">
      <w:pPr>
        <w:pStyle w:val="12"/>
        <w:adjustRightInd w:val="0"/>
        <w:snapToGrid w:val="0"/>
        <w:spacing w:line="440" w:lineRule="exact"/>
        <w:jc w:val="left"/>
        <w:rPr>
          <w:rFonts w:hint="eastAsia" w:ascii="宋体" w:eastAsia="宋体" w:cs="宋体"/>
          <w:color w:val="auto"/>
          <w:sz w:val="24"/>
          <w:highlight w:val="none"/>
          <w:lang w:val="en-US" w:eastAsia="zh-CN"/>
        </w:rPr>
      </w:pPr>
      <w:r>
        <w:rPr>
          <w:rFonts w:hint="eastAsia"/>
          <w:color w:val="auto"/>
          <w:sz w:val="24"/>
          <w:highlight w:val="none"/>
        </w:rPr>
        <w:t>十三、财政拨款“三公”经费支出决算表</w:t>
      </w:r>
    </w:p>
    <w:p w14:paraId="67FDFF83">
      <w:pPr>
        <w:widowControl/>
        <w:suppressAutoHyphens/>
        <w:spacing w:line="440" w:lineRule="exact"/>
        <w:jc w:val="left"/>
        <w:rPr>
          <w:rFonts w:ascii="仿宋" w:eastAsia="仿宋"/>
          <w:bCs/>
          <w:color w:val="auto"/>
          <w:kern w:val="44"/>
          <w:sz w:val="24"/>
          <w:highlight w:val="none"/>
        </w:rPr>
        <w:sectPr>
          <w:footerReference r:id="rId6" w:type="default"/>
          <w:pgSz w:w="11906" w:h="16838"/>
          <w:pgMar w:top="1440" w:right="1800" w:bottom="1440" w:left="1800" w:header="720" w:footer="720" w:gutter="0"/>
          <w:pgNumType w:start="1"/>
          <w:cols w:space="720" w:num="1"/>
          <w:docGrid w:type="lines" w:linePitch="312" w:charSpace="0"/>
        </w:sectPr>
      </w:pPr>
      <w:bookmarkStart w:id="6" w:name="_Toc15396599"/>
      <w:bookmarkStart w:id="7" w:name="_Toc15377196"/>
    </w:p>
    <w:p w14:paraId="06697BAC">
      <w:pPr>
        <w:widowControl/>
        <w:suppressAutoHyphens/>
        <w:spacing w:line="440" w:lineRule="exact"/>
        <w:jc w:val="left"/>
        <w:rPr>
          <w:rFonts w:ascii="仿宋" w:eastAsia="仿宋"/>
          <w:bCs/>
          <w:color w:val="auto"/>
          <w:kern w:val="44"/>
          <w:sz w:val="24"/>
          <w:highlight w:val="none"/>
        </w:rPr>
      </w:pPr>
    </w:p>
    <w:p w14:paraId="0846F602">
      <w:pPr>
        <w:pStyle w:val="3"/>
        <w:jc w:val="center"/>
        <w:rPr>
          <w:rStyle w:val="17"/>
          <w:rFonts w:ascii="黑体" w:eastAsia="黑体"/>
          <w:b/>
          <w:bCs w:val="0"/>
          <w:color w:val="auto"/>
          <w:highlight w:val="none"/>
        </w:rPr>
      </w:pPr>
      <w:r>
        <w:rPr>
          <w:rFonts w:hint="eastAsia" w:ascii="黑体" w:eastAsia="黑体"/>
          <w:b w:val="0"/>
          <w:color w:val="auto"/>
          <w:highlight w:val="none"/>
        </w:rPr>
        <w:t xml:space="preserve">第一部分 </w:t>
      </w:r>
      <w:r>
        <w:rPr>
          <w:rStyle w:val="17"/>
          <w:rFonts w:hint="eastAsia" w:ascii="黑体" w:eastAsia="黑体"/>
          <w:b w:val="0"/>
          <w:bCs w:val="0"/>
          <w:color w:val="auto"/>
          <w:highlight w:val="none"/>
        </w:rPr>
        <w:t>部门概况</w:t>
      </w:r>
      <w:bookmarkEnd w:id="6"/>
      <w:bookmarkEnd w:id="7"/>
    </w:p>
    <w:p w14:paraId="5B069E64">
      <w:pPr>
        <w:widowControl/>
        <w:suppressAutoHyphens/>
        <w:jc w:val="left"/>
        <w:rPr>
          <w:rFonts w:ascii="黑体" w:eastAsia="黑体"/>
          <w:color w:val="auto"/>
          <w:sz w:val="32"/>
          <w:szCs w:val="32"/>
          <w:highlight w:val="none"/>
        </w:rPr>
      </w:pPr>
    </w:p>
    <w:p w14:paraId="13E14FFA">
      <w:pPr>
        <w:pStyle w:val="4"/>
        <w:numPr>
          <w:ilvl w:val="0"/>
          <w:numId w:val="1"/>
        </w:numPr>
        <w:rPr>
          <w:rFonts w:hint="eastAsia" w:ascii="黑体" w:eastAsia="黑体"/>
          <w:b w:val="0"/>
          <w:color w:val="auto"/>
          <w:highlight w:val="none"/>
          <w:lang w:eastAsia="zh-CN"/>
        </w:rPr>
      </w:pPr>
      <w:r>
        <w:rPr>
          <w:rFonts w:hint="eastAsia" w:ascii="黑体" w:eastAsia="黑体"/>
          <w:b w:val="0"/>
          <w:color w:val="auto"/>
          <w:highlight w:val="none"/>
          <w:lang w:eastAsia="zh-CN"/>
        </w:rPr>
        <w:t>部门职责</w:t>
      </w:r>
    </w:p>
    <w:p w14:paraId="17A0D45C">
      <w:pPr>
        <w:spacing w:line="600" w:lineRule="exact"/>
        <w:ind w:firstLine="640" w:firstLineChars="200"/>
        <w:rPr>
          <w:rStyle w:val="15"/>
          <w:rFonts w:hint="eastAsia" w:ascii="仿宋_GB2312" w:eastAsia="仿宋_GB2312" w:cs="Times New Roman"/>
          <w:b w:val="0"/>
          <w:bCs/>
          <w:color w:val="000000"/>
          <w:sz w:val="32"/>
          <w:szCs w:val="32"/>
          <w:lang w:val="en-US" w:eastAsia="zh-CN"/>
        </w:rPr>
      </w:pPr>
      <w:r>
        <w:rPr>
          <w:rStyle w:val="15"/>
          <w:rFonts w:hint="eastAsia" w:ascii="仿宋_GB2312" w:eastAsia="仿宋_GB2312" w:cs="Times New Roman"/>
          <w:b w:val="0"/>
          <w:bCs/>
          <w:color w:val="000000"/>
          <w:sz w:val="32"/>
          <w:szCs w:val="32"/>
          <w:lang w:val="en-US" w:eastAsia="zh-CN"/>
        </w:rPr>
        <w:t>1.贯彻执行国家、省、州、县的有关方针、政策、法律、法规，执行州委、州政府、县委、县政府的决定和指示，依法制定园区经济管理规范性文件，检查督促园区内各企业贯彻执行；制定工业园区有关行政管理制度并监督执行。</w:t>
      </w:r>
    </w:p>
    <w:p w14:paraId="56864F0B">
      <w:pPr>
        <w:spacing w:line="600" w:lineRule="exact"/>
        <w:ind w:firstLine="640" w:firstLineChars="200"/>
        <w:rPr>
          <w:rStyle w:val="15"/>
          <w:rFonts w:hint="eastAsia" w:ascii="仿宋_GB2312" w:eastAsia="仿宋_GB2312" w:cs="Times New Roman"/>
          <w:b w:val="0"/>
          <w:bCs/>
          <w:color w:val="000000"/>
          <w:sz w:val="32"/>
          <w:szCs w:val="32"/>
          <w:lang w:val="en-US" w:eastAsia="zh-CN"/>
        </w:rPr>
      </w:pPr>
      <w:r>
        <w:rPr>
          <w:rStyle w:val="15"/>
          <w:rFonts w:hint="eastAsia" w:ascii="仿宋_GB2312" w:eastAsia="仿宋_GB2312" w:cs="Times New Roman"/>
          <w:b w:val="0"/>
          <w:bCs/>
          <w:color w:val="000000"/>
          <w:sz w:val="32"/>
          <w:szCs w:val="32"/>
          <w:lang w:val="en-US" w:eastAsia="zh-CN"/>
        </w:rPr>
        <w:t>2. 按照现代工业发展的要求，编制园区发展总体规划、园区控制性详细规划、产业发展规划、经济目标规划、区域环评、水土保持、行洪论证、林地征占等报告并组织实施。</w:t>
      </w:r>
    </w:p>
    <w:p w14:paraId="4AA9C8A0">
      <w:pPr>
        <w:spacing w:line="600" w:lineRule="exact"/>
        <w:ind w:firstLine="640" w:firstLineChars="200"/>
        <w:rPr>
          <w:rStyle w:val="15"/>
          <w:rFonts w:hint="eastAsia" w:ascii="仿宋_GB2312" w:eastAsia="仿宋_GB2312" w:cs="Times New Roman"/>
          <w:b w:val="0"/>
          <w:bCs/>
          <w:color w:val="000000"/>
          <w:sz w:val="32"/>
          <w:szCs w:val="32"/>
          <w:lang w:val="en-US" w:eastAsia="zh-CN"/>
        </w:rPr>
      </w:pPr>
      <w:r>
        <w:rPr>
          <w:rStyle w:val="15"/>
          <w:rFonts w:hint="eastAsia" w:ascii="仿宋_GB2312" w:eastAsia="仿宋_GB2312" w:cs="Times New Roman"/>
          <w:b w:val="0"/>
          <w:bCs/>
          <w:color w:val="000000"/>
          <w:sz w:val="32"/>
          <w:szCs w:val="32"/>
          <w:lang w:val="en-US" w:eastAsia="zh-CN"/>
        </w:rPr>
        <w:t>3.负责园区内土地的统一开发，规划、建设和管理园区内的基础设施和公共设施。</w:t>
      </w:r>
    </w:p>
    <w:p w14:paraId="560B966B">
      <w:pPr>
        <w:spacing w:line="600" w:lineRule="exact"/>
        <w:ind w:firstLine="640" w:firstLineChars="200"/>
        <w:rPr>
          <w:rStyle w:val="15"/>
          <w:rFonts w:hint="eastAsia" w:ascii="仿宋_GB2312" w:eastAsia="仿宋_GB2312" w:cs="Times New Roman"/>
          <w:b w:val="0"/>
          <w:bCs/>
          <w:color w:val="000000"/>
          <w:sz w:val="32"/>
          <w:szCs w:val="32"/>
          <w:lang w:val="en-US" w:eastAsia="zh-CN"/>
        </w:rPr>
      </w:pPr>
      <w:r>
        <w:rPr>
          <w:rStyle w:val="15"/>
          <w:rFonts w:hint="eastAsia" w:ascii="仿宋_GB2312" w:eastAsia="仿宋_GB2312" w:cs="Times New Roman"/>
          <w:b w:val="0"/>
          <w:bCs/>
          <w:color w:val="000000"/>
          <w:sz w:val="32"/>
          <w:szCs w:val="32"/>
          <w:lang w:val="en-US" w:eastAsia="zh-CN"/>
        </w:rPr>
        <w:t>4.配合县相关职能部门开展园区建设用地的实物量调查、土地征用、农户拆迁、土地价款的收支等工作。</w:t>
      </w:r>
    </w:p>
    <w:p w14:paraId="34118207">
      <w:pPr>
        <w:spacing w:line="600" w:lineRule="exact"/>
        <w:ind w:firstLine="640" w:firstLineChars="200"/>
        <w:rPr>
          <w:rStyle w:val="15"/>
          <w:rFonts w:hint="eastAsia" w:ascii="仿宋_GB2312" w:eastAsia="仿宋_GB2312" w:cs="Times New Roman"/>
          <w:b w:val="0"/>
          <w:bCs/>
          <w:color w:val="000000"/>
          <w:sz w:val="32"/>
          <w:szCs w:val="32"/>
          <w:lang w:val="en-US" w:eastAsia="zh-CN"/>
        </w:rPr>
      </w:pPr>
      <w:r>
        <w:rPr>
          <w:rStyle w:val="15"/>
          <w:rFonts w:hint="eastAsia" w:ascii="仿宋_GB2312" w:eastAsia="仿宋_GB2312" w:cs="Times New Roman"/>
          <w:b w:val="0"/>
          <w:bCs/>
          <w:color w:val="000000"/>
          <w:sz w:val="32"/>
          <w:szCs w:val="32"/>
          <w:lang w:val="en-US" w:eastAsia="zh-CN"/>
        </w:rPr>
        <w:t>5.坚持正确的产业导向，严格遵守国家制定的企业准入条件。对拟投资项目进行调研、论证、评估等相关工作，提出投资项目的可行性报告；做好招商引资、项目初审、合同签订等工作。</w:t>
      </w:r>
    </w:p>
    <w:p w14:paraId="2C5B159C">
      <w:pPr>
        <w:spacing w:line="600" w:lineRule="exact"/>
        <w:ind w:firstLine="640" w:firstLineChars="200"/>
        <w:rPr>
          <w:rStyle w:val="15"/>
          <w:rFonts w:hint="eastAsia" w:ascii="仿宋_GB2312" w:eastAsia="仿宋_GB2312" w:cs="Times New Roman"/>
          <w:b w:val="0"/>
          <w:bCs/>
          <w:color w:val="000000"/>
          <w:sz w:val="32"/>
          <w:szCs w:val="32"/>
          <w:lang w:val="en-US" w:eastAsia="zh-CN"/>
        </w:rPr>
      </w:pPr>
      <w:r>
        <w:rPr>
          <w:rStyle w:val="15"/>
          <w:rFonts w:hint="eastAsia" w:ascii="仿宋_GB2312" w:eastAsia="仿宋_GB2312" w:cs="Times New Roman"/>
          <w:b w:val="0"/>
          <w:bCs/>
          <w:color w:val="000000"/>
          <w:sz w:val="32"/>
          <w:szCs w:val="32"/>
          <w:lang w:val="en-US" w:eastAsia="zh-CN"/>
        </w:rPr>
        <w:t>6.统筹安排和管理园区的投资项目，负责企业入园的评估、选址工作；为企业用地、办证、项目备案、厂房建设、生产生活提供咨询、服务和协调。</w:t>
      </w:r>
    </w:p>
    <w:p w14:paraId="31702E75">
      <w:pPr>
        <w:spacing w:line="600" w:lineRule="exact"/>
        <w:ind w:firstLine="640" w:firstLineChars="200"/>
        <w:rPr>
          <w:rStyle w:val="15"/>
          <w:rFonts w:hint="eastAsia" w:ascii="仿宋_GB2312" w:eastAsia="仿宋_GB2312" w:cs="Times New Roman"/>
          <w:b w:val="0"/>
          <w:bCs/>
          <w:color w:val="000000"/>
          <w:sz w:val="32"/>
          <w:szCs w:val="32"/>
          <w:lang w:val="en-US" w:eastAsia="zh-CN"/>
        </w:rPr>
      </w:pPr>
      <w:r>
        <w:rPr>
          <w:rStyle w:val="15"/>
          <w:rFonts w:hint="eastAsia" w:ascii="仿宋_GB2312" w:eastAsia="仿宋_GB2312" w:cs="Times New Roman"/>
          <w:b w:val="0"/>
          <w:bCs/>
          <w:color w:val="000000"/>
          <w:sz w:val="32"/>
          <w:szCs w:val="32"/>
          <w:lang w:val="en-US" w:eastAsia="zh-CN"/>
        </w:rPr>
        <w:t>7.贯彻落实州、县人民政府赋予园区的各项优惠政策，监督建设项目的实施。</w:t>
      </w:r>
    </w:p>
    <w:p w14:paraId="39304E88">
      <w:pPr>
        <w:spacing w:line="600" w:lineRule="exact"/>
        <w:ind w:firstLine="640" w:firstLineChars="200"/>
        <w:rPr>
          <w:rStyle w:val="15"/>
          <w:rFonts w:hint="eastAsia" w:ascii="仿宋_GB2312" w:eastAsia="仿宋_GB2312" w:cs="Times New Roman"/>
          <w:b w:val="0"/>
          <w:bCs/>
          <w:color w:val="000000"/>
          <w:sz w:val="32"/>
          <w:szCs w:val="32"/>
          <w:lang w:val="en-US" w:eastAsia="zh-CN"/>
        </w:rPr>
      </w:pPr>
      <w:r>
        <w:rPr>
          <w:rStyle w:val="15"/>
          <w:rFonts w:hint="eastAsia" w:ascii="仿宋_GB2312" w:eastAsia="仿宋_GB2312" w:cs="Times New Roman"/>
          <w:b w:val="0"/>
          <w:bCs/>
          <w:color w:val="000000"/>
          <w:sz w:val="32"/>
          <w:szCs w:val="32"/>
          <w:lang w:val="en-US" w:eastAsia="zh-CN"/>
        </w:rPr>
        <w:t>8.配合有关部门做好安全生产、环境保护等工作；会同人力资源和社会保障部门协助企业做好人员招聘、培训和社会保障工作；配合税务、工商、财政部门做好税费征管等工作。</w:t>
      </w:r>
    </w:p>
    <w:p w14:paraId="4D43D3F3">
      <w:pPr>
        <w:spacing w:line="600" w:lineRule="exact"/>
        <w:ind w:firstLine="640" w:firstLineChars="200"/>
        <w:rPr>
          <w:rStyle w:val="15"/>
          <w:rFonts w:hint="eastAsia" w:ascii="仿宋_GB2312" w:eastAsia="仿宋_GB2312" w:cs="Times New Roman"/>
          <w:b w:val="0"/>
          <w:bCs/>
          <w:color w:val="000000"/>
          <w:sz w:val="32"/>
          <w:szCs w:val="32"/>
          <w:lang w:val="en-US" w:eastAsia="zh-CN"/>
        </w:rPr>
      </w:pPr>
      <w:r>
        <w:rPr>
          <w:rStyle w:val="15"/>
          <w:rFonts w:hint="eastAsia" w:ascii="仿宋_GB2312" w:eastAsia="仿宋_GB2312" w:cs="Times New Roman"/>
          <w:b w:val="0"/>
          <w:bCs/>
          <w:color w:val="000000"/>
          <w:sz w:val="32"/>
          <w:szCs w:val="32"/>
          <w:lang w:val="en-US" w:eastAsia="zh-CN"/>
        </w:rPr>
        <w:t>9.贯彻执行国家、省、州、县关于政府投融资管理的政策，构建投融资平台，为企业融资提供方便，促进园区产业又好又快发展。</w:t>
      </w:r>
    </w:p>
    <w:p w14:paraId="6E7CA881">
      <w:pPr>
        <w:spacing w:line="600" w:lineRule="exact"/>
        <w:ind w:firstLine="640" w:firstLineChars="200"/>
        <w:rPr>
          <w:rStyle w:val="15"/>
          <w:rFonts w:hint="eastAsia" w:ascii="仿宋_GB2312" w:eastAsia="仿宋_GB2312" w:cs="Times New Roman"/>
          <w:b w:val="0"/>
          <w:bCs/>
          <w:color w:val="000000"/>
          <w:sz w:val="32"/>
          <w:szCs w:val="32"/>
          <w:lang w:val="en-US" w:eastAsia="zh-CN"/>
        </w:rPr>
      </w:pPr>
      <w:r>
        <w:rPr>
          <w:rStyle w:val="15"/>
          <w:rFonts w:hint="eastAsia" w:ascii="仿宋_GB2312" w:eastAsia="仿宋_GB2312" w:cs="Times New Roman"/>
          <w:b w:val="0"/>
          <w:bCs/>
          <w:color w:val="000000"/>
          <w:sz w:val="32"/>
          <w:szCs w:val="32"/>
          <w:lang w:val="en-US" w:eastAsia="zh-CN"/>
        </w:rPr>
        <w:t>10.承办县委县政府交办的其他工作。</w:t>
      </w:r>
    </w:p>
    <w:p w14:paraId="72ACB985">
      <w:pPr>
        <w:pStyle w:val="4"/>
        <w:rPr>
          <w:rStyle w:val="18"/>
          <w:b w:val="0"/>
          <w:bCs w:val="0"/>
          <w:color w:val="auto"/>
          <w:highlight w:val="none"/>
        </w:rPr>
      </w:pPr>
      <w:bookmarkStart w:id="8" w:name="_Toc15377200"/>
      <w:bookmarkStart w:id="9" w:name="_Toc15396601"/>
      <w:r>
        <w:rPr>
          <w:rFonts w:hint="eastAsia" w:ascii="黑体" w:eastAsia="黑体"/>
          <w:b w:val="0"/>
          <w:color w:val="auto"/>
          <w:highlight w:val="none"/>
        </w:rPr>
        <w:t>二、机</w:t>
      </w:r>
      <w:r>
        <w:rPr>
          <w:rStyle w:val="18"/>
          <w:rFonts w:hint="eastAsia" w:ascii="黑体" w:eastAsia="黑体"/>
          <w:b w:val="0"/>
          <w:bCs w:val="0"/>
          <w:color w:val="auto"/>
          <w:highlight w:val="none"/>
        </w:rPr>
        <w:t>构设置</w:t>
      </w:r>
      <w:bookmarkEnd w:id="8"/>
      <w:bookmarkEnd w:id="9"/>
    </w:p>
    <w:p w14:paraId="2042744A">
      <w:pPr>
        <w:ind w:firstLine="800" w:firstLineChars="250"/>
        <w:rPr>
          <w:rFonts w:ascii="仿宋" w:eastAsia="仿宋"/>
          <w:color w:val="auto"/>
          <w:sz w:val="32"/>
          <w:szCs w:val="32"/>
          <w:highlight w:val="none"/>
        </w:rPr>
      </w:pPr>
      <w:r>
        <w:rPr>
          <w:rStyle w:val="15"/>
          <w:rFonts w:hint="eastAsia" w:ascii="仿宋_GB2312" w:eastAsia="仿宋_GB2312" w:cs="Times New Roman"/>
          <w:b w:val="0"/>
          <w:bCs/>
          <w:color w:val="000000"/>
          <w:sz w:val="32"/>
          <w:szCs w:val="32"/>
          <w:lang w:val="en-US" w:eastAsia="zh-CN"/>
        </w:rPr>
        <w:t>茂县工业服务中心</w:t>
      </w:r>
      <w:r>
        <w:rPr>
          <w:rFonts w:hint="eastAsia" w:ascii="仿宋" w:eastAsia="仿宋"/>
          <w:color w:val="auto"/>
          <w:sz w:val="32"/>
          <w:szCs w:val="32"/>
          <w:highlight w:val="none"/>
        </w:rPr>
        <w:t>下属二级</w:t>
      </w:r>
      <w:r>
        <w:rPr>
          <w:rFonts w:hint="eastAsia" w:ascii="仿宋" w:eastAsia="仿宋"/>
          <w:color w:val="auto"/>
          <w:sz w:val="32"/>
          <w:szCs w:val="32"/>
          <w:highlight w:val="none"/>
          <w:lang w:eastAsia="zh-CN"/>
        </w:rPr>
        <w:t>预算</w:t>
      </w:r>
      <w:r>
        <w:rPr>
          <w:rFonts w:hint="eastAsia" w:ascii="仿宋" w:eastAsia="仿宋"/>
          <w:color w:val="auto"/>
          <w:sz w:val="32"/>
          <w:szCs w:val="32"/>
          <w:highlight w:val="none"/>
        </w:rPr>
        <w:t>单位</w:t>
      </w:r>
      <w:r>
        <w:rPr>
          <w:rFonts w:hint="eastAsia" w:ascii="仿宋" w:eastAsia="仿宋"/>
          <w:color w:val="auto"/>
          <w:sz w:val="32"/>
          <w:szCs w:val="32"/>
          <w:highlight w:val="none"/>
          <w:lang w:val="en-US" w:eastAsia="zh-CN"/>
        </w:rPr>
        <w:t>0</w:t>
      </w:r>
      <w:r>
        <w:rPr>
          <w:rFonts w:hint="eastAsia" w:ascii="仿宋" w:eastAsia="仿宋"/>
          <w:color w:val="auto"/>
          <w:sz w:val="32"/>
          <w:szCs w:val="32"/>
          <w:highlight w:val="none"/>
        </w:rPr>
        <w:t>个，其中行政单位</w:t>
      </w:r>
      <w:r>
        <w:rPr>
          <w:rFonts w:hint="eastAsia" w:ascii="仿宋" w:eastAsia="仿宋"/>
          <w:color w:val="auto"/>
          <w:sz w:val="32"/>
          <w:szCs w:val="32"/>
          <w:highlight w:val="none"/>
          <w:lang w:val="en-US" w:eastAsia="zh-CN"/>
        </w:rPr>
        <w:t>0</w:t>
      </w:r>
      <w:r>
        <w:rPr>
          <w:rFonts w:hint="eastAsia" w:ascii="仿宋" w:eastAsia="仿宋"/>
          <w:color w:val="auto"/>
          <w:sz w:val="32"/>
          <w:szCs w:val="32"/>
          <w:highlight w:val="none"/>
        </w:rPr>
        <w:t>个，参照公务员法管理的事业单位</w:t>
      </w:r>
      <w:r>
        <w:rPr>
          <w:rFonts w:hint="eastAsia" w:ascii="仿宋" w:eastAsia="仿宋"/>
          <w:bCs/>
          <w:color w:val="auto"/>
          <w:sz w:val="32"/>
          <w:szCs w:val="32"/>
          <w:highlight w:val="none"/>
          <w:lang w:val="en-US" w:eastAsia="zh-CN"/>
        </w:rPr>
        <w:t>0</w:t>
      </w:r>
      <w:r>
        <w:rPr>
          <w:rFonts w:hint="eastAsia" w:ascii="仿宋" w:eastAsia="仿宋"/>
          <w:color w:val="auto"/>
          <w:sz w:val="32"/>
          <w:szCs w:val="32"/>
          <w:highlight w:val="none"/>
        </w:rPr>
        <w:t>个，其他事业单位</w:t>
      </w:r>
      <w:r>
        <w:rPr>
          <w:rFonts w:hint="eastAsia" w:ascii="仿宋" w:eastAsia="仿宋"/>
          <w:color w:val="auto"/>
          <w:sz w:val="32"/>
          <w:szCs w:val="32"/>
          <w:highlight w:val="none"/>
          <w:lang w:val="en-US" w:eastAsia="zh-CN"/>
        </w:rPr>
        <w:t>0</w:t>
      </w:r>
      <w:r>
        <w:rPr>
          <w:rFonts w:hint="eastAsia" w:ascii="仿宋" w:eastAsia="仿宋"/>
          <w:color w:val="auto"/>
          <w:sz w:val="32"/>
          <w:szCs w:val="32"/>
          <w:highlight w:val="none"/>
        </w:rPr>
        <w:t>个。</w:t>
      </w:r>
    </w:p>
    <w:p w14:paraId="23C576E9">
      <w:pPr>
        <w:pStyle w:val="6"/>
        <w:adjustRightInd w:val="0"/>
        <w:snapToGrid w:val="0"/>
        <w:spacing w:before="93" w:line="600" w:lineRule="exact"/>
        <w:ind w:firstLine="668" w:firstLineChars="209"/>
        <w:rPr>
          <w:rFonts w:hint="eastAsia" w:ascii="仿宋" w:eastAsia="仿宋"/>
          <w:color w:val="auto"/>
          <w:sz w:val="32"/>
          <w:szCs w:val="32"/>
          <w:highlight w:val="none"/>
          <w:lang w:eastAsia="zh-CN"/>
        </w:rPr>
      </w:pPr>
      <w:r>
        <w:rPr>
          <w:rFonts w:hint="eastAsia" w:ascii="仿宋" w:eastAsia="仿宋"/>
          <w:color w:val="auto"/>
          <w:sz w:val="32"/>
          <w:szCs w:val="32"/>
          <w:highlight w:val="none"/>
          <w:lang w:eastAsia="zh-CN"/>
        </w:rPr>
        <w:t>无</w:t>
      </w:r>
      <w:r>
        <w:rPr>
          <w:rFonts w:hint="eastAsia" w:ascii="仿宋" w:eastAsia="仿宋"/>
          <w:color w:val="auto"/>
          <w:sz w:val="32"/>
          <w:szCs w:val="32"/>
          <w:highlight w:val="none"/>
        </w:rPr>
        <w:t>纳入</w:t>
      </w:r>
      <w:r>
        <w:rPr>
          <w:rStyle w:val="15"/>
          <w:rFonts w:hint="eastAsia" w:ascii="仿宋_GB2312" w:eastAsia="仿宋_GB2312" w:cs="Times New Roman"/>
          <w:b w:val="0"/>
          <w:bCs/>
          <w:color w:val="000000"/>
          <w:sz w:val="32"/>
          <w:szCs w:val="32"/>
          <w:lang w:val="en-US" w:eastAsia="zh-CN"/>
        </w:rPr>
        <w:t>茂县工业服务中心</w:t>
      </w:r>
      <w:r>
        <w:rPr>
          <w:rFonts w:hint="eastAsia" w:ascii="仿宋" w:eastAsia="仿宋"/>
          <w:color w:val="auto"/>
          <w:sz w:val="32"/>
          <w:szCs w:val="32"/>
          <w:highlight w:val="none"/>
          <w:lang w:eastAsia="zh-CN"/>
        </w:rPr>
        <w:t>2023</w:t>
      </w:r>
      <w:r>
        <w:rPr>
          <w:rFonts w:hint="eastAsia" w:ascii="仿宋" w:eastAsia="仿宋"/>
          <w:color w:val="auto"/>
          <w:sz w:val="32"/>
          <w:szCs w:val="32"/>
          <w:highlight w:val="none"/>
        </w:rPr>
        <w:t>年度部门决算编制范围的二级预算单位</w:t>
      </w:r>
      <w:r>
        <w:rPr>
          <w:rFonts w:hint="eastAsia" w:ascii="仿宋" w:eastAsia="仿宋"/>
          <w:color w:val="auto"/>
          <w:sz w:val="32"/>
          <w:szCs w:val="32"/>
          <w:highlight w:val="none"/>
          <w:lang w:eastAsia="zh-CN"/>
        </w:rPr>
        <w:t>。</w:t>
      </w:r>
    </w:p>
    <w:p w14:paraId="7645C92B">
      <w:pPr>
        <w:widowControl/>
        <w:suppressAutoHyphens/>
        <w:jc w:val="left"/>
        <w:rPr>
          <w:rFonts w:ascii="仿宋" w:eastAsia="仿宋"/>
          <w:color w:val="auto"/>
          <w:kern w:val="0"/>
          <w:sz w:val="32"/>
          <w:szCs w:val="32"/>
          <w:highlight w:val="none"/>
        </w:rPr>
      </w:pPr>
    </w:p>
    <w:p w14:paraId="07ADA241">
      <w:pPr>
        <w:widowControl/>
        <w:suppressAutoHyphens/>
        <w:jc w:val="left"/>
        <w:rPr>
          <w:rFonts w:ascii="仿宋" w:eastAsia="仿宋"/>
          <w:color w:val="auto"/>
          <w:kern w:val="0"/>
          <w:sz w:val="32"/>
          <w:szCs w:val="32"/>
          <w:highlight w:val="none"/>
        </w:rPr>
      </w:pPr>
    </w:p>
    <w:p w14:paraId="2BD15DBA">
      <w:pPr>
        <w:pStyle w:val="3"/>
        <w:ind w:right="440"/>
        <w:jc w:val="center"/>
        <w:rPr>
          <w:rStyle w:val="17"/>
          <w:rFonts w:ascii="黑体" w:eastAsia="黑体"/>
          <w:b w:val="0"/>
          <w:bCs/>
          <w:color w:val="auto"/>
          <w:highlight w:val="none"/>
        </w:rPr>
      </w:pPr>
      <w:bookmarkStart w:id="10" w:name="_Toc15396602"/>
      <w:bookmarkStart w:id="11" w:name="_Toc15377204"/>
      <w:r>
        <w:rPr>
          <w:rFonts w:hint="eastAsia" w:ascii="黑体" w:eastAsia="黑体"/>
          <w:b w:val="0"/>
          <w:bCs/>
          <w:color w:val="auto"/>
          <w:highlight w:val="none"/>
          <w:lang w:val="en-US" w:eastAsia="zh-CN"/>
        </w:rPr>
        <w:t xml:space="preserve">  </w:t>
      </w:r>
      <w:r>
        <w:rPr>
          <w:rFonts w:hint="eastAsia" w:ascii="黑体" w:eastAsia="黑体"/>
          <w:b w:val="0"/>
          <w:bCs/>
          <w:color w:val="auto"/>
          <w:highlight w:val="none"/>
        </w:rPr>
        <w:t xml:space="preserve">第二部分 </w:t>
      </w:r>
      <w:r>
        <w:rPr>
          <w:rFonts w:hint="eastAsia" w:ascii="黑体" w:eastAsia="黑体"/>
          <w:b w:val="0"/>
          <w:bCs/>
          <w:color w:val="auto"/>
          <w:highlight w:val="none"/>
          <w:lang w:val="en-US" w:eastAsia="zh-CN"/>
        </w:rPr>
        <w:t>2023年度</w:t>
      </w:r>
      <w:r>
        <w:rPr>
          <w:rStyle w:val="17"/>
          <w:rFonts w:hint="eastAsia" w:ascii="黑体" w:eastAsia="黑体"/>
          <w:b w:val="0"/>
          <w:bCs/>
          <w:color w:val="auto"/>
          <w:highlight w:val="none"/>
        </w:rPr>
        <w:t>部门决算情况说明</w:t>
      </w:r>
      <w:bookmarkEnd w:id="10"/>
      <w:bookmarkEnd w:id="11"/>
    </w:p>
    <w:p w14:paraId="3601BDA8">
      <w:pPr>
        <w:rPr>
          <w:color w:val="auto"/>
          <w:highlight w:val="none"/>
        </w:rPr>
      </w:pPr>
    </w:p>
    <w:p w14:paraId="508E866C">
      <w:pPr>
        <w:pStyle w:val="19"/>
        <w:numPr>
          <w:ilvl w:val="0"/>
          <w:numId w:val="2"/>
        </w:numPr>
        <w:spacing w:line="600" w:lineRule="exact"/>
        <w:ind w:firstLineChars="0"/>
        <w:outlineLvl w:val="1"/>
        <w:rPr>
          <w:rStyle w:val="18"/>
          <w:rFonts w:ascii="黑体" w:eastAsia="黑体"/>
          <w:b w:val="0"/>
          <w:color w:val="auto"/>
          <w:highlight w:val="none"/>
        </w:rPr>
      </w:pPr>
      <w:bookmarkStart w:id="12" w:name="_Toc15377205"/>
      <w:bookmarkStart w:id="13" w:name="_Toc15396603"/>
      <w:r>
        <w:rPr>
          <w:rFonts w:hint="eastAsia" w:ascii="黑体" w:eastAsia="黑体"/>
          <w:color w:val="auto"/>
          <w:sz w:val="32"/>
          <w:szCs w:val="32"/>
          <w:highlight w:val="none"/>
        </w:rPr>
        <w:t>收</w:t>
      </w:r>
      <w:r>
        <w:rPr>
          <w:rStyle w:val="18"/>
          <w:rFonts w:hint="eastAsia" w:ascii="黑体" w:eastAsia="黑体"/>
          <w:b w:val="0"/>
          <w:color w:val="auto"/>
          <w:highlight w:val="none"/>
        </w:rPr>
        <w:t>入支出决算总体情况说明</w:t>
      </w:r>
      <w:bookmarkEnd w:id="12"/>
      <w:bookmarkEnd w:id="13"/>
    </w:p>
    <w:p w14:paraId="4FA56280">
      <w:pPr>
        <w:spacing w:line="600" w:lineRule="exact"/>
        <w:ind w:firstLine="640" w:firstLineChars="200"/>
        <w:rPr>
          <w:rFonts w:hint="eastAsia" w:ascii="仿宋" w:eastAsia="仿宋"/>
          <w:color w:val="auto"/>
          <w:sz w:val="32"/>
          <w:szCs w:val="32"/>
          <w:highlight w:val="none"/>
          <w:lang w:eastAsia="zh-CN"/>
        </w:rPr>
      </w:pPr>
      <w:r>
        <w:rPr>
          <w:rStyle w:val="15"/>
          <w:rFonts w:hint="eastAsia" w:ascii="仿宋_GB2312" w:eastAsia="仿宋_GB2312" w:cs="Times New Roman"/>
          <w:b w:val="0"/>
          <w:bCs/>
          <w:color w:val="000000"/>
          <w:sz w:val="32"/>
          <w:szCs w:val="32"/>
          <w:lang w:val="en-US" w:eastAsia="zh-CN"/>
        </w:rPr>
        <w:t>2023年度收、支总计均为170.23万元。与2022年度相比，收、支总计各增加9.05万元，增长5.61%。主要变动原因是工资福利支出增加12.07万元、商品和服务支出减少2.18万元、脱贫衔接乡村振兴减少0.84万元。</w:t>
      </w:r>
    </w:p>
    <w:p w14:paraId="2756BF51">
      <w:pPr>
        <w:spacing w:line="600" w:lineRule="exact"/>
        <w:ind w:firstLine="640" w:firstLineChars="200"/>
        <w:rPr>
          <w:rFonts w:hint="eastAsia" w:ascii="仿宋" w:eastAsia="仿宋"/>
          <w:color w:val="auto"/>
          <w:sz w:val="32"/>
          <w:szCs w:val="32"/>
          <w:highlight w:val="none"/>
          <w:lang w:eastAsia="zh-CN"/>
        </w:rPr>
      </w:pPr>
      <w:r>
        <w:rPr>
          <w:rStyle w:val="15"/>
          <w:rFonts w:hint="eastAsia" w:ascii="仿宋_GB2312" w:eastAsia="仿宋_GB2312" w:cs="Times New Roman"/>
          <w:b w:val="0"/>
          <w:bCs/>
          <w:color w:val="000000"/>
          <w:sz w:val="32"/>
          <w:szCs w:val="32"/>
          <w:lang w:val="en-US" w:eastAsia="zh-CN"/>
        </w:rPr>
        <w:t>2023年度收、支总计均为170.23万元。与2022年度相比，收、支总计各增加9.05万元，增长5.61%。主要变动原因是支出增加。</w:t>
      </w:r>
    </w:p>
    <w:p w14:paraId="7CD4D950">
      <w:pPr>
        <w:spacing w:line="600" w:lineRule="exact"/>
        <w:ind w:firstLine="640" w:firstLineChars="200"/>
        <w:rPr>
          <w:rFonts w:ascii="仿宋_GB2312" w:eastAsia="仿宋_GB2312"/>
          <w:color w:val="auto"/>
          <w:sz w:val="32"/>
          <w:szCs w:val="32"/>
          <w:highlight w:val="none"/>
        </w:rPr>
      </w:pPr>
      <w:r>
        <w:rPr>
          <w:rFonts w:hint="eastAsia" w:asci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107315</wp:posOffset>
            </wp:positionH>
            <wp:positionV relativeFrom="paragraph">
              <wp:posOffset>138430</wp:posOffset>
            </wp:positionV>
            <wp:extent cx="5256530" cy="2988310"/>
            <wp:effectExtent l="0" t="0" r="0" b="0"/>
            <wp:wrapTopAndBottom/>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Style w:val="15"/>
          <w:rFonts w:hint="eastAsia" w:ascii="仿宋_GB2312" w:eastAsia="仿宋_GB2312" w:cs="Times New Roman"/>
          <w:b w:val="0"/>
          <w:bCs/>
          <w:color w:val="000000"/>
          <w:sz w:val="28"/>
          <w:szCs w:val="28"/>
          <w:lang w:val="en-US" w:eastAsia="zh-CN"/>
        </w:rPr>
        <w:t>图1：收、支决算总体变动情况图（单位：万元）</w:t>
      </w:r>
    </w:p>
    <w:p w14:paraId="75C5CC02">
      <w:pPr>
        <w:pStyle w:val="19"/>
        <w:numPr>
          <w:ilvl w:val="0"/>
          <w:numId w:val="2"/>
        </w:numPr>
        <w:spacing w:line="600" w:lineRule="exact"/>
        <w:ind w:firstLineChars="0"/>
        <w:outlineLvl w:val="1"/>
        <w:rPr>
          <w:rStyle w:val="18"/>
          <w:rFonts w:ascii="黑体" w:eastAsia="黑体"/>
          <w:b w:val="0"/>
          <w:color w:val="auto"/>
          <w:highlight w:val="none"/>
        </w:rPr>
      </w:pPr>
      <w:bookmarkStart w:id="14" w:name="_Toc15396604"/>
      <w:bookmarkStart w:id="15" w:name="_Toc15377206"/>
      <w:r>
        <w:rPr>
          <w:rFonts w:hint="eastAsia" w:ascii="黑体" w:eastAsia="黑体"/>
          <w:color w:val="auto"/>
          <w:sz w:val="32"/>
          <w:szCs w:val="32"/>
          <w:highlight w:val="none"/>
        </w:rPr>
        <w:t>收</w:t>
      </w:r>
      <w:r>
        <w:rPr>
          <w:rStyle w:val="18"/>
          <w:rFonts w:hint="eastAsia" w:ascii="黑体" w:eastAsia="黑体"/>
          <w:b w:val="0"/>
          <w:color w:val="auto"/>
          <w:highlight w:val="none"/>
        </w:rPr>
        <w:t>入决算情况说明</w:t>
      </w:r>
      <w:bookmarkEnd w:id="14"/>
      <w:bookmarkEnd w:id="15"/>
    </w:p>
    <w:p w14:paraId="12651D94">
      <w:pPr>
        <w:spacing w:line="600" w:lineRule="exact"/>
        <w:ind w:firstLine="640" w:firstLineChars="200"/>
        <w:rPr>
          <w:rFonts w:hint="eastAsia" w:ascii="仿宋" w:eastAsia="仿宋"/>
          <w:b/>
          <w:color w:val="auto"/>
          <w:sz w:val="24"/>
          <w:szCs w:val="24"/>
          <w:highlight w:val="none"/>
        </w:rPr>
      </w:pPr>
      <w:r>
        <w:rPr>
          <w:rStyle w:val="15"/>
          <w:rFonts w:hint="eastAsia" w:ascii="仿宋_GB2312" w:eastAsia="仿宋_GB2312" w:cs="Times New Roman"/>
          <w:b w:val="0"/>
          <w:bCs/>
          <w:color w:val="000000"/>
          <w:sz w:val="32"/>
          <w:szCs w:val="32"/>
          <w:lang w:val="en-US" w:eastAsia="zh-CN"/>
        </w:rPr>
        <w:t>2023年度本年收入合计170.23万元，其中：一般公共</w:t>
      </w:r>
      <w:r>
        <w:rPr>
          <w:rFonts w:hint="eastAsia" w:ascii="仿宋" w:eastAsia="仿宋"/>
          <w:b/>
          <w:color w:val="auto"/>
          <w:sz w:val="24"/>
          <w:szCs w:val="24"/>
          <w:highlight w:val="none"/>
          <w:lang w:eastAsia="zh-CN"/>
        </w:rPr>
        <w:drawing>
          <wp:anchor distT="0" distB="0" distL="114300" distR="114300" simplePos="0" relativeHeight="251659264" behindDoc="0" locked="0" layoutInCell="1" allowOverlap="1">
            <wp:simplePos x="0" y="0"/>
            <wp:positionH relativeFrom="column">
              <wp:posOffset>13335</wp:posOffset>
            </wp:positionH>
            <wp:positionV relativeFrom="paragraph">
              <wp:posOffset>458470</wp:posOffset>
            </wp:positionV>
            <wp:extent cx="5256530" cy="2988310"/>
            <wp:effectExtent l="0" t="0" r="0" b="0"/>
            <wp:wrapTopAndBottom/>
            <wp:docPr id="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Style w:val="15"/>
          <w:rFonts w:hint="eastAsia" w:ascii="仿宋_GB2312" w:eastAsia="仿宋_GB2312" w:cs="Times New Roman"/>
          <w:b w:val="0"/>
          <w:bCs/>
          <w:color w:val="000000"/>
          <w:sz w:val="32"/>
          <w:szCs w:val="32"/>
          <w:lang w:val="en-US" w:eastAsia="zh-CN"/>
        </w:rPr>
        <w:t>预算财政拨款收入170.23万元，占100%。</w:t>
      </w:r>
    </w:p>
    <w:p w14:paraId="64A1F899">
      <w:pPr>
        <w:spacing w:line="600" w:lineRule="exact"/>
        <w:rPr>
          <w:rFonts w:hint="eastAsia" w:ascii="仿宋" w:eastAsia="仿宋"/>
          <w:b/>
          <w:color w:val="auto"/>
          <w:sz w:val="24"/>
          <w:szCs w:val="24"/>
          <w:highlight w:val="none"/>
          <w:lang w:eastAsia="zh-CN"/>
        </w:rPr>
      </w:pPr>
    </w:p>
    <w:p w14:paraId="68CEEA4D">
      <w:pPr>
        <w:spacing w:line="600" w:lineRule="exact"/>
        <w:ind w:firstLine="560" w:firstLineChars="200"/>
        <w:rPr>
          <w:rStyle w:val="15"/>
          <w:rFonts w:ascii="仿宋_GB2312" w:eastAsia="仿宋_GB2312" w:cs="Times New Roman"/>
          <w:b w:val="0"/>
          <w:bCs/>
          <w:color w:val="000000"/>
          <w:sz w:val="28"/>
          <w:szCs w:val="28"/>
          <w:lang w:val="en-US" w:eastAsia="zh-CN"/>
        </w:rPr>
      </w:pPr>
      <w:r>
        <w:rPr>
          <w:rStyle w:val="15"/>
          <w:rFonts w:hint="eastAsia" w:ascii="仿宋_GB2312" w:eastAsia="仿宋_GB2312" w:cs="Times New Roman"/>
          <w:b w:val="0"/>
          <w:bCs/>
          <w:color w:val="000000"/>
          <w:sz w:val="28"/>
          <w:szCs w:val="28"/>
          <w:lang w:val="en-US" w:eastAsia="zh-CN"/>
        </w:rPr>
        <w:t>图2：收入决算结构图（万元）</w:t>
      </w:r>
    </w:p>
    <w:p w14:paraId="5D2D5AFC">
      <w:pPr>
        <w:pStyle w:val="19"/>
        <w:numPr>
          <w:ilvl w:val="0"/>
          <w:numId w:val="2"/>
        </w:numPr>
        <w:spacing w:line="600" w:lineRule="exact"/>
        <w:ind w:firstLineChars="0"/>
        <w:outlineLvl w:val="1"/>
        <w:rPr>
          <w:rStyle w:val="18"/>
          <w:rFonts w:ascii="黑体" w:eastAsia="黑体"/>
          <w:b w:val="0"/>
          <w:color w:val="auto"/>
          <w:highlight w:val="none"/>
        </w:rPr>
      </w:pPr>
      <w:bookmarkStart w:id="16" w:name="_Toc15377207"/>
      <w:bookmarkStart w:id="17" w:name="_Toc15396605"/>
      <w:r>
        <w:rPr>
          <w:rFonts w:hint="eastAsia" w:ascii="黑体" w:eastAsia="黑体"/>
          <w:color w:val="auto"/>
          <w:sz w:val="32"/>
          <w:szCs w:val="32"/>
          <w:highlight w:val="none"/>
        </w:rPr>
        <w:t>支</w:t>
      </w:r>
      <w:r>
        <w:rPr>
          <w:rStyle w:val="18"/>
          <w:rFonts w:hint="eastAsia" w:ascii="黑体" w:eastAsia="黑体"/>
          <w:b w:val="0"/>
          <w:color w:val="auto"/>
          <w:highlight w:val="none"/>
        </w:rPr>
        <w:t>出决算情况说明</w:t>
      </w:r>
      <w:bookmarkEnd w:id="16"/>
      <w:bookmarkEnd w:id="17"/>
    </w:p>
    <w:p w14:paraId="356D8286">
      <w:pPr>
        <w:spacing w:line="600" w:lineRule="exact"/>
        <w:ind w:firstLine="640" w:firstLineChars="200"/>
        <w:rPr>
          <w:rStyle w:val="15"/>
          <w:rFonts w:hint="eastAsia" w:ascii="仿宋_GB2312" w:eastAsia="仿宋_GB2312" w:cs="Times New Roman"/>
          <w:b w:val="0"/>
          <w:bCs/>
          <w:color w:val="000000"/>
          <w:sz w:val="32"/>
          <w:szCs w:val="32"/>
          <w:lang w:val="en-US" w:eastAsia="zh-CN"/>
        </w:rPr>
      </w:pPr>
      <w:r>
        <w:rPr>
          <w:rStyle w:val="15"/>
          <w:rFonts w:hint="eastAsia" w:ascii="仿宋_GB2312" w:eastAsia="仿宋_GB2312" w:cs="Times New Roman"/>
          <w:b w:val="0"/>
          <w:bCs/>
          <w:color w:val="000000"/>
          <w:sz w:val="32"/>
          <w:szCs w:val="32"/>
          <w:lang w:val="en-US" w:eastAsia="zh-CN"/>
        </w:rPr>
        <w:drawing>
          <wp:anchor distT="0" distB="0" distL="114300" distR="114300" simplePos="0" relativeHeight="251659264" behindDoc="0" locked="0" layoutInCell="1" allowOverlap="1">
            <wp:simplePos x="0" y="0"/>
            <wp:positionH relativeFrom="column">
              <wp:posOffset>139700</wp:posOffset>
            </wp:positionH>
            <wp:positionV relativeFrom="paragraph">
              <wp:posOffset>854710</wp:posOffset>
            </wp:positionV>
            <wp:extent cx="5256530" cy="2988310"/>
            <wp:effectExtent l="0" t="0" r="0" b="0"/>
            <wp:wrapTopAndBottom/>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Style w:val="15"/>
          <w:rFonts w:hint="eastAsia" w:ascii="仿宋_GB2312" w:eastAsia="仿宋_GB2312" w:cs="Times New Roman"/>
          <w:b w:val="0"/>
          <w:bCs/>
          <w:color w:val="000000"/>
          <w:sz w:val="32"/>
          <w:szCs w:val="32"/>
          <w:lang w:val="en-US" w:eastAsia="zh-CN"/>
        </w:rPr>
        <w:t>2023年度本年支出合计170.23万元，其中：基本支出170.23万元，占100%。</w:t>
      </w:r>
    </w:p>
    <w:p w14:paraId="279AA298">
      <w:pPr>
        <w:spacing w:line="600" w:lineRule="exact"/>
        <w:rPr>
          <w:rStyle w:val="15"/>
          <w:rFonts w:ascii="仿宋_GB2312" w:eastAsia="仿宋_GB2312" w:cs="Times New Roman"/>
          <w:b w:val="0"/>
          <w:bCs/>
          <w:color w:val="000000"/>
          <w:sz w:val="28"/>
          <w:szCs w:val="28"/>
          <w:lang w:val="en-US" w:eastAsia="zh-CN"/>
        </w:rPr>
      </w:pPr>
      <w:r>
        <w:rPr>
          <w:rStyle w:val="15"/>
          <w:rFonts w:hint="eastAsia" w:ascii="仿宋_GB2312" w:eastAsia="仿宋_GB2312" w:cs="Times New Roman"/>
          <w:b w:val="0"/>
          <w:bCs/>
          <w:color w:val="000000"/>
          <w:sz w:val="28"/>
          <w:szCs w:val="28"/>
          <w:lang w:val="en-US" w:eastAsia="zh-CN"/>
        </w:rPr>
        <w:t>（图3：支出决算结构图）</w:t>
      </w:r>
    </w:p>
    <w:p w14:paraId="3D76337F">
      <w:pPr>
        <w:spacing w:line="600" w:lineRule="exact"/>
        <w:ind w:firstLine="640" w:firstLineChars="200"/>
        <w:outlineLvl w:val="1"/>
        <w:rPr>
          <w:rStyle w:val="18"/>
          <w:rFonts w:ascii="黑体" w:eastAsia="黑体"/>
          <w:b w:val="0"/>
          <w:color w:val="auto"/>
          <w:highlight w:val="none"/>
        </w:rPr>
      </w:pPr>
      <w:bookmarkStart w:id="18" w:name="_Toc15396606"/>
      <w:bookmarkStart w:id="19" w:name="_Toc15377208"/>
      <w:r>
        <w:rPr>
          <w:rFonts w:hint="eastAsia" w:ascii="黑体" w:eastAsia="黑体"/>
          <w:color w:val="auto"/>
          <w:sz w:val="32"/>
          <w:szCs w:val="32"/>
          <w:highlight w:val="none"/>
        </w:rPr>
        <w:t>四、财</w:t>
      </w:r>
      <w:r>
        <w:rPr>
          <w:rStyle w:val="18"/>
          <w:rFonts w:hint="eastAsia" w:ascii="黑体" w:eastAsia="黑体"/>
          <w:b w:val="0"/>
          <w:color w:val="auto"/>
          <w:highlight w:val="none"/>
        </w:rPr>
        <w:t>政拨款收入支出决算总体情况说明</w:t>
      </w:r>
      <w:bookmarkEnd w:id="18"/>
      <w:bookmarkEnd w:id="19"/>
    </w:p>
    <w:p w14:paraId="6F42850C">
      <w:pPr>
        <w:spacing w:line="600" w:lineRule="exact"/>
        <w:ind w:firstLine="640" w:firstLineChars="200"/>
        <w:rPr>
          <w:rStyle w:val="15"/>
          <w:rFonts w:hint="eastAsia" w:ascii="仿宋_GB2312" w:eastAsia="仿宋_GB2312" w:cs="Times New Roman"/>
          <w:b w:val="0"/>
          <w:bCs/>
          <w:color w:val="000000"/>
          <w:sz w:val="32"/>
          <w:szCs w:val="32"/>
          <w:lang w:val="en-US" w:eastAsia="zh-CN"/>
        </w:rPr>
      </w:pPr>
      <w:bookmarkStart w:id="20" w:name="_Toc15396607"/>
      <w:bookmarkStart w:id="21" w:name="_Toc15377209"/>
      <w:r>
        <w:rPr>
          <w:rStyle w:val="15"/>
          <w:rFonts w:hint="eastAsia" w:ascii="仿宋_GB2312" w:eastAsia="仿宋_GB2312" w:cs="Times New Roman"/>
          <w:b w:val="0"/>
          <w:bCs/>
          <w:color w:val="000000"/>
          <w:sz w:val="32"/>
          <w:szCs w:val="32"/>
          <w:lang w:val="en-US" w:eastAsia="zh-CN"/>
        </w:rPr>
        <w:t>2023年度财政拨款收、支总计均为170.23万元。与2022年度相比，财政拨款收、支总计各增加9.05万元，增长5.61%。主要变动原因是支出增加。</w:t>
      </w:r>
    </w:p>
    <w:p w14:paraId="0A0542C3">
      <w:pPr>
        <w:spacing w:line="600" w:lineRule="exact"/>
        <w:rPr>
          <w:rStyle w:val="15"/>
          <w:rFonts w:hint="eastAsia" w:ascii="仿宋_GB2312" w:eastAsia="仿宋_GB2312" w:cs="Times New Roman"/>
          <w:b w:val="0"/>
          <w:bCs/>
          <w:color w:val="000000"/>
          <w:sz w:val="32"/>
          <w:szCs w:val="32"/>
          <w:lang w:val="en-US" w:eastAsia="zh-CN"/>
        </w:rPr>
      </w:pPr>
      <w:r>
        <w:rPr>
          <w:rStyle w:val="15"/>
          <w:rFonts w:hint="eastAsia" w:ascii="仿宋_GB2312" w:eastAsia="仿宋_GB2312" w:cs="Times New Roman"/>
          <w:b w:val="0"/>
          <w:bCs/>
          <w:color w:val="000000"/>
          <w:sz w:val="32"/>
          <w:szCs w:val="32"/>
          <w:lang w:val="en-US" w:eastAsia="zh-CN"/>
        </w:rPr>
        <w:drawing>
          <wp:anchor distT="0" distB="0" distL="114300" distR="114300" simplePos="0" relativeHeight="251659264" behindDoc="0" locked="0" layoutInCell="1" allowOverlap="1">
            <wp:simplePos x="0" y="0"/>
            <wp:positionH relativeFrom="column">
              <wp:posOffset>194310</wp:posOffset>
            </wp:positionH>
            <wp:positionV relativeFrom="paragraph">
              <wp:posOffset>78740</wp:posOffset>
            </wp:positionV>
            <wp:extent cx="5256530" cy="2988310"/>
            <wp:effectExtent l="0" t="0" r="0" b="0"/>
            <wp:wrapTopAndBottom/>
            <wp:docPr id="10"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4F01607">
      <w:pPr>
        <w:spacing w:line="600" w:lineRule="exact"/>
        <w:ind w:firstLine="560" w:firstLineChars="200"/>
        <w:rPr>
          <w:rStyle w:val="15"/>
          <w:rFonts w:hint="eastAsia" w:ascii="仿宋_GB2312" w:eastAsia="仿宋_GB2312" w:cs="Times New Roman"/>
          <w:b w:val="0"/>
          <w:bCs/>
          <w:color w:val="000000"/>
          <w:sz w:val="28"/>
          <w:szCs w:val="28"/>
          <w:lang w:val="en-US" w:eastAsia="zh-CN"/>
        </w:rPr>
      </w:pPr>
      <w:r>
        <w:rPr>
          <w:rStyle w:val="15"/>
          <w:rFonts w:hint="eastAsia" w:ascii="仿宋_GB2312" w:eastAsia="仿宋_GB2312" w:cs="Times New Roman"/>
          <w:b w:val="0"/>
          <w:bCs/>
          <w:color w:val="000000"/>
          <w:sz w:val="28"/>
          <w:szCs w:val="28"/>
          <w:lang w:val="en-US" w:eastAsia="zh-CN"/>
        </w:rPr>
        <w:t>图4：财政拨款收、支决算总计变动情况（单位：万元）</w:t>
      </w:r>
    </w:p>
    <w:p w14:paraId="4B69FB23">
      <w:pPr>
        <w:spacing w:line="600" w:lineRule="exact"/>
        <w:ind w:firstLine="640" w:firstLineChars="200"/>
        <w:outlineLvl w:val="1"/>
        <w:rPr>
          <w:rStyle w:val="18"/>
          <w:rFonts w:ascii="黑体" w:eastAsia="黑体"/>
          <w:b w:val="0"/>
          <w:color w:val="auto"/>
          <w:highlight w:val="none"/>
        </w:rPr>
      </w:pPr>
      <w:r>
        <w:rPr>
          <w:rFonts w:hint="eastAsia" w:ascii="黑体" w:eastAsia="黑体"/>
          <w:color w:val="auto"/>
          <w:sz w:val="32"/>
          <w:szCs w:val="32"/>
          <w:highlight w:val="none"/>
        </w:rPr>
        <w:t>五、</w:t>
      </w:r>
      <w:r>
        <w:rPr>
          <w:rFonts w:hint="eastAsia" w:ascii="黑体" w:eastAsia="黑体"/>
          <w:b/>
          <w:color w:val="auto"/>
          <w:sz w:val="32"/>
          <w:szCs w:val="32"/>
          <w:highlight w:val="none"/>
        </w:rPr>
        <w:t>一</w:t>
      </w:r>
      <w:r>
        <w:rPr>
          <w:rStyle w:val="18"/>
          <w:rFonts w:hint="eastAsia" w:ascii="黑体" w:eastAsia="黑体"/>
          <w:b w:val="0"/>
          <w:color w:val="auto"/>
          <w:highlight w:val="none"/>
        </w:rPr>
        <w:t>般公共预算财政拨款支出决算情况说明</w:t>
      </w:r>
      <w:bookmarkEnd w:id="20"/>
      <w:bookmarkEnd w:id="21"/>
    </w:p>
    <w:p w14:paraId="1FC2F886">
      <w:pPr>
        <w:spacing w:line="600" w:lineRule="exact"/>
        <w:ind w:firstLine="643" w:firstLineChars="200"/>
        <w:outlineLvl w:val="2"/>
        <w:rPr>
          <w:rFonts w:ascii="仿宋" w:eastAsia="仿宋"/>
          <w:b/>
          <w:color w:val="auto"/>
          <w:sz w:val="32"/>
          <w:szCs w:val="32"/>
          <w:highlight w:val="none"/>
        </w:rPr>
      </w:pPr>
      <w:bookmarkStart w:id="22" w:name="_Toc15377210"/>
      <w:r>
        <w:rPr>
          <w:rFonts w:hint="eastAsia" w:ascii="仿宋" w:eastAsia="仿宋"/>
          <w:b/>
          <w:color w:val="auto"/>
          <w:sz w:val="32"/>
          <w:szCs w:val="32"/>
          <w:highlight w:val="none"/>
        </w:rPr>
        <w:t>（一）一般公共预算财政拨款支出决算总体情况</w:t>
      </w:r>
      <w:bookmarkEnd w:id="22"/>
    </w:p>
    <w:p w14:paraId="3FED9BDB">
      <w:pPr>
        <w:spacing w:line="600" w:lineRule="exact"/>
        <w:ind w:firstLine="640" w:firstLineChars="200"/>
        <w:rPr>
          <w:rStyle w:val="15"/>
          <w:rFonts w:hint="eastAsia" w:ascii="仿宋_GB2312" w:eastAsia="仿宋_GB2312" w:cs="Times New Roman"/>
          <w:b w:val="0"/>
          <w:bCs/>
          <w:color w:val="000000"/>
          <w:sz w:val="32"/>
          <w:szCs w:val="32"/>
          <w:lang w:val="en-US" w:eastAsia="zh-CN"/>
        </w:rPr>
      </w:pPr>
      <w:r>
        <w:rPr>
          <w:rStyle w:val="15"/>
          <w:rFonts w:hint="eastAsia" w:ascii="仿宋_GB2312" w:eastAsia="仿宋_GB2312" w:cs="Times New Roman"/>
          <w:b w:val="0"/>
          <w:bCs/>
          <w:color w:val="000000"/>
          <w:sz w:val="32"/>
          <w:szCs w:val="32"/>
          <w:lang w:val="en-US" w:eastAsia="zh-CN"/>
        </w:rPr>
        <w:t>2023年度一般公共预算财政拨款支出170.23万元，占本年支出合计的100%。与2022年度相比，一般公共预算财政拨款支出增加9.05万元，增长5.61%。主要变动原因是工资福利支出增加。</w:t>
      </w:r>
    </w:p>
    <w:p w14:paraId="55920C49">
      <w:pPr>
        <w:spacing w:line="600" w:lineRule="exact"/>
        <w:ind w:firstLine="560" w:firstLineChars="200"/>
        <w:rPr>
          <w:rStyle w:val="15"/>
          <w:rFonts w:hint="eastAsia" w:ascii="仿宋_GB2312" w:eastAsia="仿宋_GB2312" w:cs="Times New Roman"/>
          <w:b w:val="0"/>
          <w:bCs/>
          <w:color w:val="000000"/>
          <w:sz w:val="28"/>
          <w:szCs w:val="28"/>
          <w:lang w:val="en-US" w:eastAsia="zh-CN"/>
        </w:rPr>
      </w:pPr>
      <w:r>
        <w:rPr>
          <w:rStyle w:val="15"/>
          <w:rFonts w:hint="eastAsia" w:ascii="仿宋_GB2312" w:eastAsia="仿宋_GB2312" w:cs="Times New Roman"/>
          <w:b w:val="0"/>
          <w:bCs/>
          <w:color w:val="000000"/>
          <w:sz w:val="28"/>
          <w:szCs w:val="28"/>
          <w:lang w:val="en-US" w:eastAsia="zh-CN"/>
        </w:rPr>
        <w:drawing>
          <wp:anchor distT="0" distB="0" distL="114300" distR="114300" simplePos="0" relativeHeight="251659264" behindDoc="0" locked="0" layoutInCell="1" allowOverlap="1">
            <wp:simplePos x="0" y="0"/>
            <wp:positionH relativeFrom="column">
              <wp:posOffset>144145</wp:posOffset>
            </wp:positionH>
            <wp:positionV relativeFrom="paragraph">
              <wp:posOffset>34290</wp:posOffset>
            </wp:positionV>
            <wp:extent cx="5256530" cy="2988310"/>
            <wp:effectExtent l="0" t="0" r="0" b="0"/>
            <wp:wrapTopAndBottom/>
            <wp:docPr id="1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2F646AD">
      <w:pPr>
        <w:spacing w:line="600" w:lineRule="exact"/>
        <w:ind w:firstLine="560" w:firstLineChars="200"/>
        <w:rPr>
          <w:rStyle w:val="15"/>
          <w:rFonts w:hint="eastAsia" w:ascii="仿宋_GB2312" w:eastAsia="仿宋_GB2312" w:cs="Times New Roman"/>
          <w:b w:val="0"/>
          <w:bCs/>
          <w:color w:val="000000"/>
          <w:sz w:val="28"/>
          <w:szCs w:val="28"/>
          <w:lang w:val="en-US" w:eastAsia="zh-CN"/>
        </w:rPr>
      </w:pPr>
      <w:r>
        <w:rPr>
          <w:rStyle w:val="15"/>
          <w:rFonts w:hint="eastAsia" w:ascii="仿宋_GB2312" w:eastAsia="仿宋_GB2312" w:cs="Times New Roman"/>
          <w:b w:val="0"/>
          <w:bCs/>
          <w:color w:val="000000"/>
          <w:sz w:val="28"/>
          <w:szCs w:val="28"/>
          <w:lang w:val="en-US" w:eastAsia="zh-CN"/>
        </w:rPr>
        <w:t>图5：一般公共预算财政拨款支出决算变动情况（单位：万元）</w:t>
      </w:r>
    </w:p>
    <w:p w14:paraId="4AF99EA9">
      <w:pPr>
        <w:spacing w:line="600" w:lineRule="exact"/>
        <w:ind w:firstLine="643" w:firstLineChars="200"/>
        <w:outlineLvl w:val="2"/>
        <w:rPr>
          <w:rFonts w:ascii="仿宋" w:eastAsia="仿宋"/>
          <w:b/>
          <w:color w:val="auto"/>
          <w:sz w:val="32"/>
          <w:szCs w:val="32"/>
          <w:highlight w:val="none"/>
        </w:rPr>
      </w:pPr>
      <w:bookmarkStart w:id="23" w:name="_Toc15377211"/>
      <w:r>
        <w:rPr>
          <w:rFonts w:hint="eastAsia" w:ascii="仿宋" w:eastAsia="仿宋"/>
          <w:b/>
          <w:color w:val="auto"/>
          <w:sz w:val="32"/>
          <w:szCs w:val="32"/>
          <w:highlight w:val="none"/>
        </w:rPr>
        <w:t>（二）一般公共预算财政拨款支出决算结构情况</w:t>
      </w:r>
      <w:bookmarkEnd w:id="23"/>
    </w:p>
    <w:p w14:paraId="060BE8FA">
      <w:pPr>
        <w:spacing w:line="600" w:lineRule="exact"/>
        <w:ind w:firstLine="640" w:firstLineChars="200"/>
        <w:rPr>
          <w:rStyle w:val="15"/>
          <w:rFonts w:hint="eastAsia" w:ascii="仿宋_GB2312" w:eastAsia="仿宋_GB2312" w:cs="Times New Roman"/>
          <w:b w:val="0"/>
          <w:bCs/>
          <w:color w:val="000000"/>
          <w:sz w:val="32"/>
          <w:szCs w:val="32"/>
          <w:lang w:val="en-US" w:eastAsia="zh-CN"/>
        </w:rPr>
      </w:pPr>
      <w:bookmarkStart w:id="24" w:name="_Toc15377212"/>
      <w:r>
        <w:rPr>
          <w:rStyle w:val="15"/>
          <w:rFonts w:hint="eastAsia" w:ascii="仿宋_GB2312" w:eastAsia="仿宋_GB2312" w:cs="Times New Roman"/>
          <w:b w:val="0"/>
          <w:bCs/>
          <w:color w:val="000000"/>
          <w:sz w:val="32"/>
          <w:szCs w:val="32"/>
          <w:lang w:val="en-US" w:eastAsia="zh-CN"/>
        </w:rPr>
        <w:t>2023年度一般公共预算财政拨款支出170.23万元，主要用于以下方面：一般公共服务支出125.64万元，占73.81%；社会保障和就业支出23.72万元，占13.93%；卫生健康支出8.88万元，占5.22%；住房保障支出11.99万元，占7.04%。</w:t>
      </w:r>
    </w:p>
    <w:p w14:paraId="73E7FAF0">
      <w:pPr>
        <w:spacing w:line="600" w:lineRule="exact"/>
        <w:ind w:firstLine="560" w:firstLineChars="200"/>
        <w:rPr>
          <w:rStyle w:val="15"/>
          <w:rFonts w:hint="eastAsia" w:ascii="仿宋_GB2312" w:eastAsia="仿宋_GB2312" w:cs="Times New Roman"/>
          <w:b w:val="0"/>
          <w:bCs/>
          <w:color w:val="000000"/>
          <w:sz w:val="28"/>
          <w:szCs w:val="28"/>
          <w:lang w:val="en-US" w:eastAsia="zh-CN"/>
        </w:rPr>
      </w:pPr>
    </w:p>
    <w:p w14:paraId="070715BA">
      <w:pPr>
        <w:spacing w:line="600" w:lineRule="exact"/>
        <w:ind w:firstLine="560" w:firstLineChars="200"/>
        <w:rPr>
          <w:rStyle w:val="15"/>
          <w:rFonts w:hint="eastAsia" w:ascii="仿宋_GB2312" w:eastAsia="仿宋_GB2312" w:cs="Times New Roman"/>
          <w:b w:val="0"/>
          <w:bCs/>
          <w:color w:val="000000"/>
          <w:sz w:val="28"/>
          <w:szCs w:val="28"/>
          <w:lang w:val="en-US" w:eastAsia="zh-CN"/>
        </w:rPr>
      </w:pPr>
      <w:r>
        <w:rPr>
          <w:rStyle w:val="15"/>
          <w:rFonts w:hint="eastAsia" w:ascii="仿宋_GB2312" w:eastAsia="仿宋_GB2312" w:cs="Times New Roman"/>
          <w:b w:val="0"/>
          <w:bCs/>
          <w:color w:val="000000"/>
          <w:sz w:val="28"/>
          <w:szCs w:val="28"/>
          <w:lang w:val="en-US" w:eastAsia="zh-CN"/>
        </w:rPr>
        <w:drawing>
          <wp:anchor distT="0" distB="0" distL="114300" distR="114300" simplePos="0" relativeHeight="251659264" behindDoc="0" locked="0" layoutInCell="1" allowOverlap="1">
            <wp:simplePos x="0" y="0"/>
            <wp:positionH relativeFrom="column">
              <wp:posOffset>256540</wp:posOffset>
            </wp:positionH>
            <wp:positionV relativeFrom="paragraph">
              <wp:posOffset>138430</wp:posOffset>
            </wp:positionV>
            <wp:extent cx="5256530" cy="2988310"/>
            <wp:effectExtent l="0" t="0" r="0" b="0"/>
            <wp:wrapTopAndBottom/>
            <wp:docPr id="12"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Style w:val="15"/>
          <w:rFonts w:hint="eastAsia" w:ascii="仿宋_GB2312" w:eastAsia="仿宋_GB2312" w:cs="Times New Roman"/>
          <w:b w:val="0"/>
          <w:bCs/>
          <w:color w:val="000000"/>
          <w:sz w:val="28"/>
          <w:szCs w:val="28"/>
          <w:lang w:val="en-US" w:eastAsia="zh-CN"/>
        </w:rPr>
        <w:t>图6：一般公共预算财政拨款支出决算结构图（万元）</w:t>
      </w:r>
    </w:p>
    <w:p w14:paraId="76BEC5BF">
      <w:pPr>
        <w:spacing w:line="600" w:lineRule="exact"/>
        <w:ind w:firstLine="643" w:firstLineChars="200"/>
        <w:outlineLvl w:val="2"/>
        <w:rPr>
          <w:rFonts w:ascii="仿宋" w:eastAsia="仿宋"/>
          <w:b/>
          <w:color w:val="auto"/>
          <w:sz w:val="32"/>
          <w:szCs w:val="32"/>
          <w:highlight w:val="none"/>
        </w:rPr>
      </w:pPr>
      <w:r>
        <w:rPr>
          <w:rFonts w:hint="eastAsia" w:ascii="仿宋" w:eastAsia="仿宋"/>
          <w:b/>
          <w:color w:val="auto"/>
          <w:sz w:val="32"/>
          <w:szCs w:val="32"/>
          <w:highlight w:val="none"/>
        </w:rPr>
        <w:t>（三）一般公共预算财政拨款支出决算具体情况</w:t>
      </w:r>
      <w:bookmarkEnd w:id="24"/>
    </w:p>
    <w:p w14:paraId="4E67B7EE">
      <w:pPr>
        <w:spacing w:line="600" w:lineRule="exact"/>
        <w:ind w:firstLine="640" w:firstLineChars="200"/>
        <w:rPr>
          <w:rStyle w:val="15"/>
          <w:rFonts w:hint="eastAsia" w:ascii="仿宋" w:eastAsia="仿宋" w:cs="Times New Roman"/>
          <w:b w:val="0"/>
          <w:bCs/>
          <w:color w:val="auto"/>
          <w:sz w:val="32"/>
          <w:szCs w:val="32"/>
          <w:highlight w:val="none"/>
        </w:rPr>
      </w:pPr>
      <w:r>
        <w:rPr>
          <w:rStyle w:val="15"/>
          <w:rFonts w:hint="eastAsia" w:ascii="仿宋" w:eastAsia="仿宋" w:cs="Times New Roman"/>
          <w:b w:val="0"/>
          <w:bCs/>
          <w:color w:val="auto"/>
          <w:sz w:val="32"/>
          <w:szCs w:val="32"/>
          <w:highlight w:val="none"/>
          <w:lang w:eastAsia="zh-CN"/>
        </w:rPr>
        <w:t>2023</w:t>
      </w:r>
      <w:r>
        <w:rPr>
          <w:rStyle w:val="15"/>
          <w:rFonts w:hint="eastAsia" w:ascii="仿宋" w:eastAsia="仿宋" w:cs="Times New Roman"/>
          <w:b w:val="0"/>
          <w:bCs/>
          <w:color w:val="auto"/>
          <w:sz w:val="32"/>
          <w:szCs w:val="32"/>
          <w:highlight w:val="none"/>
        </w:rPr>
        <w:t>年</w:t>
      </w:r>
      <w:r>
        <w:rPr>
          <w:rStyle w:val="15"/>
          <w:rFonts w:hint="eastAsia" w:ascii="仿宋" w:eastAsia="仿宋" w:cs="Times New Roman"/>
          <w:b w:val="0"/>
          <w:bCs/>
          <w:color w:val="auto"/>
          <w:sz w:val="32"/>
          <w:szCs w:val="32"/>
          <w:highlight w:val="none"/>
          <w:lang w:eastAsia="zh-CN"/>
        </w:rPr>
        <w:t>度一</w:t>
      </w:r>
      <w:r>
        <w:rPr>
          <w:rStyle w:val="15"/>
          <w:rFonts w:hint="eastAsia" w:ascii="仿宋" w:eastAsia="仿宋" w:cs="Times New Roman"/>
          <w:b w:val="0"/>
          <w:bCs/>
          <w:color w:val="auto"/>
          <w:sz w:val="32"/>
          <w:szCs w:val="32"/>
          <w:highlight w:val="none"/>
        </w:rPr>
        <w:t>般公共预算支出决算数为</w:t>
      </w:r>
      <w:r>
        <w:rPr>
          <w:rStyle w:val="15"/>
          <w:rFonts w:hint="eastAsia" w:ascii="仿宋" w:eastAsia="仿宋" w:cs="Times New Roman"/>
          <w:b w:val="0"/>
          <w:bCs/>
          <w:color w:val="auto"/>
          <w:sz w:val="32"/>
          <w:szCs w:val="32"/>
          <w:highlight w:val="none"/>
          <w:lang w:val="en-US" w:eastAsia="zh-CN"/>
        </w:rPr>
        <w:t>170.23万元</w:t>
      </w:r>
      <w:r>
        <w:rPr>
          <w:rStyle w:val="15"/>
          <w:rFonts w:hint="eastAsia" w:ascii="仿宋" w:eastAsia="仿宋" w:cs="Times New Roman"/>
          <w:b w:val="0"/>
          <w:bCs/>
          <w:color w:val="auto"/>
          <w:sz w:val="32"/>
          <w:szCs w:val="32"/>
          <w:highlight w:val="none"/>
        </w:rPr>
        <w:t>，完成预算</w:t>
      </w:r>
      <w:r>
        <w:rPr>
          <w:rStyle w:val="15"/>
          <w:rFonts w:hint="eastAsia" w:ascii="仿宋" w:eastAsia="仿宋" w:cs="Times New Roman"/>
          <w:b w:val="0"/>
          <w:bCs/>
          <w:color w:val="auto"/>
          <w:sz w:val="32"/>
          <w:szCs w:val="32"/>
          <w:highlight w:val="none"/>
          <w:lang w:val="en-US" w:eastAsia="zh-CN"/>
        </w:rPr>
        <w:t>100</w:t>
      </w:r>
      <w:r>
        <w:rPr>
          <w:rStyle w:val="15"/>
          <w:rFonts w:hint="eastAsia" w:ascii="仿宋" w:eastAsia="仿宋" w:cs="Times New Roman"/>
          <w:b w:val="0"/>
          <w:bCs/>
          <w:color w:val="auto"/>
          <w:sz w:val="32"/>
          <w:szCs w:val="32"/>
          <w:highlight w:val="none"/>
        </w:rPr>
        <w:t>%。其中：</w:t>
      </w:r>
    </w:p>
    <w:p w14:paraId="3455DF93">
      <w:pPr>
        <w:spacing w:line="600" w:lineRule="exact"/>
        <w:ind w:firstLine="640" w:firstLineChars="200"/>
        <w:rPr>
          <w:rStyle w:val="15"/>
          <w:rFonts w:hint="eastAsia" w:ascii="仿宋" w:eastAsia="仿宋" w:cs="Times New Roman"/>
          <w:b w:val="0"/>
          <w:bCs/>
          <w:color w:val="auto"/>
          <w:sz w:val="32"/>
          <w:szCs w:val="32"/>
          <w:highlight w:val="none"/>
        </w:rPr>
      </w:pPr>
      <w:r>
        <w:rPr>
          <w:rStyle w:val="15"/>
          <w:rFonts w:hint="eastAsia" w:ascii="仿宋" w:eastAsia="仿宋" w:cs="Times New Roman"/>
          <w:b w:val="0"/>
          <w:bCs/>
          <w:color w:val="auto"/>
          <w:sz w:val="32"/>
          <w:szCs w:val="32"/>
          <w:highlight w:val="none"/>
        </w:rPr>
        <w:t>1.一般公共服务</w:t>
      </w:r>
      <w:r>
        <w:rPr>
          <w:rStyle w:val="15"/>
          <w:rFonts w:hint="eastAsia" w:ascii="仿宋" w:eastAsia="仿宋" w:cs="Times New Roman"/>
          <w:b w:val="0"/>
          <w:bCs/>
          <w:color w:val="auto"/>
          <w:sz w:val="32"/>
          <w:szCs w:val="32"/>
          <w:highlight w:val="none"/>
          <w:lang w:eastAsia="zh-CN"/>
        </w:rPr>
        <w:t>支出</w:t>
      </w:r>
      <w:r>
        <w:rPr>
          <w:rStyle w:val="15"/>
          <w:rFonts w:hint="eastAsia" w:ascii="仿宋" w:eastAsia="仿宋" w:cs="Times New Roman"/>
          <w:b w:val="0"/>
          <w:bCs/>
          <w:color w:val="auto"/>
          <w:sz w:val="32"/>
          <w:szCs w:val="32"/>
          <w:highlight w:val="none"/>
        </w:rPr>
        <w:t>（类）商贸事务（款）事业运行（项）</w:t>
      </w:r>
      <w:r>
        <w:rPr>
          <w:rStyle w:val="15"/>
          <w:rFonts w:hint="eastAsia" w:ascii="仿宋" w:eastAsia="仿宋" w:cs="Times New Roman"/>
          <w:b w:val="0"/>
          <w:bCs/>
          <w:color w:val="auto"/>
          <w:sz w:val="32"/>
          <w:szCs w:val="32"/>
          <w:highlight w:val="none"/>
          <w:lang w:eastAsia="zh-CN"/>
        </w:rPr>
        <w:t>：</w:t>
      </w:r>
      <w:r>
        <w:rPr>
          <w:rStyle w:val="15"/>
          <w:rFonts w:hint="eastAsia" w:ascii="仿宋" w:eastAsia="仿宋" w:cs="Times New Roman"/>
          <w:b w:val="0"/>
          <w:bCs/>
          <w:color w:val="auto"/>
          <w:sz w:val="32"/>
          <w:szCs w:val="32"/>
          <w:highlight w:val="none"/>
        </w:rPr>
        <w:t xml:space="preserve"> 支出决算为</w:t>
      </w:r>
      <w:r>
        <w:rPr>
          <w:rStyle w:val="15"/>
          <w:rFonts w:hint="eastAsia" w:ascii="仿宋" w:eastAsia="仿宋" w:cs="Times New Roman"/>
          <w:b w:val="0"/>
          <w:bCs/>
          <w:color w:val="auto"/>
          <w:sz w:val="32"/>
          <w:szCs w:val="32"/>
          <w:highlight w:val="none"/>
          <w:lang w:val="en-US" w:eastAsia="zh-CN"/>
        </w:rPr>
        <w:t>125.64</w:t>
      </w:r>
      <w:r>
        <w:rPr>
          <w:rStyle w:val="15"/>
          <w:rFonts w:hint="eastAsia" w:ascii="仿宋" w:eastAsia="仿宋" w:cs="Times New Roman"/>
          <w:b w:val="0"/>
          <w:bCs/>
          <w:color w:val="auto"/>
          <w:sz w:val="32"/>
          <w:szCs w:val="32"/>
          <w:highlight w:val="none"/>
        </w:rPr>
        <w:t>万元，完成预算</w:t>
      </w:r>
      <w:r>
        <w:rPr>
          <w:rStyle w:val="15"/>
          <w:rFonts w:hint="eastAsia" w:ascii="仿宋" w:eastAsia="仿宋" w:cs="Times New Roman"/>
          <w:b w:val="0"/>
          <w:bCs/>
          <w:color w:val="auto"/>
          <w:sz w:val="32"/>
          <w:szCs w:val="32"/>
          <w:highlight w:val="none"/>
          <w:lang w:val="en-US" w:eastAsia="zh-CN"/>
        </w:rPr>
        <w:t>100</w:t>
      </w:r>
      <w:r>
        <w:rPr>
          <w:rStyle w:val="15"/>
          <w:rFonts w:hint="eastAsia" w:ascii="仿宋" w:eastAsia="仿宋" w:cs="Times New Roman"/>
          <w:b w:val="0"/>
          <w:bCs/>
          <w:color w:val="auto"/>
          <w:sz w:val="32"/>
          <w:szCs w:val="32"/>
          <w:highlight w:val="none"/>
        </w:rPr>
        <w:t>%，决算数等于预算数。</w:t>
      </w:r>
    </w:p>
    <w:p w14:paraId="32E5DED3">
      <w:pPr>
        <w:spacing w:line="600" w:lineRule="exact"/>
        <w:ind w:firstLine="640" w:firstLineChars="200"/>
        <w:rPr>
          <w:rStyle w:val="15"/>
          <w:rFonts w:hint="eastAsia" w:ascii="仿宋" w:eastAsia="仿宋" w:cs="Times New Roman"/>
          <w:b w:val="0"/>
          <w:bCs/>
          <w:color w:val="auto"/>
          <w:sz w:val="32"/>
          <w:szCs w:val="32"/>
          <w:highlight w:val="none"/>
        </w:rPr>
      </w:pPr>
      <w:r>
        <w:rPr>
          <w:rStyle w:val="15"/>
          <w:rFonts w:hint="eastAsia" w:ascii="仿宋" w:eastAsia="仿宋" w:cs="Times New Roman"/>
          <w:b w:val="0"/>
          <w:bCs/>
          <w:color w:val="auto"/>
          <w:sz w:val="32"/>
          <w:szCs w:val="32"/>
          <w:highlight w:val="none"/>
          <w:lang w:val="en-US" w:eastAsia="zh-CN"/>
        </w:rPr>
        <w:t>2</w:t>
      </w:r>
      <w:r>
        <w:rPr>
          <w:rStyle w:val="15"/>
          <w:rFonts w:hint="eastAsia" w:ascii="仿宋" w:eastAsia="仿宋" w:cs="Times New Roman"/>
          <w:b w:val="0"/>
          <w:bCs/>
          <w:color w:val="auto"/>
          <w:sz w:val="32"/>
          <w:szCs w:val="32"/>
          <w:highlight w:val="none"/>
        </w:rPr>
        <w:t>.社会保障和就业</w:t>
      </w:r>
      <w:r>
        <w:rPr>
          <w:rStyle w:val="15"/>
          <w:rFonts w:hint="eastAsia" w:ascii="仿宋" w:eastAsia="仿宋" w:cs="Times New Roman"/>
          <w:b w:val="0"/>
          <w:bCs/>
          <w:color w:val="auto"/>
          <w:sz w:val="32"/>
          <w:szCs w:val="32"/>
          <w:highlight w:val="none"/>
          <w:lang w:eastAsia="zh-CN"/>
        </w:rPr>
        <w:t>支出</w:t>
      </w:r>
      <w:r>
        <w:rPr>
          <w:rStyle w:val="15"/>
          <w:rFonts w:hint="eastAsia" w:ascii="仿宋" w:eastAsia="仿宋" w:cs="Times New Roman"/>
          <w:b w:val="0"/>
          <w:bCs/>
          <w:color w:val="auto"/>
          <w:sz w:val="32"/>
          <w:szCs w:val="32"/>
          <w:highlight w:val="none"/>
        </w:rPr>
        <w:t>（类）行政事业单位养老</w:t>
      </w:r>
      <w:r>
        <w:rPr>
          <w:rStyle w:val="15"/>
          <w:rFonts w:hint="eastAsia" w:ascii="仿宋" w:eastAsia="仿宋" w:cs="Times New Roman"/>
          <w:b w:val="0"/>
          <w:bCs/>
          <w:color w:val="auto"/>
          <w:sz w:val="32"/>
          <w:szCs w:val="32"/>
          <w:highlight w:val="none"/>
          <w:lang w:eastAsia="zh-CN"/>
        </w:rPr>
        <w:t>支出</w:t>
      </w:r>
      <w:r>
        <w:rPr>
          <w:rStyle w:val="15"/>
          <w:rFonts w:hint="eastAsia" w:ascii="仿宋" w:eastAsia="仿宋" w:cs="Times New Roman"/>
          <w:b w:val="0"/>
          <w:bCs/>
          <w:color w:val="auto"/>
          <w:sz w:val="32"/>
          <w:szCs w:val="32"/>
          <w:highlight w:val="none"/>
        </w:rPr>
        <w:t>（款）机关事业单位基本养老保险缴费</w:t>
      </w:r>
      <w:r>
        <w:rPr>
          <w:rStyle w:val="15"/>
          <w:rFonts w:hint="eastAsia" w:ascii="仿宋" w:eastAsia="仿宋" w:cs="Times New Roman"/>
          <w:b w:val="0"/>
          <w:bCs/>
          <w:color w:val="auto"/>
          <w:sz w:val="32"/>
          <w:szCs w:val="32"/>
          <w:highlight w:val="none"/>
          <w:lang w:eastAsia="zh-CN"/>
        </w:rPr>
        <w:t>支出</w:t>
      </w:r>
      <w:r>
        <w:rPr>
          <w:rStyle w:val="15"/>
          <w:rFonts w:hint="eastAsia" w:ascii="仿宋" w:eastAsia="仿宋" w:cs="Times New Roman"/>
          <w:b w:val="0"/>
          <w:bCs/>
          <w:color w:val="auto"/>
          <w:sz w:val="32"/>
          <w:szCs w:val="32"/>
          <w:highlight w:val="none"/>
        </w:rPr>
        <w:t>（项）</w:t>
      </w:r>
      <w:r>
        <w:rPr>
          <w:rStyle w:val="15"/>
          <w:rFonts w:hint="eastAsia" w:ascii="仿宋" w:eastAsia="仿宋" w:cs="Times New Roman"/>
          <w:b w:val="0"/>
          <w:bCs/>
          <w:color w:val="auto"/>
          <w:sz w:val="32"/>
          <w:szCs w:val="32"/>
          <w:highlight w:val="none"/>
          <w:lang w:eastAsia="zh-CN"/>
        </w:rPr>
        <w:t>：</w:t>
      </w:r>
      <w:r>
        <w:rPr>
          <w:rStyle w:val="15"/>
          <w:rFonts w:hint="eastAsia" w:ascii="仿宋" w:eastAsia="仿宋" w:cs="Times New Roman"/>
          <w:b w:val="0"/>
          <w:bCs/>
          <w:color w:val="auto"/>
          <w:sz w:val="32"/>
          <w:szCs w:val="32"/>
          <w:highlight w:val="none"/>
        </w:rPr>
        <w:t>支出决算为</w:t>
      </w:r>
      <w:r>
        <w:rPr>
          <w:rStyle w:val="15"/>
          <w:rFonts w:hint="eastAsia" w:ascii="仿宋" w:eastAsia="仿宋" w:cs="Times New Roman"/>
          <w:b w:val="0"/>
          <w:bCs/>
          <w:color w:val="auto"/>
          <w:sz w:val="32"/>
          <w:szCs w:val="32"/>
          <w:highlight w:val="none"/>
          <w:lang w:val="en-US" w:eastAsia="zh-CN"/>
        </w:rPr>
        <w:t>15.81</w:t>
      </w:r>
      <w:r>
        <w:rPr>
          <w:rStyle w:val="15"/>
          <w:rFonts w:hint="eastAsia" w:ascii="仿宋" w:eastAsia="仿宋" w:cs="Times New Roman"/>
          <w:b w:val="0"/>
          <w:bCs/>
          <w:color w:val="auto"/>
          <w:sz w:val="32"/>
          <w:szCs w:val="32"/>
          <w:highlight w:val="none"/>
        </w:rPr>
        <w:t>万元，完成预算</w:t>
      </w:r>
      <w:r>
        <w:rPr>
          <w:rStyle w:val="15"/>
          <w:rFonts w:hint="eastAsia" w:ascii="仿宋" w:eastAsia="仿宋" w:cs="Times New Roman"/>
          <w:b w:val="0"/>
          <w:bCs/>
          <w:color w:val="auto"/>
          <w:sz w:val="32"/>
          <w:szCs w:val="32"/>
          <w:highlight w:val="none"/>
          <w:lang w:val="en-US" w:eastAsia="zh-CN"/>
        </w:rPr>
        <w:t>100</w:t>
      </w:r>
      <w:r>
        <w:rPr>
          <w:rStyle w:val="15"/>
          <w:rFonts w:hint="eastAsia" w:ascii="仿宋" w:eastAsia="仿宋" w:cs="Times New Roman"/>
          <w:b w:val="0"/>
          <w:bCs/>
          <w:color w:val="auto"/>
          <w:sz w:val="32"/>
          <w:szCs w:val="32"/>
          <w:highlight w:val="none"/>
        </w:rPr>
        <w:t>%，决算数等于预算数。</w:t>
      </w:r>
    </w:p>
    <w:p w14:paraId="76CA25EA">
      <w:pPr>
        <w:spacing w:line="600" w:lineRule="exact"/>
        <w:ind w:firstLine="640" w:firstLineChars="200"/>
        <w:rPr>
          <w:rStyle w:val="15"/>
          <w:rFonts w:hint="eastAsia" w:ascii="仿宋" w:eastAsia="仿宋" w:cs="Times New Roman"/>
          <w:b w:val="0"/>
          <w:bCs/>
          <w:color w:val="auto"/>
          <w:sz w:val="32"/>
          <w:szCs w:val="32"/>
          <w:highlight w:val="none"/>
        </w:rPr>
      </w:pPr>
      <w:r>
        <w:rPr>
          <w:rStyle w:val="15"/>
          <w:rFonts w:hint="eastAsia" w:ascii="仿宋" w:eastAsia="仿宋" w:cs="Times New Roman"/>
          <w:b w:val="0"/>
          <w:bCs/>
          <w:color w:val="auto"/>
          <w:sz w:val="32"/>
          <w:szCs w:val="32"/>
          <w:highlight w:val="none"/>
          <w:lang w:val="en-US" w:eastAsia="zh-CN"/>
        </w:rPr>
        <w:t>3</w:t>
      </w:r>
      <w:r>
        <w:rPr>
          <w:rStyle w:val="15"/>
          <w:rFonts w:hint="eastAsia" w:ascii="仿宋" w:eastAsia="仿宋" w:cs="Times New Roman"/>
          <w:b w:val="0"/>
          <w:bCs/>
          <w:color w:val="auto"/>
          <w:sz w:val="32"/>
          <w:szCs w:val="32"/>
          <w:highlight w:val="none"/>
        </w:rPr>
        <w:t>.社会保障和就业</w:t>
      </w:r>
      <w:r>
        <w:rPr>
          <w:rStyle w:val="15"/>
          <w:rFonts w:hint="eastAsia" w:ascii="仿宋" w:eastAsia="仿宋" w:cs="Times New Roman"/>
          <w:b w:val="0"/>
          <w:bCs/>
          <w:color w:val="auto"/>
          <w:sz w:val="32"/>
          <w:szCs w:val="32"/>
          <w:highlight w:val="none"/>
          <w:lang w:eastAsia="zh-CN"/>
        </w:rPr>
        <w:t>支出</w:t>
      </w:r>
      <w:r>
        <w:rPr>
          <w:rStyle w:val="15"/>
          <w:rFonts w:hint="eastAsia" w:ascii="仿宋" w:eastAsia="仿宋" w:cs="Times New Roman"/>
          <w:b w:val="0"/>
          <w:bCs/>
          <w:color w:val="auto"/>
          <w:sz w:val="32"/>
          <w:szCs w:val="32"/>
          <w:highlight w:val="none"/>
        </w:rPr>
        <w:t>（类）行政事业单位养老</w:t>
      </w:r>
      <w:r>
        <w:rPr>
          <w:rStyle w:val="15"/>
          <w:rFonts w:hint="eastAsia" w:ascii="仿宋" w:eastAsia="仿宋" w:cs="Times New Roman"/>
          <w:b w:val="0"/>
          <w:bCs/>
          <w:color w:val="auto"/>
          <w:sz w:val="32"/>
          <w:szCs w:val="32"/>
          <w:highlight w:val="none"/>
          <w:lang w:eastAsia="zh-CN"/>
        </w:rPr>
        <w:t>支出</w:t>
      </w:r>
      <w:r>
        <w:rPr>
          <w:rStyle w:val="15"/>
          <w:rFonts w:hint="eastAsia" w:ascii="仿宋" w:eastAsia="仿宋" w:cs="Times New Roman"/>
          <w:b w:val="0"/>
          <w:bCs/>
          <w:color w:val="auto"/>
          <w:sz w:val="32"/>
          <w:szCs w:val="32"/>
          <w:highlight w:val="none"/>
        </w:rPr>
        <w:t>（款）机关事业单位职业年金缴费</w:t>
      </w:r>
      <w:r>
        <w:rPr>
          <w:rStyle w:val="15"/>
          <w:rFonts w:hint="eastAsia" w:ascii="仿宋" w:eastAsia="仿宋" w:cs="Times New Roman"/>
          <w:b w:val="0"/>
          <w:bCs/>
          <w:color w:val="auto"/>
          <w:sz w:val="32"/>
          <w:szCs w:val="32"/>
          <w:highlight w:val="none"/>
          <w:lang w:eastAsia="zh-CN"/>
        </w:rPr>
        <w:t>支出</w:t>
      </w:r>
      <w:r>
        <w:rPr>
          <w:rStyle w:val="15"/>
          <w:rFonts w:hint="eastAsia" w:ascii="仿宋" w:eastAsia="仿宋" w:cs="Times New Roman"/>
          <w:b w:val="0"/>
          <w:bCs/>
          <w:color w:val="auto"/>
          <w:sz w:val="32"/>
          <w:szCs w:val="32"/>
          <w:highlight w:val="none"/>
        </w:rPr>
        <w:t>（项）</w:t>
      </w:r>
      <w:r>
        <w:rPr>
          <w:rStyle w:val="15"/>
          <w:rFonts w:hint="eastAsia" w:ascii="仿宋" w:eastAsia="仿宋" w:cs="Times New Roman"/>
          <w:b w:val="0"/>
          <w:bCs/>
          <w:color w:val="auto"/>
          <w:sz w:val="32"/>
          <w:szCs w:val="32"/>
          <w:highlight w:val="none"/>
          <w:lang w:eastAsia="zh-CN"/>
        </w:rPr>
        <w:t>：</w:t>
      </w:r>
      <w:r>
        <w:rPr>
          <w:rStyle w:val="15"/>
          <w:rFonts w:hint="eastAsia" w:ascii="仿宋" w:eastAsia="仿宋" w:cs="Times New Roman"/>
          <w:b w:val="0"/>
          <w:bCs/>
          <w:color w:val="auto"/>
          <w:sz w:val="32"/>
          <w:szCs w:val="32"/>
          <w:highlight w:val="none"/>
        </w:rPr>
        <w:t>支出决算为</w:t>
      </w:r>
      <w:r>
        <w:rPr>
          <w:rStyle w:val="15"/>
          <w:rFonts w:hint="eastAsia" w:ascii="仿宋" w:eastAsia="仿宋" w:cs="Times New Roman"/>
          <w:b w:val="0"/>
          <w:bCs/>
          <w:color w:val="auto"/>
          <w:sz w:val="32"/>
          <w:szCs w:val="32"/>
          <w:highlight w:val="none"/>
          <w:lang w:val="en-US" w:eastAsia="zh-CN"/>
        </w:rPr>
        <w:t>7.91</w:t>
      </w:r>
      <w:r>
        <w:rPr>
          <w:rStyle w:val="15"/>
          <w:rFonts w:hint="eastAsia" w:ascii="仿宋" w:eastAsia="仿宋" w:cs="Times New Roman"/>
          <w:b w:val="0"/>
          <w:bCs/>
          <w:color w:val="auto"/>
          <w:sz w:val="32"/>
          <w:szCs w:val="32"/>
          <w:highlight w:val="none"/>
        </w:rPr>
        <w:t>万元，完成预算</w:t>
      </w:r>
      <w:r>
        <w:rPr>
          <w:rStyle w:val="15"/>
          <w:rFonts w:hint="eastAsia" w:ascii="仿宋" w:eastAsia="仿宋" w:cs="Times New Roman"/>
          <w:b w:val="0"/>
          <w:bCs/>
          <w:color w:val="auto"/>
          <w:sz w:val="32"/>
          <w:szCs w:val="32"/>
          <w:highlight w:val="none"/>
          <w:lang w:val="en-US" w:eastAsia="zh-CN"/>
        </w:rPr>
        <w:t>100</w:t>
      </w:r>
      <w:r>
        <w:rPr>
          <w:rStyle w:val="15"/>
          <w:rFonts w:hint="eastAsia" w:ascii="仿宋" w:eastAsia="仿宋" w:cs="Times New Roman"/>
          <w:b w:val="0"/>
          <w:bCs/>
          <w:color w:val="auto"/>
          <w:sz w:val="32"/>
          <w:szCs w:val="32"/>
          <w:highlight w:val="none"/>
        </w:rPr>
        <w:t>%，决算数等于预算数。</w:t>
      </w:r>
    </w:p>
    <w:p w14:paraId="7C7A80CF">
      <w:pPr>
        <w:spacing w:line="600" w:lineRule="exact"/>
        <w:ind w:firstLine="640" w:firstLineChars="200"/>
        <w:rPr>
          <w:rStyle w:val="15"/>
          <w:rFonts w:hint="eastAsia" w:ascii="仿宋" w:eastAsia="仿宋" w:cs="Times New Roman"/>
          <w:b w:val="0"/>
          <w:bCs/>
          <w:color w:val="auto"/>
          <w:sz w:val="32"/>
          <w:szCs w:val="32"/>
          <w:highlight w:val="none"/>
        </w:rPr>
      </w:pPr>
      <w:r>
        <w:rPr>
          <w:rStyle w:val="15"/>
          <w:rFonts w:hint="eastAsia" w:ascii="仿宋" w:eastAsia="仿宋" w:cs="Times New Roman"/>
          <w:b w:val="0"/>
          <w:bCs/>
          <w:color w:val="auto"/>
          <w:sz w:val="32"/>
          <w:szCs w:val="32"/>
          <w:highlight w:val="none"/>
          <w:lang w:val="en-US" w:eastAsia="zh-CN"/>
        </w:rPr>
        <w:t>4</w:t>
      </w:r>
      <w:r>
        <w:rPr>
          <w:rStyle w:val="15"/>
          <w:rFonts w:hint="eastAsia" w:ascii="仿宋" w:eastAsia="仿宋" w:cs="Times New Roman"/>
          <w:b w:val="0"/>
          <w:bCs/>
          <w:color w:val="auto"/>
          <w:sz w:val="32"/>
          <w:szCs w:val="32"/>
          <w:highlight w:val="none"/>
        </w:rPr>
        <w:t>.卫生健康</w:t>
      </w:r>
      <w:r>
        <w:rPr>
          <w:rStyle w:val="15"/>
          <w:rFonts w:hint="eastAsia" w:ascii="仿宋" w:eastAsia="仿宋" w:cs="Times New Roman"/>
          <w:b w:val="0"/>
          <w:bCs/>
          <w:color w:val="auto"/>
          <w:sz w:val="32"/>
          <w:szCs w:val="32"/>
          <w:highlight w:val="none"/>
          <w:lang w:eastAsia="zh-CN"/>
        </w:rPr>
        <w:t>支出（</w:t>
      </w:r>
      <w:r>
        <w:rPr>
          <w:rStyle w:val="15"/>
          <w:rFonts w:hint="eastAsia" w:ascii="仿宋" w:eastAsia="仿宋" w:cs="Times New Roman"/>
          <w:b w:val="0"/>
          <w:bCs/>
          <w:color w:val="auto"/>
          <w:sz w:val="32"/>
          <w:szCs w:val="32"/>
          <w:highlight w:val="none"/>
        </w:rPr>
        <w:t>类）行政事业单位医疗（款）事业单位医疗（项）</w:t>
      </w:r>
      <w:r>
        <w:rPr>
          <w:rStyle w:val="15"/>
          <w:rFonts w:hint="eastAsia" w:ascii="仿宋" w:eastAsia="仿宋" w:cs="Times New Roman"/>
          <w:b w:val="0"/>
          <w:bCs/>
          <w:color w:val="auto"/>
          <w:sz w:val="32"/>
          <w:szCs w:val="32"/>
          <w:highlight w:val="none"/>
          <w:lang w:eastAsia="zh-CN"/>
        </w:rPr>
        <w:t>：</w:t>
      </w:r>
      <w:r>
        <w:rPr>
          <w:rStyle w:val="15"/>
          <w:rFonts w:hint="eastAsia" w:ascii="仿宋" w:eastAsia="仿宋" w:cs="Times New Roman"/>
          <w:b w:val="0"/>
          <w:bCs/>
          <w:color w:val="auto"/>
          <w:sz w:val="32"/>
          <w:szCs w:val="32"/>
          <w:highlight w:val="none"/>
        </w:rPr>
        <w:t>支出决算为</w:t>
      </w:r>
      <w:r>
        <w:rPr>
          <w:rStyle w:val="15"/>
          <w:rFonts w:hint="eastAsia" w:ascii="仿宋" w:eastAsia="仿宋" w:cs="Times New Roman"/>
          <w:b w:val="0"/>
          <w:bCs/>
          <w:color w:val="auto"/>
          <w:sz w:val="32"/>
          <w:szCs w:val="32"/>
          <w:highlight w:val="none"/>
          <w:lang w:val="en-US" w:eastAsia="zh-CN"/>
        </w:rPr>
        <w:t>8.88</w:t>
      </w:r>
      <w:r>
        <w:rPr>
          <w:rStyle w:val="15"/>
          <w:rFonts w:hint="eastAsia" w:ascii="仿宋" w:eastAsia="仿宋" w:cs="Times New Roman"/>
          <w:b w:val="0"/>
          <w:bCs/>
          <w:color w:val="auto"/>
          <w:sz w:val="32"/>
          <w:szCs w:val="32"/>
          <w:highlight w:val="none"/>
        </w:rPr>
        <w:t>万元，完成预算</w:t>
      </w:r>
      <w:r>
        <w:rPr>
          <w:rStyle w:val="15"/>
          <w:rFonts w:hint="eastAsia" w:ascii="仿宋" w:eastAsia="仿宋" w:cs="Times New Roman"/>
          <w:b w:val="0"/>
          <w:bCs/>
          <w:color w:val="auto"/>
          <w:sz w:val="32"/>
          <w:szCs w:val="32"/>
          <w:highlight w:val="none"/>
          <w:lang w:val="en-US" w:eastAsia="zh-CN"/>
        </w:rPr>
        <w:t>100</w:t>
      </w:r>
      <w:r>
        <w:rPr>
          <w:rStyle w:val="15"/>
          <w:rFonts w:hint="eastAsia" w:ascii="仿宋" w:eastAsia="仿宋" w:cs="Times New Roman"/>
          <w:b w:val="0"/>
          <w:bCs/>
          <w:color w:val="auto"/>
          <w:sz w:val="32"/>
          <w:szCs w:val="32"/>
          <w:highlight w:val="none"/>
        </w:rPr>
        <w:t>%，决算数等于预算数。</w:t>
      </w:r>
    </w:p>
    <w:p w14:paraId="684A027F">
      <w:pPr>
        <w:spacing w:line="600" w:lineRule="exact"/>
        <w:ind w:firstLine="640" w:firstLineChars="200"/>
        <w:rPr>
          <w:rStyle w:val="15"/>
          <w:rFonts w:hint="eastAsia" w:ascii="仿宋" w:eastAsia="仿宋" w:cs="Times New Roman"/>
          <w:b w:val="0"/>
          <w:bCs/>
          <w:color w:val="auto"/>
          <w:sz w:val="32"/>
          <w:szCs w:val="32"/>
          <w:highlight w:val="none"/>
        </w:rPr>
      </w:pPr>
      <w:r>
        <w:rPr>
          <w:rStyle w:val="15"/>
          <w:rFonts w:hint="eastAsia" w:ascii="仿宋" w:eastAsia="仿宋" w:cs="Times New Roman"/>
          <w:b w:val="0"/>
          <w:bCs/>
          <w:color w:val="auto"/>
          <w:sz w:val="32"/>
          <w:szCs w:val="32"/>
          <w:highlight w:val="none"/>
          <w:lang w:val="en-US" w:eastAsia="zh-CN"/>
        </w:rPr>
        <w:t>5</w:t>
      </w:r>
      <w:r>
        <w:rPr>
          <w:rStyle w:val="15"/>
          <w:rFonts w:hint="eastAsia" w:ascii="仿宋" w:eastAsia="仿宋" w:cs="Times New Roman"/>
          <w:b w:val="0"/>
          <w:bCs/>
          <w:color w:val="auto"/>
          <w:sz w:val="32"/>
          <w:szCs w:val="32"/>
          <w:highlight w:val="none"/>
        </w:rPr>
        <w:t>.住房保障</w:t>
      </w:r>
      <w:r>
        <w:rPr>
          <w:rStyle w:val="15"/>
          <w:rFonts w:hint="eastAsia" w:ascii="仿宋" w:eastAsia="仿宋" w:cs="Times New Roman"/>
          <w:b w:val="0"/>
          <w:bCs/>
          <w:color w:val="auto"/>
          <w:sz w:val="32"/>
          <w:szCs w:val="32"/>
          <w:highlight w:val="none"/>
          <w:lang w:eastAsia="zh-CN"/>
        </w:rPr>
        <w:t>支出（</w:t>
      </w:r>
      <w:r>
        <w:rPr>
          <w:rStyle w:val="15"/>
          <w:rFonts w:hint="eastAsia" w:ascii="仿宋" w:eastAsia="仿宋" w:cs="Times New Roman"/>
          <w:b w:val="0"/>
          <w:bCs/>
          <w:color w:val="auto"/>
          <w:sz w:val="32"/>
          <w:szCs w:val="32"/>
          <w:highlight w:val="none"/>
        </w:rPr>
        <w:t>类）住房改革</w:t>
      </w:r>
      <w:r>
        <w:rPr>
          <w:rStyle w:val="15"/>
          <w:rFonts w:hint="eastAsia" w:ascii="仿宋" w:eastAsia="仿宋" w:cs="Times New Roman"/>
          <w:b w:val="0"/>
          <w:bCs/>
          <w:color w:val="auto"/>
          <w:sz w:val="32"/>
          <w:szCs w:val="32"/>
          <w:highlight w:val="none"/>
          <w:lang w:eastAsia="zh-CN"/>
        </w:rPr>
        <w:t>支出</w:t>
      </w:r>
      <w:r>
        <w:rPr>
          <w:rStyle w:val="15"/>
          <w:rFonts w:hint="eastAsia" w:ascii="仿宋" w:eastAsia="仿宋" w:cs="Times New Roman"/>
          <w:b w:val="0"/>
          <w:bCs/>
          <w:color w:val="auto"/>
          <w:sz w:val="32"/>
          <w:szCs w:val="32"/>
          <w:highlight w:val="none"/>
        </w:rPr>
        <w:t>（款）住房公积金（项）</w:t>
      </w:r>
      <w:r>
        <w:rPr>
          <w:rStyle w:val="15"/>
          <w:rFonts w:hint="eastAsia" w:ascii="仿宋" w:eastAsia="仿宋" w:cs="Times New Roman"/>
          <w:b w:val="0"/>
          <w:bCs/>
          <w:color w:val="auto"/>
          <w:sz w:val="32"/>
          <w:szCs w:val="32"/>
          <w:highlight w:val="none"/>
          <w:lang w:eastAsia="zh-CN"/>
        </w:rPr>
        <w:t>：</w:t>
      </w:r>
      <w:r>
        <w:rPr>
          <w:rStyle w:val="15"/>
          <w:rFonts w:hint="eastAsia" w:ascii="仿宋" w:eastAsia="仿宋" w:cs="Times New Roman"/>
          <w:b w:val="0"/>
          <w:bCs/>
          <w:color w:val="auto"/>
          <w:sz w:val="32"/>
          <w:szCs w:val="32"/>
          <w:highlight w:val="none"/>
        </w:rPr>
        <w:t>支出决算为</w:t>
      </w:r>
      <w:r>
        <w:rPr>
          <w:rStyle w:val="15"/>
          <w:rFonts w:hint="eastAsia" w:ascii="仿宋" w:eastAsia="仿宋" w:cs="Times New Roman"/>
          <w:b w:val="0"/>
          <w:bCs/>
          <w:color w:val="auto"/>
          <w:sz w:val="32"/>
          <w:szCs w:val="32"/>
          <w:highlight w:val="none"/>
          <w:lang w:val="en-US" w:eastAsia="zh-CN"/>
        </w:rPr>
        <w:t>11.99</w:t>
      </w:r>
      <w:r>
        <w:rPr>
          <w:rStyle w:val="15"/>
          <w:rFonts w:hint="eastAsia" w:ascii="仿宋" w:eastAsia="仿宋" w:cs="Times New Roman"/>
          <w:b w:val="0"/>
          <w:bCs/>
          <w:color w:val="auto"/>
          <w:sz w:val="32"/>
          <w:szCs w:val="32"/>
          <w:highlight w:val="none"/>
        </w:rPr>
        <w:t>万元，完成预算</w:t>
      </w:r>
      <w:r>
        <w:rPr>
          <w:rStyle w:val="15"/>
          <w:rFonts w:hint="eastAsia" w:ascii="仿宋" w:eastAsia="仿宋" w:cs="Times New Roman"/>
          <w:b w:val="0"/>
          <w:bCs/>
          <w:color w:val="auto"/>
          <w:sz w:val="32"/>
          <w:szCs w:val="32"/>
          <w:highlight w:val="none"/>
          <w:lang w:val="en-US" w:eastAsia="zh-CN"/>
        </w:rPr>
        <w:t>100</w:t>
      </w:r>
      <w:r>
        <w:rPr>
          <w:rStyle w:val="15"/>
          <w:rFonts w:hint="eastAsia" w:ascii="仿宋" w:eastAsia="仿宋" w:cs="Times New Roman"/>
          <w:b w:val="0"/>
          <w:bCs/>
          <w:color w:val="auto"/>
          <w:sz w:val="32"/>
          <w:szCs w:val="32"/>
          <w:highlight w:val="none"/>
        </w:rPr>
        <w:t>%，决算数等于预算数。</w:t>
      </w:r>
    </w:p>
    <w:p w14:paraId="2058BCA1">
      <w:pPr>
        <w:tabs>
          <w:tab w:val="right" w:pos="8306"/>
        </w:tabs>
        <w:spacing w:line="600" w:lineRule="exact"/>
        <w:ind w:firstLine="640"/>
        <w:outlineLvl w:val="1"/>
        <w:rPr>
          <w:rStyle w:val="18"/>
          <w:color w:val="auto"/>
          <w:highlight w:val="none"/>
        </w:rPr>
      </w:pPr>
      <w:bookmarkStart w:id="25" w:name="_Toc15396608"/>
      <w:bookmarkStart w:id="26"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、一</w:t>
      </w:r>
      <w:r>
        <w:rPr>
          <w:rStyle w:val="18"/>
          <w:rFonts w:hint="eastAsia" w:ascii="黑体" w:eastAsia="黑体"/>
          <w:b w:val="0"/>
          <w:color w:val="auto"/>
          <w:highlight w:val="none"/>
        </w:rPr>
        <w:t>般公共预算财政拨款基本支出决算情况说明</w:t>
      </w:r>
      <w:bookmarkEnd w:id="25"/>
      <w:bookmarkEnd w:id="26"/>
      <w:r>
        <w:rPr>
          <w:rStyle w:val="18"/>
          <w:rFonts w:ascii="黑体" w:eastAsia="黑体"/>
          <w:b w:val="0"/>
          <w:color w:val="auto"/>
          <w:highlight w:val="none"/>
        </w:rPr>
        <w:tab/>
      </w:r>
    </w:p>
    <w:p w14:paraId="51F30A09">
      <w:pPr>
        <w:spacing w:line="600" w:lineRule="exact"/>
        <w:ind w:firstLine="645"/>
        <w:rPr>
          <w:rFonts w:ascii="仿宋" w:eastAsia="仿宋"/>
          <w:color w:val="auto"/>
          <w:sz w:val="32"/>
          <w:szCs w:val="32"/>
          <w:highlight w:val="none"/>
        </w:rPr>
      </w:pPr>
      <w:r>
        <w:rPr>
          <w:rFonts w:hint="eastAsia" w:ascii="仿宋" w:eastAsia="仿宋"/>
          <w:color w:val="auto"/>
          <w:sz w:val="32"/>
          <w:szCs w:val="32"/>
          <w:highlight w:val="none"/>
        </w:rPr>
        <w:t>人员经费</w:t>
      </w:r>
      <w:r>
        <w:rPr>
          <w:rFonts w:hint="eastAsia" w:ascii="仿宋" w:eastAsia="仿宋"/>
          <w:color w:val="auto"/>
          <w:sz w:val="32"/>
          <w:szCs w:val="32"/>
          <w:highlight w:val="none"/>
          <w:lang w:val="en-US" w:eastAsia="zh-CN"/>
        </w:rPr>
        <w:t>162.19</w:t>
      </w:r>
      <w:r>
        <w:rPr>
          <w:rFonts w:hint="eastAsia" w:ascii="仿宋" w:eastAsia="仿宋"/>
          <w:color w:val="auto"/>
          <w:sz w:val="32"/>
          <w:szCs w:val="32"/>
          <w:highlight w:val="none"/>
        </w:rPr>
        <w:t>万元，主要包括：基本工资</w:t>
      </w:r>
      <w:r>
        <w:rPr>
          <w:rFonts w:hint="eastAsia" w:ascii="仿宋" w:eastAsia="仿宋"/>
          <w:color w:val="auto"/>
          <w:sz w:val="32"/>
          <w:szCs w:val="32"/>
          <w:highlight w:val="none"/>
          <w:lang w:val="en-US" w:eastAsia="zh-CN"/>
        </w:rPr>
        <w:t>36.69万元</w:t>
      </w:r>
      <w:r>
        <w:rPr>
          <w:rFonts w:hint="eastAsia" w:ascii="仿宋" w:eastAsia="仿宋"/>
          <w:color w:val="auto"/>
          <w:sz w:val="32"/>
          <w:szCs w:val="32"/>
          <w:highlight w:val="none"/>
        </w:rPr>
        <w:t>、津贴补贴</w:t>
      </w:r>
      <w:r>
        <w:rPr>
          <w:rFonts w:hint="eastAsia" w:ascii="仿宋" w:eastAsia="仿宋"/>
          <w:color w:val="auto"/>
          <w:sz w:val="32"/>
          <w:szCs w:val="32"/>
          <w:highlight w:val="none"/>
          <w:lang w:val="en-US" w:eastAsia="zh-CN"/>
        </w:rPr>
        <w:t>6.8万元</w:t>
      </w:r>
      <w:r>
        <w:rPr>
          <w:rFonts w:hint="eastAsia" w:ascii="仿宋" w:eastAsia="仿宋"/>
          <w:color w:val="auto"/>
          <w:sz w:val="32"/>
          <w:szCs w:val="32"/>
          <w:highlight w:val="none"/>
        </w:rPr>
        <w:t>、绩效工资</w:t>
      </w:r>
      <w:r>
        <w:rPr>
          <w:rFonts w:hint="eastAsia" w:ascii="仿宋" w:eastAsia="仿宋"/>
          <w:color w:val="auto"/>
          <w:sz w:val="32"/>
          <w:szCs w:val="32"/>
          <w:highlight w:val="none"/>
          <w:lang w:val="en-US" w:eastAsia="zh-CN"/>
        </w:rPr>
        <w:t>70.91万元</w:t>
      </w:r>
      <w:r>
        <w:rPr>
          <w:rFonts w:hint="eastAsia" w:ascii="仿宋" w:eastAsia="仿宋"/>
          <w:color w:val="auto"/>
          <w:sz w:val="32"/>
          <w:szCs w:val="32"/>
          <w:highlight w:val="none"/>
        </w:rPr>
        <w:t>、机关事业单位基本养老保险缴费</w:t>
      </w:r>
      <w:r>
        <w:rPr>
          <w:rFonts w:hint="eastAsia" w:ascii="仿宋" w:eastAsia="仿宋"/>
          <w:color w:val="auto"/>
          <w:sz w:val="32"/>
          <w:szCs w:val="32"/>
          <w:highlight w:val="none"/>
          <w:lang w:val="en-US" w:eastAsia="zh-CN"/>
        </w:rPr>
        <w:t>15.81万元</w:t>
      </w:r>
      <w:r>
        <w:rPr>
          <w:rFonts w:hint="eastAsia" w:ascii="仿宋" w:eastAsia="仿宋"/>
          <w:color w:val="auto"/>
          <w:sz w:val="32"/>
          <w:szCs w:val="32"/>
          <w:highlight w:val="none"/>
        </w:rPr>
        <w:t>、职业年金缴费</w:t>
      </w:r>
      <w:r>
        <w:rPr>
          <w:rFonts w:hint="eastAsia" w:ascii="仿宋" w:eastAsia="仿宋"/>
          <w:color w:val="auto"/>
          <w:sz w:val="32"/>
          <w:szCs w:val="32"/>
          <w:highlight w:val="none"/>
          <w:lang w:val="en-US" w:eastAsia="zh-CN"/>
        </w:rPr>
        <w:t>7.91万元</w:t>
      </w:r>
      <w:r>
        <w:rPr>
          <w:rFonts w:hint="eastAsia" w:ascii="仿宋" w:eastAsia="仿宋"/>
          <w:color w:val="auto"/>
          <w:sz w:val="32"/>
          <w:szCs w:val="32"/>
          <w:highlight w:val="none"/>
        </w:rPr>
        <w:t>、职工基本医疗保险缴费</w:t>
      </w:r>
      <w:r>
        <w:rPr>
          <w:rFonts w:hint="eastAsia" w:ascii="仿宋" w:eastAsia="仿宋"/>
          <w:color w:val="auto"/>
          <w:sz w:val="32"/>
          <w:szCs w:val="32"/>
          <w:highlight w:val="none"/>
          <w:lang w:val="en-US" w:eastAsia="zh-CN"/>
        </w:rPr>
        <w:t>8.88万元</w:t>
      </w:r>
      <w:r>
        <w:rPr>
          <w:rFonts w:hint="eastAsia" w:ascii="仿宋" w:eastAsia="仿宋"/>
          <w:color w:val="auto"/>
          <w:sz w:val="32"/>
          <w:szCs w:val="32"/>
          <w:highlight w:val="none"/>
          <w:lang w:eastAsia="zh-CN"/>
        </w:rPr>
        <w:t>、</w:t>
      </w:r>
      <w:r>
        <w:rPr>
          <w:rFonts w:hint="eastAsia" w:ascii="仿宋" w:eastAsia="仿宋"/>
          <w:color w:val="auto"/>
          <w:sz w:val="32"/>
          <w:szCs w:val="32"/>
          <w:highlight w:val="none"/>
        </w:rPr>
        <w:t>其他社会保障缴费</w:t>
      </w:r>
      <w:r>
        <w:rPr>
          <w:rFonts w:hint="eastAsia" w:ascii="仿宋" w:eastAsia="仿宋"/>
          <w:color w:val="auto"/>
          <w:sz w:val="32"/>
          <w:szCs w:val="32"/>
          <w:highlight w:val="none"/>
          <w:lang w:val="en-US" w:eastAsia="zh-CN"/>
        </w:rPr>
        <w:t>1.79万元</w:t>
      </w:r>
      <w:r>
        <w:rPr>
          <w:rFonts w:hint="eastAsia" w:ascii="仿宋" w:eastAsia="仿宋"/>
          <w:color w:val="auto"/>
          <w:sz w:val="32"/>
          <w:szCs w:val="32"/>
          <w:highlight w:val="none"/>
        </w:rPr>
        <w:t>、住房公积金</w:t>
      </w:r>
      <w:r>
        <w:rPr>
          <w:rFonts w:hint="eastAsia" w:ascii="仿宋" w:eastAsia="仿宋"/>
          <w:color w:val="auto"/>
          <w:sz w:val="32"/>
          <w:szCs w:val="32"/>
          <w:highlight w:val="none"/>
          <w:lang w:val="en-US" w:eastAsia="zh-CN"/>
        </w:rPr>
        <w:t>11.99万元</w:t>
      </w:r>
      <w:r>
        <w:rPr>
          <w:rFonts w:hint="eastAsia" w:ascii="仿宋" w:eastAsia="仿宋"/>
          <w:color w:val="auto"/>
          <w:sz w:val="32"/>
          <w:szCs w:val="32"/>
          <w:highlight w:val="none"/>
        </w:rPr>
        <w:t>、</w:t>
      </w:r>
      <w:r>
        <w:rPr>
          <w:rFonts w:hint="eastAsia" w:ascii="仿宋" w:eastAsia="仿宋"/>
          <w:color w:val="auto"/>
          <w:sz w:val="32"/>
          <w:szCs w:val="32"/>
          <w:highlight w:val="none"/>
          <w:lang w:eastAsia="zh-CN"/>
        </w:rPr>
        <w:t>医疗费</w:t>
      </w:r>
      <w:r>
        <w:rPr>
          <w:rFonts w:hint="eastAsia" w:ascii="仿宋" w:eastAsia="仿宋"/>
          <w:color w:val="auto"/>
          <w:sz w:val="32"/>
          <w:szCs w:val="32"/>
          <w:highlight w:val="none"/>
          <w:lang w:val="en-US" w:eastAsia="zh-CN"/>
        </w:rPr>
        <w:t>1.39万元、</w:t>
      </w:r>
      <w:r>
        <w:rPr>
          <w:rFonts w:hint="eastAsia" w:ascii="仿宋" w:eastAsia="仿宋"/>
          <w:color w:val="auto"/>
          <w:sz w:val="32"/>
          <w:szCs w:val="32"/>
          <w:highlight w:val="none"/>
        </w:rPr>
        <w:t>其他对个人和家庭的补助支出</w:t>
      </w:r>
      <w:r>
        <w:rPr>
          <w:rFonts w:hint="eastAsia" w:ascii="仿宋" w:eastAsia="仿宋"/>
          <w:color w:val="auto"/>
          <w:sz w:val="32"/>
          <w:szCs w:val="32"/>
          <w:highlight w:val="none"/>
          <w:lang w:eastAsia="zh-CN"/>
        </w:rPr>
        <w:t>奖励金</w:t>
      </w:r>
      <w:r>
        <w:rPr>
          <w:rFonts w:hint="eastAsia" w:ascii="仿宋" w:eastAsia="仿宋"/>
          <w:color w:val="auto"/>
          <w:sz w:val="32"/>
          <w:szCs w:val="32"/>
          <w:highlight w:val="none"/>
          <w:lang w:val="en-US" w:eastAsia="zh-CN"/>
        </w:rPr>
        <w:t>0.02万元</w:t>
      </w:r>
      <w:r>
        <w:rPr>
          <w:rFonts w:hint="eastAsia" w:ascii="仿宋" w:eastAsia="仿宋"/>
          <w:color w:val="auto"/>
          <w:sz w:val="32"/>
          <w:szCs w:val="32"/>
          <w:highlight w:val="none"/>
        </w:rPr>
        <w:t>等。</w:t>
      </w:r>
      <w:r>
        <w:rPr>
          <w:rFonts w:ascii="仿宋" w:eastAsia="仿宋"/>
          <w:color w:val="auto"/>
          <w:sz w:val="32"/>
          <w:szCs w:val="32"/>
          <w:highlight w:val="none"/>
        </w:rPr>
        <w:br w:type="textWrapping"/>
      </w:r>
      <w:r>
        <w:rPr>
          <w:rFonts w:hint="eastAsia" w:ascii="仿宋" w:eastAsia="仿宋"/>
          <w:color w:val="auto"/>
          <w:sz w:val="32"/>
          <w:szCs w:val="32"/>
          <w:highlight w:val="none"/>
        </w:rPr>
        <w:t>　　公用经费</w:t>
      </w:r>
      <w:r>
        <w:rPr>
          <w:rFonts w:hint="eastAsia" w:ascii="仿宋" w:eastAsia="仿宋"/>
          <w:color w:val="auto"/>
          <w:sz w:val="32"/>
          <w:szCs w:val="32"/>
          <w:highlight w:val="none"/>
          <w:lang w:val="en-US" w:eastAsia="zh-CN"/>
        </w:rPr>
        <w:t>8.04</w:t>
      </w:r>
      <w:r>
        <w:rPr>
          <w:rFonts w:hint="eastAsia" w:ascii="仿宋" w:eastAsia="仿宋"/>
          <w:color w:val="auto"/>
          <w:sz w:val="32"/>
          <w:szCs w:val="32"/>
          <w:highlight w:val="none"/>
        </w:rPr>
        <w:t>万元，主要包括：办公费</w:t>
      </w:r>
      <w:r>
        <w:rPr>
          <w:rFonts w:hint="eastAsia" w:ascii="仿宋" w:eastAsia="仿宋"/>
          <w:color w:val="auto"/>
          <w:sz w:val="32"/>
          <w:szCs w:val="32"/>
          <w:highlight w:val="none"/>
          <w:lang w:val="en-US" w:eastAsia="zh-CN"/>
        </w:rPr>
        <w:t>4.2万元</w:t>
      </w:r>
      <w:r>
        <w:rPr>
          <w:rFonts w:hint="eastAsia" w:ascii="仿宋" w:eastAsia="仿宋"/>
          <w:color w:val="auto"/>
          <w:sz w:val="32"/>
          <w:szCs w:val="32"/>
          <w:highlight w:val="none"/>
        </w:rPr>
        <w:t>、邮电费</w:t>
      </w:r>
      <w:r>
        <w:rPr>
          <w:rFonts w:hint="eastAsia" w:ascii="仿宋" w:eastAsia="仿宋"/>
          <w:color w:val="auto"/>
          <w:sz w:val="32"/>
          <w:szCs w:val="32"/>
          <w:highlight w:val="none"/>
          <w:lang w:val="en-US" w:eastAsia="zh-CN"/>
        </w:rPr>
        <w:t>0.38万元</w:t>
      </w:r>
      <w:r>
        <w:rPr>
          <w:rFonts w:hint="eastAsia" w:ascii="仿宋" w:eastAsia="仿宋"/>
          <w:color w:val="auto"/>
          <w:sz w:val="32"/>
          <w:szCs w:val="32"/>
          <w:highlight w:val="none"/>
        </w:rPr>
        <w:t>、差旅费</w:t>
      </w:r>
      <w:r>
        <w:rPr>
          <w:rFonts w:hint="eastAsia" w:ascii="仿宋" w:eastAsia="仿宋"/>
          <w:color w:val="auto"/>
          <w:sz w:val="32"/>
          <w:szCs w:val="32"/>
          <w:highlight w:val="none"/>
          <w:lang w:val="en-US" w:eastAsia="zh-CN"/>
        </w:rPr>
        <w:t>1.2万元</w:t>
      </w:r>
      <w:r>
        <w:rPr>
          <w:rFonts w:hint="eastAsia" w:ascii="仿宋" w:eastAsia="仿宋"/>
          <w:color w:val="auto"/>
          <w:sz w:val="32"/>
          <w:szCs w:val="32"/>
          <w:highlight w:val="none"/>
        </w:rPr>
        <w:t>、公务用车运行维护费</w:t>
      </w:r>
      <w:r>
        <w:rPr>
          <w:rFonts w:hint="eastAsia" w:ascii="仿宋" w:eastAsia="仿宋"/>
          <w:color w:val="auto"/>
          <w:sz w:val="32"/>
          <w:szCs w:val="32"/>
          <w:highlight w:val="none"/>
          <w:lang w:val="en-US" w:eastAsia="zh-CN"/>
        </w:rPr>
        <w:t>2.26万元</w:t>
      </w:r>
      <w:r>
        <w:rPr>
          <w:rFonts w:hint="eastAsia" w:ascii="仿宋" w:eastAsia="仿宋"/>
          <w:color w:val="auto"/>
          <w:sz w:val="32"/>
          <w:szCs w:val="32"/>
          <w:highlight w:val="none"/>
        </w:rPr>
        <w:t>。</w:t>
      </w:r>
    </w:p>
    <w:p w14:paraId="5CC6DD46">
      <w:pPr>
        <w:spacing w:line="600" w:lineRule="exact"/>
        <w:ind w:firstLine="640"/>
        <w:outlineLvl w:val="1"/>
        <w:rPr>
          <w:rStyle w:val="18"/>
          <w:rFonts w:ascii="黑体" w:eastAsia="黑体"/>
          <w:b w:val="0"/>
          <w:color w:val="auto"/>
          <w:highlight w:val="none"/>
        </w:rPr>
      </w:pPr>
      <w:bookmarkStart w:id="27" w:name="_Toc15396609"/>
      <w:bookmarkStart w:id="28" w:name="_Toc15377215"/>
      <w:r>
        <w:rPr>
          <w:rFonts w:hint="eastAsia" w:ascii="黑体" w:eastAsia="黑体"/>
          <w:color w:val="auto"/>
          <w:sz w:val="32"/>
          <w:szCs w:val="32"/>
          <w:highlight w:val="none"/>
        </w:rPr>
        <w:t>七、</w:t>
      </w:r>
      <w:r>
        <w:rPr>
          <w:rStyle w:val="18"/>
          <w:rFonts w:hint="eastAsia" w:ascii="黑体" w:eastAsia="黑体"/>
          <w:b w:val="0"/>
          <w:color w:val="auto"/>
          <w:highlight w:val="none"/>
        </w:rPr>
        <w:t>财政拨款</w:t>
      </w:r>
      <w:r>
        <w:rPr>
          <w:rStyle w:val="18"/>
          <w:rFonts w:hint="eastAsia" w:ascii="黑体" w:eastAsia="黑体"/>
          <w:color w:val="auto"/>
          <w:highlight w:val="none"/>
        </w:rPr>
        <w:t>“</w:t>
      </w:r>
      <w:r>
        <w:rPr>
          <w:rStyle w:val="18"/>
          <w:rFonts w:hint="eastAsia" w:ascii="黑体" w:eastAsia="黑体"/>
          <w:b w:val="0"/>
          <w:color w:val="auto"/>
          <w:highlight w:val="none"/>
        </w:rPr>
        <w:t>三公”经费支出决算情况说明</w:t>
      </w:r>
      <w:bookmarkEnd w:id="27"/>
      <w:bookmarkEnd w:id="28"/>
    </w:p>
    <w:p w14:paraId="6E7EA0F4">
      <w:pPr>
        <w:spacing w:line="600" w:lineRule="exact"/>
        <w:ind w:firstLine="640"/>
        <w:outlineLvl w:val="2"/>
        <w:rPr>
          <w:rFonts w:ascii="仿宋" w:eastAsia="仿宋"/>
          <w:b/>
          <w:color w:val="auto"/>
          <w:sz w:val="32"/>
          <w:szCs w:val="32"/>
          <w:highlight w:val="none"/>
        </w:rPr>
      </w:pPr>
      <w:bookmarkStart w:id="29" w:name="_Toc15377216"/>
      <w:r>
        <w:rPr>
          <w:rFonts w:hint="eastAsia" w:ascii="仿宋" w:eastAsia="仿宋"/>
          <w:b/>
          <w:color w:val="auto"/>
          <w:sz w:val="32"/>
          <w:szCs w:val="32"/>
          <w:highlight w:val="none"/>
        </w:rPr>
        <w:t>（一）“三公”经费财政拨款支出决算总体情况说明</w:t>
      </w:r>
      <w:bookmarkEnd w:id="29"/>
    </w:p>
    <w:p w14:paraId="291CF4BE">
      <w:pPr>
        <w:spacing w:line="600" w:lineRule="exact"/>
        <w:ind w:firstLine="640"/>
        <w:rPr>
          <w:rFonts w:ascii="仿宋" w:eastAsia="仿宋"/>
          <w:color w:val="auto"/>
          <w:sz w:val="32"/>
          <w:szCs w:val="32"/>
          <w:highlight w:val="none"/>
        </w:rPr>
      </w:pPr>
      <w:r>
        <w:rPr>
          <w:rFonts w:hint="eastAsia" w:ascii="仿宋" w:eastAsia="仿宋"/>
          <w:color w:val="auto"/>
          <w:sz w:val="32"/>
          <w:szCs w:val="32"/>
          <w:highlight w:val="none"/>
          <w:lang w:eastAsia="zh-CN"/>
        </w:rPr>
        <w:t>2023</w:t>
      </w:r>
      <w:r>
        <w:rPr>
          <w:rFonts w:hint="eastAsia" w:ascii="仿宋" w:eastAsia="仿宋"/>
          <w:color w:val="auto"/>
          <w:sz w:val="32"/>
          <w:szCs w:val="32"/>
          <w:highlight w:val="none"/>
        </w:rPr>
        <w:t>年</w:t>
      </w:r>
      <w:r>
        <w:rPr>
          <w:rFonts w:hint="eastAsia" w:ascii="仿宋" w:eastAsia="仿宋"/>
          <w:color w:val="auto"/>
          <w:sz w:val="32"/>
          <w:szCs w:val="32"/>
          <w:highlight w:val="none"/>
          <w:lang w:eastAsia="zh-CN"/>
        </w:rPr>
        <w:t>度</w:t>
      </w:r>
      <w:r>
        <w:rPr>
          <w:rFonts w:hint="eastAsia" w:ascii="仿宋" w:eastAsia="仿宋"/>
          <w:color w:val="auto"/>
          <w:sz w:val="32"/>
          <w:szCs w:val="32"/>
          <w:highlight w:val="none"/>
        </w:rPr>
        <w:t>“三公”经费财政拨款支出决算为</w:t>
      </w:r>
      <w:r>
        <w:rPr>
          <w:rFonts w:hint="eastAsia" w:ascii="仿宋" w:eastAsia="仿宋"/>
          <w:color w:val="auto"/>
          <w:sz w:val="32"/>
          <w:szCs w:val="32"/>
          <w:highlight w:val="none"/>
          <w:lang w:val="en-US" w:eastAsia="zh-CN"/>
        </w:rPr>
        <w:t>2.26</w:t>
      </w:r>
      <w:r>
        <w:rPr>
          <w:rFonts w:hint="eastAsia" w:ascii="仿宋" w:eastAsia="仿宋"/>
          <w:color w:val="auto"/>
          <w:sz w:val="32"/>
          <w:szCs w:val="32"/>
          <w:highlight w:val="none"/>
        </w:rPr>
        <w:t>万元，完成预算</w:t>
      </w:r>
      <w:r>
        <w:rPr>
          <w:rFonts w:hint="eastAsia" w:ascii="仿宋" w:eastAsia="仿宋"/>
          <w:color w:val="auto"/>
          <w:sz w:val="32"/>
          <w:szCs w:val="32"/>
          <w:highlight w:val="none"/>
          <w:lang w:val="en-US" w:eastAsia="zh-CN"/>
        </w:rPr>
        <w:t>100</w:t>
      </w:r>
      <w:r>
        <w:rPr>
          <w:rFonts w:ascii="仿宋" w:eastAsia="仿宋"/>
          <w:color w:val="auto"/>
          <w:sz w:val="32"/>
          <w:szCs w:val="32"/>
          <w:highlight w:val="none"/>
        </w:rPr>
        <w:t>%</w:t>
      </w:r>
      <w:r>
        <w:rPr>
          <w:rFonts w:hint="eastAsia" w:ascii="仿宋" w:eastAsia="仿宋"/>
          <w:color w:val="auto"/>
          <w:sz w:val="32"/>
          <w:szCs w:val="32"/>
          <w:highlight w:val="none"/>
        </w:rPr>
        <w:t>，</w:t>
      </w:r>
      <w:r>
        <w:rPr>
          <w:rFonts w:hint="eastAsia" w:ascii="仿宋" w:eastAsia="仿宋"/>
          <w:color w:val="auto"/>
          <w:sz w:val="32"/>
          <w:szCs w:val="32"/>
          <w:highlight w:val="none"/>
          <w:lang w:eastAsia="zh-CN"/>
        </w:rPr>
        <w:t>较上年度</w:t>
      </w:r>
      <w:r>
        <w:rPr>
          <w:rFonts w:hint="eastAsia" w:ascii="仿宋" w:eastAsia="仿宋"/>
          <w:color w:val="auto"/>
          <w:sz w:val="32"/>
          <w:szCs w:val="32"/>
          <w:highlight w:val="none"/>
          <w:lang w:val="en-US" w:eastAsia="zh-CN"/>
        </w:rPr>
        <w:t>减少1.61万元，下降41.6%。</w:t>
      </w:r>
      <w:r>
        <w:rPr>
          <w:rFonts w:hint="eastAsia" w:ascii="仿宋" w:eastAsia="仿宋"/>
          <w:color w:val="auto"/>
          <w:sz w:val="32"/>
          <w:szCs w:val="32"/>
          <w:highlight w:val="none"/>
        </w:rPr>
        <w:t>决算数与预算数持平。</w:t>
      </w:r>
    </w:p>
    <w:p w14:paraId="62DB78AB">
      <w:pPr>
        <w:spacing w:line="600" w:lineRule="exact"/>
        <w:ind w:firstLine="640"/>
        <w:outlineLvl w:val="2"/>
        <w:rPr>
          <w:rFonts w:ascii="仿宋" w:eastAsia="仿宋"/>
          <w:b/>
          <w:color w:val="auto"/>
          <w:sz w:val="32"/>
          <w:szCs w:val="32"/>
          <w:highlight w:val="none"/>
        </w:rPr>
      </w:pPr>
      <w:bookmarkStart w:id="30" w:name="_Toc15377217"/>
      <w:r>
        <w:rPr>
          <w:rFonts w:hint="eastAsia" w:ascii="仿宋" w:eastAsia="仿宋"/>
          <w:b/>
          <w:color w:val="auto"/>
          <w:sz w:val="32"/>
          <w:szCs w:val="32"/>
          <w:highlight w:val="none"/>
        </w:rPr>
        <w:t>（二）“三公”经费财政拨款支出决算具体情况说明</w:t>
      </w:r>
      <w:bookmarkEnd w:id="30"/>
    </w:p>
    <w:p w14:paraId="4A2A3AC2">
      <w:pPr>
        <w:spacing w:line="600" w:lineRule="exact"/>
        <w:ind w:firstLine="640"/>
        <w:rPr>
          <w:rFonts w:hint="eastAsia" w:ascii="仿宋" w:eastAsia="仿宋"/>
          <w:color w:val="auto"/>
          <w:sz w:val="32"/>
          <w:szCs w:val="32"/>
          <w:highlight w:val="none"/>
          <w:lang w:eastAsia="zh-CN"/>
        </w:rPr>
      </w:pPr>
      <w:r>
        <w:rPr>
          <w:rFonts w:hint="eastAsia" w:ascii="仿宋" w:eastAsia="仿宋"/>
          <w:color w:val="auto"/>
          <w:sz w:val="32"/>
          <w:szCs w:val="32"/>
          <w:highlight w:val="none"/>
          <w:lang w:eastAsia="zh-CN"/>
        </w:rPr>
        <w:t>2023</w:t>
      </w:r>
      <w:r>
        <w:rPr>
          <w:rFonts w:hint="eastAsia" w:ascii="仿宋" w:eastAsia="仿宋"/>
          <w:color w:val="auto"/>
          <w:sz w:val="32"/>
          <w:szCs w:val="32"/>
          <w:highlight w:val="none"/>
        </w:rPr>
        <w:t>年</w:t>
      </w:r>
      <w:r>
        <w:rPr>
          <w:rFonts w:hint="eastAsia" w:ascii="仿宋" w:eastAsia="仿宋"/>
          <w:color w:val="auto"/>
          <w:sz w:val="32"/>
          <w:szCs w:val="32"/>
          <w:highlight w:val="none"/>
          <w:lang w:eastAsia="zh-CN"/>
        </w:rPr>
        <w:t>度</w:t>
      </w:r>
      <w:r>
        <w:rPr>
          <w:rFonts w:hint="eastAsia" w:ascii="仿宋" w:eastAsia="仿宋"/>
          <w:color w:val="auto"/>
          <w:sz w:val="32"/>
          <w:szCs w:val="32"/>
          <w:highlight w:val="none"/>
        </w:rPr>
        <w:t>“三公”经费财政拨款支出决算中，因公出国（境）费支出决算</w:t>
      </w:r>
      <w:r>
        <w:rPr>
          <w:rFonts w:hint="eastAsia" w:ascii="仿宋" w:eastAsia="仿宋"/>
          <w:color w:val="auto"/>
          <w:sz w:val="32"/>
          <w:szCs w:val="32"/>
          <w:highlight w:val="none"/>
          <w:lang w:val="en-US" w:eastAsia="zh-CN"/>
        </w:rPr>
        <w:t>0</w:t>
      </w:r>
      <w:r>
        <w:rPr>
          <w:rFonts w:hint="eastAsia" w:ascii="仿宋" w:eastAsia="仿宋"/>
          <w:color w:val="auto"/>
          <w:sz w:val="32"/>
          <w:szCs w:val="32"/>
          <w:highlight w:val="none"/>
        </w:rPr>
        <w:t>万元，占</w:t>
      </w:r>
      <w:r>
        <w:rPr>
          <w:rFonts w:hint="eastAsia" w:ascii="仿宋" w:eastAsia="仿宋"/>
          <w:color w:val="auto"/>
          <w:sz w:val="32"/>
          <w:szCs w:val="32"/>
          <w:highlight w:val="none"/>
          <w:lang w:val="en-US" w:eastAsia="zh-CN"/>
        </w:rPr>
        <w:t>0</w:t>
      </w:r>
      <w:r>
        <w:rPr>
          <w:rFonts w:ascii="仿宋" w:eastAsia="仿宋"/>
          <w:color w:val="auto"/>
          <w:sz w:val="32"/>
          <w:szCs w:val="32"/>
          <w:highlight w:val="none"/>
        </w:rPr>
        <w:t>%</w:t>
      </w:r>
      <w:r>
        <w:rPr>
          <w:rFonts w:hint="eastAsia" w:ascii="仿宋" w:eastAsia="仿宋"/>
          <w:color w:val="auto"/>
          <w:sz w:val="32"/>
          <w:szCs w:val="32"/>
          <w:highlight w:val="none"/>
        </w:rPr>
        <w:t>；公务用车购置及运行维护费支出决算</w:t>
      </w:r>
      <w:r>
        <w:rPr>
          <w:rFonts w:hint="eastAsia" w:ascii="仿宋" w:eastAsia="仿宋"/>
          <w:color w:val="auto"/>
          <w:sz w:val="32"/>
          <w:szCs w:val="32"/>
          <w:highlight w:val="none"/>
          <w:lang w:val="en-US" w:eastAsia="zh-CN"/>
        </w:rPr>
        <w:t>2.26</w:t>
      </w:r>
      <w:r>
        <w:rPr>
          <w:rFonts w:hint="eastAsia" w:ascii="仿宋" w:eastAsia="仿宋"/>
          <w:color w:val="auto"/>
          <w:sz w:val="32"/>
          <w:szCs w:val="32"/>
          <w:highlight w:val="none"/>
        </w:rPr>
        <w:t>万元，占</w:t>
      </w:r>
      <w:r>
        <w:rPr>
          <w:rFonts w:hint="eastAsia" w:ascii="仿宋" w:eastAsia="仿宋"/>
          <w:color w:val="auto"/>
          <w:sz w:val="32"/>
          <w:szCs w:val="32"/>
          <w:highlight w:val="none"/>
          <w:lang w:val="en-US" w:eastAsia="zh-CN"/>
        </w:rPr>
        <w:t>100</w:t>
      </w:r>
      <w:r>
        <w:rPr>
          <w:rFonts w:ascii="仿宋" w:eastAsia="仿宋"/>
          <w:color w:val="auto"/>
          <w:sz w:val="32"/>
          <w:szCs w:val="32"/>
          <w:highlight w:val="none"/>
        </w:rPr>
        <w:t>%</w:t>
      </w:r>
      <w:r>
        <w:rPr>
          <w:rFonts w:hint="eastAsia" w:ascii="仿宋" w:eastAsia="仿宋"/>
          <w:color w:val="auto"/>
          <w:sz w:val="32"/>
          <w:szCs w:val="32"/>
          <w:highlight w:val="none"/>
        </w:rPr>
        <w:t>；公务接待费支出决算</w:t>
      </w:r>
      <w:r>
        <w:rPr>
          <w:rFonts w:hint="eastAsia" w:ascii="仿宋" w:eastAsia="仿宋"/>
          <w:color w:val="auto"/>
          <w:sz w:val="32"/>
          <w:szCs w:val="32"/>
          <w:highlight w:val="none"/>
          <w:lang w:val="en-US" w:eastAsia="zh-CN"/>
        </w:rPr>
        <w:t>0</w:t>
      </w:r>
      <w:r>
        <w:rPr>
          <w:rFonts w:hint="eastAsia" w:ascii="仿宋" w:eastAsia="仿宋"/>
          <w:color w:val="auto"/>
          <w:sz w:val="32"/>
          <w:szCs w:val="32"/>
          <w:highlight w:val="none"/>
        </w:rPr>
        <w:t>万</w:t>
      </w:r>
      <w:r>
        <w:rPr>
          <w:rFonts w:hint="eastAsia" w:asci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116205</wp:posOffset>
            </wp:positionH>
            <wp:positionV relativeFrom="paragraph">
              <wp:posOffset>553085</wp:posOffset>
            </wp:positionV>
            <wp:extent cx="5256530" cy="2988310"/>
            <wp:effectExtent l="0" t="0" r="0" b="0"/>
            <wp:wrapTopAndBottom/>
            <wp:docPr id="13"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 w:eastAsia="仿宋"/>
          <w:color w:val="auto"/>
          <w:sz w:val="32"/>
          <w:szCs w:val="32"/>
          <w:highlight w:val="none"/>
        </w:rPr>
        <w:t>元，占</w:t>
      </w:r>
      <w:r>
        <w:rPr>
          <w:rFonts w:hint="eastAsia" w:ascii="仿宋" w:eastAsia="仿宋"/>
          <w:color w:val="auto"/>
          <w:sz w:val="32"/>
          <w:szCs w:val="32"/>
          <w:highlight w:val="none"/>
          <w:lang w:val="en-US" w:eastAsia="zh-CN"/>
        </w:rPr>
        <w:t>0</w:t>
      </w:r>
      <w:r>
        <w:rPr>
          <w:rFonts w:ascii="仿宋" w:eastAsia="仿宋"/>
          <w:color w:val="auto"/>
          <w:sz w:val="32"/>
          <w:szCs w:val="32"/>
          <w:highlight w:val="none"/>
        </w:rPr>
        <w:t>%</w:t>
      </w:r>
      <w:r>
        <w:rPr>
          <w:rFonts w:hint="eastAsia" w:ascii="仿宋" w:eastAsia="仿宋"/>
          <w:color w:val="auto"/>
          <w:sz w:val="32"/>
          <w:szCs w:val="32"/>
          <w:highlight w:val="none"/>
        </w:rPr>
        <w:t>。具体情况如下：</w:t>
      </w:r>
    </w:p>
    <w:p w14:paraId="5F86272B">
      <w:pPr>
        <w:spacing w:line="600" w:lineRule="exact"/>
        <w:ind w:firstLine="640"/>
        <w:rPr>
          <w:rFonts w:hint="eastAsia" w:ascii="仿宋" w:eastAsia="仿宋"/>
          <w:color w:val="auto"/>
          <w:sz w:val="32"/>
          <w:szCs w:val="32"/>
          <w:highlight w:val="none"/>
          <w:lang w:eastAsia="zh-CN"/>
        </w:rPr>
      </w:pPr>
    </w:p>
    <w:p w14:paraId="0C40D9FF">
      <w:pPr>
        <w:spacing w:line="600" w:lineRule="exact"/>
        <w:ind w:firstLine="640"/>
        <w:rPr>
          <w:rFonts w:ascii="仿宋" w:eastAsia="仿宋"/>
          <w:color w:val="auto"/>
          <w:sz w:val="32"/>
          <w:szCs w:val="32"/>
          <w:highlight w:val="none"/>
        </w:rPr>
      </w:pPr>
      <w:r>
        <w:rPr>
          <w:rFonts w:hint="eastAsia" w:ascii="仿宋" w:eastAsia="仿宋"/>
          <w:color w:val="auto"/>
          <w:sz w:val="32"/>
          <w:szCs w:val="32"/>
          <w:highlight w:val="none"/>
        </w:rPr>
        <w:t>（</w:t>
      </w:r>
      <w:r>
        <w:rPr>
          <w:rStyle w:val="15"/>
          <w:rFonts w:hint="eastAsia" w:ascii="仿宋_GB2312" w:eastAsia="仿宋_GB2312" w:cs="Times New Roman"/>
          <w:b w:val="0"/>
          <w:bCs/>
          <w:color w:val="000000"/>
          <w:sz w:val="28"/>
          <w:szCs w:val="28"/>
          <w:lang w:val="en-US" w:eastAsia="zh-CN"/>
        </w:rPr>
        <w:t>图7：“三公”经费财政拨款支出结构）（万元）</w:t>
      </w:r>
    </w:p>
    <w:p w14:paraId="201266C5">
      <w:pPr>
        <w:spacing w:line="600" w:lineRule="exact"/>
        <w:ind w:firstLine="640"/>
        <w:rPr>
          <w:rFonts w:hint="eastAsia" w:ascii="仿宋_GB2312" w:eastAsia="仿宋_GB2312" w:cs="Times New Roman"/>
          <w:color w:val="auto"/>
          <w:sz w:val="32"/>
          <w:szCs w:val="32"/>
          <w:highlight w:val="none"/>
        </w:rPr>
      </w:pPr>
      <w:bookmarkStart w:id="31" w:name="_Toc15396610"/>
      <w:bookmarkStart w:id="32" w:name="_Toc15377218"/>
      <w:r>
        <w:rPr>
          <w:rFonts w:hint="eastAsia" w:ascii="仿宋_GB2312" w:eastAsia="仿宋_GB2312" w:cs="Times New Roman"/>
          <w:color w:val="auto"/>
          <w:sz w:val="32"/>
          <w:szCs w:val="32"/>
          <w:highlight w:val="none"/>
        </w:rPr>
        <w:t>1.因公出国（境）经费支出</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万元，完成预算</w:t>
      </w:r>
      <w:r>
        <w:rPr>
          <w:rFonts w:hint="eastAsia" w:ascii="仿宋_GB2312" w:eastAsia="仿宋_GB2312" w:cs="Times New Roman"/>
          <w:color w:val="auto"/>
          <w:sz w:val="32"/>
          <w:szCs w:val="32"/>
          <w:highlight w:val="none"/>
          <w:lang w:val="en-US" w:eastAsia="zh-CN"/>
        </w:rPr>
        <w:t>100</w:t>
      </w:r>
      <w:r>
        <w:rPr>
          <w:rFonts w:hint="eastAsia" w:ascii="仿宋_GB2312" w:eastAsia="仿宋_GB2312" w:cs="Times New Roman"/>
          <w:color w:val="auto"/>
          <w:sz w:val="32"/>
          <w:szCs w:val="32"/>
          <w:highlight w:val="none"/>
        </w:rPr>
        <w:t>%。全年安排因公出国（境）团组</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次，出国（境）</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人。因公出国（境）支出决算比</w:t>
      </w:r>
      <w:r>
        <w:rPr>
          <w:rFonts w:hint="eastAsia" w:ascii="仿宋_GB2312" w:eastAsia="仿宋_GB2312" w:cs="Times New Roman"/>
          <w:color w:val="auto"/>
          <w:sz w:val="32"/>
          <w:szCs w:val="32"/>
          <w:highlight w:val="none"/>
          <w:lang w:eastAsia="zh-CN"/>
        </w:rPr>
        <w:t>2022</w:t>
      </w:r>
      <w:r>
        <w:rPr>
          <w:rFonts w:hint="eastAsia" w:ascii="仿宋_GB2312" w:eastAsia="仿宋_GB2312" w:cs="Times New Roman"/>
          <w:color w:val="auto"/>
          <w:sz w:val="32"/>
          <w:szCs w:val="32"/>
          <w:highlight w:val="none"/>
        </w:rPr>
        <w:t>年</w:t>
      </w:r>
      <w:r>
        <w:rPr>
          <w:rFonts w:hint="eastAsia" w:ascii="仿宋_GB2312" w:eastAsia="仿宋_GB2312" w:cs="Times New Roman"/>
          <w:color w:val="auto"/>
          <w:sz w:val="32"/>
          <w:szCs w:val="32"/>
          <w:highlight w:val="none"/>
          <w:lang w:eastAsia="zh-CN"/>
        </w:rPr>
        <w:t>度</w:t>
      </w:r>
      <w:r>
        <w:rPr>
          <w:rFonts w:hint="eastAsia" w:ascii="仿宋_GB2312" w:eastAsia="仿宋_GB2312" w:cs="Times New Roman"/>
          <w:color w:val="auto"/>
          <w:sz w:val="32"/>
          <w:szCs w:val="32"/>
          <w:highlight w:val="none"/>
        </w:rPr>
        <w:t>增加</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万元，增长</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w:t>
      </w:r>
    </w:p>
    <w:p w14:paraId="686F3EAB">
      <w:pPr>
        <w:spacing w:line="600" w:lineRule="exact"/>
        <w:ind w:firstLine="64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rPr>
        <w:t>2.公务用车购置及运行维护费支出</w:t>
      </w:r>
      <w:r>
        <w:rPr>
          <w:rFonts w:hint="eastAsia" w:ascii="仿宋_GB2312" w:eastAsia="仿宋_GB2312" w:cs="Times New Roman"/>
          <w:color w:val="auto"/>
          <w:sz w:val="32"/>
          <w:szCs w:val="32"/>
          <w:highlight w:val="none"/>
          <w:lang w:val="en-US" w:eastAsia="zh-CN"/>
        </w:rPr>
        <w:t>2.26</w:t>
      </w:r>
      <w:r>
        <w:rPr>
          <w:rFonts w:hint="eastAsia" w:ascii="仿宋_GB2312" w:eastAsia="仿宋_GB2312" w:cs="Times New Roman"/>
          <w:color w:val="auto"/>
          <w:sz w:val="32"/>
          <w:szCs w:val="32"/>
          <w:highlight w:val="none"/>
        </w:rPr>
        <w:t>万元</w:t>
      </w:r>
      <w:r>
        <w:rPr>
          <w:rFonts w:hint="eastAsia" w:ascii="仿宋_GB2312" w:eastAsia="仿宋_GB2312" w:cs="Times New Roman"/>
          <w:color w:val="auto"/>
          <w:sz w:val="32"/>
          <w:szCs w:val="32"/>
          <w:highlight w:val="none"/>
          <w:lang w:eastAsia="zh-CN"/>
        </w:rPr>
        <w:t>，</w:t>
      </w:r>
      <w:r>
        <w:rPr>
          <w:rFonts w:hint="eastAsia" w:ascii="仿宋_GB2312" w:eastAsia="仿宋_GB2312" w:cs="Times New Roman"/>
          <w:color w:val="auto"/>
          <w:sz w:val="32"/>
          <w:szCs w:val="32"/>
          <w:highlight w:val="none"/>
        </w:rPr>
        <w:t>完成预算</w:t>
      </w:r>
      <w:r>
        <w:rPr>
          <w:rFonts w:hint="eastAsia" w:ascii="仿宋_GB2312" w:eastAsia="仿宋_GB2312" w:cs="Times New Roman"/>
          <w:color w:val="auto"/>
          <w:sz w:val="32"/>
          <w:szCs w:val="32"/>
          <w:highlight w:val="none"/>
          <w:lang w:val="en-US" w:eastAsia="zh-CN"/>
        </w:rPr>
        <w:t>100</w:t>
      </w:r>
      <w:r>
        <w:rPr>
          <w:rFonts w:hint="eastAsia" w:ascii="仿宋_GB2312" w:eastAsia="仿宋_GB2312" w:cs="Times New Roman"/>
          <w:color w:val="auto"/>
          <w:sz w:val="32"/>
          <w:szCs w:val="32"/>
          <w:highlight w:val="none"/>
        </w:rPr>
        <w:t>%。公务用车购置及运行维护费支出决算比</w:t>
      </w:r>
      <w:r>
        <w:rPr>
          <w:rFonts w:hint="eastAsia" w:ascii="仿宋_GB2312" w:eastAsia="仿宋_GB2312" w:cs="Times New Roman"/>
          <w:color w:val="auto"/>
          <w:sz w:val="32"/>
          <w:szCs w:val="32"/>
          <w:highlight w:val="none"/>
          <w:lang w:eastAsia="zh-CN"/>
        </w:rPr>
        <w:t>2022</w:t>
      </w:r>
      <w:r>
        <w:rPr>
          <w:rFonts w:hint="eastAsia" w:ascii="仿宋_GB2312" w:eastAsia="仿宋_GB2312" w:cs="Times New Roman"/>
          <w:color w:val="auto"/>
          <w:sz w:val="32"/>
          <w:szCs w:val="32"/>
          <w:highlight w:val="none"/>
        </w:rPr>
        <w:t>年</w:t>
      </w:r>
      <w:r>
        <w:rPr>
          <w:rFonts w:hint="eastAsia" w:ascii="仿宋_GB2312" w:eastAsia="仿宋_GB2312" w:cs="Times New Roman"/>
          <w:color w:val="auto"/>
          <w:sz w:val="32"/>
          <w:szCs w:val="32"/>
          <w:highlight w:val="none"/>
          <w:lang w:eastAsia="zh-CN"/>
        </w:rPr>
        <w:t>度</w:t>
      </w:r>
      <w:r>
        <w:rPr>
          <w:rFonts w:hint="eastAsia" w:ascii="仿宋_GB2312" w:eastAsia="仿宋_GB2312" w:cs="Times New Roman"/>
          <w:color w:val="auto"/>
          <w:sz w:val="32"/>
          <w:szCs w:val="32"/>
          <w:highlight w:val="none"/>
          <w:lang w:val="en-US" w:eastAsia="zh-CN"/>
        </w:rPr>
        <w:t>减少1.61万元，下降41.6%</w:t>
      </w:r>
      <w:r>
        <w:rPr>
          <w:rFonts w:hint="eastAsia" w:ascii="仿宋_GB2312" w:eastAsia="仿宋_GB2312" w:cs="Times New Roman"/>
          <w:color w:val="auto"/>
          <w:sz w:val="32"/>
          <w:szCs w:val="32"/>
          <w:highlight w:val="none"/>
        </w:rPr>
        <w:t>。主要原因是</w:t>
      </w:r>
      <w:r>
        <w:rPr>
          <w:rFonts w:hint="eastAsia" w:ascii="仿宋_GB2312" w:eastAsia="仿宋_GB2312" w:cs="Times New Roman"/>
          <w:color w:val="auto"/>
          <w:sz w:val="32"/>
          <w:szCs w:val="32"/>
          <w:highlight w:val="none"/>
          <w:lang w:eastAsia="zh-CN"/>
        </w:rPr>
        <w:t>厉行节俭、减少支出</w:t>
      </w:r>
      <w:r>
        <w:rPr>
          <w:rFonts w:hint="eastAsia" w:ascii="仿宋_GB2312" w:eastAsia="仿宋_GB2312" w:cs="Times New Roman"/>
          <w:color w:val="auto"/>
          <w:sz w:val="32"/>
          <w:szCs w:val="32"/>
          <w:highlight w:val="none"/>
        </w:rPr>
        <w:t>。</w:t>
      </w:r>
    </w:p>
    <w:p w14:paraId="3E4541B6">
      <w:pPr>
        <w:spacing w:line="600" w:lineRule="exact"/>
        <w:ind w:firstLine="64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rPr>
        <w:t>其中：公务用车购置支出</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万元。全年按规定更新购置公务用车</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辆，其中：轿车</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辆、金额</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万元，越野车</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辆、金额</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万元，载客汽车</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辆、金额</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万元</w:t>
      </w:r>
      <w:r>
        <w:rPr>
          <w:rFonts w:hint="eastAsia" w:ascii="仿宋_GB2312" w:eastAsia="仿宋_GB2312" w:cs="Times New Roman"/>
          <w:color w:val="auto"/>
          <w:sz w:val="32"/>
          <w:szCs w:val="32"/>
          <w:highlight w:val="none"/>
          <w:lang w:eastAsia="zh-CN"/>
        </w:rPr>
        <w:t>，无新增</w:t>
      </w:r>
      <w:r>
        <w:rPr>
          <w:rFonts w:hint="eastAsia" w:ascii="仿宋_GB2312" w:eastAsia="仿宋_GB2312" w:cs="Times New Roman"/>
          <w:color w:val="auto"/>
          <w:sz w:val="32"/>
          <w:szCs w:val="32"/>
          <w:highlight w:val="none"/>
        </w:rPr>
        <w:t>。截至</w:t>
      </w:r>
      <w:r>
        <w:rPr>
          <w:rFonts w:hint="eastAsia" w:ascii="仿宋_GB2312" w:eastAsia="仿宋_GB2312" w:cs="Times New Roman"/>
          <w:color w:val="auto"/>
          <w:sz w:val="32"/>
          <w:szCs w:val="32"/>
          <w:highlight w:val="none"/>
          <w:lang w:eastAsia="zh-CN"/>
        </w:rPr>
        <w:t>2023</w:t>
      </w:r>
      <w:r>
        <w:rPr>
          <w:rFonts w:hint="eastAsia" w:ascii="仿宋_GB2312" w:eastAsia="仿宋_GB2312" w:cs="Times New Roman"/>
          <w:color w:val="auto"/>
          <w:sz w:val="32"/>
          <w:szCs w:val="32"/>
          <w:highlight w:val="none"/>
        </w:rPr>
        <w:t>年12月</w:t>
      </w:r>
      <w:r>
        <w:rPr>
          <w:rFonts w:hint="eastAsia" w:ascii="仿宋_GB2312" w:eastAsia="仿宋_GB2312" w:cs="Times New Roman"/>
          <w:color w:val="auto"/>
          <w:sz w:val="32"/>
          <w:szCs w:val="32"/>
          <w:highlight w:val="none"/>
          <w:lang w:val="en-US" w:eastAsia="zh-CN"/>
        </w:rPr>
        <w:t>31日</w:t>
      </w:r>
      <w:r>
        <w:rPr>
          <w:rFonts w:hint="eastAsia" w:ascii="仿宋_GB2312" w:eastAsia="仿宋_GB2312" w:cs="Times New Roman"/>
          <w:color w:val="auto"/>
          <w:sz w:val="32"/>
          <w:szCs w:val="32"/>
          <w:highlight w:val="none"/>
        </w:rPr>
        <w:t>，单位共有公务用车</w:t>
      </w:r>
      <w:r>
        <w:rPr>
          <w:rFonts w:hint="eastAsia" w:ascii="仿宋_GB2312" w:eastAsia="仿宋_GB2312" w:cs="Times New Roman"/>
          <w:color w:val="auto"/>
          <w:sz w:val="32"/>
          <w:szCs w:val="32"/>
          <w:highlight w:val="none"/>
          <w:lang w:val="en-US" w:eastAsia="zh-CN"/>
        </w:rPr>
        <w:t>3</w:t>
      </w:r>
      <w:r>
        <w:rPr>
          <w:rFonts w:hint="eastAsia" w:ascii="仿宋_GB2312" w:eastAsia="仿宋_GB2312" w:cs="Times New Roman"/>
          <w:color w:val="auto"/>
          <w:sz w:val="32"/>
          <w:szCs w:val="32"/>
          <w:highlight w:val="none"/>
        </w:rPr>
        <w:t>辆，其中：轿车</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辆、越野车</w:t>
      </w:r>
      <w:r>
        <w:rPr>
          <w:rFonts w:hint="eastAsia" w:ascii="仿宋_GB2312" w:eastAsia="仿宋_GB2312" w:cs="Times New Roman"/>
          <w:color w:val="auto"/>
          <w:sz w:val="32"/>
          <w:szCs w:val="32"/>
          <w:highlight w:val="none"/>
          <w:lang w:val="en-US" w:eastAsia="zh-CN"/>
        </w:rPr>
        <w:t>3</w:t>
      </w:r>
      <w:r>
        <w:rPr>
          <w:rFonts w:hint="eastAsia" w:ascii="仿宋_GB2312" w:eastAsia="仿宋_GB2312" w:cs="Times New Roman"/>
          <w:color w:val="auto"/>
          <w:sz w:val="32"/>
          <w:szCs w:val="32"/>
          <w:highlight w:val="none"/>
        </w:rPr>
        <w:t>辆、载客汽车</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辆。</w:t>
      </w:r>
    </w:p>
    <w:p w14:paraId="7109A18C">
      <w:pPr>
        <w:spacing w:line="600" w:lineRule="exact"/>
        <w:ind w:firstLine="64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rPr>
        <w:t>公务用车运行维护费支出</w:t>
      </w:r>
      <w:r>
        <w:rPr>
          <w:rFonts w:hint="eastAsia" w:ascii="仿宋_GB2312" w:eastAsia="仿宋_GB2312" w:cs="Times New Roman"/>
          <w:color w:val="auto"/>
          <w:sz w:val="32"/>
          <w:szCs w:val="32"/>
          <w:highlight w:val="none"/>
          <w:lang w:val="en-US" w:eastAsia="zh-CN"/>
        </w:rPr>
        <w:t>2.26</w:t>
      </w:r>
      <w:r>
        <w:rPr>
          <w:rFonts w:hint="eastAsia" w:ascii="仿宋_GB2312" w:eastAsia="仿宋_GB2312" w:cs="Times New Roman"/>
          <w:color w:val="auto"/>
          <w:sz w:val="32"/>
          <w:szCs w:val="32"/>
          <w:highlight w:val="none"/>
        </w:rPr>
        <w:t>万元。主要用于</w:t>
      </w:r>
      <w:r>
        <w:rPr>
          <w:rFonts w:hint="eastAsia" w:ascii="仿宋_GB2312" w:eastAsia="仿宋_GB2312" w:cs="Times New Roman"/>
          <w:color w:val="auto"/>
          <w:sz w:val="32"/>
          <w:szCs w:val="32"/>
          <w:highlight w:val="none"/>
          <w:lang w:eastAsia="zh-CN"/>
        </w:rPr>
        <w:t>下乡、出差</w:t>
      </w:r>
      <w:r>
        <w:rPr>
          <w:rFonts w:hint="eastAsia" w:ascii="仿宋_GB2312" w:eastAsia="仿宋_GB2312" w:cs="Times New Roman"/>
          <w:color w:val="auto"/>
          <w:sz w:val="32"/>
          <w:szCs w:val="32"/>
          <w:highlight w:val="none"/>
        </w:rPr>
        <w:t>等</w:t>
      </w:r>
      <w:r>
        <w:rPr>
          <w:rFonts w:hint="eastAsia" w:ascii="仿宋_GB2312" w:eastAsia="仿宋_GB2312" w:cs="Times New Roman"/>
          <w:color w:val="auto"/>
          <w:sz w:val="32"/>
          <w:szCs w:val="32"/>
          <w:highlight w:val="none"/>
          <w:lang w:eastAsia="zh-CN"/>
        </w:rPr>
        <w:t>工作</w:t>
      </w:r>
      <w:r>
        <w:rPr>
          <w:rFonts w:hint="eastAsia" w:ascii="仿宋_GB2312" w:eastAsia="仿宋_GB2312" w:cs="Times New Roman"/>
          <w:color w:val="auto"/>
          <w:sz w:val="32"/>
          <w:szCs w:val="32"/>
          <w:highlight w:val="none"/>
        </w:rPr>
        <w:t>所需的公务用车燃料费、维修费、过路过桥费、保险费等支出。</w:t>
      </w:r>
    </w:p>
    <w:p w14:paraId="0BA4E463">
      <w:pPr>
        <w:spacing w:line="600" w:lineRule="exact"/>
        <w:ind w:firstLine="64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rPr>
        <w:t>3.公务接待费支出</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万元，完成预算</w:t>
      </w:r>
      <w:r>
        <w:rPr>
          <w:rFonts w:hint="eastAsia" w:ascii="仿宋_GB2312" w:eastAsia="仿宋_GB2312" w:cs="Times New Roman"/>
          <w:color w:val="auto"/>
          <w:sz w:val="32"/>
          <w:szCs w:val="32"/>
          <w:highlight w:val="none"/>
          <w:lang w:val="en-US" w:eastAsia="zh-CN"/>
        </w:rPr>
        <w:t>100</w:t>
      </w:r>
      <w:r>
        <w:rPr>
          <w:rFonts w:hint="eastAsia" w:ascii="仿宋_GB2312" w:eastAsia="仿宋_GB2312" w:cs="Times New Roman"/>
          <w:color w:val="auto"/>
          <w:sz w:val="32"/>
          <w:szCs w:val="32"/>
          <w:highlight w:val="none"/>
        </w:rPr>
        <w:t>%。公务接待费支出决算比</w:t>
      </w:r>
      <w:r>
        <w:rPr>
          <w:rFonts w:hint="eastAsia" w:ascii="仿宋_GB2312" w:eastAsia="仿宋_GB2312" w:cs="Times New Roman"/>
          <w:color w:val="auto"/>
          <w:sz w:val="32"/>
          <w:szCs w:val="32"/>
          <w:highlight w:val="none"/>
          <w:lang w:eastAsia="zh-CN"/>
        </w:rPr>
        <w:t>2022</w:t>
      </w:r>
      <w:r>
        <w:rPr>
          <w:rFonts w:hint="eastAsia" w:ascii="仿宋_GB2312" w:eastAsia="仿宋_GB2312" w:cs="Times New Roman"/>
          <w:color w:val="auto"/>
          <w:sz w:val="32"/>
          <w:szCs w:val="32"/>
          <w:highlight w:val="none"/>
        </w:rPr>
        <w:t>年</w:t>
      </w:r>
      <w:r>
        <w:rPr>
          <w:rFonts w:hint="eastAsia" w:ascii="仿宋_GB2312" w:eastAsia="仿宋_GB2312" w:cs="Times New Roman"/>
          <w:color w:val="auto"/>
          <w:sz w:val="32"/>
          <w:szCs w:val="32"/>
          <w:highlight w:val="none"/>
          <w:lang w:eastAsia="zh-CN"/>
        </w:rPr>
        <w:t>度</w:t>
      </w:r>
      <w:r>
        <w:rPr>
          <w:rFonts w:hint="eastAsia" w:ascii="仿宋_GB2312" w:eastAsia="仿宋_GB2312" w:cs="Times New Roman"/>
          <w:color w:val="auto"/>
          <w:sz w:val="32"/>
          <w:szCs w:val="32"/>
          <w:highlight w:val="none"/>
        </w:rPr>
        <w:t>增加</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万元，增长</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eastAsia="zh-CN"/>
        </w:rPr>
        <w:t>未产生公务接待支出</w:t>
      </w:r>
      <w:r>
        <w:rPr>
          <w:rFonts w:hint="eastAsia" w:ascii="仿宋_GB2312" w:eastAsia="仿宋_GB2312" w:cs="Times New Roman"/>
          <w:color w:val="auto"/>
          <w:sz w:val="32"/>
          <w:szCs w:val="32"/>
          <w:highlight w:val="none"/>
        </w:rPr>
        <w:t>。其中：</w:t>
      </w:r>
    </w:p>
    <w:p w14:paraId="5C4F4850">
      <w:pPr>
        <w:spacing w:line="600" w:lineRule="exact"/>
        <w:ind w:firstLine="64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rPr>
        <w:t>国内公务接待支出</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万元。国内公务接待</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批次，</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人次（不包括陪同人员），共计支出</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元。</w:t>
      </w:r>
    </w:p>
    <w:p w14:paraId="37E9EF31">
      <w:pPr>
        <w:spacing w:line="600" w:lineRule="exact"/>
        <w:ind w:firstLine="640"/>
        <w:rPr>
          <w:rFonts w:ascii="黑体" w:eastAsia="黑体"/>
          <w:color w:val="auto"/>
          <w:sz w:val="32"/>
          <w:szCs w:val="32"/>
          <w:highlight w:val="none"/>
        </w:rPr>
      </w:pPr>
      <w:r>
        <w:rPr>
          <w:rFonts w:hint="eastAsia" w:ascii="仿宋_GB2312" w:eastAsia="仿宋_GB2312" w:cs="Times New Roman"/>
          <w:color w:val="auto"/>
          <w:sz w:val="32"/>
          <w:szCs w:val="32"/>
          <w:highlight w:val="none"/>
        </w:rPr>
        <w:t>外事接待支出</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万元</w:t>
      </w:r>
      <w:r>
        <w:rPr>
          <w:rFonts w:hint="eastAsia" w:ascii="仿宋_GB2312" w:eastAsia="仿宋_GB2312" w:cs="Times New Roman"/>
          <w:color w:val="auto"/>
          <w:sz w:val="32"/>
          <w:szCs w:val="32"/>
          <w:highlight w:val="none"/>
          <w:lang w:eastAsia="zh-CN"/>
        </w:rPr>
        <w:t>。</w:t>
      </w:r>
      <w:r>
        <w:rPr>
          <w:rFonts w:hint="eastAsia" w:ascii="仿宋_GB2312" w:eastAsia="仿宋_GB2312" w:cs="Times New Roman"/>
          <w:color w:val="auto"/>
          <w:sz w:val="32"/>
          <w:szCs w:val="32"/>
          <w:highlight w:val="none"/>
        </w:rPr>
        <w:t>外事接待</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批次，</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人</w:t>
      </w:r>
      <w:r>
        <w:rPr>
          <w:rFonts w:hint="eastAsia" w:ascii="仿宋_GB2312" w:eastAsia="仿宋_GB2312" w:cs="Times New Roman"/>
          <w:color w:val="auto"/>
          <w:sz w:val="32"/>
          <w:szCs w:val="32"/>
          <w:highlight w:val="none"/>
          <w:lang w:eastAsia="zh-CN"/>
        </w:rPr>
        <w:t>次（不包括陪同人员）</w:t>
      </w:r>
      <w:r>
        <w:rPr>
          <w:rFonts w:hint="eastAsia" w:ascii="仿宋_GB2312" w:eastAsia="仿宋_GB2312" w:cs="Times New Roman"/>
          <w:color w:val="auto"/>
          <w:sz w:val="32"/>
          <w:szCs w:val="32"/>
          <w:highlight w:val="none"/>
        </w:rPr>
        <w:t>，共计支出</w:t>
      </w:r>
      <w:r>
        <w:rPr>
          <w:rFonts w:hint="eastAsia" w:ascii="仿宋_GB2312" w:eastAsia="仿宋_GB2312" w:cs="Times New Roman"/>
          <w:color w:val="auto"/>
          <w:sz w:val="32"/>
          <w:szCs w:val="32"/>
          <w:highlight w:val="none"/>
          <w:lang w:val="en-US" w:eastAsia="zh-CN"/>
        </w:rPr>
        <w:t>0</w:t>
      </w:r>
      <w:r>
        <w:rPr>
          <w:rFonts w:hint="eastAsia" w:ascii="仿宋_GB2312" w:eastAsia="仿宋_GB2312" w:cs="Times New Roman"/>
          <w:color w:val="auto"/>
          <w:sz w:val="32"/>
          <w:szCs w:val="32"/>
          <w:highlight w:val="none"/>
        </w:rPr>
        <w:t>万元。</w:t>
      </w:r>
    </w:p>
    <w:p w14:paraId="16422848">
      <w:pPr>
        <w:spacing w:line="600" w:lineRule="exact"/>
        <w:ind w:firstLine="640"/>
        <w:outlineLvl w:val="1"/>
        <w:rPr>
          <w:rStyle w:val="18"/>
          <w:rFonts w:ascii="黑体" w:eastAsia="黑体"/>
          <w:color w:val="auto"/>
          <w:highlight w:val="none"/>
        </w:rPr>
      </w:pPr>
      <w:r>
        <w:rPr>
          <w:rFonts w:hint="eastAsia" w:ascii="黑体" w:eastAsia="黑体"/>
          <w:color w:val="auto"/>
          <w:sz w:val="32"/>
          <w:szCs w:val="32"/>
          <w:highlight w:val="none"/>
        </w:rPr>
        <w:t>八、</w:t>
      </w:r>
      <w:r>
        <w:rPr>
          <w:rStyle w:val="18"/>
          <w:rFonts w:hint="eastAsia" w:ascii="黑体" w:eastAsia="黑体"/>
          <w:b w:val="0"/>
          <w:color w:val="auto"/>
          <w:highlight w:val="none"/>
        </w:rPr>
        <w:t>政府性基金预算支出决算情况说明</w:t>
      </w:r>
      <w:bookmarkEnd w:id="31"/>
      <w:bookmarkEnd w:id="32"/>
    </w:p>
    <w:p w14:paraId="73C91ABD">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87BDE68">
      <w:pPr>
        <w:numPr>
          <w:ilvl w:val="0"/>
          <w:numId w:val="3"/>
        </w:numPr>
        <w:spacing w:line="600" w:lineRule="exact"/>
        <w:ind w:left="0" w:firstLine="640"/>
        <w:outlineLvl w:val="1"/>
        <w:rPr>
          <w:rStyle w:val="18"/>
          <w:rFonts w:ascii="黑体" w:eastAsia="黑体"/>
          <w:b w:val="0"/>
          <w:color w:val="auto"/>
          <w:highlight w:val="none"/>
        </w:rPr>
      </w:pPr>
      <w:bookmarkStart w:id="33" w:name="_Toc15396611"/>
      <w:bookmarkStart w:id="34" w:name="_Toc15377219"/>
      <w:r>
        <w:rPr>
          <w:rStyle w:val="18"/>
          <w:rFonts w:hint="eastAsia" w:ascii="黑体" w:eastAsia="黑体"/>
          <w:b w:val="0"/>
          <w:color w:val="auto"/>
          <w:highlight w:val="none"/>
        </w:rPr>
        <w:t>国有资本经营预算支出决算情况说明</w:t>
      </w:r>
      <w:bookmarkEnd w:id="33"/>
      <w:bookmarkEnd w:id="34"/>
    </w:p>
    <w:p w14:paraId="244CAA53">
      <w:pPr>
        <w:spacing w:line="600" w:lineRule="exact"/>
        <w:ind w:firstLine="640"/>
        <w:rPr>
          <w:rFonts w:ascii="方正小标宋简体" w:eastAsia="方正小标宋简体" w:cs="方正小标宋简体"/>
          <w:color w:val="auto"/>
          <w:sz w:val="44"/>
          <w:szCs w:val="44"/>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591B1BF">
      <w:pPr>
        <w:numPr>
          <w:ilvl w:val="0"/>
          <w:numId w:val="3"/>
        </w:numPr>
        <w:spacing w:line="600" w:lineRule="exact"/>
        <w:ind w:left="0" w:firstLine="640"/>
        <w:outlineLvl w:val="1"/>
        <w:rPr>
          <w:rStyle w:val="18"/>
          <w:rFonts w:hint="eastAsia" w:ascii="黑体" w:eastAsia="黑体"/>
          <w:b w:val="0"/>
          <w:color w:val="auto"/>
          <w:highlight w:val="none"/>
        </w:rPr>
      </w:pPr>
      <w:bookmarkStart w:id="35" w:name="_Toc15377221"/>
      <w:bookmarkStart w:id="36" w:name="_Toc15396612"/>
      <w:r>
        <w:rPr>
          <w:rStyle w:val="18"/>
          <w:rFonts w:hint="eastAsia" w:ascii="黑体" w:eastAsia="黑体"/>
          <w:b w:val="0"/>
          <w:color w:val="auto"/>
          <w:highlight w:val="none"/>
        </w:rPr>
        <w:t>其他重要事项的情况说明</w:t>
      </w:r>
      <w:bookmarkEnd w:id="35"/>
      <w:bookmarkEnd w:id="36"/>
    </w:p>
    <w:p w14:paraId="18B23626">
      <w:pPr>
        <w:spacing w:line="600" w:lineRule="exact"/>
        <w:ind w:firstLine="643" w:firstLineChars="200"/>
        <w:outlineLvl w:val="2"/>
        <w:rPr>
          <w:rFonts w:ascii="仿宋" w:eastAsia="仿宋"/>
          <w:color w:val="auto"/>
          <w:sz w:val="32"/>
          <w:szCs w:val="32"/>
          <w:highlight w:val="none"/>
        </w:rPr>
      </w:pPr>
      <w:bookmarkStart w:id="37" w:name="_Toc15377222"/>
      <w:r>
        <w:rPr>
          <w:rFonts w:hint="eastAsia" w:ascii="仿宋" w:eastAsia="仿宋"/>
          <w:b/>
          <w:color w:val="auto"/>
          <w:sz w:val="32"/>
          <w:szCs w:val="32"/>
          <w:highlight w:val="none"/>
        </w:rPr>
        <w:t>（一）机关运行经费支出情况</w:t>
      </w:r>
      <w:bookmarkEnd w:id="37"/>
    </w:p>
    <w:p w14:paraId="6E1F68AB">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万元，与</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决算数持平）。</w:t>
      </w:r>
    </w:p>
    <w:p w14:paraId="4EC9EFD9">
      <w:pPr>
        <w:autoSpaceDE w:val="0"/>
        <w:autoSpaceDN w:val="0"/>
        <w:adjustRightInd w:val="0"/>
        <w:spacing w:line="600" w:lineRule="exact"/>
        <w:ind w:firstLine="643" w:firstLineChars="200"/>
        <w:jc w:val="left"/>
        <w:outlineLvl w:val="2"/>
        <w:rPr>
          <w:rFonts w:ascii="仿宋" w:eastAsia="仿宋"/>
          <w:b/>
          <w:color w:val="auto"/>
          <w:sz w:val="32"/>
          <w:szCs w:val="32"/>
          <w:highlight w:val="none"/>
        </w:rPr>
      </w:pPr>
      <w:bookmarkStart w:id="38" w:name="_Toc15377223"/>
      <w:r>
        <w:rPr>
          <w:rFonts w:hint="eastAsia" w:ascii="仿宋" w:eastAsia="仿宋"/>
          <w:b/>
          <w:color w:val="auto"/>
          <w:sz w:val="32"/>
          <w:szCs w:val="32"/>
          <w:highlight w:val="none"/>
        </w:rPr>
        <w:t>（二）政府采购支出情况</w:t>
      </w:r>
      <w:bookmarkEnd w:id="38"/>
    </w:p>
    <w:p w14:paraId="2720CA25">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201F993D">
      <w:pPr>
        <w:autoSpaceDE w:val="0"/>
        <w:autoSpaceDN w:val="0"/>
        <w:adjustRightInd w:val="0"/>
        <w:spacing w:line="600" w:lineRule="exact"/>
        <w:ind w:firstLine="643" w:firstLineChars="200"/>
        <w:jc w:val="left"/>
        <w:outlineLvl w:val="2"/>
        <w:rPr>
          <w:rFonts w:ascii="仿宋" w:eastAsia="仿宋"/>
          <w:b/>
          <w:color w:val="auto"/>
          <w:sz w:val="32"/>
          <w:szCs w:val="32"/>
          <w:highlight w:val="none"/>
        </w:rPr>
      </w:pPr>
      <w:bookmarkStart w:id="39" w:name="_Toc15377224"/>
      <w:r>
        <w:rPr>
          <w:rFonts w:hint="eastAsia" w:ascii="仿宋" w:eastAsia="仿宋"/>
          <w:b/>
          <w:color w:val="auto"/>
          <w:sz w:val="32"/>
          <w:szCs w:val="32"/>
          <w:highlight w:val="none"/>
        </w:rPr>
        <w:t>（三）国有资产占有使用情况</w:t>
      </w:r>
      <w:bookmarkEnd w:id="39"/>
    </w:p>
    <w:p w14:paraId="43DB85E2">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茂县工业服务中心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eastAsia="zh-CN"/>
        </w:rPr>
        <w:t>（不含车辆）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212E8616">
      <w:pPr>
        <w:autoSpaceDE w:val="0"/>
        <w:autoSpaceDN w:val="0"/>
        <w:adjustRightInd w:val="0"/>
        <w:spacing w:line="600" w:lineRule="exact"/>
        <w:ind w:firstLine="643" w:firstLineChars="200"/>
        <w:jc w:val="left"/>
        <w:outlineLvl w:val="2"/>
        <w:rPr>
          <w:rFonts w:ascii="仿宋" w:eastAsia="仿宋"/>
          <w:b/>
          <w:color w:val="auto"/>
          <w:sz w:val="32"/>
          <w:szCs w:val="32"/>
          <w:highlight w:val="none"/>
        </w:rPr>
      </w:pPr>
      <w:r>
        <w:rPr>
          <w:rFonts w:hint="eastAsia" w:ascii="仿宋" w:eastAsia="仿宋"/>
          <w:b/>
          <w:color w:val="auto"/>
          <w:sz w:val="32"/>
          <w:szCs w:val="32"/>
          <w:highlight w:val="none"/>
        </w:rPr>
        <w:t>（四）预算绩效管理情况</w:t>
      </w:r>
    </w:p>
    <w:p w14:paraId="73BEAB69">
      <w:pPr>
        <w:spacing w:line="580" w:lineRule="exact"/>
        <w:ind w:firstLine="640" w:firstLineChars="200"/>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rPr>
        <w:t>根据预算绩效管理要求，本部门在</w:t>
      </w:r>
      <w:r>
        <w:rPr>
          <w:rFonts w:hint="eastAsia" w:ascii="仿宋_GB2312" w:eastAsia="仿宋_GB2312" w:cs="仿宋_GB2312"/>
          <w:color w:val="auto"/>
          <w:sz w:val="32"/>
          <w:szCs w:val="32"/>
          <w:highlight w:val="none"/>
          <w:lang w:val="en-US" w:eastAsia="zh-CN"/>
        </w:rPr>
        <w:t>2023年度</w:t>
      </w:r>
      <w:r>
        <w:rPr>
          <w:rFonts w:hint="eastAsia" w:ascii="仿宋_GB2312" w:eastAsia="仿宋_GB2312" w:cs="仿宋_GB2312"/>
          <w:color w:val="auto"/>
          <w:sz w:val="32"/>
          <w:szCs w:val="32"/>
          <w:highlight w:val="none"/>
        </w:rPr>
        <w:t>预算编制阶段，组织对</w:t>
      </w:r>
      <w:r>
        <w:rPr>
          <w:rFonts w:hint="eastAsia" w:ascii="仿宋_GB2312" w:eastAsia="仿宋_GB2312" w:cs="仿宋_GB2312"/>
          <w:color w:val="auto"/>
          <w:sz w:val="32"/>
          <w:szCs w:val="32"/>
          <w:highlight w:val="none"/>
          <w:lang w:val="en-US" w:eastAsia="zh-CN"/>
        </w:rPr>
        <w:t>日常公用经费项目</w:t>
      </w:r>
      <w:r>
        <w:rPr>
          <w:rFonts w:hint="eastAsia" w:ascii="仿宋_GB2312" w:eastAsia="仿宋_GB2312" w:cs="仿宋_GB2312"/>
          <w:color w:val="auto"/>
          <w:sz w:val="32"/>
          <w:szCs w:val="32"/>
          <w:highlight w:val="none"/>
        </w:rPr>
        <w:t>（项目名称）</w:t>
      </w:r>
      <w:r>
        <w:rPr>
          <w:rFonts w:hint="eastAsia" w:ascii="仿宋_GB2312" w:eastAsia="仿宋_GB2312" w:cs="仿宋_GB2312"/>
          <w:color w:val="auto"/>
          <w:sz w:val="32"/>
          <w:szCs w:val="32"/>
          <w:highlight w:val="none"/>
          <w:lang w:eastAsia="zh-CN"/>
        </w:rPr>
        <w:t>等</w:t>
      </w:r>
      <w:r>
        <w:rPr>
          <w:rFonts w:hint="eastAsia" w:ascii="仿宋_GB2312" w:eastAsia="仿宋_GB2312" w:cs="仿宋_GB2312"/>
          <w:color w:val="auto"/>
          <w:sz w:val="32"/>
          <w:szCs w:val="32"/>
          <w:highlight w:val="none"/>
          <w:lang w:val="en-US" w:eastAsia="zh-CN"/>
        </w:rPr>
        <w:t>11个项目</w:t>
      </w:r>
      <w:r>
        <w:rPr>
          <w:rFonts w:hint="eastAsia" w:ascii="仿宋_GB2312" w:eastAsia="仿宋_GB2312" w:cs="仿宋_GB2312"/>
          <w:color w:val="auto"/>
          <w:sz w:val="32"/>
          <w:szCs w:val="32"/>
          <w:highlight w:val="none"/>
        </w:rPr>
        <w:t>开展了预算事前绩效评估，对</w:t>
      </w:r>
      <w:r>
        <w:rPr>
          <w:rFonts w:hint="eastAsia" w:ascii="仿宋_GB2312" w:eastAsia="仿宋_GB2312" w:cs="仿宋_GB2312"/>
          <w:color w:val="auto"/>
          <w:sz w:val="32"/>
          <w:szCs w:val="32"/>
          <w:highlight w:val="none"/>
          <w:lang w:val="en-US" w:eastAsia="zh-CN"/>
        </w:rPr>
        <w:t>11</w:t>
      </w:r>
      <w:r>
        <w:rPr>
          <w:rFonts w:hint="eastAsia" w:ascii="仿宋_GB2312" w:eastAsia="仿宋_GB2312" w:cs="仿宋_GB2312"/>
          <w:color w:val="auto"/>
          <w:sz w:val="32"/>
          <w:szCs w:val="32"/>
          <w:highlight w:val="none"/>
        </w:rPr>
        <w:t>项目编制了绩效目标，预算执行过程中，</w:t>
      </w:r>
      <w:r>
        <w:rPr>
          <w:rFonts w:hint="eastAsia" w:ascii="仿宋_GB2312" w:eastAsia="仿宋_GB2312" w:cs="仿宋_GB2312"/>
          <w:color w:val="auto"/>
          <w:sz w:val="32"/>
          <w:szCs w:val="32"/>
          <w:highlight w:val="none"/>
          <w:lang w:eastAsia="zh-CN"/>
        </w:rPr>
        <w:t>对</w:t>
      </w:r>
      <w:r>
        <w:rPr>
          <w:rFonts w:hint="eastAsia" w:ascii="仿宋_GB2312" w:eastAsia="仿宋_GB2312" w:cs="仿宋_GB2312"/>
          <w:color w:val="auto"/>
          <w:sz w:val="32"/>
          <w:szCs w:val="32"/>
          <w:highlight w:val="none"/>
          <w:lang w:val="en-US" w:eastAsia="zh-CN"/>
        </w:rPr>
        <w:t>11</w:t>
      </w:r>
      <w:r>
        <w:rPr>
          <w:rFonts w:hint="eastAsia" w:ascii="仿宋_GB2312" w:eastAsia="仿宋_GB2312" w:cs="仿宋_GB2312"/>
          <w:color w:val="auto"/>
          <w:sz w:val="32"/>
          <w:szCs w:val="32"/>
          <w:highlight w:val="none"/>
        </w:rPr>
        <w:t>个项目开展绩效监控</w:t>
      </w:r>
      <w:r>
        <w:rPr>
          <w:rFonts w:hint="eastAsia" w:ascii="仿宋_GB2312" w:eastAsia="仿宋_GB2312" w:cs="仿宋_GB2312"/>
          <w:color w:val="auto"/>
          <w:sz w:val="32"/>
          <w:szCs w:val="32"/>
          <w:highlight w:val="none"/>
          <w:lang w:eastAsia="zh-CN"/>
        </w:rPr>
        <w:t>。</w:t>
      </w:r>
    </w:p>
    <w:p w14:paraId="678128EA">
      <w:pPr>
        <w:widowControl/>
        <w:suppressAutoHyphens/>
        <w:ind w:firstLine="643" w:firstLineChars="200"/>
        <w:jc w:val="left"/>
        <w:rPr>
          <w:rFonts w:ascii="仿宋_GB2312" w:eastAsia="仿宋_GB2312"/>
          <w:b/>
          <w:color w:val="auto"/>
          <w:sz w:val="32"/>
          <w:szCs w:val="32"/>
          <w:highlight w:val="none"/>
        </w:rPr>
      </w:pPr>
    </w:p>
    <w:p w14:paraId="348E6811">
      <w:pPr>
        <w:pStyle w:val="2"/>
        <w:rPr>
          <w:rFonts w:ascii="仿宋_GB2312" w:eastAsia="仿宋_GB2312"/>
          <w:b/>
          <w:color w:val="auto"/>
          <w:sz w:val="32"/>
          <w:szCs w:val="32"/>
          <w:highlight w:val="none"/>
        </w:rPr>
      </w:pPr>
    </w:p>
    <w:p w14:paraId="0951F98F">
      <w:pPr>
        <w:rPr>
          <w:rFonts w:ascii="仿宋_GB2312" w:eastAsia="仿宋_GB2312"/>
          <w:b/>
          <w:color w:val="auto"/>
          <w:sz w:val="32"/>
          <w:szCs w:val="32"/>
          <w:highlight w:val="none"/>
        </w:rPr>
      </w:pPr>
    </w:p>
    <w:p w14:paraId="1B7FC4BD">
      <w:pPr>
        <w:pStyle w:val="2"/>
        <w:rPr>
          <w:rFonts w:ascii="仿宋_GB2312" w:eastAsia="仿宋_GB2312"/>
          <w:b/>
          <w:color w:val="auto"/>
          <w:sz w:val="32"/>
          <w:szCs w:val="32"/>
          <w:highlight w:val="none"/>
        </w:rPr>
      </w:pPr>
    </w:p>
    <w:p w14:paraId="062110C3">
      <w:pPr>
        <w:rPr>
          <w:rFonts w:ascii="仿宋_GB2312" w:eastAsia="仿宋_GB2312"/>
          <w:b/>
          <w:color w:val="auto"/>
          <w:sz w:val="32"/>
          <w:szCs w:val="32"/>
          <w:highlight w:val="none"/>
        </w:rPr>
      </w:pPr>
    </w:p>
    <w:p w14:paraId="508E7D0D">
      <w:pPr>
        <w:pStyle w:val="2"/>
        <w:rPr>
          <w:rFonts w:ascii="仿宋_GB2312" w:eastAsia="仿宋_GB2312"/>
          <w:b/>
          <w:color w:val="auto"/>
          <w:sz w:val="32"/>
          <w:szCs w:val="32"/>
          <w:highlight w:val="none"/>
        </w:rPr>
      </w:pPr>
    </w:p>
    <w:p w14:paraId="7366F064"/>
    <w:p w14:paraId="7BD3FE70">
      <w:pPr>
        <w:widowControl/>
        <w:suppressAutoHyphens/>
        <w:jc w:val="left"/>
        <w:rPr>
          <w:rFonts w:ascii="仿宋_GB2312" w:eastAsia="仿宋_GB2312"/>
          <w:b/>
          <w:color w:val="auto"/>
          <w:sz w:val="32"/>
          <w:szCs w:val="32"/>
          <w:highlight w:val="none"/>
        </w:rPr>
      </w:pPr>
    </w:p>
    <w:p w14:paraId="56203F48">
      <w:pPr>
        <w:pStyle w:val="2"/>
        <w:rPr>
          <w:rFonts w:ascii="仿宋_GB2312" w:eastAsia="仿宋_GB2312"/>
          <w:b/>
          <w:color w:val="auto"/>
          <w:sz w:val="32"/>
          <w:szCs w:val="32"/>
          <w:highlight w:val="none"/>
        </w:rPr>
      </w:pPr>
    </w:p>
    <w:p w14:paraId="5FAF0D1A"/>
    <w:p w14:paraId="674861FB"/>
    <w:p w14:paraId="2CD4381C"/>
    <w:p w14:paraId="0E8C2420">
      <w:pPr>
        <w:numPr>
          <w:ilvl w:val="0"/>
          <w:numId w:val="4"/>
        </w:numPr>
        <w:spacing w:line="600" w:lineRule="exact"/>
        <w:ind w:left="0" w:firstLine="660" w:firstLineChars="150"/>
        <w:jc w:val="center"/>
        <w:outlineLvl w:val="0"/>
        <w:rPr>
          <w:rStyle w:val="17"/>
          <w:rFonts w:ascii="黑体" w:eastAsia="黑体"/>
          <w:b w:val="0"/>
          <w:color w:val="auto"/>
          <w:highlight w:val="none"/>
        </w:rPr>
      </w:pPr>
      <w:bookmarkStart w:id="45" w:name="_GoBack"/>
      <w:bookmarkEnd w:id="45"/>
      <w:bookmarkStart w:id="40" w:name="_Toc15377225"/>
      <w:bookmarkStart w:id="41" w:name="_Toc15396613"/>
      <w:r>
        <w:rPr>
          <w:rFonts w:hint="eastAsia" w:ascii="黑体" w:eastAsia="黑体"/>
          <w:color w:val="auto"/>
          <w:sz w:val="44"/>
          <w:szCs w:val="44"/>
          <w:highlight w:val="none"/>
        </w:rPr>
        <w:t>名</w:t>
      </w:r>
      <w:r>
        <w:rPr>
          <w:rStyle w:val="17"/>
          <w:rFonts w:hint="eastAsia" w:ascii="黑体" w:eastAsia="黑体"/>
          <w:b w:val="0"/>
          <w:color w:val="auto"/>
          <w:highlight w:val="none"/>
        </w:rPr>
        <w:t>词解释</w:t>
      </w:r>
      <w:bookmarkEnd w:id="40"/>
      <w:bookmarkEnd w:id="41"/>
    </w:p>
    <w:p w14:paraId="33A1CFDB">
      <w:pPr>
        <w:spacing w:line="600" w:lineRule="exact"/>
        <w:jc w:val="left"/>
        <w:rPr>
          <w:rFonts w:ascii="宋体"/>
          <w:b/>
          <w:color w:val="auto"/>
          <w:sz w:val="44"/>
          <w:szCs w:val="44"/>
          <w:highlight w:val="none"/>
        </w:rPr>
      </w:pPr>
    </w:p>
    <w:p w14:paraId="260F9DE3">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378CD1B6">
      <w:pPr>
        <w:pStyle w:val="20"/>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64F93D0F">
      <w:pPr>
        <w:pStyle w:val="20"/>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790EDBE4">
      <w:pPr>
        <w:pStyle w:val="20"/>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14:paraId="532EED3D">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1E22FDA9">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62104150">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03B3BA77">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51CB978F">
      <w:pPr>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s="仿宋"/>
          <w:color w:val="auto"/>
          <w:kern w:val="0"/>
          <w:sz w:val="32"/>
          <w:szCs w:val="32"/>
          <w:highlight w:val="none"/>
          <w:lang w:val="en-US" w:eastAsia="zh-CN" w:bidi="ar-SA"/>
        </w:rPr>
        <w:t>.一般公共服务支出（类）商贸事务（款）事业运行（项）：反映事业单位的基本支出，不包括行政单位（包括实行公务员管理的事业单位、后勤服务中心，医务室等附属事业</w:t>
      </w:r>
      <w:r>
        <w:rPr>
          <w:rFonts w:hint="eastAsia" w:ascii="仿宋_GB2312" w:eastAsia="仿宋_GB2312"/>
          <w:color w:val="auto"/>
          <w:sz w:val="32"/>
          <w:szCs w:val="32"/>
          <w:highlight w:val="none"/>
        </w:rPr>
        <w:t>单位。</w:t>
      </w:r>
    </w:p>
    <w:p w14:paraId="682ED2A2">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10. 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行政事业单位养老</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款）机关事业单位基本养老保险缴费</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项）：反映机关事业单位实施养老保险制度由单位缴纳的基本养老保险费支出。</w:t>
      </w:r>
    </w:p>
    <w:p w14:paraId="38B515FE">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11.社会保障和就业支出（</w:t>
      </w:r>
      <w:r>
        <w:rPr>
          <w:rFonts w:hint="eastAsia" w:ascii="仿宋_GB2312" w:eastAsia="仿宋_GB2312"/>
          <w:color w:val="auto"/>
          <w:sz w:val="32"/>
          <w:szCs w:val="32"/>
          <w:highlight w:val="none"/>
          <w:lang w:eastAsia="zh-CN"/>
        </w:rPr>
        <w:t>类</w:t>
      </w:r>
      <w:r>
        <w:rPr>
          <w:rFonts w:hint="eastAsia" w:ascii="仿宋_GB2312" w:eastAsia="仿宋_GB2312"/>
          <w:color w:val="auto"/>
          <w:sz w:val="32"/>
          <w:szCs w:val="32"/>
          <w:highlight w:val="none"/>
        </w:rPr>
        <w:t>）行政事业单位养老</w:t>
      </w:r>
      <w:r>
        <w:rPr>
          <w:rFonts w:hint="eastAsia" w:ascii="仿宋_GB2312" w:eastAsia="仿宋_GB2312"/>
          <w:color w:val="auto"/>
          <w:sz w:val="32"/>
          <w:szCs w:val="32"/>
          <w:highlight w:val="none"/>
          <w:lang w:eastAsia="zh-CN"/>
        </w:rPr>
        <w:t>支出</w:t>
      </w:r>
    </w:p>
    <w:p w14:paraId="62427CB9">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款）机关事业单位职业年金缴费支出（项）：反映机关事业单位实施养老保险制度由单位实际</w:t>
      </w:r>
      <w:r>
        <w:rPr>
          <w:rFonts w:hint="eastAsia" w:ascii="仿宋_GB2312" w:eastAsia="仿宋_GB2312"/>
          <w:color w:val="auto"/>
          <w:sz w:val="32"/>
          <w:szCs w:val="32"/>
          <w:highlight w:val="none"/>
          <w:lang w:eastAsia="zh-CN"/>
        </w:rPr>
        <w:t>缴</w:t>
      </w:r>
      <w:r>
        <w:rPr>
          <w:rFonts w:hint="eastAsia" w:ascii="仿宋_GB2312" w:eastAsia="仿宋_GB2312"/>
          <w:color w:val="auto"/>
          <w:sz w:val="32"/>
          <w:szCs w:val="32"/>
          <w:highlight w:val="none"/>
        </w:rPr>
        <w:t>纳的职业年金</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w:t>
      </w:r>
    </w:p>
    <w:p w14:paraId="3166774A">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12.</w:t>
      </w:r>
      <w:r>
        <w:rPr>
          <w:rFonts w:hint="eastAsia" w:ascii="仿宋_GB2312" w:eastAsia="仿宋_GB2312"/>
          <w:color w:val="auto"/>
          <w:sz w:val="32"/>
          <w:szCs w:val="32"/>
          <w:highlight w:val="none"/>
          <w:lang w:eastAsia="zh-CN"/>
        </w:rPr>
        <w:t>卫生</w:t>
      </w:r>
      <w:r>
        <w:rPr>
          <w:rFonts w:hint="eastAsia" w:ascii="仿宋_GB2312" w:eastAsia="仿宋_GB2312"/>
          <w:color w:val="auto"/>
          <w:sz w:val="32"/>
          <w:szCs w:val="32"/>
          <w:highlight w:val="none"/>
        </w:rPr>
        <w:t>健康</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（类）行政事业单位</w:t>
      </w:r>
      <w:r>
        <w:rPr>
          <w:rFonts w:hint="eastAsia" w:ascii="仿宋_GB2312" w:eastAsia="仿宋_GB2312"/>
          <w:color w:val="auto"/>
          <w:sz w:val="32"/>
          <w:szCs w:val="32"/>
          <w:highlight w:val="none"/>
          <w:lang w:eastAsia="zh-CN"/>
        </w:rPr>
        <w:t>医疗</w:t>
      </w:r>
      <w:r>
        <w:rPr>
          <w:rFonts w:hint="eastAsia" w:ascii="仿宋_GB2312" w:eastAsia="仿宋_GB2312"/>
          <w:color w:val="auto"/>
          <w:sz w:val="32"/>
          <w:szCs w:val="32"/>
          <w:highlight w:val="none"/>
        </w:rPr>
        <w:t>（款）事业单位医疗</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项）：反映财政部门安排的事业单位基本医疗保险</w:t>
      </w:r>
      <w:r>
        <w:rPr>
          <w:rFonts w:hint="eastAsia" w:ascii="仿宋_GB2312" w:eastAsia="仿宋_GB2312"/>
          <w:color w:val="auto"/>
          <w:sz w:val="32"/>
          <w:szCs w:val="32"/>
          <w:highlight w:val="none"/>
          <w:lang w:eastAsia="zh-CN"/>
        </w:rPr>
        <w:t>缴费</w:t>
      </w:r>
      <w:r>
        <w:rPr>
          <w:rFonts w:hint="eastAsia" w:ascii="仿宋_GB2312" w:eastAsia="仿宋_GB2312"/>
          <w:color w:val="auto"/>
          <w:sz w:val="32"/>
          <w:szCs w:val="32"/>
          <w:highlight w:val="none"/>
        </w:rPr>
        <w:t>经费，未参加医疗保险的事业单位的公费医疗经费按国家规定享受离休人员待遇的医疗经费。</w:t>
      </w:r>
    </w:p>
    <w:p w14:paraId="3C233BBF">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13. </w:t>
      </w:r>
      <w:r>
        <w:rPr>
          <w:rFonts w:hint="eastAsia" w:ascii="仿宋_GB2312" w:eastAsia="仿宋_GB2312"/>
          <w:color w:val="auto"/>
          <w:sz w:val="32"/>
          <w:szCs w:val="32"/>
          <w:highlight w:val="none"/>
          <w:lang w:eastAsia="zh-CN"/>
        </w:rPr>
        <w:t>住</w:t>
      </w:r>
      <w:r>
        <w:rPr>
          <w:rFonts w:hint="eastAsia" w:ascii="仿宋_GB2312" w:eastAsia="仿宋_GB2312"/>
          <w:color w:val="auto"/>
          <w:sz w:val="32"/>
          <w:szCs w:val="32"/>
          <w:highlight w:val="none"/>
        </w:rPr>
        <w:t>房保障支出（类）住房改革</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款）</w:t>
      </w:r>
      <w:r>
        <w:rPr>
          <w:rFonts w:hint="eastAsia" w:ascii="仿宋_GB2312" w:eastAsia="仿宋_GB2312"/>
          <w:color w:val="auto"/>
          <w:sz w:val="32"/>
          <w:szCs w:val="32"/>
          <w:highlight w:val="none"/>
        </w:rPr>
        <w:t>住房公积金（项）：反映行政事业单位按人力资源和社会保障部</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财政部规定的基本工资和津贴补贴以及规定比例为职工缴纳的住房</w:t>
      </w:r>
      <w:r>
        <w:rPr>
          <w:rFonts w:hint="eastAsia" w:ascii="仿宋_GB2312" w:eastAsia="仿宋_GB2312"/>
          <w:color w:val="auto"/>
          <w:sz w:val="32"/>
          <w:szCs w:val="32"/>
          <w:highlight w:val="none"/>
          <w:lang w:eastAsia="zh-CN"/>
        </w:rPr>
        <w:t>公积金</w:t>
      </w:r>
      <w:r>
        <w:rPr>
          <w:rFonts w:hint="eastAsia" w:ascii="仿宋_GB2312" w:eastAsia="仿宋_GB2312"/>
          <w:color w:val="auto"/>
          <w:sz w:val="32"/>
          <w:szCs w:val="32"/>
          <w:highlight w:val="none"/>
        </w:rPr>
        <w:t>。</w:t>
      </w:r>
    </w:p>
    <w:p w14:paraId="59321F67">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14.基本文出：指为保障机构</w:t>
      </w:r>
      <w:r>
        <w:rPr>
          <w:rFonts w:hint="eastAsia" w:ascii="仿宋_GB2312" w:eastAsia="仿宋_GB2312"/>
          <w:color w:val="auto"/>
          <w:sz w:val="32"/>
          <w:szCs w:val="32"/>
          <w:highlight w:val="none"/>
          <w:lang w:eastAsia="zh-CN"/>
        </w:rPr>
        <w:t>日</w:t>
      </w:r>
      <w:r>
        <w:rPr>
          <w:rFonts w:hint="eastAsia" w:ascii="仿宋_GB2312" w:eastAsia="仿宋_GB2312"/>
          <w:color w:val="auto"/>
          <w:sz w:val="32"/>
          <w:szCs w:val="32"/>
          <w:highlight w:val="none"/>
        </w:rPr>
        <w:t>常运转、完成日</w:t>
      </w:r>
      <w:r>
        <w:rPr>
          <w:rFonts w:hint="eastAsia" w:ascii="仿宋_GB2312" w:eastAsia="仿宋_GB2312"/>
          <w:color w:val="auto"/>
          <w:sz w:val="32"/>
          <w:szCs w:val="32"/>
          <w:highlight w:val="none"/>
          <w:lang w:eastAsia="zh-CN"/>
        </w:rPr>
        <w:t>常</w:t>
      </w:r>
      <w:r>
        <w:rPr>
          <w:rFonts w:hint="eastAsia" w:ascii="仿宋_GB2312" w:eastAsia="仿宋_GB2312"/>
          <w:color w:val="auto"/>
          <w:sz w:val="32"/>
          <w:szCs w:val="32"/>
          <w:highlight w:val="none"/>
        </w:rPr>
        <w:t>工作任务而发生的人员文出和公园支比。</w:t>
      </w:r>
    </w:p>
    <w:p w14:paraId="1DDF77CA">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449DDFE3">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6924B453">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46826B77">
      <w:pPr>
        <w:pStyle w:val="2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48DE6CE">
      <w:pPr>
        <w:pStyle w:val="2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5DC6272">
      <w:pPr>
        <w:spacing w:line="600" w:lineRule="exact"/>
        <w:jc w:val="center"/>
        <w:outlineLvl w:val="0"/>
        <w:rPr>
          <w:rStyle w:val="17"/>
          <w:rFonts w:hint="eastAsia" w:ascii="黑体" w:eastAsia="黑体"/>
          <w:b w:val="0"/>
          <w:color w:val="auto"/>
          <w:highlight w:val="none"/>
          <w:lang w:eastAsia="zh-CN"/>
        </w:rPr>
      </w:pPr>
      <w:bookmarkStart w:id="42" w:name="_Toc15377226"/>
      <w:r>
        <w:rPr>
          <w:rFonts w:ascii="宋体"/>
          <w:b/>
          <w:color w:val="auto"/>
          <w:sz w:val="44"/>
          <w:szCs w:val="44"/>
          <w:highlight w:val="none"/>
        </w:rPr>
        <w:br w:type="page"/>
      </w:r>
      <w:bookmarkStart w:id="43" w:name="_Toc15396614"/>
      <w:r>
        <w:rPr>
          <w:rFonts w:hint="eastAsia" w:ascii="黑体" w:eastAsia="黑体"/>
          <w:color w:val="auto"/>
          <w:sz w:val="44"/>
          <w:szCs w:val="44"/>
          <w:highlight w:val="none"/>
        </w:rPr>
        <w:t>第</w:t>
      </w:r>
      <w:r>
        <w:rPr>
          <w:rStyle w:val="17"/>
          <w:rFonts w:hint="eastAsia" w:ascii="黑体" w:eastAsia="黑体"/>
          <w:b w:val="0"/>
          <w:color w:val="auto"/>
          <w:highlight w:val="none"/>
        </w:rPr>
        <w:t>四部分 附件</w:t>
      </w:r>
      <w:bookmarkEnd w:id="43"/>
    </w:p>
    <w:p w14:paraId="3432A95B">
      <w:pPr>
        <w:widowControl/>
        <w:suppressAutoHyphens/>
        <w:spacing w:line="578" w:lineRule="exact"/>
        <w:contextualSpacing/>
        <w:jc w:val="both"/>
        <w:rPr>
          <w:rFonts w:eastAsia="方正小标宋简体"/>
          <w:bCs/>
          <w:sz w:val="44"/>
          <w:szCs w:val="44"/>
          <w:shd w:val="clear" w:color="auto" w:fill="FFFFFF"/>
        </w:rPr>
      </w:pPr>
    </w:p>
    <w:p w14:paraId="2425AFD7">
      <w:pPr>
        <w:widowControl/>
        <w:suppressAutoHyphens/>
        <w:spacing w:line="578" w:lineRule="exact"/>
        <w:contextualSpacing/>
        <w:jc w:val="both"/>
        <w:rPr>
          <w:rFonts w:eastAsia="方正小标宋简体"/>
          <w:bCs/>
          <w:sz w:val="44"/>
          <w:szCs w:val="44"/>
          <w:shd w:val="clear" w:color="auto" w:fill="FFFFFF"/>
        </w:rPr>
      </w:pPr>
    </w:p>
    <w:p w14:paraId="08EB0DE6">
      <w:pPr>
        <w:widowControl/>
        <w:suppressAutoHyphens/>
        <w:spacing w:line="578" w:lineRule="exact"/>
        <w:contextualSpacing/>
        <w:jc w:val="center"/>
        <w:rPr>
          <w:rFonts w:hint="eastAsia" w:eastAsia="方正小标宋简体"/>
          <w:bCs/>
          <w:sz w:val="44"/>
          <w:szCs w:val="44"/>
          <w:shd w:val="clear" w:color="auto" w:fill="FFFFFF"/>
        </w:rPr>
      </w:pPr>
      <w:r>
        <w:rPr>
          <w:rFonts w:hint="eastAsia" w:eastAsia="方正小标宋简体"/>
          <w:bCs/>
          <w:sz w:val="44"/>
          <w:szCs w:val="44"/>
          <w:shd w:val="clear" w:color="auto" w:fill="FFFFFF"/>
        </w:rPr>
        <w:t>茂县工业服务中心</w:t>
      </w:r>
    </w:p>
    <w:p w14:paraId="2AAB3891">
      <w:pPr>
        <w:keepNext w:val="0"/>
        <w:keepLines w:val="0"/>
        <w:pageBreakBefore w:val="0"/>
        <w:widowControl/>
        <w:suppressAutoHyphens/>
        <w:kinsoku/>
        <w:wordWrap/>
        <w:overflowPunct/>
        <w:topLinePunct w:val="0"/>
        <w:autoSpaceDE/>
        <w:autoSpaceDN/>
        <w:bidi w:val="0"/>
        <w:spacing w:line="578" w:lineRule="exact"/>
        <w:contextualSpacing/>
        <w:jc w:val="center"/>
        <w:textAlignment w:val="auto"/>
        <w:outlineLvl w:val="9"/>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02C971BA">
      <w:pPr>
        <w:keepNext w:val="0"/>
        <w:keepLines w:val="0"/>
        <w:pageBreakBefore w:val="0"/>
        <w:widowControl/>
        <w:suppressAutoHyphens/>
        <w:kinsoku/>
        <w:wordWrap/>
        <w:overflowPunct/>
        <w:topLinePunct w:val="0"/>
        <w:autoSpaceDE/>
        <w:autoSpaceDN/>
        <w:bidi w:val="0"/>
        <w:spacing w:line="578" w:lineRule="exact"/>
        <w:contextualSpacing/>
        <w:jc w:val="center"/>
        <w:textAlignment w:val="auto"/>
        <w:outlineLvl w:val="9"/>
        <w:rPr>
          <w:rFonts w:eastAsia="方正小标宋简体"/>
          <w:bCs/>
          <w:sz w:val="44"/>
          <w:szCs w:val="44"/>
          <w:shd w:val="clear" w:color="auto" w:fill="FFFFFF"/>
        </w:rPr>
      </w:pPr>
    </w:p>
    <w:p w14:paraId="77DCDE9A">
      <w:pPr>
        <w:widowControl/>
        <w:suppressAutoHyphens/>
        <w:adjustRightInd w:val="0"/>
        <w:snapToGrid w:val="0"/>
        <w:spacing w:line="578" w:lineRule="exact"/>
        <w:ind w:firstLine="640" w:firstLineChars="200"/>
        <w:contextualSpacing/>
        <w:jc w:val="left"/>
        <w:rPr>
          <w:rFonts w:ascii="Times New Roman" w:hAnsi="Times New Roman" w:eastAsia="黑体" w:cs="Times New Roman"/>
          <w:color w:val="000000"/>
          <w:kern w:val="0"/>
          <w:sz w:val="32"/>
          <w:szCs w:val="32"/>
          <w:shd w:val="clear" w:color="auto" w:fill="FFFFFF"/>
        </w:rPr>
      </w:pPr>
      <w:r>
        <w:rPr>
          <w:rFonts w:hint="eastAsia" w:ascii="Times New Roman" w:hAnsi="Times New Roman" w:eastAsia="黑体" w:cs="Times New Roman"/>
          <w:color w:val="000000"/>
          <w:kern w:val="0"/>
          <w:sz w:val="32"/>
          <w:szCs w:val="32"/>
          <w:shd w:val="clear" w:color="auto" w:fill="FFFFFF"/>
          <w:lang w:val="zh-CN"/>
        </w:rPr>
        <w:t>一、</w:t>
      </w:r>
      <w:r>
        <w:rPr>
          <w:rFonts w:ascii="Times New Roman" w:hAnsi="Times New Roman" w:eastAsia="黑体" w:cs="Times New Roman"/>
          <w:color w:val="000000"/>
          <w:kern w:val="0"/>
          <w:sz w:val="32"/>
          <w:szCs w:val="32"/>
          <w:shd w:val="clear" w:color="auto" w:fill="FFFFFF"/>
          <w:lang w:val="zh-CN"/>
        </w:rPr>
        <w:t>部门（单位）基本</w:t>
      </w:r>
      <w:r>
        <w:rPr>
          <w:rFonts w:hint="eastAsia" w:ascii="Times New Roman" w:hAnsi="Times New Roman" w:eastAsia="黑体" w:cs="Times New Roman"/>
          <w:color w:val="000000"/>
          <w:kern w:val="0"/>
          <w:sz w:val="32"/>
          <w:szCs w:val="32"/>
          <w:shd w:val="clear" w:color="auto" w:fill="FFFFFF"/>
          <w:lang w:val="zh-CN"/>
        </w:rPr>
        <w:t>情况</w:t>
      </w:r>
    </w:p>
    <w:p w14:paraId="1A393919">
      <w:pPr>
        <w:widowControl/>
        <w:suppressAutoHyphens/>
        <w:bidi w:val="0"/>
        <w:adjustRightInd w:val="0"/>
        <w:snapToGrid w:val="0"/>
        <w:spacing w:line="578" w:lineRule="exact"/>
        <w:ind w:firstLine="643"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（一）</w:t>
      </w:r>
      <w:r>
        <w:rPr>
          <w:rFonts w:ascii="Times New Roman" w:hAnsi="Times New Roman" w:eastAsia="楷体_GB2312" w:cs="Times New Roman"/>
          <w:b/>
          <w:bCs/>
          <w:color w:val="000000"/>
          <w:kern w:val="0"/>
          <w:sz w:val="32"/>
          <w:szCs w:val="32"/>
          <w:shd w:val="clear" w:color="auto" w:fill="FFFFFF"/>
          <w:lang w:val="zh-CN"/>
        </w:rPr>
        <w:t>机构组成</w:t>
      </w:r>
    </w:p>
    <w:p w14:paraId="25BA0AD2">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茂县工业服务中心为茂县经济商务和信息化局所属正科级公益一类事业单位，属一级预算单位，设3个职能股室：办公室、企业服务股、规划建设管理股。</w:t>
      </w:r>
    </w:p>
    <w:p w14:paraId="23DD7FE2">
      <w:pPr>
        <w:widowControl/>
        <w:suppressAutoHyphens/>
        <w:bidi w:val="0"/>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（二）机构职能</w:t>
      </w:r>
    </w:p>
    <w:p w14:paraId="532D80DC">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1.贯彻执行国家、省、州、县的有关方针、政策、法律、法规，执行州委、州政府、县委、县政府的决定和指示，依法制定园区经济管理规范性文件，检查督促园区内各企业贯彻执行；制定工业园区有关行政管理制度并监督执行。</w:t>
      </w:r>
    </w:p>
    <w:p w14:paraId="7221A4B3">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2. 按照现代工业发展的要求，编制园区发展总体规划、园区控制性详细规划、产业发展规划、经济目标规划、区域环评、水土保持、行洪论证、林地征占等报告并组织实施。</w:t>
      </w:r>
    </w:p>
    <w:p w14:paraId="5EA41F86">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3.负责园区内土地的统一开发，规划、建设和管理园区内的基础设施和公共设施。</w:t>
      </w:r>
    </w:p>
    <w:p w14:paraId="27E6875E">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4.配合县相关职能部门开展园区建设用地的实物量调查、土地征用、农户拆迁、土地价款的收支等工作。</w:t>
      </w:r>
    </w:p>
    <w:p w14:paraId="4AEE362D">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5.坚持正确的产业导向，严格遵守国家制定的企业准入条件。对拟投资项目进行调研、论证、评估等相关工作，提出投资项目的可行性报告；做好招商引资、项目初审、合同签订等工作。</w:t>
      </w:r>
    </w:p>
    <w:p w14:paraId="1CB34A3F">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6.统筹安排和管理园区的投资项目，负责企业入园的评估、选址工作；为企业用地、办证、项目备案、厂房建设、生产生活提供咨询、服务和协调。</w:t>
      </w:r>
    </w:p>
    <w:p w14:paraId="7B5FCB7D">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7.贯彻落实州、县人民政府赋予园区的各项优惠政策，监督建设项目的实施。</w:t>
      </w:r>
    </w:p>
    <w:p w14:paraId="5BB93805">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8.配合有关部门做好安全生产、环境保护等工作；会同人力资源和社会保障部门协助企业做好人员招聘、培训和社会保障工作；配合税务、工商、财政部门做好税费征管等工作。</w:t>
      </w:r>
    </w:p>
    <w:p w14:paraId="056193CD">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9.贯彻执行国家、省、州、县关于政府投融资管理的政策，构建投融资平台，为企业融资提供方便，促进园区产业又好又快发展。</w:t>
      </w:r>
    </w:p>
    <w:p w14:paraId="2AF6A0D3">
      <w:pPr>
        <w:widowControl/>
        <w:shd w:val="clear" w:color="auto" w:fill="FFFFFF"/>
        <w:suppressAutoHyphens/>
        <w:spacing w:line="576" w:lineRule="atLeast"/>
        <w:ind w:firstLine="729" w:firstLineChars="228"/>
        <w:jc w:val="left"/>
        <w:rPr>
          <w:rFonts w:ascii="仿宋_GB2312"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zh-CN" w:eastAsia="zh-CN" w:bidi="ar-SA"/>
        </w:rPr>
        <w:t>10.承办县委县政府交办的其他工作。</w:t>
      </w:r>
    </w:p>
    <w:p w14:paraId="12E5C1BB">
      <w:pPr>
        <w:widowControl/>
        <w:suppressAutoHyphens/>
        <w:bidi w:val="0"/>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（三）人员概况</w:t>
      </w:r>
    </w:p>
    <w:p w14:paraId="031D7E14">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县工业服务中心事业编制</w:t>
      </w:r>
      <w:r>
        <w:rPr>
          <w:rFonts w:hint="eastAsia" w:ascii="仿宋_GB2312" w:eastAsia="仿宋_GB2312" w:cs="仿宋"/>
          <w:color w:val="auto"/>
          <w:kern w:val="0"/>
          <w:sz w:val="32"/>
          <w:szCs w:val="32"/>
          <w:highlight w:val="none"/>
          <w:lang w:val="en-US" w:eastAsia="zh-CN" w:bidi="ar-SA"/>
        </w:rPr>
        <w:t>9</w:t>
      </w:r>
      <w:r>
        <w:rPr>
          <w:rFonts w:hint="eastAsia" w:ascii="仿宋_GB2312" w:eastAsia="仿宋_GB2312" w:cs="仿宋"/>
          <w:color w:val="auto"/>
          <w:kern w:val="0"/>
          <w:sz w:val="32"/>
          <w:szCs w:val="32"/>
          <w:highlight w:val="none"/>
          <w:lang w:val="zh-CN" w:eastAsia="zh-CN" w:bidi="ar-SA"/>
        </w:rPr>
        <w:t>人。其中：主任1名，副主任2名。202</w:t>
      </w:r>
      <w:r>
        <w:rPr>
          <w:rFonts w:hint="eastAsia" w:ascii="仿宋_GB2312" w:eastAsia="仿宋_GB2312" w:cs="仿宋"/>
          <w:color w:val="auto"/>
          <w:kern w:val="0"/>
          <w:sz w:val="32"/>
          <w:szCs w:val="32"/>
          <w:highlight w:val="none"/>
          <w:lang w:val="en-US" w:eastAsia="zh-CN" w:bidi="ar-SA"/>
        </w:rPr>
        <w:t>3</w:t>
      </w:r>
      <w:r>
        <w:rPr>
          <w:rFonts w:hint="eastAsia" w:ascii="仿宋_GB2312" w:eastAsia="仿宋_GB2312" w:cs="仿宋"/>
          <w:color w:val="auto"/>
          <w:kern w:val="0"/>
          <w:sz w:val="32"/>
          <w:szCs w:val="32"/>
          <w:highlight w:val="none"/>
          <w:lang w:val="zh-CN" w:eastAsia="zh-CN" w:bidi="ar-SA"/>
        </w:rPr>
        <w:t>年在职职工</w:t>
      </w:r>
      <w:r>
        <w:rPr>
          <w:rFonts w:hint="eastAsia" w:ascii="仿宋_GB2312" w:eastAsia="仿宋_GB2312" w:cs="仿宋"/>
          <w:color w:val="auto"/>
          <w:kern w:val="0"/>
          <w:sz w:val="32"/>
          <w:szCs w:val="32"/>
          <w:highlight w:val="none"/>
          <w:lang w:val="en-US" w:eastAsia="zh-CN" w:bidi="ar-SA"/>
        </w:rPr>
        <w:t>9</w:t>
      </w:r>
      <w:r>
        <w:rPr>
          <w:rFonts w:hint="eastAsia" w:ascii="仿宋_GB2312" w:eastAsia="仿宋_GB2312" w:cs="仿宋"/>
          <w:color w:val="auto"/>
          <w:kern w:val="0"/>
          <w:sz w:val="32"/>
          <w:szCs w:val="32"/>
          <w:highlight w:val="none"/>
          <w:lang w:val="zh-CN" w:eastAsia="zh-CN" w:bidi="ar-SA"/>
        </w:rPr>
        <w:t>人，其中：专业技术人员</w:t>
      </w:r>
      <w:r>
        <w:rPr>
          <w:rFonts w:hint="eastAsia" w:ascii="仿宋_GB2312" w:eastAsia="仿宋_GB2312" w:cs="仿宋"/>
          <w:color w:val="auto"/>
          <w:kern w:val="0"/>
          <w:sz w:val="32"/>
          <w:szCs w:val="32"/>
          <w:highlight w:val="none"/>
          <w:lang w:val="en-US" w:eastAsia="zh-CN" w:bidi="ar-SA"/>
        </w:rPr>
        <w:t>5</w:t>
      </w:r>
      <w:r>
        <w:rPr>
          <w:rFonts w:hint="eastAsia" w:ascii="仿宋_GB2312" w:eastAsia="仿宋_GB2312" w:cs="仿宋"/>
          <w:color w:val="auto"/>
          <w:kern w:val="0"/>
          <w:sz w:val="32"/>
          <w:szCs w:val="32"/>
          <w:highlight w:val="none"/>
          <w:lang w:val="zh-CN" w:eastAsia="zh-CN" w:bidi="ar-SA"/>
        </w:rPr>
        <w:t>人，管理人员4人。</w:t>
      </w:r>
    </w:p>
    <w:p w14:paraId="3CEBAECD">
      <w:pPr>
        <w:widowControl/>
        <w:suppressAutoHyphens/>
        <w:adjustRightInd w:val="0"/>
        <w:snapToGrid w:val="0"/>
        <w:spacing w:line="578" w:lineRule="exact"/>
        <w:ind w:firstLine="640" w:firstLineChars="200"/>
        <w:contextualSpacing/>
        <w:jc w:val="left"/>
        <w:rPr>
          <w:rFonts w:ascii="Times New Roman" w:hAnsi="Times New Roman" w:eastAsia="黑体" w:cs="Times New Roman"/>
          <w:color w:val="000000"/>
          <w:kern w:val="0"/>
          <w:sz w:val="32"/>
          <w:szCs w:val="32"/>
          <w:shd w:val="clear" w:color="auto" w:fill="FFFFFF"/>
          <w:lang w:val="zh-CN"/>
        </w:rPr>
      </w:pPr>
      <w:r>
        <w:rPr>
          <w:rFonts w:hint="eastAsia" w:ascii="Times New Roman" w:hAnsi="Times New Roman" w:eastAsia="黑体" w:cs="Times New Roman"/>
          <w:color w:val="000000"/>
          <w:kern w:val="0"/>
          <w:sz w:val="32"/>
          <w:szCs w:val="32"/>
          <w:shd w:val="clear" w:color="auto" w:fill="FFFFFF"/>
          <w:lang w:val="zh-CN"/>
        </w:rPr>
        <w:t>二、</w:t>
      </w:r>
      <w:r>
        <w:rPr>
          <w:rFonts w:ascii="Times New Roman" w:hAnsi="Times New Roman" w:eastAsia="黑体" w:cs="Times New Roman"/>
          <w:color w:val="000000"/>
          <w:kern w:val="0"/>
          <w:sz w:val="32"/>
          <w:szCs w:val="32"/>
          <w:shd w:val="clear" w:color="auto" w:fill="FFFFFF"/>
          <w:lang w:val="zh-CN"/>
        </w:rPr>
        <w:t>部门资金收支情况</w:t>
      </w:r>
    </w:p>
    <w:p w14:paraId="6B54807D">
      <w:pPr>
        <w:widowControl/>
        <w:suppressAutoHyphens/>
        <w:bidi w:val="0"/>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（一）收入情况</w:t>
      </w:r>
    </w:p>
    <w:p w14:paraId="616FBFED">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202</w:t>
      </w:r>
      <w:r>
        <w:rPr>
          <w:rFonts w:hint="eastAsia" w:ascii="仿宋_GB2312" w:eastAsia="仿宋_GB2312" w:cs="仿宋"/>
          <w:color w:val="auto"/>
          <w:kern w:val="0"/>
          <w:sz w:val="32"/>
          <w:szCs w:val="32"/>
          <w:highlight w:val="none"/>
          <w:lang w:val="en-US" w:eastAsia="zh-CN" w:bidi="ar-SA"/>
        </w:rPr>
        <w:t>3</w:t>
      </w:r>
      <w:r>
        <w:rPr>
          <w:rFonts w:hint="eastAsia" w:ascii="仿宋_GB2312" w:eastAsia="仿宋_GB2312" w:cs="仿宋"/>
          <w:color w:val="auto"/>
          <w:kern w:val="0"/>
          <w:sz w:val="32"/>
          <w:szCs w:val="32"/>
          <w:highlight w:val="none"/>
          <w:lang w:val="zh-CN" w:eastAsia="zh-CN" w:bidi="ar-SA"/>
        </w:rPr>
        <w:t>年本中心财政拨款收入决算总额为</w:t>
      </w:r>
      <w:r>
        <w:rPr>
          <w:rFonts w:hint="eastAsia" w:ascii="仿宋_GB2312" w:eastAsia="仿宋_GB2312" w:cs="仿宋"/>
          <w:color w:val="auto"/>
          <w:kern w:val="0"/>
          <w:sz w:val="32"/>
          <w:szCs w:val="32"/>
          <w:highlight w:val="none"/>
          <w:lang w:val="en-US" w:eastAsia="zh-CN" w:bidi="ar-SA"/>
        </w:rPr>
        <w:t>170.23</w:t>
      </w:r>
      <w:r>
        <w:rPr>
          <w:rFonts w:hint="eastAsia" w:ascii="仿宋_GB2312" w:eastAsia="仿宋_GB2312" w:cs="仿宋"/>
          <w:color w:val="auto"/>
          <w:kern w:val="0"/>
          <w:sz w:val="32"/>
          <w:szCs w:val="32"/>
          <w:highlight w:val="none"/>
          <w:lang w:val="zh-CN" w:eastAsia="zh-CN" w:bidi="ar-SA"/>
        </w:rPr>
        <w:t>万元，其中：当年财政拨款收入</w:t>
      </w:r>
      <w:r>
        <w:rPr>
          <w:rFonts w:hint="eastAsia" w:ascii="仿宋_GB2312" w:eastAsia="仿宋_GB2312" w:cs="仿宋"/>
          <w:color w:val="auto"/>
          <w:kern w:val="0"/>
          <w:sz w:val="32"/>
          <w:szCs w:val="32"/>
          <w:highlight w:val="none"/>
          <w:lang w:val="en-US" w:eastAsia="zh-CN" w:bidi="ar-SA"/>
        </w:rPr>
        <w:t>170.23</w:t>
      </w:r>
      <w:r>
        <w:rPr>
          <w:rFonts w:hint="eastAsia" w:ascii="仿宋_GB2312" w:eastAsia="仿宋_GB2312" w:cs="仿宋"/>
          <w:color w:val="auto"/>
          <w:kern w:val="0"/>
          <w:sz w:val="32"/>
          <w:szCs w:val="32"/>
          <w:highlight w:val="none"/>
          <w:lang w:val="zh-CN" w:eastAsia="zh-CN" w:bidi="ar-SA"/>
        </w:rPr>
        <w:t>万元，均为一般公共预算财政拨款。</w:t>
      </w:r>
    </w:p>
    <w:p w14:paraId="70BD4219">
      <w:pPr>
        <w:widowControl/>
        <w:suppressAutoHyphens/>
        <w:bidi w:val="0"/>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en-US" w:eastAsia="zh-CN"/>
        </w:rPr>
      </w:pPr>
      <w:r>
        <w:rPr>
          <w:rFonts w:hint="eastAsia" w:ascii="Times New Roman" w:hAnsi="Times New Roman" w:eastAsia="楷体_GB2312" w:cs="Times New Roman"/>
          <w:b/>
          <w:bCs/>
          <w:color w:val="000000"/>
          <w:kern w:val="0"/>
          <w:sz w:val="32"/>
          <w:szCs w:val="32"/>
          <w:shd w:val="clear" w:color="auto" w:fill="FFFFFF"/>
          <w:lang w:val="zh-CN"/>
        </w:rPr>
        <w:t>（二）支出情况</w:t>
      </w:r>
    </w:p>
    <w:p w14:paraId="48F0D617">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20</w:t>
      </w:r>
      <w:r>
        <w:rPr>
          <w:rFonts w:hint="eastAsia" w:ascii="仿宋_GB2312" w:eastAsia="仿宋_GB2312" w:cs="仿宋"/>
          <w:color w:val="auto"/>
          <w:kern w:val="0"/>
          <w:sz w:val="32"/>
          <w:szCs w:val="32"/>
          <w:highlight w:val="none"/>
          <w:lang w:val="en-US" w:eastAsia="zh-CN" w:bidi="ar-SA"/>
        </w:rPr>
        <w:t>23</w:t>
      </w:r>
      <w:r>
        <w:rPr>
          <w:rFonts w:hint="eastAsia" w:ascii="仿宋_GB2312" w:eastAsia="仿宋_GB2312" w:cs="仿宋"/>
          <w:color w:val="auto"/>
          <w:kern w:val="0"/>
          <w:sz w:val="32"/>
          <w:szCs w:val="32"/>
          <w:highlight w:val="none"/>
          <w:lang w:val="zh-CN" w:eastAsia="zh-CN" w:bidi="ar-SA"/>
        </w:rPr>
        <w:t>年本部门财政拨款支出决算总额</w:t>
      </w:r>
      <w:r>
        <w:rPr>
          <w:rFonts w:hint="eastAsia" w:ascii="仿宋_GB2312" w:eastAsia="仿宋_GB2312" w:cs="仿宋"/>
          <w:color w:val="auto"/>
          <w:kern w:val="0"/>
          <w:sz w:val="32"/>
          <w:szCs w:val="32"/>
          <w:highlight w:val="none"/>
          <w:lang w:val="en-US" w:eastAsia="zh-CN" w:bidi="ar-SA"/>
        </w:rPr>
        <w:t>170.23</w:t>
      </w:r>
      <w:r>
        <w:rPr>
          <w:rFonts w:hint="eastAsia" w:ascii="仿宋_GB2312" w:eastAsia="仿宋_GB2312" w:cs="仿宋"/>
          <w:color w:val="auto"/>
          <w:kern w:val="0"/>
          <w:sz w:val="32"/>
          <w:szCs w:val="32"/>
          <w:highlight w:val="none"/>
          <w:lang w:val="zh-CN" w:eastAsia="zh-CN" w:bidi="ar-SA"/>
        </w:rPr>
        <w:t>元。其中：当年财政拨款支出</w:t>
      </w:r>
      <w:r>
        <w:rPr>
          <w:rFonts w:hint="eastAsia" w:ascii="仿宋_GB2312" w:eastAsia="仿宋_GB2312" w:cs="仿宋"/>
          <w:color w:val="auto"/>
          <w:kern w:val="0"/>
          <w:sz w:val="32"/>
          <w:szCs w:val="32"/>
          <w:highlight w:val="none"/>
          <w:lang w:val="en-US" w:eastAsia="zh-CN" w:bidi="ar-SA"/>
        </w:rPr>
        <w:t>170.23</w:t>
      </w:r>
      <w:r>
        <w:rPr>
          <w:rFonts w:hint="eastAsia" w:ascii="仿宋_GB2312" w:eastAsia="仿宋_GB2312" w:cs="仿宋"/>
          <w:color w:val="auto"/>
          <w:kern w:val="0"/>
          <w:sz w:val="32"/>
          <w:szCs w:val="32"/>
          <w:highlight w:val="none"/>
          <w:lang w:val="zh-CN" w:eastAsia="zh-CN" w:bidi="ar-SA"/>
        </w:rPr>
        <w:t>万元，均为一般公共预算财政拨款。</w:t>
      </w:r>
    </w:p>
    <w:p w14:paraId="6DA282A6">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按功能分类支出情况，其中事业运行</w:t>
      </w:r>
      <w:r>
        <w:rPr>
          <w:rFonts w:hint="eastAsia" w:ascii="仿宋_GB2312" w:eastAsia="仿宋_GB2312" w:cs="仿宋"/>
          <w:color w:val="auto"/>
          <w:kern w:val="0"/>
          <w:sz w:val="32"/>
          <w:szCs w:val="32"/>
          <w:highlight w:val="none"/>
          <w:lang w:val="en-US" w:eastAsia="zh-CN" w:bidi="ar-SA"/>
        </w:rPr>
        <w:t>125.64</w:t>
      </w:r>
      <w:r>
        <w:rPr>
          <w:rFonts w:hint="eastAsia" w:ascii="仿宋_GB2312" w:eastAsia="仿宋_GB2312" w:cs="仿宋"/>
          <w:color w:val="auto"/>
          <w:kern w:val="0"/>
          <w:sz w:val="32"/>
          <w:szCs w:val="32"/>
          <w:highlight w:val="none"/>
          <w:lang w:val="zh-CN" w:eastAsia="zh-CN" w:bidi="ar-SA"/>
        </w:rPr>
        <w:t>万元，事业单位医疗</w:t>
      </w:r>
      <w:r>
        <w:rPr>
          <w:rFonts w:hint="eastAsia" w:ascii="仿宋_GB2312" w:eastAsia="仿宋_GB2312" w:cs="仿宋"/>
          <w:color w:val="auto"/>
          <w:kern w:val="0"/>
          <w:sz w:val="32"/>
          <w:szCs w:val="32"/>
          <w:highlight w:val="none"/>
          <w:lang w:val="en-US" w:eastAsia="zh-CN" w:bidi="ar-SA"/>
        </w:rPr>
        <w:t>8.88</w:t>
      </w:r>
      <w:r>
        <w:rPr>
          <w:rFonts w:hint="eastAsia" w:ascii="仿宋_GB2312" w:eastAsia="仿宋_GB2312" w:cs="仿宋"/>
          <w:color w:val="auto"/>
          <w:kern w:val="0"/>
          <w:sz w:val="32"/>
          <w:szCs w:val="32"/>
          <w:highlight w:val="none"/>
          <w:lang w:val="zh-CN" w:eastAsia="zh-CN" w:bidi="ar-SA"/>
        </w:rPr>
        <w:t>万元，机关事业单位基本养老保险缴费支出</w:t>
      </w:r>
      <w:r>
        <w:rPr>
          <w:rFonts w:hint="eastAsia" w:ascii="仿宋_GB2312" w:eastAsia="仿宋_GB2312" w:cs="仿宋"/>
          <w:color w:val="auto"/>
          <w:kern w:val="0"/>
          <w:sz w:val="32"/>
          <w:szCs w:val="32"/>
          <w:highlight w:val="none"/>
          <w:lang w:val="en-US" w:eastAsia="zh-CN" w:bidi="ar-SA"/>
        </w:rPr>
        <w:t>15.81</w:t>
      </w:r>
      <w:r>
        <w:rPr>
          <w:rFonts w:hint="eastAsia" w:ascii="仿宋_GB2312" w:eastAsia="仿宋_GB2312" w:cs="仿宋"/>
          <w:color w:val="auto"/>
          <w:kern w:val="0"/>
          <w:sz w:val="32"/>
          <w:szCs w:val="32"/>
          <w:highlight w:val="none"/>
          <w:lang w:val="zh-CN" w:eastAsia="zh-CN" w:bidi="ar-SA"/>
        </w:rPr>
        <w:t>万元，机关事业单位职业年金缴费支出</w:t>
      </w:r>
      <w:r>
        <w:rPr>
          <w:rFonts w:hint="eastAsia" w:ascii="仿宋_GB2312" w:eastAsia="仿宋_GB2312" w:cs="仿宋"/>
          <w:color w:val="auto"/>
          <w:kern w:val="0"/>
          <w:sz w:val="32"/>
          <w:szCs w:val="32"/>
          <w:highlight w:val="none"/>
          <w:lang w:val="en-US" w:eastAsia="zh-CN" w:bidi="ar-SA"/>
        </w:rPr>
        <w:t>7.91</w:t>
      </w:r>
      <w:r>
        <w:rPr>
          <w:rFonts w:hint="eastAsia" w:ascii="仿宋_GB2312" w:eastAsia="仿宋_GB2312" w:cs="仿宋"/>
          <w:color w:val="auto"/>
          <w:kern w:val="0"/>
          <w:sz w:val="32"/>
          <w:szCs w:val="32"/>
          <w:highlight w:val="none"/>
          <w:lang w:val="zh-CN" w:eastAsia="zh-CN" w:bidi="ar-SA"/>
        </w:rPr>
        <w:t>万元，住房公积金</w:t>
      </w:r>
      <w:r>
        <w:rPr>
          <w:rFonts w:hint="eastAsia" w:ascii="仿宋_GB2312" w:eastAsia="仿宋_GB2312" w:cs="仿宋"/>
          <w:color w:val="auto"/>
          <w:kern w:val="0"/>
          <w:sz w:val="32"/>
          <w:szCs w:val="32"/>
          <w:highlight w:val="none"/>
          <w:lang w:val="en-US" w:eastAsia="zh-CN" w:bidi="ar-SA"/>
        </w:rPr>
        <w:t>11.99</w:t>
      </w:r>
      <w:r>
        <w:rPr>
          <w:rFonts w:hint="eastAsia" w:ascii="仿宋_GB2312" w:eastAsia="仿宋_GB2312" w:cs="仿宋"/>
          <w:color w:val="auto"/>
          <w:kern w:val="0"/>
          <w:sz w:val="32"/>
          <w:szCs w:val="32"/>
          <w:highlight w:val="none"/>
          <w:lang w:val="zh-CN" w:eastAsia="zh-CN" w:bidi="ar-SA"/>
        </w:rPr>
        <w:t>万元，完成预算100%；</w:t>
      </w:r>
    </w:p>
    <w:p w14:paraId="56691032">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按支出性质分类，基本支出</w:t>
      </w:r>
      <w:r>
        <w:rPr>
          <w:rFonts w:hint="eastAsia" w:ascii="仿宋_GB2312" w:eastAsia="仿宋_GB2312" w:cs="仿宋"/>
          <w:color w:val="auto"/>
          <w:kern w:val="0"/>
          <w:sz w:val="32"/>
          <w:szCs w:val="32"/>
          <w:highlight w:val="none"/>
          <w:lang w:val="en-US" w:eastAsia="zh-CN" w:bidi="ar-SA"/>
        </w:rPr>
        <w:t>170.23</w:t>
      </w:r>
      <w:r>
        <w:rPr>
          <w:rFonts w:hint="eastAsia" w:ascii="仿宋_GB2312" w:eastAsia="仿宋_GB2312" w:cs="仿宋"/>
          <w:color w:val="auto"/>
          <w:kern w:val="0"/>
          <w:sz w:val="32"/>
          <w:szCs w:val="32"/>
          <w:highlight w:val="none"/>
          <w:lang w:val="zh-CN" w:eastAsia="zh-CN" w:bidi="ar-SA"/>
        </w:rPr>
        <w:t>万元，项目支出</w:t>
      </w:r>
      <w:r>
        <w:rPr>
          <w:rFonts w:hint="eastAsia" w:ascii="仿宋_GB2312" w:eastAsia="仿宋_GB2312" w:cs="仿宋"/>
          <w:color w:val="auto"/>
          <w:kern w:val="0"/>
          <w:sz w:val="32"/>
          <w:szCs w:val="32"/>
          <w:highlight w:val="none"/>
          <w:lang w:val="en-US" w:eastAsia="zh-CN" w:bidi="ar-SA"/>
        </w:rPr>
        <w:t>0</w:t>
      </w:r>
      <w:r>
        <w:rPr>
          <w:rFonts w:hint="eastAsia" w:ascii="仿宋_GB2312" w:eastAsia="仿宋_GB2312" w:cs="仿宋"/>
          <w:color w:val="auto"/>
          <w:kern w:val="0"/>
          <w:sz w:val="32"/>
          <w:szCs w:val="32"/>
          <w:highlight w:val="none"/>
          <w:lang w:val="zh-CN" w:eastAsia="zh-CN" w:bidi="ar-SA"/>
        </w:rPr>
        <w:t>万元；</w:t>
      </w:r>
    </w:p>
    <w:p w14:paraId="5B87A3E1">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按经济分类支出情况，工资福利支出</w:t>
      </w:r>
      <w:r>
        <w:rPr>
          <w:rFonts w:hint="eastAsia" w:ascii="仿宋_GB2312" w:eastAsia="仿宋_GB2312" w:cs="仿宋"/>
          <w:color w:val="auto"/>
          <w:kern w:val="0"/>
          <w:sz w:val="32"/>
          <w:szCs w:val="32"/>
          <w:highlight w:val="none"/>
          <w:lang w:val="en-US" w:eastAsia="zh-CN" w:bidi="ar-SA"/>
        </w:rPr>
        <w:t>162.19</w:t>
      </w:r>
      <w:r>
        <w:rPr>
          <w:rFonts w:hint="eastAsia" w:ascii="仿宋_GB2312" w:eastAsia="仿宋_GB2312" w:cs="仿宋"/>
          <w:color w:val="auto"/>
          <w:kern w:val="0"/>
          <w:sz w:val="32"/>
          <w:szCs w:val="32"/>
          <w:highlight w:val="none"/>
          <w:lang w:val="zh-CN" w:eastAsia="zh-CN" w:bidi="ar-SA"/>
        </w:rPr>
        <w:t>万元，商品和服务支出</w:t>
      </w:r>
      <w:r>
        <w:rPr>
          <w:rFonts w:hint="eastAsia" w:ascii="仿宋_GB2312" w:eastAsia="仿宋_GB2312" w:cs="仿宋"/>
          <w:color w:val="auto"/>
          <w:kern w:val="0"/>
          <w:sz w:val="32"/>
          <w:szCs w:val="32"/>
          <w:highlight w:val="none"/>
          <w:lang w:val="en-US" w:eastAsia="zh-CN" w:bidi="ar-SA"/>
        </w:rPr>
        <w:t>8.04</w:t>
      </w:r>
      <w:r>
        <w:rPr>
          <w:rFonts w:hint="eastAsia" w:ascii="仿宋_GB2312" w:eastAsia="仿宋_GB2312" w:cs="仿宋"/>
          <w:color w:val="auto"/>
          <w:kern w:val="0"/>
          <w:sz w:val="32"/>
          <w:szCs w:val="32"/>
          <w:highlight w:val="none"/>
          <w:lang w:val="zh-CN" w:eastAsia="zh-CN" w:bidi="ar-SA"/>
        </w:rPr>
        <w:t>万元，对个人和家庭的补助</w:t>
      </w:r>
      <w:r>
        <w:rPr>
          <w:rFonts w:hint="eastAsia" w:ascii="仿宋_GB2312" w:eastAsia="仿宋_GB2312" w:cs="仿宋"/>
          <w:color w:val="auto"/>
          <w:kern w:val="0"/>
          <w:sz w:val="32"/>
          <w:szCs w:val="32"/>
          <w:highlight w:val="none"/>
          <w:lang w:val="en-US" w:eastAsia="zh-CN" w:bidi="ar-SA"/>
        </w:rPr>
        <w:t xml:space="preserve">0.02 </w:t>
      </w:r>
      <w:r>
        <w:rPr>
          <w:rFonts w:hint="eastAsia" w:ascii="仿宋_GB2312" w:eastAsia="仿宋_GB2312" w:cs="仿宋"/>
          <w:color w:val="auto"/>
          <w:kern w:val="0"/>
          <w:sz w:val="32"/>
          <w:szCs w:val="32"/>
          <w:highlight w:val="none"/>
          <w:lang w:val="zh-CN" w:eastAsia="zh-CN" w:bidi="ar-SA"/>
        </w:rPr>
        <w:t>万元。</w:t>
      </w:r>
    </w:p>
    <w:p w14:paraId="16B7E644">
      <w:pPr>
        <w:widowControl/>
        <w:suppressAutoHyphens/>
        <w:bidi w:val="0"/>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（三）结余分配和结转结余情况</w:t>
      </w:r>
    </w:p>
    <w:p w14:paraId="57584FB5">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en-US" w:eastAsia="zh-CN" w:bidi="ar-SA"/>
        </w:rPr>
        <w:t xml:space="preserve"> 无结余分配和结转。</w:t>
      </w:r>
    </w:p>
    <w:p w14:paraId="1D0C5F7F">
      <w:pPr>
        <w:widowControl/>
        <w:suppressAutoHyphens/>
        <w:adjustRightInd w:val="0"/>
        <w:snapToGrid w:val="0"/>
        <w:spacing w:line="578" w:lineRule="exact"/>
        <w:ind w:firstLine="640" w:firstLineChars="200"/>
        <w:contextualSpacing/>
        <w:jc w:val="left"/>
        <w:rPr>
          <w:rFonts w:ascii="Times New Roman" w:hAnsi="Times New Roman" w:eastAsia="黑体" w:cs="Times New Roman"/>
          <w:color w:val="000000"/>
          <w:kern w:val="0"/>
          <w:sz w:val="32"/>
          <w:szCs w:val="32"/>
          <w:shd w:val="clear" w:color="auto" w:fill="FFFFFF"/>
          <w:lang w:val="zh-CN"/>
        </w:rPr>
      </w:pPr>
      <w:r>
        <w:rPr>
          <w:rFonts w:ascii="Times New Roman" w:hAnsi="Times New Roman" w:eastAsia="黑体" w:cs="Times New Roman"/>
          <w:color w:val="000000"/>
          <w:kern w:val="0"/>
          <w:sz w:val="32"/>
          <w:szCs w:val="32"/>
          <w:shd w:val="clear" w:color="auto" w:fill="FFFFFF"/>
          <w:lang w:val="zh-CN"/>
        </w:rPr>
        <w:t>三、部门预算绩效分析</w:t>
      </w:r>
    </w:p>
    <w:p w14:paraId="766B67F6">
      <w:pPr>
        <w:widowControl w:val="0"/>
        <w:suppressAutoHyphens/>
        <w:bidi w:val="0"/>
        <w:adjustRightInd w:val="0"/>
        <w:snapToGrid w:val="0"/>
        <w:spacing w:line="578" w:lineRule="exact"/>
        <w:ind w:firstLine="643"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（一）</w:t>
      </w:r>
      <w:r>
        <w:rPr>
          <w:rFonts w:hint="eastAsia" w:ascii="Times New Roman" w:hAnsi="Times New Roman" w:eastAsia="楷体_GB2312" w:cs="Times New Roman"/>
          <w:b/>
          <w:bCs/>
          <w:color w:val="000000"/>
          <w:kern w:val="0"/>
          <w:sz w:val="32"/>
          <w:szCs w:val="32"/>
          <w:shd w:val="clear" w:color="auto" w:fill="FFFFFF"/>
          <w:lang w:val="zh-CN"/>
        </w:rPr>
        <w:t>部门预算</w:t>
      </w:r>
      <w:r>
        <w:rPr>
          <w:rFonts w:ascii="Times New Roman" w:hAnsi="Times New Roman" w:eastAsia="楷体_GB2312" w:cs="Times New Roman"/>
          <w:b/>
          <w:bCs/>
          <w:color w:val="000000"/>
          <w:kern w:val="0"/>
          <w:sz w:val="32"/>
          <w:szCs w:val="32"/>
          <w:shd w:val="clear" w:color="auto" w:fill="FFFFFF"/>
          <w:lang w:val="zh-CN"/>
        </w:rPr>
        <w:t>总体绩效分析</w:t>
      </w:r>
    </w:p>
    <w:p w14:paraId="342CB892">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1.履职效能</w:t>
      </w:r>
    </w:p>
    <w:p w14:paraId="32118EE8">
      <w:pPr>
        <w:widowControl/>
        <w:shd w:val="clear" w:color="auto" w:fill="FFFFFF"/>
        <w:suppressAutoHyphens/>
        <w:spacing w:line="576" w:lineRule="atLeast"/>
        <w:ind w:firstLine="729" w:firstLineChars="228"/>
        <w:jc w:val="left"/>
        <w:rPr>
          <w:rFonts w:ascii="仿宋_GB2312"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数量、质量及时效指标</w:t>
      </w:r>
      <w:r>
        <w:rPr>
          <w:rFonts w:hint="eastAsia" w:ascii="仿宋_GB2312" w:eastAsia="仿宋_GB2312" w:cs="仿宋"/>
          <w:color w:val="auto"/>
          <w:kern w:val="0"/>
          <w:sz w:val="32"/>
          <w:szCs w:val="32"/>
          <w:highlight w:val="none"/>
          <w:lang w:val="zh-CN" w:eastAsia="zh-CN" w:bidi="ar-SA"/>
        </w:rPr>
        <w:t>履职效果：</w:t>
      </w:r>
      <w:r>
        <w:rPr>
          <w:rFonts w:hint="eastAsia" w:ascii="仿宋_GB2312" w:eastAsia="仿宋_GB2312" w:cs="仿宋"/>
          <w:color w:val="auto"/>
          <w:kern w:val="0"/>
          <w:sz w:val="32"/>
          <w:szCs w:val="32"/>
          <w:highlight w:val="none"/>
          <w:lang w:val="en-US" w:eastAsia="zh-CN" w:bidi="ar-SA"/>
        </w:rPr>
        <w:t>我</w:t>
      </w:r>
      <w:r>
        <w:rPr>
          <w:rFonts w:ascii="仿宋_GB2312" w:eastAsia="仿宋_GB2312" w:cs="仿宋"/>
          <w:color w:val="auto"/>
          <w:kern w:val="0"/>
          <w:sz w:val="32"/>
          <w:szCs w:val="32"/>
          <w:highlight w:val="none"/>
          <w:lang w:val="zh-CN" w:eastAsia="zh-CN" w:bidi="ar-SA"/>
        </w:rPr>
        <w:t>中心</w:t>
      </w:r>
      <w:r>
        <w:rPr>
          <w:rFonts w:hint="eastAsia" w:ascii="仿宋_GB2312" w:eastAsia="仿宋_GB2312" w:cs="仿宋"/>
          <w:color w:val="auto"/>
          <w:kern w:val="0"/>
          <w:sz w:val="32"/>
          <w:szCs w:val="32"/>
          <w:highlight w:val="none"/>
          <w:lang w:val="en-US" w:eastAsia="zh-CN" w:bidi="ar-SA"/>
        </w:rPr>
        <w:t>严格执行相关政策，按时足额保障相关费用的发放，合理科学地进行预算编制，减少资金的结余；</w:t>
      </w:r>
    </w:p>
    <w:p w14:paraId="6C7BEB62">
      <w:pPr>
        <w:widowControl/>
        <w:shd w:val="clear" w:color="auto" w:fill="FFFFFF"/>
        <w:suppressAutoHyphens/>
        <w:spacing w:line="576" w:lineRule="atLeast"/>
        <w:ind w:firstLine="729" w:firstLineChars="228"/>
        <w:jc w:val="left"/>
        <w:rPr>
          <w:rFonts w:ascii="仿宋_GB2312"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服务对象</w:t>
      </w:r>
      <w:r>
        <w:rPr>
          <w:rFonts w:hint="eastAsia" w:ascii="仿宋_GB2312" w:eastAsia="仿宋_GB2312" w:cs="仿宋"/>
          <w:color w:val="auto"/>
          <w:kern w:val="0"/>
          <w:sz w:val="32"/>
          <w:szCs w:val="32"/>
          <w:highlight w:val="none"/>
          <w:lang w:val="zh-CN" w:eastAsia="zh-CN" w:bidi="ar-SA"/>
        </w:rPr>
        <w:t>满意度</w:t>
      </w:r>
      <w:r>
        <w:rPr>
          <w:rFonts w:hint="eastAsia" w:ascii="仿宋_GB2312" w:eastAsia="仿宋_GB2312" w:cs="仿宋"/>
          <w:color w:val="auto"/>
          <w:kern w:val="0"/>
          <w:sz w:val="32"/>
          <w:szCs w:val="32"/>
          <w:highlight w:val="none"/>
          <w:lang w:val="en-US" w:eastAsia="zh-CN" w:bidi="ar-SA"/>
        </w:rPr>
        <w:t>指标</w:t>
      </w:r>
      <w:r>
        <w:rPr>
          <w:rFonts w:hint="eastAsia" w:ascii="仿宋_GB2312" w:eastAsia="仿宋_GB2312" w:cs="仿宋"/>
          <w:color w:val="auto"/>
          <w:kern w:val="0"/>
          <w:sz w:val="32"/>
          <w:szCs w:val="32"/>
          <w:highlight w:val="none"/>
          <w:lang w:val="zh-CN" w:eastAsia="zh-CN" w:bidi="ar-SA"/>
        </w:rPr>
        <w:t>履职效果：</w:t>
      </w:r>
      <w:r>
        <w:rPr>
          <w:rFonts w:hint="eastAsia" w:ascii="仿宋_GB2312" w:eastAsia="仿宋_GB2312" w:cs="仿宋"/>
          <w:color w:val="auto"/>
          <w:kern w:val="0"/>
          <w:sz w:val="32"/>
          <w:szCs w:val="32"/>
          <w:highlight w:val="none"/>
          <w:lang w:val="en-US" w:eastAsia="zh-CN" w:bidi="ar-SA"/>
        </w:rPr>
        <w:t>社会公众、村民对我</w:t>
      </w:r>
      <w:r>
        <w:rPr>
          <w:rFonts w:ascii="仿宋_GB2312" w:eastAsia="仿宋_GB2312" w:cs="仿宋"/>
          <w:color w:val="auto"/>
          <w:kern w:val="0"/>
          <w:sz w:val="32"/>
          <w:szCs w:val="32"/>
          <w:highlight w:val="none"/>
          <w:lang w:val="zh-CN" w:eastAsia="zh-CN" w:bidi="ar-SA"/>
        </w:rPr>
        <w:t>中心</w:t>
      </w:r>
      <w:r>
        <w:rPr>
          <w:rFonts w:hint="eastAsia" w:ascii="仿宋_GB2312" w:eastAsia="仿宋_GB2312" w:cs="仿宋"/>
          <w:color w:val="auto"/>
          <w:kern w:val="0"/>
          <w:sz w:val="32"/>
          <w:szCs w:val="32"/>
          <w:highlight w:val="none"/>
          <w:lang w:val="en-US" w:eastAsia="zh-CN" w:bidi="ar-SA"/>
        </w:rPr>
        <w:t>履职能力较为满意；</w:t>
      </w:r>
    </w:p>
    <w:p w14:paraId="0A4DFE76">
      <w:pPr>
        <w:widowControl/>
        <w:shd w:val="clear" w:color="auto" w:fill="FFFFFF"/>
        <w:suppressAutoHyphens/>
        <w:spacing w:line="576" w:lineRule="atLeast"/>
        <w:ind w:firstLine="729" w:firstLineChars="228"/>
        <w:jc w:val="left"/>
        <w:rPr>
          <w:rFonts w:ascii="仿宋_GB2312"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经济效益指标</w:t>
      </w:r>
      <w:r>
        <w:rPr>
          <w:rFonts w:hint="eastAsia" w:ascii="仿宋_GB2312" w:eastAsia="仿宋_GB2312" w:cs="仿宋"/>
          <w:color w:val="auto"/>
          <w:kern w:val="0"/>
          <w:sz w:val="32"/>
          <w:szCs w:val="32"/>
          <w:highlight w:val="none"/>
          <w:lang w:val="zh-CN" w:eastAsia="zh-CN" w:bidi="ar-SA"/>
        </w:rPr>
        <w:t>履职效果：</w:t>
      </w:r>
      <w:r>
        <w:rPr>
          <w:rFonts w:hint="eastAsia" w:ascii="仿宋_GB2312" w:eastAsia="仿宋_GB2312" w:cs="仿宋"/>
          <w:color w:val="auto"/>
          <w:kern w:val="0"/>
          <w:sz w:val="32"/>
          <w:szCs w:val="32"/>
          <w:highlight w:val="none"/>
          <w:lang w:val="en-US" w:eastAsia="zh-CN" w:bidi="ar-SA"/>
        </w:rPr>
        <w:t>严格控制“三公经费”，及时有效地进行预算绩效目标的监控，减少资金结余，同时保障了园区工作的有效运行。</w:t>
      </w:r>
    </w:p>
    <w:p w14:paraId="61905A3E">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en-US" w:eastAsia="zh-CN" w:bidi="ar-SA"/>
        </w:rPr>
        <w:t>2.</w:t>
      </w:r>
      <w:r>
        <w:rPr>
          <w:rFonts w:hint="eastAsia" w:ascii="仿宋_GB2312" w:eastAsia="仿宋_GB2312" w:cs="仿宋"/>
          <w:color w:val="auto"/>
          <w:kern w:val="0"/>
          <w:sz w:val="32"/>
          <w:szCs w:val="32"/>
          <w:highlight w:val="none"/>
          <w:lang w:val="zh-CN" w:eastAsia="zh-CN" w:bidi="ar-SA"/>
        </w:rPr>
        <w:t>预算管理</w:t>
      </w:r>
    </w:p>
    <w:p w14:paraId="585E0FAD">
      <w:pPr>
        <w:widowControl/>
        <w:shd w:val="clear" w:color="auto" w:fill="FFFFFF"/>
        <w:suppressAutoHyphens/>
        <w:spacing w:line="576" w:lineRule="atLeast"/>
        <w:ind w:firstLine="729" w:firstLineChars="228"/>
        <w:jc w:val="left"/>
        <w:rPr>
          <w:rFonts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预算编制质量：</w:t>
      </w:r>
      <w:r>
        <w:rPr>
          <w:rFonts w:hint="eastAsia" w:ascii="仿宋_GB2312" w:eastAsia="仿宋_GB2312" w:cs="仿宋"/>
          <w:color w:val="auto"/>
          <w:kern w:val="0"/>
          <w:sz w:val="32"/>
          <w:szCs w:val="32"/>
          <w:highlight w:val="none"/>
          <w:lang w:val="en-US" w:eastAsia="zh-CN" w:bidi="ar-SA"/>
        </w:rPr>
        <w:t>2023年在职人数9人，编制预算数9人，在职人员控制率为100%；“三公经费”预算数无变动</w:t>
      </w:r>
      <w:r>
        <w:rPr>
          <w:rFonts w:hint="eastAsia" w:ascii="仿宋_GB2312" w:eastAsia="仿宋_GB2312" w:cs="仿宋"/>
          <w:color w:val="auto"/>
          <w:kern w:val="0"/>
          <w:sz w:val="32"/>
          <w:szCs w:val="32"/>
          <w:highlight w:val="none"/>
          <w:lang w:val="zh-CN" w:eastAsia="zh-CN" w:bidi="ar-SA"/>
        </w:rPr>
        <w:t>。</w:t>
      </w:r>
    </w:p>
    <w:p w14:paraId="18EA60CE">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单位收入统筹：我</w:t>
      </w:r>
      <w:r>
        <w:rPr>
          <w:rFonts w:ascii="仿宋_GB2312" w:eastAsia="仿宋_GB2312" w:cs="仿宋"/>
          <w:color w:val="auto"/>
          <w:kern w:val="0"/>
          <w:sz w:val="32"/>
          <w:szCs w:val="32"/>
          <w:highlight w:val="none"/>
          <w:lang w:val="zh-CN" w:eastAsia="zh-CN" w:bidi="ar-SA"/>
        </w:rPr>
        <w:t>中心</w:t>
      </w:r>
      <w:r>
        <w:rPr>
          <w:rFonts w:hint="eastAsia" w:ascii="仿宋_GB2312" w:eastAsia="仿宋_GB2312" w:cs="仿宋"/>
          <w:color w:val="auto"/>
          <w:kern w:val="0"/>
          <w:sz w:val="32"/>
          <w:szCs w:val="32"/>
          <w:highlight w:val="none"/>
          <w:lang w:val="zh-CN" w:eastAsia="zh-CN" w:bidi="ar-SA"/>
        </w:rPr>
        <w:t>无</w:t>
      </w:r>
      <w:r>
        <w:rPr>
          <w:rFonts w:hint="eastAsia" w:ascii="仿宋_GB2312" w:eastAsia="仿宋_GB2312" w:cs="仿宋"/>
          <w:color w:val="auto"/>
          <w:kern w:val="0"/>
          <w:sz w:val="32"/>
          <w:szCs w:val="32"/>
          <w:highlight w:val="none"/>
          <w:lang w:val="en-US" w:eastAsia="zh-CN" w:bidi="ar-SA"/>
        </w:rPr>
        <w:t>自有</w:t>
      </w:r>
      <w:r>
        <w:rPr>
          <w:rFonts w:hint="eastAsia" w:ascii="仿宋_GB2312" w:eastAsia="仿宋_GB2312" w:cs="仿宋"/>
          <w:color w:val="auto"/>
          <w:kern w:val="0"/>
          <w:sz w:val="32"/>
          <w:szCs w:val="32"/>
          <w:highlight w:val="none"/>
          <w:lang w:val="zh-CN" w:eastAsia="zh-CN" w:bidi="ar-SA"/>
        </w:rPr>
        <w:t>收入。</w:t>
      </w:r>
    </w:p>
    <w:p w14:paraId="3F097B42">
      <w:pPr>
        <w:widowControl/>
        <w:shd w:val="clear" w:color="auto" w:fill="FFFFFF"/>
        <w:suppressAutoHyphens/>
        <w:spacing w:line="576" w:lineRule="atLeast"/>
        <w:ind w:firstLine="729" w:firstLineChars="228"/>
        <w:jc w:val="left"/>
        <w:rPr>
          <w:rFonts w:ascii="仿宋_GB2312"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zh-CN" w:eastAsia="zh-CN" w:bidi="ar-SA"/>
        </w:rPr>
        <w:t>支出执行进度：</w:t>
      </w:r>
      <w:r>
        <w:rPr>
          <w:rFonts w:hint="eastAsia" w:ascii="仿宋_GB2312" w:eastAsia="仿宋_GB2312" w:cs="仿宋"/>
          <w:color w:val="auto"/>
          <w:kern w:val="0"/>
          <w:sz w:val="32"/>
          <w:szCs w:val="32"/>
          <w:highlight w:val="none"/>
          <w:lang w:val="en-US" w:eastAsia="zh-CN" w:bidi="ar-SA"/>
        </w:rPr>
        <w:t>1-6月预算数为129.68万元，1-6月的预算执行数为69.72万元；1-10月预算数为139.01万元，1-10月预算执行数为127.62万元；</w:t>
      </w:r>
    </w:p>
    <w:p w14:paraId="2F7BB983">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zh-CN" w:eastAsia="zh-CN" w:bidi="ar-SA"/>
        </w:rPr>
        <w:t>预算年终结余：无年终结余。</w:t>
      </w:r>
    </w:p>
    <w:p w14:paraId="56360DA4">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一般性支出：</w:t>
      </w:r>
      <w:r>
        <w:rPr>
          <w:rFonts w:hint="eastAsia" w:ascii="仿宋_GB2312" w:eastAsia="仿宋_GB2312" w:cs="仿宋"/>
          <w:color w:val="auto"/>
          <w:kern w:val="0"/>
          <w:sz w:val="32"/>
          <w:szCs w:val="32"/>
          <w:highlight w:val="none"/>
          <w:lang w:val="en-US" w:eastAsia="zh-CN" w:bidi="ar-SA"/>
        </w:rPr>
        <w:t>2022年的年初预算数为10.49万元，2023年的年初预算数为10.49万元，无变动；2022年预算执行数为10.22万元，2023年预算执行数为8.04万元，相比于2022年预算执行数减少2.18万元，下降21.33%</w:t>
      </w:r>
      <w:r>
        <w:rPr>
          <w:rFonts w:hint="eastAsia" w:ascii="仿宋_GB2312" w:eastAsia="仿宋_GB2312" w:cs="仿宋"/>
          <w:color w:val="auto"/>
          <w:kern w:val="0"/>
          <w:sz w:val="32"/>
          <w:szCs w:val="32"/>
          <w:highlight w:val="none"/>
          <w:lang w:val="zh-CN" w:eastAsia="zh-CN" w:bidi="ar-SA"/>
        </w:rPr>
        <w:t>；</w:t>
      </w:r>
    </w:p>
    <w:p w14:paraId="3E5AE89F">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en-US" w:eastAsia="zh-CN" w:bidi="ar-SA"/>
        </w:rPr>
        <w:t>3.</w:t>
      </w:r>
      <w:r>
        <w:rPr>
          <w:rFonts w:hint="eastAsia" w:ascii="仿宋_GB2312" w:eastAsia="仿宋_GB2312" w:cs="仿宋"/>
          <w:color w:val="auto"/>
          <w:kern w:val="0"/>
          <w:sz w:val="32"/>
          <w:szCs w:val="32"/>
          <w:highlight w:val="none"/>
          <w:lang w:val="zh-CN" w:eastAsia="zh-CN" w:bidi="ar-SA"/>
        </w:rPr>
        <w:t>财务管理</w:t>
      </w:r>
    </w:p>
    <w:p w14:paraId="07BAACDE">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财务管理制度：</w:t>
      </w:r>
      <w:r>
        <w:rPr>
          <w:rFonts w:hint="eastAsia" w:ascii="仿宋_GB2312" w:eastAsia="仿宋_GB2312" w:cs="仿宋"/>
          <w:color w:val="auto"/>
          <w:kern w:val="0"/>
          <w:sz w:val="32"/>
          <w:szCs w:val="32"/>
          <w:highlight w:val="none"/>
          <w:lang w:val="en-US" w:eastAsia="zh-CN" w:bidi="ar-SA"/>
        </w:rPr>
        <w:t>有相应的财务管理制度，制度健全、合法合规、完整，会计核算规范</w:t>
      </w:r>
      <w:r>
        <w:rPr>
          <w:rFonts w:hint="eastAsia" w:ascii="仿宋_GB2312" w:eastAsia="仿宋_GB2312" w:cs="仿宋"/>
          <w:color w:val="auto"/>
          <w:kern w:val="0"/>
          <w:sz w:val="32"/>
          <w:szCs w:val="32"/>
          <w:highlight w:val="none"/>
          <w:lang w:val="zh-CN" w:eastAsia="zh-CN" w:bidi="ar-SA"/>
        </w:rPr>
        <w:t>；</w:t>
      </w:r>
    </w:p>
    <w:p w14:paraId="3B73B2A9">
      <w:pPr>
        <w:widowControl/>
        <w:shd w:val="clear" w:color="auto" w:fill="FFFFFF"/>
        <w:suppressAutoHyphens/>
        <w:spacing w:line="576" w:lineRule="atLeast"/>
        <w:ind w:firstLine="729" w:firstLineChars="228"/>
        <w:jc w:val="left"/>
        <w:rPr>
          <w:rFonts w:ascii="仿宋_GB2312"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zh-CN" w:eastAsia="zh-CN" w:bidi="ar-SA"/>
        </w:rPr>
        <w:t>财务岗位设置：</w:t>
      </w:r>
      <w:r>
        <w:rPr>
          <w:rFonts w:hint="eastAsia" w:ascii="仿宋_GB2312" w:eastAsia="仿宋_GB2312" w:cs="仿宋"/>
          <w:color w:val="auto"/>
          <w:kern w:val="0"/>
          <w:sz w:val="32"/>
          <w:szCs w:val="32"/>
          <w:highlight w:val="none"/>
          <w:lang w:val="en-US" w:eastAsia="zh-CN" w:bidi="ar-SA"/>
        </w:rPr>
        <w:t>我</w:t>
      </w:r>
      <w:r>
        <w:rPr>
          <w:rFonts w:ascii="仿宋_GB2312" w:eastAsia="仿宋_GB2312" w:cs="仿宋"/>
          <w:color w:val="auto"/>
          <w:kern w:val="0"/>
          <w:sz w:val="32"/>
          <w:szCs w:val="32"/>
          <w:highlight w:val="none"/>
          <w:lang w:val="en-US" w:eastAsia="zh-CN" w:bidi="ar-SA"/>
        </w:rPr>
        <w:t>中心</w:t>
      </w:r>
      <w:r>
        <w:rPr>
          <w:rFonts w:hint="eastAsia" w:ascii="仿宋_GB2312" w:eastAsia="仿宋_GB2312" w:cs="仿宋"/>
          <w:color w:val="auto"/>
          <w:kern w:val="0"/>
          <w:sz w:val="32"/>
          <w:szCs w:val="32"/>
          <w:highlight w:val="none"/>
          <w:lang w:val="en-US" w:eastAsia="zh-CN" w:bidi="ar-SA"/>
        </w:rPr>
        <w:t>设置</w:t>
      </w:r>
      <w:r>
        <w:rPr>
          <w:rFonts w:hint="eastAsia" w:ascii="仿宋_GB2312" w:eastAsia="仿宋_GB2312" w:cs="仿宋"/>
          <w:color w:val="auto"/>
          <w:kern w:val="0"/>
          <w:sz w:val="32"/>
          <w:szCs w:val="32"/>
          <w:highlight w:val="none"/>
          <w:lang w:val="zh-CN" w:eastAsia="zh-CN" w:bidi="ar-SA"/>
        </w:rPr>
        <w:t>财务负责人</w:t>
      </w:r>
      <w:r>
        <w:rPr>
          <w:rFonts w:hint="eastAsia" w:ascii="仿宋_GB2312" w:eastAsia="仿宋_GB2312" w:cs="仿宋"/>
          <w:color w:val="auto"/>
          <w:kern w:val="0"/>
          <w:sz w:val="32"/>
          <w:szCs w:val="32"/>
          <w:highlight w:val="none"/>
          <w:lang w:val="en-US" w:eastAsia="zh-CN" w:bidi="ar-SA"/>
        </w:rPr>
        <w:t>1名、会计1名、出纳1名，分工明确；</w:t>
      </w:r>
    </w:p>
    <w:p w14:paraId="72611A5A">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zh-CN" w:eastAsia="zh-CN" w:bidi="ar-SA"/>
        </w:rPr>
        <w:t>资金使用规范：资金的</w:t>
      </w:r>
      <w:r>
        <w:rPr>
          <w:rFonts w:hint="eastAsia" w:ascii="仿宋_GB2312" w:eastAsia="仿宋_GB2312" w:cs="仿宋"/>
          <w:color w:val="auto"/>
          <w:kern w:val="0"/>
          <w:sz w:val="32"/>
          <w:szCs w:val="32"/>
          <w:highlight w:val="none"/>
          <w:lang w:val="en-US" w:eastAsia="zh-CN" w:bidi="ar-SA"/>
        </w:rPr>
        <w:t>支付符合国家财经法规和财务管理制度规定以及相关资金管理办法，资金的拨付有完整的审批流程和手续，支出符合部门预算用途，资金无截留、挤占、挪用、虚列支出等情况。</w:t>
      </w:r>
    </w:p>
    <w:p w14:paraId="14BC4750">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en-US" w:eastAsia="zh-CN" w:bidi="ar-SA"/>
        </w:rPr>
        <w:t>4.</w:t>
      </w:r>
      <w:r>
        <w:rPr>
          <w:rFonts w:hint="eastAsia" w:ascii="仿宋_GB2312" w:eastAsia="仿宋_GB2312" w:cs="仿宋"/>
          <w:color w:val="auto"/>
          <w:kern w:val="0"/>
          <w:sz w:val="32"/>
          <w:szCs w:val="32"/>
          <w:highlight w:val="none"/>
          <w:lang w:val="zh-CN" w:eastAsia="zh-CN" w:bidi="ar-SA"/>
        </w:rPr>
        <w:t>资产管理</w:t>
      </w:r>
    </w:p>
    <w:p w14:paraId="7C75DAFE">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人均资产变化率：我</w:t>
      </w:r>
      <w:r>
        <w:rPr>
          <w:rFonts w:ascii="仿宋_GB2312" w:eastAsia="仿宋_GB2312" w:cs="仿宋"/>
          <w:color w:val="auto"/>
          <w:kern w:val="0"/>
          <w:sz w:val="32"/>
          <w:szCs w:val="32"/>
          <w:highlight w:val="none"/>
          <w:lang w:val="zh-CN" w:eastAsia="zh-CN" w:bidi="ar-SA"/>
        </w:rPr>
        <w:t>中心</w:t>
      </w:r>
      <w:r>
        <w:rPr>
          <w:rFonts w:hint="eastAsia" w:ascii="仿宋_GB2312" w:eastAsia="仿宋_GB2312" w:cs="仿宋"/>
          <w:color w:val="auto"/>
          <w:kern w:val="0"/>
          <w:sz w:val="32"/>
          <w:szCs w:val="32"/>
          <w:highlight w:val="none"/>
          <w:lang w:val="zh-CN" w:eastAsia="zh-CN" w:bidi="ar-SA"/>
        </w:rPr>
        <w:t>无新增资产，人均资产的变化率主要体现在资产的摊销折旧的增加，人均资产变化率下降；</w:t>
      </w:r>
    </w:p>
    <w:p w14:paraId="0BB58F0A">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zh-CN" w:eastAsia="zh-CN" w:bidi="ar-SA"/>
        </w:rPr>
        <w:t>资产利用率：单位资产均在使用，由此看出单位的资产利用率高，这有助于降低运营成本，提高经济效益。但仍需关注是否存在资产的闲置和浪费现象，以进一步优化资源配置，提升整体资产利用效率；</w:t>
      </w:r>
    </w:p>
    <w:p w14:paraId="39DEE083">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资产盘活率进行绩效分析：单位资产均在使用，</w:t>
      </w:r>
      <w:r>
        <w:rPr>
          <w:rFonts w:hint="eastAsia" w:ascii="仿宋_GB2312" w:eastAsia="仿宋_GB2312" w:cs="仿宋"/>
          <w:color w:val="auto"/>
          <w:kern w:val="0"/>
          <w:sz w:val="32"/>
          <w:szCs w:val="32"/>
          <w:highlight w:val="none"/>
          <w:lang w:val="en-US" w:eastAsia="zh-CN" w:bidi="ar-SA"/>
        </w:rPr>
        <w:t>暂无闲置资产</w:t>
      </w:r>
      <w:r>
        <w:rPr>
          <w:rFonts w:hint="eastAsia" w:ascii="仿宋_GB2312" w:eastAsia="仿宋_GB2312" w:cs="仿宋"/>
          <w:color w:val="auto"/>
          <w:kern w:val="0"/>
          <w:sz w:val="32"/>
          <w:szCs w:val="32"/>
          <w:highlight w:val="none"/>
          <w:lang w:val="zh-CN" w:eastAsia="zh-CN" w:bidi="ar-SA"/>
        </w:rPr>
        <w:t>。</w:t>
      </w:r>
    </w:p>
    <w:p w14:paraId="480AAFF5">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en-US" w:eastAsia="zh-CN" w:bidi="ar-SA"/>
        </w:rPr>
        <w:t>5.</w:t>
      </w:r>
      <w:r>
        <w:rPr>
          <w:rFonts w:hint="eastAsia" w:ascii="仿宋_GB2312" w:eastAsia="仿宋_GB2312" w:cs="仿宋"/>
          <w:color w:val="auto"/>
          <w:kern w:val="0"/>
          <w:sz w:val="32"/>
          <w:szCs w:val="32"/>
          <w:highlight w:val="none"/>
          <w:lang w:val="zh-CN" w:eastAsia="zh-CN" w:bidi="ar-SA"/>
        </w:rPr>
        <w:t>采购管理</w:t>
      </w:r>
    </w:p>
    <w:p w14:paraId="1C6520CD">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支持中小企业发展：对适宜由中小企业提供的采购项目和采购包，预留采购份额专门面向中小企业采购，并在采购预算中单独列示；</w:t>
      </w:r>
    </w:p>
    <w:p w14:paraId="7143C70C">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采购执行率：了解在采购活动中的效率和存在的问题。通过优化供应商管理、加强库存管理、提高需求预测准确性和加强内部沟通与协调等措施，提高采购执行率，降低运营成本。</w:t>
      </w:r>
    </w:p>
    <w:p w14:paraId="5DBF34F2">
      <w:pPr>
        <w:widowControl w:val="0"/>
        <w:suppressAutoHyphens/>
        <w:bidi w:val="0"/>
        <w:adjustRightInd w:val="0"/>
        <w:snapToGrid w:val="0"/>
        <w:spacing w:line="578" w:lineRule="exact"/>
        <w:ind w:firstLine="643"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（二）部门预算项目绩效分析</w:t>
      </w:r>
    </w:p>
    <w:p w14:paraId="4DD34254">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常年项目绩效分析。该类项目总数</w:t>
      </w:r>
      <w:r>
        <w:rPr>
          <w:rFonts w:hint="eastAsia" w:ascii="仿宋_GB2312" w:eastAsia="仿宋_GB2312" w:cs="仿宋"/>
          <w:color w:val="auto"/>
          <w:kern w:val="0"/>
          <w:sz w:val="32"/>
          <w:szCs w:val="32"/>
          <w:highlight w:val="none"/>
          <w:lang w:val="en-US" w:eastAsia="zh-CN" w:bidi="ar-SA"/>
        </w:rPr>
        <w:t>15</w:t>
      </w:r>
      <w:r>
        <w:rPr>
          <w:rFonts w:hint="eastAsia" w:ascii="仿宋_GB2312" w:eastAsia="仿宋_GB2312" w:cs="仿宋"/>
          <w:color w:val="auto"/>
          <w:kern w:val="0"/>
          <w:sz w:val="32"/>
          <w:szCs w:val="32"/>
          <w:highlight w:val="none"/>
          <w:lang w:val="zh-CN" w:eastAsia="zh-CN" w:bidi="ar-SA"/>
        </w:rPr>
        <w:t xml:space="preserve">个，涉及预算总金额 </w:t>
      </w:r>
      <w:r>
        <w:rPr>
          <w:rFonts w:hint="eastAsia" w:ascii="仿宋_GB2312" w:eastAsia="仿宋_GB2312" w:cs="仿宋"/>
          <w:color w:val="auto"/>
          <w:kern w:val="0"/>
          <w:sz w:val="32"/>
          <w:szCs w:val="32"/>
          <w:highlight w:val="none"/>
          <w:lang w:val="en-US" w:eastAsia="zh-CN" w:bidi="ar-SA"/>
        </w:rPr>
        <w:t>258.74</w:t>
      </w:r>
      <w:r>
        <w:rPr>
          <w:rFonts w:hint="eastAsia" w:ascii="仿宋_GB2312" w:eastAsia="仿宋_GB2312" w:cs="仿宋"/>
          <w:color w:val="auto"/>
          <w:kern w:val="0"/>
          <w:sz w:val="32"/>
          <w:szCs w:val="32"/>
          <w:highlight w:val="none"/>
          <w:lang w:val="zh-CN" w:eastAsia="zh-CN" w:bidi="ar-SA"/>
        </w:rPr>
        <w:t>万元，1—12月预算执行总体进度为</w:t>
      </w:r>
      <w:r>
        <w:rPr>
          <w:rFonts w:hint="eastAsia" w:ascii="仿宋_GB2312" w:eastAsia="仿宋_GB2312" w:cs="仿宋"/>
          <w:color w:val="auto"/>
          <w:kern w:val="0"/>
          <w:sz w:val="32"/>
          <w:szCs w:val="32"/>
          <w:highlight w:val="none"/>
          <w:lang w:val="en-US" w:eastAsia="zh-CN" w:bidi="ar-SA"/>
        </w:rPr>
        <w:t>100</w:t>
      </w:r>
      <w:r>
        <w:rPr>
          <w:rFonts w:hint="eastAsia" w:ascii="仿宋_GB2312" w:eastAsia="仿宋_GB2312" w:cs="仿宋"/>
          <w:color w:val="auto"/>
          <w:kern w:val="0"/>
          <w:sz w:val="32"/>
          <w:szCs w:val="32"/>
          <w:highlight w:val="none"/>
          <w:lang w:val="zh-CN" w:eastAsia="zh-CN" w:bidi="ar-SA"/>
        </w:rPr>
        <w:t>%，其中：预算结余率大于10%的项目共计</w:t>
      </w:r>
      <w:r>
        <w:rPr>
          <w:rFonts w:hint="eastAsia" w:ascii="仿宋_GB2312" w:eastAsia="仿宋_GB2312" w:cs="仿宋"/>
          <w:color w:val="auto"/>
          <w:kern w:val="0"/>
          <w:sz w:val="32"/>
          <w:szCs w:val="32"/>
          <w:highlight w:val="none"/>
          <w:lang w:val="en-US" w:eastAsia="zh-CN" w:bidi="ar-SA"/>
        </w:rPr>
        <w:t>1</w:t>
      </w:r>
      <w:r>
        <w:rPr>
          <w:rFonts w:hint="eastAsia" w:ascii="仿宋_GB2312" w:eastAsia="仿宋_GB2312" w:cs="仿宋"/>
          <w:color w:val="auto"/>
          <w:kern w:val="0"/>
          <w:sz w:val="32"/>
          <w:szCs w:val="32"/>
          <w:highlight w:val="none"/>
          <w:lang w:val="zh-CN" w:eastAsia="zh-CN" w:bidi="ar-SA"/>
        </w:rPr>
        <w:t>个。</w:t>
      </w:r>
    </w:p>
    <w:p w14:paraId="3D1EFBE6">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阶段（一次性）项目绩效分析。该类项目总数</w:t>
      </w:r>
      <w:r>
        <w:rPr>
          <w:rFonts w:hint="eastAsia" w:ascii="仿宋_GB2312" w:eastAsia="仿宋_GB2312" w:cs="仿宋"/>
          <w:color w:val="auto"/>
          <w:kern w:val="0"/>
          <w:sz w:val="32"/>
          <w:szCs w:val="32"/>
          <w:highlight w:val="none"/>
          <w:lang w:val="en-US" w:eastAsia="zh-CN" w:bidi="ar-SA"/>
        </w:rPr>
        <w:t>1</w:t>
      </w:r>
      <w:r>
        <w:rPr>
          <w:rFonts w:hint="eastAsia" w:ascii="仿宋_GB2312" w:eastAsia="仿宋_GB2312" w:cs="仿宋"/>
          <w:color w:val="auto"/>
          <w:kern w:val="0"/>
          <w:sz w:val="32"/>
          <w:szCs w:val="32"/>
          <w:highlight w:val="none"/>
          <w:lang w:val="zh-CN" w:eastAsia="zh-CN" w:bidi="ar-SA"/>
        </w:rPr>
        <w:t>个，涉及预算总金额</w:t>
      </w:r>
      <w:r>
        <w:rPr>
          <w:rFonts w:hint="eastAsia" w:ascii="仿宋_GB2312" w:eastAsia="仿宋_GB2312" w:cs="仿宋"/>
          <w:color w:val="auto"/>
          <w:kern w:val="0"/>
          <w:sz w:val="32"/>
          <w:szCs w:val="32"/>
          <w:highlight w:val="none"/>
          <w:lang w:val="en-US" w:eastAsia="zh-CN" w:bidi="ar-SA"/>
        </w:rPr>
        <w:t>35.4</w:t>
      </w:r>
      <w:r>
        <w:rPr>
          <w:rFonts w:hint="eastAsia" w:ascii="仿宋_GB2312" w:eastAsia="仿宋_GB2312" w:cs="仿宋"/>
          <w:color w:val="auto"/>
          <w:kern w:val="0"/>
          <w:sz w:val="32"/>
          <w:szCs w:val="32"/>
          <w:highlight w:val="none"/>
          <w:lang w:val="zh-CN" w:eastAsia="zh-CN" w:bidi="ar-SA"/>
        </w:rPr>
        <w:t>万元，1—12月预算执行总体进度为</w:t>
      </w:r>
      <w:r>
        <w:rPr>
          <w:rFonts w:hint="eastAsia" w:ascii="仿宋_GB2312" w:eastAsia="仿宋_GB2312" w:cs="仿宋"/>
          <w:color w:val="auto"/>
          <w:kern w:val="0"/>
          <w:sz w:val="32"/>
          <w:szCs w:val="32"/>
          <w:highlight w:val="none"/>
          <w:lang w:val="en-US" w:eastAsia="zh-CN" w:bidi="ar-SA"/>
        </w:rPr>
        <w:t>100</w:t>
      </w:r>
      <w:r>
        <w:rPr>
          <w:rFonts w:hint="eastAsia" w:ascii="仿宋_GB2312" w:eastAsia="仿宋_GB2312" w:cs="仿宋"/>
          <w:color w:val="auto"/>
          <w:kern w:val="0"/>
          <w:sz w:val="32"/>
          <w:szCs w:val="32"/>
          <w:highlight w:val="none"/>
          <w:lang w:val="zh-CN" w:eastAsia="zh-CN" w:bidi="ar-SA"/>
        </w:rPr>
        <w:t>%，其中：预算结余率大于10%的项目共计</w:t>
      </w:r>
      <w:r>
        <w:rPr>
          <w:rFonts w:hint="eastAsia" w:ascii="仿宋_GB2312" w:eastAsia="仿宋_GB2312" w:cs="仿宋"/>
          <w:color w:val="auto"/>
          <w:kern w:val="0"/>
          <w:sz w:val="32"/>
          <w:szCs w:val="32"/>
          <w:highlight w:val="none"/>
          <w:lang w:val="en-US" w:eastAsia="zh-CN" w:bidi="ar-SA"/>
        </w:rPr>
        <w:t>0</w:t>
      </w:r>
      <w:r>
        <w:rPr>
          <w:rFonts w:hint="eastAsia" w:ascii="仿宋_GB2312" w:eastAsia="仿宋_GB2312" w:cs="仿宋"/>
          <w:color w:val="auto"/>
          <w:kern w:val="0"/>
          <w:sz w:val="32"/>
          <w:szCs w:val="32"/>
          <w:highlight w:val="none"/>
          <w:lang w:val="zh-CN" w:eastAsia="zh-CN" w:bidi="ar-SA"/>
        </w:rPr>
        <w:t>个。</w:t>
      </w:r>
    </w:p>
    <w:p w14:paraId="30180077">
      <w:pPr>
        <w:widowControl/>
        <w:shd w:val="clear" w:color="auto" w:fill="FFFFFF"/>
        <w:suppressAutoHyphens/>
        <w:spacing w:line="576" w:lineRule="atLeast"/>
        <w:ind w:firstLine="729" w:firstLineChars="228"/>
        <w:jc w:val="left"/>
        <w:rPr>
          <w:rFonts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en-US" w:eastAsia="zh-CN" w:bidi="ar-SA"/>
        </w:rPr>
        <w:t>1.</w:t>
      </w:r>
      <w:r>
        <w:rPr>
          <w:rFonts w:hint="eastAsia" w:ascii="仿宋_GB2312" w:eastAsia="仿宋_GB2312" w:cs="仿宋"/>
          <w:color w:val="auto"/>
          <w:kern w:val="0"/>
          <w:sz w:val="32"/>
          <w:szCs w:val="32"/>
          <w:highlight w:val="none"/>
          <w:lang w:val="zh-CN" w:eastAsia="zh-CN" w:bidi="ar-SA"/>
        </w:rPr>
        <w:t>项目决策。</w:t>
      </w:r>
      <w:r>
        <w:rPr>
          <w:rFonts w:ascii="仿宋_GB2312" w:eastAsia="仿宋_GB2312" w:cs="仿宋"/>
          <w:color w:val="auto"/>
          <w:kern w:val="0"/>
          <w:sz w:val="32"/>
          <w:szCs w:val="32"/>
          <w:highlight w:val="none"/>
          <w:lang w:val="zh-CN" w:eastAsia="zh-CN" w:bidi="ar-SA"/>
        </w:rPr>
        <w:t>项目资金的预算，提出具体的项目、目标和实施计划，精准编制项目支出绩效申报表，提供准确的项目支撑依据，切实做到项目资金编制的合理化、人性化，并在规定的时限内完整、准确</w:t>
      </w:r>
      <w:r>
        <w:rPr>
          <w:rFonts w:hint="eastAsia" w:ascii="仿宋_GB2312" w:eastAsia="仿宋_GB2312" w:cs="仿宋"/>
          <w:color w:val="auto"/>
          <w:kern w:val="0"/>
          <w:sz w:val="32"/>
          <w:szCs w:val="32"/>
          <w:highlight w:val="none"/>
          <w:lang w:val="zh-CN" w:eastAsia="zh-CN" w:bidi="ar-SA"/>
        </w:rPr>
        <w:t>地</w:t>
      </w:r>
      <w:r>
        <w:rPr>
          <w:rFonts w:ascii="仿宋_GB2312" w:eastAsia="仿宋_GB2312" w:cs="仿宋"/>
          <w:color w:val="auto"/>
          <w:kern w:val="0"/>
          <w:sz w:val="32"/>
          <w:szCs w:val="32"/>
          <w:highlight w:val="none"/>
          <w:lang w:val="zh-CN" w:eastAsia="zh-CN" w:bidi="ar-SA"/>
        </w:rPr>
        <w:t>报送到县级财政部门</w:t>
      </w:r>
      <w:r>
        <w:rPr>
          <w:rFonts w:hint="eastAsia" w:ascii="仿宋_GB2312" w:eastAsia="仿宋_GB2312" w:cs="仿宋"/>
          <w:color w:val="auto"/>
          <w:kern w:val="0"/>
          <w:sz w:val="32"/>
          <w:szCs w:val="32"/>
          <w:highlight w:val="none"/>
          <w:lang w:val="zh-CN" w:eastAsia="zh-CN" w:bidi="ar-SA"/>
        </w:rPr>
        <w:t>。</w:t>
      </w:r>
    </w:p>
    <w:p w14:paraId="23945E6B">
      <w:pPr>
        <w:widowControl/>
        <w:shd w:val="clear" w:color="auto" w:fill="FFFFFF"/>
        <w:suppressAutoHyphens/>
        <w:spacing w:line="576" w:lineRule="atLeast"/>
        <w:ind w:firstLine="729" w:firstLineChars="228"/>
        <w:jc w:val="left"/>
        <w:rPr>
          <w:rFonts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en-US" w:eastAsia="zh-CN" w:bidi="ar-SA"/>
        </w:rPr>
        <w:t>2.</w:t>
      </w:r>
      <w:r>
        <w:rPr>
          <w:rFonts w:hint="eastAsia" w:ascii="仿宋_GB2312" w:eastAsia="仿宋_GB2312" w:cs="仿宋"/>
          <w:color w:val="auto"/>
          <w:kern w:val="0"/>
          <w:sz w:val="32"/>
          <w:szCs w:val="32"/>
          <w:highlight w:val="none"/>
          <w:lang w:val="zh-CN" w:eastAsia="zh-CN" w:bidi="ar-SA"/>
        </w:rPr>
        <w:t>项目执行。</w:t>
      </w:r>
      <w:r>
        <w:rPr>
          <w:rFonts w:ascii="仿宋_GB2312" w:eastAsia="仿宋_GB2312" w:cs="仿宋"/>
          <w:color w:val="auto"/>
          <w:kern w:val="0"/>
          <w:sz w:val="32"/>
          <w:szCs w:val="32"/>
          <w:highlight w:val="none"/>
          <w:lang w:val="zh-CN" w:eastAsia="zh-CN" w:bidi="ar-SA"/>
        </w:rPr>
        <w:t>项目资金的支出执行上严格按照预算执行，坚持“反对浪费、节约开支”的原则，专款专用，不拖欠、不挪用。在收到财政对口股室下达的各类指标后，按照资金的用途，在把好审核关的基础上，按时按量按照资金预算进度及时拨付各项款项。资金分配严格按照实际工作需要，依据项目进度和开展情况、合理安全、资金严格按照规范程序申请、管理和使用</w:t>
      </w:r>
      <w:r>
        <w:rPr>
          <w:rFonts w:hint="eastAsia" w:ascii="仿宋_GB2312" w:eastAsia="仿宋_GB2312" w:cs="仿宋"/>
          <w:color w:val="auto"/>
          <w:kern w:val="0"/>
          <w:sz w:val="32"/>
          <w:szCs w:val="32"/>
          <w:highlight w:val="none"/>
          <w:lang w:val="zh-CN" w:eastAsia="zh-CN" w:bidi="ar-SA"/>
        </w:rPr>
        <w:t>。</w:t>
      </w:r>
    </w:p>
    <w:p w14:paraId="5F30B9F6">
      <w:pPr>
        <w:widowControl/>
        <w:shd w:val="clear" w:color="auto" w:fill="FFFFFF"/>
        <w:suppressAutoHyphens/>
        <w:spacing w:line="576" w:lineRule="atLeast"/>
        <w:ind w:firstLine="729" w:firstLineChars="228"/>
        <w:jc w:val="left"/>
        <w:rPr>
          <w:rFonts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3.目标实现。</w:t>
      </w:r>
      <w:r>
        <w:rPr>
          <w:rFonts w:ascii="仿宋_GB2312" w:eastAsia="仿宋_GB2312" w:cs="仿宋"/>
          <w:color w:val="auto"/>
          <w:kern w:val="0"/>
          <w:sz w:val="32"/>
          <w:szCs w:val="32"/>
          <w:highlight w:val="none"/>
          <w:lang w:val="zh-CN" w:eastAsia="zh-CN" w:bidi="ar-SA"/>
        </w:rPr>
        <w:t>效益指标完成情况分析</w:t>
      </w:r>
      <w:r>
        <w:rPr>
          <w:rFonts w:hint="eastAsia" w:ascii="仿宋_GB2312" w:eastAsia="仿宋_GB2312" w:cs="仿宋"/>
          <w:color w:val="auto"/>
          <w:kern w:val="0"/>
          <w:sz w:val="32"/>
          <w:szCs w:val="32"/>
          <w:highlight w:val="none"/>
          <w:lang w:val="zh-CN" w:eastAsia="zh-CN" w:bidi="ar-SA"/>
        </w:rPr>
        <w:t>：</w:t>
      </w:r>
      <w:r>
        <w:rPr>
          <w:rFonts w:ascii="仿宋_GB2312" w:eastAsia="仿宋_GB2312" w:cs="仿宋"/>
          <w:color w:val="auto"/>
          <w:kern w:val="0"/>
          <w:sz w:val="32"/>
          <w:szCs w:val="32"/>
          <w:highlight w:val="none"/>
          <w:lang w:val="zh-CN" w:eastAsia="zh-CN" w:bidi="ar-SA"/>
        </w:rPr>
        <w:t>我</w:t>
      </w:r>
      <w:r>
        <w:rPr>
          <w:rFonts w:hint="eastAsia" w:ascii="仿宋_GB2312" w:eastAsia="仿宋_GB2312" w:cs="仿宋"/>
          <w:color w:val="auto"/>
          <w:kern w:val="0"/>
          <w:sz w:val="32"/>
          <w:szCs w:val="32"/>
          <w:highlight w:val="none"/>
          <w:lang w:val="zh-CN" w:eastAsia="zh-CN" w:bidi="ar-SA"/>
        </w:rPr>
        <w:t>中心</w:t>
      </w:r>
      <w:r>
        <w:rPr>
          <w:rFonts w:ascii="仿宋_GB2312" w:eastAsia="仿宋_GB2312" w:cs="仿宋"/>
          <w:color w:val="auto"/>
          <w:kern w:val="0"/>
          <w:sz w:val="32"/>
          <w:szCs w:val="32"/>
          <w:highlight w:val="none"/>
          <w:lang w:val="zh-CN" w:eastAsia="zh-CN" w:bidi="ar-SA"/>
        </w:rPr>
        <w:t>项目资金主要安排用于一般公共服务支出、社会保障和就业支出、卫生健康支出、</w:t>
      </w:r>
      <w:r>
        <w:rPr>
          <w:rFonts w:hint="eastAsia" w:ascii="仿宋_GB2312" w:eastAsia="仿宋_GB2312" w:cs="仿宋"/>
          <w:color w:val="auto"/>
          <w:kern w:val="0"/>
          <w:sz w:val="32"/>
          <w:szCs w:val="32"/>
          <w:highlight w:val="none"/>
          <w:lang w:val="zh-CN" w:eastAsia="zh-CN" w:bidi="ar-SA"/>
        </w:rPr>
        <w:t>住房保障</w:t>
      </w:r>
      <w:r>
        <w:rPr>
          <w:rFonts w:ascii="仿宋_GB2312" w:eastAsia="仿宋_GB2312" w:cs="仿宋"/>
          <w:color w:val="auto"/>
          <w:kern w:val="0"/>
          <w:sz w:val="32"/>
          <w:szCs w:val="32"/>
          <w:highlight w:val="none"/>
          <w:lang w:val="zh-CN" w:eastAsia="zh-CN" w:bidi="ar-SA"/>
        </w:rPr>
        <w:t>支出</w:t>
      </w:r>
      <w:r>
        <w:rPr>
          <w:rFonts w:hint="eastAsia" w:ascii="仿宋_GB2312" w:eastAsia="仿宋_GB2312" w:cs="仿宋"/>
          <w:color w:val="auto"/>
          <w:kern w:val="0"/>
          <w:sz w:val="32"/>
          <w:szCs w:val="32"/>
          <w:highlight w:val="none"/>
          <w:lang w:val="zh-CN" w:eastAsia="zh-CN" w:bidi="ar-SA"/>
        </w:rPr>
        <w:t>、阿坝工业园区茂县集中区、茂县工业园区规划环境影响评价编制支出及茂县工业园区基础设施运行维护费支出</w:t>
      </w:r>
      <w:r>
        <w:rPr>
          <w:rFonts w:ascii="仿宋_GB2312" w:eastAsia="仿宋_GB2312" w:cs="仿宋"/>
          <w:color w:val="auto"/>
          <w:kern w:val="0"/>
          <w:sz w:val="32"/>
          <w:szCs w:val="32"/>
          <w:highlight w:val="none"/>
          <w:lang w:val="zh-CN" w:eastAsia="zh-CN" w:bidi="ar-SA"/>
        </w:rPr>
        <w:t>等</w:t>
      </w:r>
      <w:r>
        <w:rPr>
          <w:rFonts w:hint="eastAsia" w:ascii="仿宋_GB2312" w:eastAsia="仿宋_GB2312" w:cs="仿宋"/>
          <w:color w:val="auto"/>
          <w:kern w:val="0"/>
          <w:sz w:val="32"/>
          <w:szCs w:val="32"/>
          <w:highlight w:val="none"/>
          <w:lang w:val="zh-CN" w:eastAsia="zh-CN" w:bidi="ar-SA"/>
        </w:rPr>
        <w:t>；</w:t>
      </w:r>
      <w:r>
        <w:rPr>
          <w:rFonts w:ascii="仿宋_GB2312" w:eastAsia="仿宋_GB2312" w:cs="仿宋"/>
          <w:color w:val="auto"/>
          <w:kern w:val="0"/>
          <w:sz w:val="32"/>
          <w:szCs w:val="32"/>
          <w:highlight w:val="none"/>
          <w:lang w:val="zh-CN" w:eastAsia="zh-CN" w:bidi="ar-SA"/>
        </w:rPr>
        <w:t>满意度指标完成情况分析</w:t>
      </w:r>
      <w:r>
        <w:rPr>
          <w:rFonts w:hint="eastAsia" w:ascii="仿宋_GB2312" w:eastAsia="仿宋_GB2312" w:cs="仿宋"/>
          <w:color w:val="auto"/>
          <w:kern w:val="0"/>
          <w:sz w:val="32"/>
          <w:szCs w:val="32"/>
          <w:highlight w:val="none"/>
          <w:lang w:val="zh-CN" w:eastAsia="zh-CN" w:bidi="ar-SA"/>
        </w:rPr>
        <w:t>：</w:t>
      </w:r>
      <w:r>
        <w:rPr>
          <w:rFonts w:ascii="仿宋_GB2312" w:eastAsia="仿宋_GB2312" w:cs="仿宋"/>
          <w:color w:val="auto"/>
          <w:kern w:val="0"/>
          <w:sz w:val="32"/>
          <w:szCs w:val="32"/>
          <w:highlight w:val="none"/>
          <w:lang w:val="zh-CN" w:eastAsia="zh-CN" w:bidi="ar-SA"/>
        </w:rPr>
        <w:t>通过财政绩效目标管理，基本达到满意</w:t>
      </w:r>
      <w:r>
        <w:rPr>
          <w:rFonts w:hint="eastAsia" w:ascii="仿宋_GB2312" w:eastAsia="仿宋_GB2312" w:cs="仿宋"/>
          <w:color w:val="auto"/>
          <w:kern w:val="0"/>
          <w:sz w:val="32"/>
          <w:szCs w:val="32"/>
          <w:highlight w:val="none"/>
          <w:lang w:val="zh-CN" w:eastAsia="zh-CN" w:bidi="ar-SA"/>
        </w:rPr>
        <w:t>。</w:t>
      </w:r>
    </w:p>
    <w:p w14:paraId="69008197">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我中心2023年度暂不涉及国有资本经营预算、社会保险基金预算。</w:t>
      </w:r>
    </w:p>
    <w:p w14:paraId="5D6CA318">
      <w:pPr>
        <w:widowControl w:val="0"/>
        <w:suppressAutoHyphens/>
        <w:bidi w:val="0"/>
        <w:adjustRightInd w:val="0"/>
        <w:snapToGrid w:val="0"/>
        <w:spacing w:line="578" w:lineRule="exact"/>
        <w:ind w:firstLine="643"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w:t>
      </w:r>
      <w:r>
        <w:rPr>
          <w:rFonts w:hint="eastAsia" w:ascii="Times New Roman" w:hAnsi="Times New Roman" w:eastAsia="楷体_GB2312" w:cs="Times New Roman"/>
          <w:b/>
          <w:bCs/>
          <w:color w:val="000000"/>
          <w:kern w:val="0"/>
          <w:sz w:val="32"/>
          <w:szCs w:val="32"/>
          <w:shd w:val="clear" w:color="auto" w:fill="FFFFFF"/>
          <w:lang w:val="zh-CN"/>
        </w:rPr>
        <w:t>三</w:t>
      </w:r>
      <w:r>
        <w:rPr>
          <w:rFonts w:ascii="Times New Roman" w:hAnsi="Times New Roman" w:eastAsia="楷体_GB2312" w:cs="Times New Roman"/>
          <w:b/>
          <w:bCs/>
          <w:color w:val="000000"/>
          <w:kern w:val="0"/>
          <w:sz w:val="32"/>
          <w:szCs w:val="32"/>
          <w:shd w:val="clear" w:color="auto" w:fill="FFFFFF"/>
          <w:lang w:val="zh-CN"/>
        </w:rPr>
        <w:t>）重点领域绩效分析。</w:t>
      </w:r>
    </w:p>
    <w:p w14:paraId="26075080">
      <w:pPr>
        <w:widowControl/>
        <w:shd w:val="clear" w:color="auto" w:fill="FFFFFF"/>
        <w:suppressAutoHyphens/>
        <w:spacing w:line="576" w:lineRule="atLeast"/>
        <w:ind w:firstLine="729" w:firstLineChars="228"/>
        <w:jc w:val="left"/>
        <w:rPr>
          <w:rFonts w:ascii="仿宋_GB2312"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zh-CN" w:eastAsia="zh-CN" w:bidi="ar-SA"/>
        </w:rPr>
        <w:t>2023年度暂不涉及国有资本、债券资金、政府采购和政府购买服务等重点领域。</w:t>
      </w:r>
    </w:p>
    <w:p w14:paraId="4E4829F5">
      <w:pPr>
        <w:widowControl w:val="0"/>
        <w:suppressAutoHyphens/>
        <w:bidi w:val="0"/>
        <w:adjustRightInd w:val="0"/>
        <w:snapToGrid w:val="0"/>
        <w:spacing w:line="578" w:lineRule="exact"/>
        <w:ind w:firstLine="643"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（四）绩效结果应用情况</w:t>
      </w:r>
    </w:p>
    <w:p w14:paraId="2790D8D8">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我中心认真学习贯彻党中央国务院和省委省政府关于全面实施预算绩效管理决策部署，按照《中共四川省委办公厅</w:t>
      </w:r>
      <w:r>
        <w:rPr>
          <w:rFonts w:hint="eastAsia" w:ascii="仿宋_GB2312" w:eastAsia="仿宋_GB2312" w:cs="仿宋"/>
          <w:color w:val="auto"/>
          <w:kern w:val="0"/>
          <w:sz w:val="32"/>
          <w:szCs w:val="32"/>
          <w:highlight w:val="none"/>
          <w:lang w:val="en-US" w:eastAsia="zh-CN" w:bidi="ar-SA"/>
        </w:rPr>
        <w:t xml:space="preserve"> 四川省人民政府办公厅关于深入实施预算绩效管理的通知</w:t>
      </w:r>
      <w:r>
        <w:rPr>
          <w:rFonts w:hint="eastAsia" w:ascii="仿宋_GB2312" w:eastAsia="仿宋_GB2312" w:cs="仿宋"/>
          <w:color w:val="auto"/>
          <w:kern w:val="0"/>
          <w:sz w:val="32"/>
          <w:szCs w:val="32"/>
          <w:highlight w:val="none"/>
          <w:lang w:val="zh-CN" w:eastAsia="zh-CN" w:bidi="ar-SA"/>
        </w:rPr>
        <w:t>》（川委厅〔</w:t>
      </w:r>
      <w:r>
        <w:rPr>
          <w:rFonts w:hint="eastAsia" w:ascii="仿宋_GB2312" w:eastAsia="仿宋_GB2312" w:cs="仿宋"/>
          <w:color w:val="auto"/>
          <w:kern w:val="0"/>
          <w:sz w:val="32"/>
          <w:szCs w:val="32"/>
          <w:highlight w:val="none"/>
          <w:lang w:val="en-US" w:eastAsia="zh-CN" w:bidi="ar-SA"/>
        </w:rPr>
        <w:t>2022</w:t>
      </w:r>
      <w:r>
        <w:rPr>
          <w:rFonts w:hint="eastAsia" w:ascii="仿宋_GB2312" w:eastAsia="仿宋_GB2312" w:cs="仿宋"/>
          <w:color w:val="auto"/>
          <w:kern w:val="0"/>
          <w:sz w:val="32"/>
          <w:szCs w:val="32"/>
          <w:highlight w:val="none"/>
          <w:lang w:val="zh-CN" w:eastAsia="zh-CN" w:bidi="ar-SA"/>
        </w:rPr>
        <w:t>〕</w:t>
      </w:r>
      <w:r>
        <w:rPr>
          <w:rFonts w:hint="eastAsia" w:ascii="仿宋_GB2312" w:eastAsia="仿宋_GB2312" w:cs="仿宋"/>
          <w:color w:val="auto"/>
          <w:kern w:val="0"/>
          <w:sz w:val="32"/>
          <w:szCs w:val="32"/>
          <w:highlight w:val="none"/>
          <w:lang w:val="en-US" w:eastAsia="zh-CN" w:bidi="ar-SA"/>
        </w:rPr>
        <w:t>5号</w:t>
      </w:r>
      <w:r>
        <w:rPr>
          <w:rFonts w:hint="eastAsia" w:ascii="仿宋_GB2312" w:eastAsia="仿宋_GB2312" w:cs="仿宋"/>
          <w:color w:val="auto"/>
          <w:kern w:val="0"/>
          <w:sz w:val="32"/>
          <w:szCs w:val="32"/>
          <w:highlight w:val="none"/>
          <w:lang w:val="zh-CN" w:eastAsia="zh-CN" w:bidi="ar-SA"/>
        </w:rPr>
        <w:t>）和阿坝州财政局《关于开展</w:t>
      </w:r>
      <w:r>
        <w:rPr>
          <w:rFonts w:hint="eastAsia" w:ascii="仿宋_GB2312" w:eastAsia="仿宋_GB2312" w:cs="仿宋"/>
          <w:color w:val="auto"/>
          <w:kern w:val="0"/>
          <w:sz w:val="32"/>
          <w:szCs w:val="32"/>
          <w:highlight w:val="none"/>
          <w:lang w:val="en-US" w:eastAsia="zh-CN" w:bidi="ar-SA"/>
        </w:rPr>
        <w:t>2024年州级部门绩效自评工作的通知</w:t>
      </w:r>
      <w:r>
        <w:rPr>
          <w:rFonts w:hint="eastAsia" w:ascii="仿宋_GB2312" w:eastAsia="仿宋_GB2312" w:cs="仿宋"/>
          <w:color w:val="auto"/>
          <w:kern w:val="0"/>
          <w:sz w:val="32"/>
          <w:szCs w:val="32"/>
          <w:highlight w:val="none"/>
          <w:lang w:val="zh-CN" w:eastAsia="zh-CN" w:bidi="ar-SA"/>
        </w:rPr>
        <w:t>》（阿坝州监绩〔</w:t>
      </w:r>
      <w:r>
        <w:rPr>
          <w:rFonts w:hint="eastAsia" w:ascii="仿宋_GB2312" w:eastAsia="仿宋_GB2312" w:cs="仿宋"/>
          <w:color w:val="auto"/>
          <w:kern w:val="0"/>
          <w:sz w:val="32"/>
          <w:szCs w:val="32"/>
          <w:highlight w:val="none"/>
          <w:lang w:val="en-US" w:eastAsia="zh-CN" w:bidi="ar-SA"/>
        </w:rPr>
        <w:t>2024</w:t>
      </w:r>
      <w:r>
        <w:rPr>
          <w:rFonts w:hint="eastAsia" w:ascii="仿宋_GB2312" w:eastAsia="仿宋_GB2312" w:cs="仿宋"/>
          <w:color w:val="auto"/>
          <w:kern w:val="0"/>
          <w:sz w:val="32"/>
          <w:szCs w:val="32"/>
          <w:highlight w:val="none"/>
          <w:lang w:val="zh-CN" w:eastAsia="zh-CN" w:bidi="ar-SA"/>
        </w:rPr>
        <w:t>〕</w:t>
      </w:r>
      <w:r>
        <w:rPr>
          <w:rFonts w:hint="eastAsia" w:ascii="仿宋_GB2312" w:eastAsia="仿宋_GB2312" w:cs="仿宋"/>
          <w:color w:val="auto"/>
          <w:kern w:val="0"/>
          <w:sz w:val="32"/>
          <w:szCs w:val="32"/>
          <w:highlight w:val="none"/>
          <w:lang w:val="en-US" w:eastAsia="zh-CN" w:bidi="ar-SA"/>
        </w:rPr>
        <w:t>19号</w:t>
      </w:r>
      <w:r>
        <w:rPr>
          <w:rFonts w:hint="eastAsia" w:ascii="仿宋_GB2312" w:eastAsia="仿宋_GB2312" w:cs="仿宋"/>
          <w:color w:val="auto"/>
          <w:kern w:val="0"/>
          <w:sz w:val="32"/>
          <w:szCs w:val="32"/>
          <w:highlight w:val="none"/>
          <w:lang w:val="zh-CN" w:eastAsia="zh-CN" w:bidi="ar-SA"/>
        </w:rPr>
        <w:t xml:space="preserve">）工作要求，根据职能职责积极谋划，确定目标任务，积极发挥公共财政职能作用，推动落实稳增长、促改革、调结构、惠民生、防风险各项工作。 </w:t>
      </w:r>
    </w:p>
    <w:p w14:paraId="7921A18B">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一是按照《四川省省级预算绩效运行监控管理暂行办法》要求，认真组织开展所属单位的绩效监控工作，填报《项目预算绩效监控分析表》，进一步明确项成目标可能性及时间。有效使用财政资金，提高财政资金使用效益，保障了</w:t>
      </w:r>
      <w:r>
        <w:rPr>
          <w:rFonts w:ascii="仿宋_GB2312" w:eastAsia="仿宋_GB2312" w:cs="仿宋"/>
          <w:color w:val="auto"/>
          <w:kern w:val="0"/>
          <w:sz w:val="32"/>
          <w:szCs w:val="32"/>
          <w:highlight w:val="none"/>
          <w:lang w:val="zh-CN" w:eastAsia="zh-CN" w:bidi="ar-SA"/>
        </w:rPr>
        <w:t>我中心</w:t>
      </w:r>
      <w:r>
        <w:rPr>
          <w:rFonts w:hint="eastAsia" w:ascii="仿宋_GB2312" w:eastAsia="仿宋_GB2312" w:cs="仿宋"/>
          <w:color w:val="auto"/>
          <w:kern w:val="0"/>
          <w:sz w:val="32"/>
          <w:szCs w:val="32"/>
          <w:highlight w:val="none"/>
          <w:lang w:val="zh-CN" w:eastAsia="zh-CN" w:bidi="ar-SA"/>
        </w:rPr>
        <w:t>工作顺利开展。</w:t>
      </w:r>
    </w:p>
    <w:p w14:paraId="0DBB6135">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二是按照2</w:t>
      </w:r>
      <w:r>
        <w:rPr>
          <w:rFonts w:hint="eastAsia" w:ascii="仿宋_GB2312" w:eastAsia="仿宋_GB2312" w:cs="仿宋"/>
          <w:color w:val="auto"/>
          <w:kern w:val="0"/>
          <w:sz w:val="32"/>
          <w:szCs w:val="32"/>
          <w:highlight w:val="none"/>
          <w:lang w:val="en-US" w:eastAsia="zh-CN" w:bidi="ar-SA"/>
        </w:rPr>
        <w:t>023</w:t>
      </w:r>
      <w:r>
        <w:rPr>
          <w:rFonts w:hint="eastAsia" w:ascii="仿宋_GB2312" w:eastAsia="仿宋_GB2312" w:cs="仿宋"/>
          <w:color w:val="auto"/>
          <w:kern w:val="0"/>
          <w:sz w:val="32"/>
          <w:szCs w:val="32"/>
          <w:highlight w:val="none"/>
          <w:lang w:val="zh-CN" w:eastAsia="zh-CN" w:bidi="ar-SA"/>
        </w:rPr>
        <w:t>年部门预算编审要求，根据</w:t>
      </w:r>
      <w:r>
        <w:rPr>
          <w:rFonts w:ascii="仿宋_GB2312" w:eastAsia="仿宋_GB2312" w:cs="仿宋"/>
          <w:color w:val="auto"/>
          <w:kern w:val="0"/>
          <w:sz w:val="32"/>
          <w:szCs w:val="32"/>
          <w:highlight w:val="none"/>
          <w:lang w:val="zh-CN" w:eastAsia="zh-CN" w:bidi="ar-SA"/>
        </w:rPr>
        <w:t>我中心</w:t>
      </w:r>
      <w:r>
        <w:rPr>
          <w:rFonts w:hint="eastAsia" w:ascii="仿宋_GB2312" w:eastAsia="仿宋_GB2312" w:cs="仿宋"/>
          <w:color w:val="auto"/>
          <w:kern w:val="0"/>
          <w:sz w:val="32"/>
          <w:szCs w:val="32"/>
          <w:highlight w:val="none"/>
          <w:lang w:val="zh-CN" w:eastAsia="zh-CN" w:bidi="ar-SA"/>
        </w:rPr>
        <w:t>职能职责，结合中长期规划和年度工作计划，明确了年度主要工作任务及年度内履职所要达到的总体产出和效果，认真填报了我</w:t>
      </w:r>
      <w:r>
        <w:rPr>
          <w:rFonts w:ascii="仿宋_GB2312" w:eastAsia="仿宋_GB2312" w:cs="仿宋"/>
          <w:color w:val="auto"/>
          <w:kern w:val="0"/>
          <w:sz w:val="32"/>
          <w:szCs w:val="32"/>
          <w:highlight w:val="none"/>
          <w:lang w:val="zh-CN" w:eastAsia="zh-CN" w:bidi="ar-SA"/>
        </w:rPr>
        <w:t>中心</w:t>
      </w:r>
      <w:r>
        <w:rPr>
          <w:rFonts w:hint="eastAsia" w:ascii="仿宋_GB2312" w:eastAsia="仿宋_GB2312" w:cs="仿宋"/>
          <w:color w:val="auto"/>
          <w:kern w:val="0"/>
          <w:sz w:val="32"/>
          <w:szCs w:val="32"/>
          <w:highlight w:val="none"/>
          <w:lang w:val="zh-CN" w:eastAsia="zh-CN" w:bidi="ar-SA"/>
        </w:rPr>
        <w:t>整体支出绩效目标，设定了年度绩效数量指标、成本指标效益指标等。</w:t>
      </w:r>
    </w:p>
    <w:p w14:paraId="1B9B78BA">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三是按照财政部门统一部署，</w:t>
      </w:r>
      <w:r>
        <w:rPr>
          <w:rFonts w:ascii="仿宋_GB2312" w:eastAsia="仿宋_GB2312" w:cs="仿宋"/>
          <w:color w:val="auto"/>
          <w:kern w:val="0"/>
          <w:sz w:val="32"/>
          <w:szCs w:val="32"/>
          <w:highlight w:val="none"/>
          <w:lang w:val="zh-CN" w:eastAsia="zh-CN" w:bidi="ar-SA"/>
        </w:rPr>
        <w:t>我中心</w:t>
      </w:r>
      <w:r>
        <w:rPr>
          <w:rFonts w:hint="eastAsia" w:ascii="仿宋_GB2312" w:eastAsia="仿宋_GB2312" w:cs="仿宋"/>
          <w:color w:val="auto"/>
          <w:kern w:val="0"/>
          <w:sz w:val="32"/>
          <w:szCs w:val="32"/>
          <w:highlight w:val="none"/>
          <w:lang w:val="zh-CN" w:eastAsia="zh-CN" w:bidi="ar-SA"/>
        </w:rPr>
        <w:t>按要求公开绩效目标管理情况及部门整体支出绩效自评开展情况并依法接受财政监督。</w:t>
      </w:r>
    </w:p>
    <w:p w14:paraId="6FFA3CC9">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我</w:t>
      </w:r>
      <w:r>
        <w:rPr>
          <w:rFonts w:ascii="仿宋_GB2312" w:eastAsia="仿宋_GB2312" w:cs="仿宋"/>
          <w:color w:val="auto"/>
          <w:kern w:val="0"/>
          <w:sz w:val="32"/>
          <w:szCs w:val="32"/>
          <w:highlight w:val="none"/>
          <w:lang w:val="zh-CN" w:eastAsia="zh-CN" w:bidi="ar-SA"/>
        </w:rPr>
        <w:t>中心</w:t>
      </w:r>
      <w:r>
        <w:rPr>
          <w:rFonts w:hint="eastAsia" w:ascii="仿宋_GB2312" w:eastAsia="仿宋_GB2312" w:cs="仿宋"/>
          <w:color w:val="auto"/>
          <w:kern w:val="0"/>
          <w:sz w:val="32"/>
          <w:szCs w:val="32"/>
          <w:highlight w:val="none"/>
          <w:lang w:val="zh-CN" w:eastAsia="zh-CN" w:bidi="ar-SA"/>
        </w:rPr>
        <w:t>对部门预算绩效管理工作开展情况进行了自评。绩效评价自查开展覆盖单位所有支出（本部门无专项预算项目，因此本部门未组织开展项目支出绩效评价），将评价结果作为预算安排的重要依据，参照项目年度预算执行情况“三年滚动规划”执行情况，调整支出结构，优化财政资金配置，不断强化绩效理念，推动本部门整体绩效管理水平不断提升。</w:t>
      </w:r>
    </w:p>
    <w:p w14:paraId="72A5888D">
      <w:pPr>
        <w:widowControl/>
        <w:suppressAutoHyphens/>
        <w:adjustRightInd w:val="0"/>
        <w:snapToGrid w:val="0"/>
        <w:spacing w:line="578" w:lineRule="exact"/>
        <w:ind w:firstLine="640" w:firstLineChars="200"/>
        <w:contextualSpacing/>
        <w:jc w:val="left"/>
        <w:rPr>
          <w:rFonts w:ascii="Times New Roman" w:hAnsi="Times New Roman" w:eastAsia="黑体" w:cs="Times New Roman"/>
          <w:color w:val="000000"/>
          <w:kern w:val="0"/>
          <w:sz w:val="32"/>
          <w:szCs w:val="32"/>
          <w:shd w:val="clear" w:color="auto" w:fill="FFFFFF"/>
          <w:lang w:val="zh-CN"/>
        </w:rPr>
      </w:pPr>
      <w:r>
        <w:rPr>
          <w:rFonts w:ascii="Times New Roman" w:hAnsi="Times New Roman" w:eastAsia="黑体" w:cs="Times New Roman"/>
          <w:color w:val="000000"/>
          <w:kern w:val="0"/>
          <w:sz w:val="32"/>
          <w:szCs w:val="32"/>
          <w:shd w:val="clear" w:color="auto" w:fill="FFFFFF"/>
          <w:lang w:val="zh-CN"/>
        </w:rPr>
        <w:t>四、评价结论及建议</w:t>
      </w:r>
    </w:p>
    <w:p w14:paraId="73D4BE8B">
      <w:pPr>
        <w:widowControl w:val="0"/>
        <w:suppressAutoHyphens/>
        <w:bidi w:val="0"/>
        <w:adjustRightInd w:val="0"/>
        <w:snapToGrid w:val="0"/>
        <w:spacing w:line="578" w:lineRule="exact"/>
        <w:ind w:firstLine="643"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（一）评价结论</w:t>
      </w:r>
    </w:p>
    <w:p w14:paraId="04C194C2">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按照财政局要求，</w:t>
      </w:r>
      <w:r>
        <w:rPr>
          <w:rFonts w:ascii="仿宋_GB2312" w:eastAsia="仿宋_GB2312" w:cs="仿宋"/>
          <w:color w:val="auto"/>
          <w:kern w:val="0"/>
          <w:sz w:val="32"/>
          <w:szCs w:val="32"/>
          <w:highlight w:val="none"/>
          <w:lang w:val="zh-CN" w:eastAsia="zh-CN" w:bidi="ar-SA"/>
        </w:rPr>
        <w:t>我中心对中心</w:t>
      </w:r>
      <w:r>
        <w:rPr>
          <w:rFonts w:hint="eastAsia" w:ascii="仿宋_GB2312" w:eastAsia="仿宋_GB2312" w:cs="仿宋"/>
          <w:color w:val="auto"/>
          <w:kern w:val="0"/>
          <w:sz w:val="32"/>
          <w:szCs w:val="32"/>
          <w:highlight w:val="none"/>
          <w:lang w:val="zh-CN" w:eastAsia="zh-CN" w:bidi="ar-SA"/>
        </w:rPr>
        <w:t>财政支出进行</w:t>
      </w:r>
      <w:r>
        <w:rPr>
          <w:rFonts w:ascii="仿宋_GB2312" w:eastAsia="仿宋_GB2312" w:cs="仿宋"/>
          <w:color w:val="auto"/>
          <w:kern w:val="0"/>
          <w:sz w:val="32"/>
          <w:szCs w:val="32"/>
          <w:highlight w:val="none"/>
          <w:lang w:val="zh-CN" w:eastAsia="zh-CN" w:bidi="ar-SA"/>
        </w:rPr>
        <w:t>了</w:t>
      </w:r>
      <w:r>
        <w:rPr>
          <w:rFonts w:hint="eastAsia" w:ascii="仿宋_GB2312" w:eastAsia="仿宋_GB2312" w:cs="仿宋"/>
          <w:color w:val="auto"/>
          <w:kern w:val="0"/>
          <w:sz w:val="32"/>
          <w:szCs w:val="32"/>
          <w:highlight w:val="none"/>
          <w:lang w:val="zh-CN" w:eastAsia="zh-CN" w:bidi="ar-SA"/>
        </w:rPr>
        <w:t>全面绩效评价，202</w:t>
      </w:r>
      <w:r>
        <w:rPr>
          <w:rFonts w:hint="eastAsia" w:ascii="仿宋_GB2312" w:eastAsia="仿宋_GB2312" w:cs="仿宋"/>
          <w:color w:val="auto"/>
          <w:kern w:val="0"/>
          <w:sz w:val="32"/>
          <w:szCs w:val="32"/>
          <w:highlight w:val="none"/>
          <w:lang w:val="en-US" w:eastAsia="zh-CN" w:bidi="ar-SA"/>
        </w:rPr>
        <w:t>3</w:t>
      </w:r>
      <w:r>
        <w:rPr>
          <w:rFonts w:hint="eastAsia" w:ascii="仿宋_GB2312" w:eastAsia="仿宋_GB2312" w:cs="仿宋"/>
          <w:color w:val="auto"/>
          <w:kern w:val="0"/>
          <w:sz w:val="32"/>
          <w:szCs w:val="32"/>
          <w:highlight w:val="none"/>
          <w:lang w:val="zh-CN" w:eastAsia="zh-CN" w:bidi="ar-SA"/>
        </w:rPr>
        <w:t>年</w:t>
      </w:r>
      <w:r>
        <w:rPr>
          <w:rFonts w:ascii="仿宋_GB2312" w:eastAsia="仿宋_GB2312" w:cs="仿宋"/>
          <w:color w:val="auto"/>
          <w:kern w:val="0"/>
          <w:sz w:val="32"/>
          <w:szCs w:val="32"/>
          <w:highlight w:val="none"/>
          <w:lang w:val="zh-CN" w:eastAsia="zh-CN" w:bidi="ar-SA"/>
        </w:rPr>
        <w:t>度</w:t>
      </w:r>
      <w:r>
        <w:rPr>
          <w:rFonts w:hint="eastAsia" w:ascii="仿宋_GB2312" w:eastAsia="仿宋_GB2312" w:cs="仿宋"/>
          <w:color w:val="auto"/>
          <w:kern w:val="0"/>
          <w:sz w:val="32"/>
          <w:szCs w:val="32"/>
          <w:highlight w:val="none"/>
          <w:lang w:val="zh-CN" w:eastAsia="zh-CN" w:bidi="ar-SA"/>
        </w:rPr>
        <w:t>我中心绩效评价结果为</w:t>
      </w:r>
      <w:r>
        <w:rPr>
          <w:rFonts w:hint="eastAsia" w:ascii="仿宋_GB2312" w:eastAsia="仿宋_GB2312" w:cs="仿宋"/>
          <w:color w:val="auto"/>
          <w:kern w:val="0"/>
          <w:sz w:val="32"/>
          <w:szCs w:val="32"/>
          <w:highlight w:val="none"/>
          <w:lang w:val="en-US" w:eastAsia="zh-CN" w:bidi="ar-SA"/>
        </w:rPr>
        <w:t>84.5</w:t>
      </w:r>
      <w:r>
        <w:rPr>
          <w:rFonts w:hint="eastAsia" w:ascii="仿宋_GB2312" w:eastAsia="仿宋_GB2312" w:cs="仿宋"/>
          <w:color w:val="auto"/>
          <w:kern w:val="0"/>
          <w:sz w:val="32"/>
          <w:szCs w:val="32"/>
          <w:highlight w:val="none"/>
          <w:lang w:val="zh-CN" w:eastAsia="zh-CN" w:bidi="ar-SA"/>
        </w:rPr>
        <w:t>分。按照县委组织部工作要求，切实加强园区管委会在“讲政治、守纪律、强素质、突服务”队伍建设。加强各集中区循环经济健康发展。加强企业安全生产和环保工作的巡查力度。争取和落实省、州、县对企业的各项优惠政策，尽可能地扶持企业发展壮大。按照“无事不扰，有求必应”的原则，为企业做好“保姆式”的服务协调工作。全面完成园区常规工作和管理服务工作。</w:t>
      </w:r>
    </w:p>
    <w:p w14:paraId="534932F7">
      <w:pPr>
        <w:widowControl w:val="0"/>
        <w:suppressAutoHyphens/>
        <w:bidi w:val="0"/>
        <w:adjustRightInd w:val="0"/>
        <w:snapToGrid w:val="0"/>
        <w:spacing w:line="578" w:lineRule="exact"/>
        <w:ind w:firstLine="643" w:firstLineChars="200"/>
        <w:contextualSpacing/>
        <w:jc w:val="left"/>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（二）存在问题</w:t>
      </w:r>
    </w:p>
    <w:p w14:paraId="084FF6E4">
      <w:pPr>
        <w:widowControl/>
        <w:shd w:val="clear" w:color="auto" w:fill="FFFFFF"/>
        <w:suppressAutoHyphens/>
        <w:spacing w:line="576" w:lineRule="atLeast"/>
        <w:ind w:firstLine="729" w:firstLineChars="228"/>
        <w:jc w:val="left"/>
        <w:rPr>
          <w:rFonts w:hint="eastAsia" w:ascii="仿宋_GB2312" w:eastAsia="仿宋_GB2312" w:cs="仿宋"/>
          <w:color w:val="auto"/>
          <w:kern w:val="0"/>
          <w:sz w:val="32"/>
          <w:szCs w:val="32"/>
          <w:highlight w:val="none"/>
          <w:lang w:val="zh-CN" w:eastAsia="zh-CN" w:bidi="ar-SA"/>
        </w:rPr>
      </w:pPr>
      <w:r>
        <w:rPr>
          <w:rFonts w:hint="eastAsia" w:ascii="仿宋_GB2312" w:eastAsia="仿宋_GB2312" w:cs="仿宋"/>
          <w:color w:val="auto"/>
          <w:kern w:val="0"/>
          <w:sz w:val="32"/>
          <w:szCs w:val="32"/>
          <w:highlight w:val="none"/>
          <w:lang w:val="zh-CN" w:eastAsia="zh-CN" w:bidi="ar-SA"/>
        </w:rPr>
        <w:t>1.部分资金的支付进度较慢，应提高资金使用率；</w:t>
      </w:r>
    </w:p>
    <w:p w14:paraId="3457C989">
      <w:pPr>
        <w:widowControl/>
        <w:shd w:val="clear" w:color="auto" w:fill="FFFFFF"/>
        <w:suppressAutoHyphens/>
        <w:spacing w:line="576" w:lineRule="atLeast"/>
        <w:ind w:firstLine="729" w:firstLineChars="228"/>
        <w:jc w:val="left"/>
        <w:rPr>
          <w:rFonts w:hint="default" w:ascii="仿宋_GB2312"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2.预算绩效管理和财务工作进一步提高。</w:t>
      </w:r>
    </w:p>
    <w:p w14:paraId="5BDBA175">
      <w:pPr>
        <w:widowControl w:val="0"/>
        <w:suppressAutoHyphens/>
        <w:bidi w:val="0"/>
        <w:adjustRightInd w:val="0"/>
        <w:snapToGrid w:val="0"/>
        <w:spacing w:line="578" w:lineRule="exact"/>
        <w:ind w:left="0" w:firstLine="482" w:firstLineChars="150"/>
        <w:contextualSpacing/>
        <w:jc w:val="left"/>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（三）改进建议</w:t>
      </w:r>
    </w:p>
    <w:p w14:paraId="70C99AF2">
      <w:pPr>
        <w:widowControl w:val="0"/>
        <w:suppressAutoHyphens/>
        <w:bidi w:val="0"/>
        <w:adjustRightInd w:val="0"/>
        <w:snapToGrid w:val="0"/>
        <w:spacing w:line="578" w:lineRule="exact"/>
        <w:ind w:left="0" w:firstLine="800" w:firstLineChars="250"/>
        <w:contextualSpacing/>
        <w:jc w:val="left"/>
        <w:rPr>
          <w:rFonts w:hint="default" w:eastAsia="宋体"/>
          <w:lang w:val="en-US" w:eastAsia="zh-CN"/>
        </w:rPr>
      </w:pPr>
      <w:r>
        <w:rPr>
          <w:rFonts w:hint="eastAsia" w:ascii="仿宋_GB2312" w:eastAsia="仿宋_GB2312" w:cs="宋体"/>
          <w:color w:val="000000"/>
          <w:kern w:val="0"/>
          <w:sz w:val="32"/>
          <w:szCs w:val="32"/>
          <w:shd w:val="clear" w:color="auto" w:fill="FFFFFF"/>
          <w:lang w:val="en-US" w:eastAsia="zh-CN"/>
        </w:rPr>
        <w:t>1.</w:t>
      </w:r>
      <w:r>
        <w:rPr>
          <w:rFonts w:hint="eastAsia" w:ascii="仿宋_GB2312" w:eastAsia="仿宋_GB2312" w:cs="宋体"/>
          <w:color w:val="000000"/>
          <w:kern w:val="0"/>
          <w:sz w:val="32"/>
          <w:szCs w:val="32"/>
          <w:shd w:val="clear" w:color="auto" w:fill="FFFFFF"/>
          <w:lang w:val="zh-CN"/>
        </w:rPr>
        <w:t>进一步加强单位预算编制、支出执行、决算编制等工作的管理，加快预算执行进度</w:t>
      </w:r>
      <w:r>
        <w:rPr>
          <w:rFonts w:hint="eastAsia" w:ascii="仿宋_GB2312" w:hAnsi="仿宋_GB2312" w:cs="宋体"/>
          <w:color w:val="000000"/>
          <w:kern w:val="0"/>
          <w:sz w:val="32"/>
          <w:szCs w:val="32"/>
          <w:shd w:val="clear" w:color="auto" w:fill="FFFFFF"/>
          <w:lang w:val="zh-CN"/>
        </w:rPr>
        <w:t>；</w:t>
      </w:r>
    </w:p>
    <w:p w14:paraId="6EA54B7C">
      <w:pPr>
        <w:pStyle w:val="2"/>
        <w:ind w:left="0" w:leftChars="0" w:firstLine="0" w:firstLineChars="0"/>
        <w:rPr>
          <w:rFonts w:hint="eastAsia" w:ascii="仿宋_GB2312" w:eastAsia="仿宋_GB2312" w:cs="宋体"/>
          <w:color w:val="000000"/>
          <w:kern w:val="0"/>
          <w:sz w:val="32"/>
          <w:szCs w:val="32"/>
          <w:shd w:val="clear" w:color="auto" w:fill="FFFFFF"/>
          <w:lang w:val="zh-CN"/>
        </w:rPr>
      </w:pPr>
      <w:r>
        <w:rPr>
          <w:rFonts w:hint="eastAsia" w:ascii="仿宋_GB2312" w:hAnsi="仿宋_GB2312" w:cs="宋体"/>
          <w:color w:val="000000"/>
          <w:kern w:val="0"/>
          <w:sz w:val="32"/>
          <w:szCs w:val="32"/>
          <w:shd w:val="clear" w:color="auto" w:fill="FFFFFF"/>
          <w:lang w:val="en-US" w:eastAsia="zh-CN"/>
        </w:rPr>
        <w:t xml:space="preserve">     2.</w:t>
      </w:r>
      <w:r>
        <w:rPr>
          <w:rFonts w:hint="eastAsia" w:ascii="仿宋_GB2312" w:hAnsi="仿宋_GB2312" w:eastAsia="仿宋_GB2312" w:cs="宋体"/>
          <w:color w:val="000000"/>
          <w:kern w:val="0"/>
          <w:sz w:val="32"/>
          <w:szCs w:val="32"/>
          <w:shd w:val="clear" w:color="auto" w:fill="FFFFFF"/>
          <w:lang w:val="en-US" w:eastAsia="zh-CN"/>
        </w:rPr>
        <w:t>加强宣传和培训，</w:t>
      </w:r>
      <w:r>
        <w:rPr>
          <w:rFonts w:hint="eastAsia" w:ascii="仿宋_GB2312" w:eastAsia="仿宋_GB2312" w:cs="宋体"/>
          <w:color w:val="000000"/>
          <w:kern w:val="0"/>
          <w:sz w:val="32"/>
          <w:szCs w:val="32"/>
          <w:shd w:val="clear" w:color="auto" w:fill="FFFFFF"/>
          <w:lang w:val="zh-CN"/>
        </w:rPr>
        <w:t>提高各部门对财务工作和绩效管理的认识。</w:t>
      </w:r>
    </w:p>
    <w:p w14:paraId="302CA1CB">
      <w:pPr>
        <w:pStyle w:val="2"/>
        <w:rPr>
          <w:rFonts w:hint="eastAsia" w:ascii="仿宋_GB2312" w:eastAsia="仿宋_GB2312" w:cs="宋体"/>
          <w:color w:val="000000"/>
          <w:kern w:val="0"/>
          <w:sz w:val="32"/>
          <w:szCs w:val="32"/>
          <w:shd w:val="clear" w:color="auto" w:fill="FFFFFF"/>
          <w:lang w:val="zh-CN"/>
        </w:rPr>
      </w:pPr>
    </w:p>
    <w:p w14:paraId="3309B11B">
      <w:pPr>
        <w:rPr>
          <w:rFonts w:hint="eastAsia" w:ascii="仿宋_GB2312" w:eastAsia="仿宋_GB2312" w:cs="宋体"/>
          <w:color w:val="000000"/>
          <w:kern w:val="0"/>
          <w:sz w:val="32"/>
          <w:szCs w:val="32"/>
          <w:shd w:val="clear" w:color="auto" w:fill="FFFFFF"/>
          <w:lang w:val="zh-CN"/>
        </w:rPr>
      </w:pPr>
    </w:p>
    <w:p w14:paraId="599F1686">
      <w:pPr>
        <w:pStyle w:val="2"/>
        <w:rPr>
          <w:rFonts w:hint="eastAsia" w:ascii="仿宋_GB2312" w:eastAsia="仿宋_GB2312" w:cs="宋体"/>
          <w:color w:val="000000"/>
          <w:kern w:val="0"/>
          <w:sz w:val="32"/>
          <w:szCs w:val="32"/>
          <w:shd w:val="clear" w:color="auto" w:fill="FFFFFF"/>
          <w:lang w:val="zh-CN"/>
        </w:rPr>
      </w:pPr>
    </w:p>
    <w:p w14:paraId="37FF9679">
      <w:pPr>
        <w:rPr>
          <w:rFonts w:hint="eastAsia" w:ascii="仿宋_GB2312" w:eastAsia="仿宋_GB2312" w:cs="宋体"/>
          <w:color w:val="000000"/>
          <w:kern w:val="0"/>
          <w:sz w:val="32"/>
          <w:szCs w:val="32"/>
          <w:shd w:val="clear" w:color="auto" w:fill="FFFFFF"/>
          <w:lang w:val="zh-CN"/>
        </w:rPr>
      </w:pPr>
    </w:p>
    <w:p w14:paraId="197687A6">
      <w:pPr>
        <w:pStyle w:val="2"/>
        <w:rPr>
          <w:rFonts w:hint="eastAsia" w:ascii="仿宋_GB2312" w:eastAsia="仿宋_GB2312" w:cs="宋体"/>
          <w:color w:val="000000"/>
          <w:kern w:val="0"/>
          <w:sz w:val="32"/>
          <w:szCs w:val="32"/>
          <w:shd w:val="clear" w:color="auto" w:fill="FFFFFF"/>
          <w:lang w:val="zh-CN"/>
        </w:rPr>
      </w:pPr>
    </w:p>
    <w:p w14:paraId="5BFDAFD7">
      <w:pPr>
        <w:rPr>
          <w:rFonts w:hint="eastAsia" w:ascii="仿宋_GB2312" w:eastAsia="仿宋_GB2312" w:cs="宋体"/>
          <w:color w:val="000000"/>
          <w:kern w:val="0"/>
          <w:sz w:val="32"/>
          <w:szCs w:val="32"/>
          <w:shd w:val="clear" w:color="auto" w:fill="FFFFFF"/>
          <w:lang w:val="zh-CN"/>
        </w:rPr>
      </w:pPr>
    </w:p>
    <w:p w14:paraId="07306351">
      <w:pPr>
        <w:pStyle w:val="2"/>
        <w:rPr>
          <w:rFonts w:hint="eastAsia"/>
          <w:lang w:val="zh-CN"/>
        </w:rPr>
      </w:pPr>
    </w:p>
    <w:p w14:paraId="72EDC586">
      <w:pPr>
        <w:rPr>
          <w:rFonts w:hint="eastAsia" w:ascii="仿宋_GB2312" w:eastAsia="仿宋_GB2312" w:cs="宋体"/>
          <w:color w:val="000000"/>
          <w:kern w:val="0"/>
          <w:sz w:val="32"/>
          <w:szCs w:val="32"/>
          <w:shd w:val="clear" w:color="auto" w:fill="FFFFFF"/>
          <w:lang w:val="zh-CN"/>
        </w:rPr>
      </w:pPr>
    </w:p>
    <w:p w14:paraId="0D5ABF66">
      <w:pPr>
        <w:rPr>
          <w:rFonts w:hint="eastAsia"/>
          <w:lang w:val="zh-CN"/>
        </w:rPr>
      </w:pPr>
    </w:p>
    <w:p w14:paraId="2560EAD1">
      <w:pPr>
        <w:pStyle w:val="21"/>
        <w:widowControl w:val="0"/>
        <w:suppressAutoHyphens/>
        <w:bidi w:val="0"/>
        <w:spacing w:line="560" w:lineRule="exact"/>
        <w:jc w:val="center"/>
        <w:rPr>
          <w:rFonts w:hint="eastAsia" w:ascii="方正小标宋简体" w:eastAsia="方正小标宋简体" w:cs="Times New Roman"/>
          <w:sz w:val="44"/>
          <w:szCs w:val="44"/>
          <w:lang w:val="en-US" w:eastAsia="zh-CN"/>
        </w:rPr>
      </w:pPr>
      <w:r>
        <w:rPr>
          <w:rFonts w:hint="eastAsia" w:ascii="方正小标宋简体" w:eastAsia="方正小标宋简体" w:cs="Times New Roman"/>
          <w:sz w:val="44"/>
          <w:szCs w:val="44"/>
          <w:lang w:val="en-US" w:eastAsia="zh-CN"/>
        </w:rPr>
        <w:t>2023年茂县工业服务中心专项预算项目</w:t>
      </w:r>
    </w:p>
    <w:p w14:paraId="73F4D78B">
      <w:pPr>
        <w:pStyle w:val="21"/>
        <w:widowControl w:val="0"/>
        <w:suppressAutoHyphens/>
        <w:bidi w:val="0"/>
        <w:spacing w:line="560" w:lineRule="exact"/>
        <w:jc w:val="center"/>
        <w:rPr>
          <w:rFonts w:hint="eastAsia" w:ascii="方正小标宋简体" w:eastAsia="方正小标宋简体" w:cs="Times New Roman"/>
          <w:sz w:val="44"/>
          <w:szCs w:val="44"/>
          <w:lang w:val="en-US" w:eastAsia="zh-CN"/>
        </w:rPr>
      </w:pPr>
      <w:r>
        <w:rPr>
          <w:rFonts w:hint="eastAsia" w:ascii="方正小标宋简体" w:eastAsia="方正小标宋简体" w:cs="Times New Roman"/>
          <w:sz w:val="44"/>
          <w:szCs w:val="44"/>
          <w:lang w:val="en-US" w:eastAsia="zh-CN"/>
        </w:rPr>
        <w:t>支出绩效自评报告</w:t>
      </w:r>
    </w:p>
    <w:p w14:paraId="788568E9">
      <w:pPr>
        <w:pStyle w:val="21"/>
        <w:keepNext w:val="0"/>
        <w:keepLines w:val="0"/>
        <w:pageBreakBefore w:val="0"/>
        <w:widowControl w:val="0"/>
        <w:suppressAutoHyphens/>
        <w:kinsoku/>
        <w:wordWrap/>
        <w:overflowPunct/>
        <w:topLinePunct w:val="0"/>
        <w:autoSpaceDE/>
        <w:autoSpaceDN/>
        <w:bidi w:val="0"/>
        <w:spacing w:line="560" w:lineRule="exact"/>
        <w:jc w:val="center"/>
        <w:textAlignment w:val="auto"/>
        <w:rPr>
          <w:rFonts w:hint="eastAsia" w:ascii="方正小标宋简体" w:eastAsia="方正小标宋简体" w:cs="Times New Roman"/>
          <w:sz w:val="44"/>
          <w:szCs w:val="44"/>
          <w:lang w:val="en-US" w:eastAsia="zh-CN"/>
        </w:rPr>
      </w:pPr>
    </w:p>
    <w:p w14:paraId="07C8B54D">
      <w:pPr>
        <w:keepNext w:val="0"/>
        <w:keepLines w:val="0"/>
        <w:pageBreakBefore w:val="0"/>
        <w:widowControl w:val="0"/>
        <w:suppressAutoHyphens/>
        <w:kinsoku/>
        <w:wordWrap/>
        <w:overflowPunct/>
        <w:topLinePunct w:val="0"/>
        <w:autoSpaceDE/>
        <w:autoSpaceDN/>
        <w:bidi w:val="0"/>
        <w:spacing w:line="560" w:lineRule="exact"/>
        <w:ind w:firstLine="723" w:firstLineChars="200"/>
        <w:jc w:val="left"/>
        <w:textAlignment w:val="auto"/>
        <w:rPr>
          <w:rFonts w:hint="eastAsia" w:ascii="Times New Roman" w:hAnsi="Times New Roman" w:eastAsia="仿宋_GB2312" w:cs="Times New Roman"/>
          <w:b/>
          <w:bCs/>
          <w:sz w:val="36"/>
          <w:szCs w:val="36"/>
          <w:highlight w:val="none"/>
          <w:lang w:val="zh-CN" w:eastAsia="zh-CN"/>
        </w:rPr>
      </w:pPr>
      <w:r>
        <w:rPr>
          <w:rFonts w:hint="eastAsia" w:ascii="Times New Roman" w:hAnsi="Times New Roman" w:eastAsia="仿宋_GB2312" w:cs="Times New Roman"/>
          <w:b/>
          <w:bCs/>
          <w:sz w:val="36"/>
          <w:szCs w:val="36"/>
          <w:highlight w:val="none"/>
          <w:lang w:val="zh-CN" w:eastAsia="zh-CN"/>
        </w:rPr>
        <w:t>一、项目概况</w:t>
      </w:r>
    </w:p>
    <w:p w14:paraId="6531032A">
      <w:pPr>
        <w:keepNext w:val="0"/>
        <w:keepLines w:val="0"/>
        <w:pageBreakBefore w:val="0"/>
        <w:widowControl w:val="0"/>
        <w:numPr>
          <w:ilvl w:val="0"/>
          <w:numId w:val="5"/>
        </w:numPr>
        <w:suppressAutoHyphens/>
        <w:kinsoku/>
        <w:wordWrap/>
        <w:overflowPunct/>
        <w:topLinePunct w:val="0"/>
        <w:autoSpaceDE/>
        <w:autoSpaceDN/>
        <w:bidi w:val="0"/>
        <w:spacing w:line="560" w:lineRule="exact"/>
        <w:jc w:val="left"/>
        <w:textAlignment w:val="auto"/>
        <w:rPr>
          <w:rFonts w:hint="eastAsia" w:ascii="Times New Roman" w:hAnsi="Times New Roman" w:eastAsia="仿宋_GB2312" w:cs="Times New Roman"/>
          <w:b/>
          <w:bCs/>
          <w:sz w:val="32"/>
          <w:szCs w:val="32"/>
          <w:highlight w:val="none"/>
          <w:lang w:val="zh-CN" w:eastAsia="zh-CN"/>
        </w:rPr>
      </w:pPr>
      <w:r>
        <w:rPr>
          <w:rFonts w:hint="eastAsia" w:ascii="Times New Roman" w:hAnsi="Times New Roman" w:eastAsia="仿宋_GB2312" w:cs="Times New Roman"/>
          <w:b/>
          <w:bCs/>
          <w:sz w:val="32"/>
          <w:szCs w:val="32"/>
          <w:highlight w:val="none"/>
          <w:lang w:val="zh-CN" w:eastAsia="zh-CN"/>
        </w:rPr>
        <w:t>项目资金来源。</w:t>
      </w:r>
    </w:p>
    <w:p w14:paraId="4EE1597A">
      <w:pPr>
        <w:keepNext w:val="0"/>
        <w:keepLines w:val="0"/>
        <w:pageBreakBefore w:val="0"/>
        <w:widowControl/>
        <w:suppressAutoHyphens/>
        <w:kinsoku/>
        <w:wordWrap/>
        <w:overflowPunct/>
        <w:topLinePunct w:val="0"/>
        <w:autoSpaceDE/>
        <w:autoSpaceDN/>
        <w:bidi w:val="0"/>
        <w:adjustRightInd w:val="0"/>
        <w:snapToGrid w:val="0"/>
        <w:spacing w:line="560" w:lineRule="exact"/>
        <w:ind w:firstLine="720"/>
        <w:jc w:val="left"/>
        <w:textAlignment w:val="auto"/>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en-US" w:eastAsia="zh-CN"/>
        </w:rPr>
        <w:t xml:space="preserve"> 财政</w:t>
      </w:r>
      <w:r>
        <w:rPr>
          <w:rFonts w:hint="eastAsia" w:ascii="仿宋_GB2312" w:eastAsia="仿宋_GB2312" w:cs="宋体"/>
          <w:color w:val="000000"/>
          <w:kern w:val="0"/>
          <w:sz w:val="32"/>
          <w:szCs w:val="32"/>
          <w:shd w:val="clear" w:color="auto" w:fill="FFFFFF"/>
          <w:lang w:val="zh-CN" w:eastAsia="zh-CN"/>
        </w:rPr>
        <w:t>代管资金</w:t>
      </w:r>
    </w:p>
    <w:p w14:paraId="301C4F8B">
      <w:pPr>
        <w:keepNext w:val="0"/>
        <w:keepLines w:val="0"/>
        <w:pageBreakBefore w:val="0"/>
        <w:widowControl w:val="0"/>
        <w:numPr>
          <w:ilvl w:val="0"/>
          <w:numId w:val="5"/>
        </w:numPr>
        <w:suppressAutoHyphens/>
        <w:kinsoku/>
        <w:wordWrap/>
        <w:overflowPunct/>
        <w:topLinePunct w:val="0"/>
        <w:autoSpaceDE/>
        <w:autoSpaceDN/>
        <w:bidi w:val="0"/>
        <w:spacing w:line="560" w:lineRule="exact"/>
        <w:jc w:val="left"/>
        <w:textAlignment w:val="auto"/>
        <w:rPr>
          <w:rFonts w:hint="eastAsia" w:ascii="Times New Roman" w:hAnsi="Times New Roman" w:eastAsia="仿宋_GB2312" w:cs="Times New Roman"/>
          <w:b/>
          <w:bCs/>
          <w:sz w:val="32"/>
          <w:szCs w:val="32"/>
          <w:highlight w:val="none"/>
          <w:lang w:val="zh-CN" w:eastAsia="zh-CN"/>
        </w:rPr>
      </w:pPr>
      <w:r>
        <w:rPr>
          <w:rFonts w:hint="eastAsia" w:ascii="Times New Roman" w:hAnsi="Times New Roman" w:eastAsia="仿宋_GB2312" w:cs="Times New Roman"/>
          <w:b/>
          <w:bCs/>
          <w:sz w:val="32"/>
          <w:szCs w:val="32"/>
          <w:highlight w:val="none"/>
          <w:lang w:val="zh-CN" w:eastAsia="zh-CN"/>
        </w:rPr>
        <w:t>项目绩效目标。</w:t>
      </w:r>
    </w:p>
    <w:p w14:paraId="7F2C94EF">
      <w:pPr>
        <w:keepNext w:val="0"/>
        <w:keepLines w:val="0"/>
        <w:pageBreakBefore w:val="0"/>
        <w:widowControl/>
        <w:suppressAutoHyphens/>
        <w:kinsoku/>
        <w:wordWrap/>
        <w:overflowPunct/>
        <w:topLinePunct w:val="0"/>
        <w:autoSpaceDE/>
        <w:autoSpaceDN/>
        <w:bidi w:val="0"/>
        <w:adjustRightInd w:val="0"/>
        <w:snapToGrid w:val="0"/>
        <w:spacing w:line="560" w:lineRule="exact"/>
        <w:ind w:firstLine="720"/>
        <w:jc w:val="left"/>
        <w:textAlignment w:val="auto"/>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en-US" w:eastAsia="zh-CN"/>
        </w:rPr>
        <w:t>维修维护并保障茂县工业园区给排水厂、道路、桥梁等基础设施正常运行，为企业正常运行提供要素保障；做好园区环境污染检测、安全生产等工作。</w:t>
      </w:r>
    </w:p>
    <w:p w14:paraId="4B51B97C">
      <w:pPr>
        <w:keepNext w:val="0"/>
        <w:keepLines w:val="0"/>
        <w:pageBreakBefore w:val="0"/>
        <w:widowControl w:val="0"/>
        <w:numPr>
          <w:ilvl w:val="0"/>
          <w:numId w:val="5"/>
        </w:numPr>
        <w:suppressAutoHyphens/>
        <w:kinsoku/>
        <w:wordWrap/>
        <w:overflowPunct/>
        <w:topLinePunct w:val="0"/>
        <w:autoSpaceDE/>
        <w:autoSpaceDN/>
        <w:bidi w:val="0"/>
        <w:spacing w:line="560" w:lineRule="exact"/>
        <w:jc w:val="left"/>
        <w:textAlignment w:val="auto"/>
        <w:rPr>
          <w:rFonts w:hint="eastAsia" w:ascii="Times New Roman" w:hAnsi="Times New Roman" w:eastAsia="仿宋_GB2312" w:cs="Times New Roman"/>
          <w:b/>
          <w:bCs/>
          <w:sz w:val="32"/>
          <w:szCs w:val="32"/>
          <w:highlight w:val="none"/>
          <w:lang w:val="zh-CN" w:eastAsia="zh-CN"/>
        </w:rPr>
      </w:pPr>
      <w:r>
        <w:rPr>
          <w:rFonts w:hint="eastAsia" w:ascii="Times New Roman" w:hAnsi="Times New Roman" w:eastAsia="仿宋_GB2312" w:cs="Times New Roman"/>
          <w:b/>
          <w:bCs/>
          <w:sz w:val="32"/>
          <w:szCs w:val="32"/>
          <w:highlight w:val="none"/>
          <w:lang w:val="zh-CN" w:eastAsia="zh-CN"/>
        </w:rPr>
        <w:t>项目资金申报相符性。</w:t>
      </w:r>
    </w:p>
    <w:p w14:paraId="574D8954">
      <w:pPr>
        <w:keepNext w:val="0"/>
        <w:keepLines w:val="0"/>
        <w:pageBreakBefore w:val="0"/>
        <w:widowControl/>
        <w:suppressAutoHyphens/>
        <w:kinsoku/>
        <w:wordWrap/>
        <w:overflowPunct/>
        <w:topLinePunct w:val="0"/>
        <w:autoSpaceDE/>
        <w:autoSpaceDN/>
        <w:bidi w:val="0"/>
        <w:adjustRightInd w:val="0"/>
        <w:snapToGrid w:val="0"/>
        <w:spacing w:line="560" w:lineRule="exact"/>
        <w:ind w:firstLine="720"/>
        <w:jc w:val="left"/>
        <w:textAlignment w:val="auto"/>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项目申报内容与具体实施内容相符、申报目标合理可行。</w:t>
      </w:r>
    </w:p>
    <w:p w14:paraId="5997F189">
      <w:pPr>
        <w:pStyle w:val="22"/>
        <w:keepNext w:val="0"/>
        <w:keepLines w:val="0"/>
        <w:pageBreakBefore w:val="0"/>
        <w:widowControl/>
        <w:shd w:val="clear" w:color="auto" w:fill="FFFFFF"/>
        <w:suppressAutoHyphens/>
        <w:kinsoku/>
        <w:wordWrap/>
        <w:overflowPunct/>
        <w:topLinePunct w:val="0"/>
        <w:autoSpaceDE/>
        <w:autoSpaceDN/>
        <w:bidi w:val="0"/>
        <w:spacing w:before="0" w:beforeAutospacing="0" w:after="0" w:afterAutospacing="0" w:line="560" w:lineRule="exact"/>
        <w:ind w:firstLine="723" w:firstLineChars="200"/>
        <w:textAlignment w:val="auto"/>
        <w:rPr>
          <w:rFonts w:hint="eastAsia" w:ascii="Times New Roman" w:hAnsi="Times New Roman" w:eastAsia="仿宋_GB2312" w:cs="Times New Roman"/>
          <w:b/>
          <w:bCs/>
          <w:color w:val="auto"/>
          <w:kern w:val="2"/>
          <w:sz w:val="36"/>
          <w:szCs w:val="36"/>
          <w:highlight w:val="none"/>
          <w:lang w:val="zh-CN" w:eastAsia="zh-CN" w:bidi="ar-SA"/>
        </w:rPr>
      </w:pPr>
      <w:r>
        <w:rPr>
          <w:rFonts w:hint="eastAsia" w:ascii="Times New Roman" w:hAnsi="Times New Roman" w:eastAsia="仿宋_GB2312" w:cs="Times New Roman"/>
          <w:b/>
          <w:bCs/>
          <w:color w:val="auto"/>
          <w:kern w:val="2"/>
          <w:sz w:val="36"/>
          <w:szCs w:val="36"/>
          <w:highlight w:val="none"/>
          <w:lang w:val="zh-CN" w:eastAsia="zh-CN" w:bidi="ar-SA"/>
        </w:rPr>
        <w:t>二、项目实施及管理情况</w:t>
      </w:r>
    </w:p>
    <w:p w14:paraId="1920A6AA">
      <w:pPr>
        <w:keepNext w:val="0"/>
        <w:keepLines w:val="0"/>
        <w:pageBreakBefore w:val="0"/>
        <w:widowControl w:val="0"/>
        <w:suppressAutoHyphens/>
        <w:kinsoku/>
        <w:wordWrap/>
        <w:overflowPunct/>
        <w:topLinePunct w:val="0"/>
        <w:autoSpaceDE/>
        <w:autoSpaceDN/>
        <w:bidi w:val="0"/>
        <w:spacing w:line="560" w:lineRule="exact"/>
        <w:ind w:left="0" w:firstLine="643" w:firstLineChars="200"/>
        <w:jc w:val="left"/>
        <w:textAlignment w:val="auto"/>
        <w:rPr>
          <w:rFonts w:hint="eastAsia" w:ascii="Times New Roman" w:hAnsi="Times New Roman" w:eastAsia="仿宋_GB2312" w:cs="Times New Roman"/>
          <w:b/>
          <w:bCs/>
          <w:sz w:val="32"/>
          <w:szCs w:val="32"/>
          <w:highlight w:val="none"/>
          <w:lang w:val="zh-CN" w:eastAsia="zh-CN"/>
        </w:rPr>
      </w:pPr>
      <w:r>
        <w:rPr>
          <w:rFonts w:hint="eastAsia" w:ascii="Times New Roman" w:hAnsi="Times New Roman" w:eastAsia="仿宋_GB2312" w:cs="Times New Roman"/>
          <w:b/>
          <w:bCs/>
          <w:sz w:val="32"/>
          <w:szCs w:val="32"/>
          <w:highlight w:val="none"/>
          <w:lang w:val="zh-CN" w:eastAsia="zh-CN"/>
        </w:rPr>
        <w:t>（一）资金计划、到位及使用情况。</w:t>
      </w:r>
    </w:p>
    <w:p w14:paraId="69B02288">
      <w:pPr>
        <w:keepNext w:val="0"/>
        <w:keepLines w:val="0"/>
        <w:pageBreakBefore w:val="0"/>
        <w:widowControl w:val="0"/>
        <w:suppressAutoHyphens/>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z w:val="32"/>
          <w:szCs w:val="32"/>
          <w:highlight w:val="none"/>
          <w:lang w:val="zh-CN" w:eastAsia="zh-CN"/>
        </w:rPr>
      </w:pPr>
      <w:r>
        <w:rPr>
          <w:rFonts w:hint="eastAsia" w:ascii="Times New Roman" w:hAnsi="Times New Roman" w:eastAsia="仿宋_GB2312" w:cs="Times New Roman"/>
          <w:sz w:val="32"/>
          <w:szCs w:val="32"/>
          <w:highlight w:val="none"/>
          <w:lang w:val="zh-CN" w:eastAsia="zh-CN"/>
        </w:rPr>
        <w:t>1．资金计划及到位</w:t>
      </w:r>
    </w:p>
    <w:p w14:paraId="6715DF8A">
      <w:pPr>
        <w:keepNext w:val="0"/>
        <w:keepLines w:val="0"/>
        <w:pageBreakBefore w:val="0"/>
        <w:widowControl/>
        <w:suppressAutoHyphens/>
        <w:kinsoku/>
        <w:wordWrap/>
        <w:overflowPunct/>
        <w:topLinePunct w:val="0"/>
        <w:autoSpaceDE/>
        <w:autoSpaceDN/>
        <w:bidi w:val="0"/>
        <w:adjustRightInd w:val="0"/>
        <w:snapToGrid w:val="0"/>
        <w:spacing w:line="560" w:lineRule="exact"/>
        <w:ind w:firstLine="720"/>
        <w:jc w:val="left"/>
        <w:textAlignment w:val="auto"/>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2023年共计到位资金90.62万元，截止目前共支付88.53万元，结余资金年度财政收回；</w:t>
      </w:r>
    </w:p>
    <w:p w14:paraId="33ECDBC0">
      <w:pPr>
        <w:keepNext w:val="0"/>
        <w:keepLines w:val="0"/>
        <w:pageBreakBefore w:val="0"/>
        <w:widowControl/>
        <w:suppressAutoHyphens/>
        <w:kinsoku/>
        <w:wordWrap/>
        <w:overflowPunct/>
        <w:topLinePunct w:val="0"/>
        <w:autoSpaceDE/>
        <w:autoSpaceDN/>
        <w:bidi w:val="0"/>
        <w:adjustRightInd w:val="0"/>
        <w:snapToGrid w:val="0"/>
        <w:spacing w:line="560" w:lineRule="exact"/>
        <w:ind w:firstLine="720"/>
        <w:jc w:val="left"/>
        <w:textAlignment w:val="auto"/>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zh-CN" w:eastAsia="zh-CN"/>
        </w:rPr>
        <w:t>2. 资金使用。</w:t>
      </w:r>
    </w:p>
    <w:p w14:paraId="4FC7110D">
      <w:pPr>
        <w:keepNext w:val="0"/>
        <w:keepLines w:val="0"/>
        <w:pageBreakBefore w:val="0"/>
        <w:widowControl/>
        <w:suppressAutoHyphens/>
        <w:kinsoku/>
        <w:wordWrap/>
        <w:overflowPunct/>
        <w:topLinePunct w:val="0"/>
        <w:autoSpaceDE/>
        <w:autoSpaceDN/>
        <w:bidi w:val="0"/>
        <w:adjustRightInd w:val="0"/>
        <w:snapToGrid w:val="0"/>
        <w:spacing w:line="560" w:lineRule="exact"/>
        <w:ind w:firstLine="720"/>
        <w:jc w:val="left"/>
        <w:textAlignment w:val="auto"/>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严格按照相关部门文件要求执行，专款专用，专项核算，没有列支与项目内容无关的费用。</w:t>
      </w:r>
    </w:p>
    <w:p w14:paraId="71AB4D34">
      <w:pPr>
        <w:keepNext w:val="0"/>
        <w:keepLines w:val="0"/>
        <w:pageBreakBefore w:val="0"/>
        <w:widowControl w:val="0"/>
        <w:suppressAutoHyphens/>
        <w:kinsoku/>
        <w:wordWrap/>
        <w:overflowPunct/>
        <w:topLinePunct w:val="0"/>
        <w:autoSpaceDE/>
        <w:autoSpaceDN/>
        <w:bidi w:val="0"/>
        <w:spacing w:line="560" w:lineRule="exact"/>
        <w:ind w:left="0" w:firstLine="643" w:firstLineChars="200"/>
        <w:jc w:val="left"/>
        <w:textAlignment w:val="auto"/>
        <w:rPr>
          <w:rFonts w:hint="eastAsia" w:ascii="Times New Roman" w:hAnsi="Times New Roman" w:eastAsia="仿宋_GB2312" w:cs="Times New Roman"/>
          <w:b/>
          <w:bCs/>
          <w:sz w:val="32"/>
          <w:szCs w:val="32"/>
          <w:highlight w:val="none"/>
          <w:lang w:val="zh-CN" w:eastAsia="zh-CN"/>
        </w:rPr>
      </w:pPr>
      <w:r>
        <w:rPr>
          <w:rFonts w:hint="eastAsia" w:ascii="Times New Roman" w:hAnsi="Times New Roman" w:eastAsia="仿宋_GB2312" w:cs="Times New Roman"/>
          <w:b/>
          <w:bCs/>
          <w:sz w:val="32"/>
          <w:szCs w:val="32"/>
          <w:highlight w:val="none"/>
          <w:lang w:val="zh-CN" w:eastAsia="zh-CN"/>
        </w:rPr>
        <w:t>（二）项目财务管理情况。</w:t>
      </w:r>
    </w:p>
    <w:p w14:paraId="2A2FF76A">
      <w:pPr>
        <w:keepNext w:val="0"/>
        <w:keepLines w:val="0"/>
        <w:pageBreakBefore w:val="0"/>
        <w:widowControl/>
        <w:suppressAutoHyphens/>
        <w:kinsoku/>
        <w:wordWrap/>
        <w:overflowPunct/>
        <w:topLinePunct w:val="0"/>
        <w:autoSpaceDE/>
        <w:autoSpaceDN/>
        <w:bidi w:val="0"/>
        <w:adjustRightInd w:val="0"/>
        <w:snapToGrid w:val="0"/>
        <w:spacing w:line="560" w:lineRule="exact"/>
        <w:ind w:firstLine="720"/>
        <w:jc w:val="left"/>
        <w:textAlignment w:val="auto"/>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zh-CN" w:eastAsia="zh-CN"/>
        </w:rPr>
        <w:t>项目资金实行专款专用，专项核算。费用支出是在完成项目后，签批报账。帐务处理及时，核算准确规范。</w:t>
      </w:r>
    </w:p>
    <w:p w14:paraId="17A34AF5">
      <w:pPr>
        <w:keepNext w:val="0"/>
        <w:keepLines w:val="0"/>
        <w:pageBreakBefore w:val="0"/>
        <w:widowControl w:val="0"/>
        <w:suppressAutoHyphens/>
        <w:kinsoku/>
        <w:wordWrap/>
        <w:overflowPunct/>
        <w:topLinePunct w:val="0"/>
        <w:autoSpaceDE/>
        <w:autoSpaceDN/>
        <w:bidi w:val="0"/>
        <w:spacing w:line="560" w:lineRule="exact"/>
        <w:ind w:left="0" w:firstLine="643" w:firstLineChars="200"/>
        <w:jc w:val="left"/>
        <w:textAlignment w:val="auto"/>
        <w:rPr>
          <w:rFonts w:hint="eastAsia" w:ascii="Times New Roman" w:hAnsi="Times New Roman" w:eastAsia="仿宋_GB2312" w:cs="Times New Roman"/>
          <w:b/>
          <w:bCs/>
          <w:sz w:val="32"/>
          <w:szCs w:val="32"/>
          <w:highlight w:val="none"/>
          <w:lang w:val="zh-CN" w:eastAsia="zh-CN"/>
        </w:rPr>
      </w:pPr>
      <w:r>
        <w:rPr>
          <w:rFonts w:hint="eastAsia" w:ascii="Times New Roman" w:hAnsi="Times New Roman" w:eastAsia="仿宋_GB2312" w:cs="Times New Roman"/>
          <w:b/>
          <w:bCs/>
          <w:sz w:val="32"/>
          <w:szCs w:val="32"/>
          <w:highlight w:val="none"/>
          <w:lang w:val="zh-CN" w:eastAsia="zh-CN"/>
        </w:rPr>
        <w:t>（三）项目组织实施情况。</w:t>
      </w:r>
    </w:p>
    <w:p w14:paraId="33650CB4">
      <w:pPr>
        <w:keepNext w:val="0"/>
        <w:keepLines w:val="0"/>
        <w:pageBreakBefore w:val="0"/>
        <w:widowControl/>
        <w:suppressAutoHyphens/>
        <w:kinsoku/>
        <w:wordWrap/>
        <w:overflowPunct/>
        <w:topLinePunct w:val="0"/>
        <w:autoSpaceDE/>
        <w:autoSpaceDN/>
        <w:bidi w:val="0"/>
        <w:adjustRightInd w:val="0"/>
        <w:snapToGrid w:val="0"/>
        <w:spacing w:line="560" w:lineRule="exact"/>
        <w:ind w:firstLine="720"/>
        <w:jc w:val="left"/>
        <w:textAlignment w:val="auto"/>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zh-CN" w:eastAsia="zh-CN"/>
        </w:rPr>
        <w:t>  为确保项目顺利实施，按照相关部门文件及资金管理办法的要求进行审定实施。</w:t>
      </w:r>
    </w:p>
    <w:p w14:paraId="560FF622">
      <w:pPr>
        <w:pStyle w:val="22"/>
        <w:keepNext w:val="0"/>
        <w:keepLines w:val="0"/>
        <w:pageBreakBefore w:val="0"/>
        <w:widowControl/>
        <w:shd w:val="clear" w:color="auto" w:fill="FFFFFF"/>
        <w:suppressAutoHyphens/>
        <w:kinsoku/>
        <w:wordWrap/>
        <w:overflowPunct/>
        <w:topLinePunct w:val="0"/>
        <w:autoSpaceDE/>
        <w:autoSpaceDN/>
        <w:bidi w:val="0"/>
        <w:spacing w:before="0" w:beforeAutospacing="0" w:after="0" w:afterAutospacing="0" w:line="560" w:lineRule="exact"/>
        <w:ind w:firstLine="723" w:firstLineChars="200"/>
        <w:textAlignment w:val="auto"/>
        <w:rPr>
          <w:rFonts w:hint="eastAsia" w:ascii="Times New Roman" w:hAnsi="Times New Roman" w:eastAsia="仿宋_GB2312" w:cs="Times New Roman"/>
          <w:b/>
          <w:bCs/>
          <w:color w:val="auto"/>
          <w:kern w:val="2"/>
          <w:sz w:val="36"/>
          <w:szCs w:val="36"/>
          <w:highlight w:val="none"/>
          <w:lang w:val="zh-CN" w:eastAsia="zh-CN" w:bidi="ar-SA"/>
        </w:rPr>
      </w:pPr>
      <w:r>
        <w:rPr>
          <w:rFonts w:hint="eastAsia" w:ascii="Times New Roman" w:hAnsi="Times New Roman" w:eastAsia="仿宋_GB2312" w:cs="Times New Roman"/>
          <w:b/>
          <w:bCs/>
          <w:color w:val="auto"/>
          <w:kern w:val="2"/>
          <w:sz w:val="36"/>
          <w:szCs w:val="36"/>
          <w:highlight w:val="none"/>
          <w:lang w:val="zh-CN" w:eastAsia="zh-CN" w:bidi="ar-SA"/>
        </w:rPr>
        <w:t>三、项目绩效情况</w:t>
      </w:r>
      <w:r>
        <w:rPr>
          <w:rFonts w:hint="eastAsia" w:ascii="Times New Roman" w:hAnsi="Times New Roman" w:eastAsia="仿宋_GB2312" w:cs="Times New Roman"/>
          <w:b/>
          <w:bCs/>
          <w:color w:val="auto"/>
          <w:kern w:val="2"/>
          <w:sz w:val="36"/>
          <w:szCs w:val="36"/>
          <w:highlight w:val="none"/>
          <w:lang w:val="zh-CN" w:eastAsia="zh-CN" w:bidi="ar-SA"/>
        </w:rPr>
        <w:tab/>
      </w:r>
    </w:p>
    <w:p w14:paraId="34C718C3">
      <w:pPr>
        <w:keepNext w:val="0"/>
        <w:keepLines w:val="0"/>
        <w:pageBreakBefore w:val="0"/>
        <w:widowControl/>
        <w:suppressAutoHyphens/>
        <w:kinsoku/>
        <w:wordWrap/>
        <w:overflowPunct/>
        <w:topLinePunct w:val="0"/>
        <w:autoSpaceDE/>
        <w:autoSpaceDN/>
        <w:bidi w:val="0"/>
        <w:adjustRightInd w:val="0"/>
        <w:snapToGrid w:val="0"/>
        <w:spacing w:line="560" w:lineRule="exact"/>
        <w:ind w:firstLine="720"/>
        <w:jc w:val="left"/>
        <w:textAlignment w:val="auto"/>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en-US" w:eastAsia="zh-CN"/>
        </w:rPr>
        <w:t xml:space="preserve">1. </w:t>
      </w:r>
      <w:r>
        <w:rPr>
          <w:rFonts w:hint="eastAsia" w:ascii="仿宋_GB2312" w:eastAsia="仿宋_GB2312" w:cs="宋体"/>
          <w:color w:val="000000"/>
          <w:kern w:val="0"/>
          <w:sz w:val="32"/>
          <w:szCs w:val="32"/>
          <w:shd w:val="clear" w:color="auto" w:fill="FFFFFF"/>
          <w:lang w:val="zh-CN" w:eastAsia="zh-CN"/>
        </w:rPr>
        <w:t>项目完成情况。</w:t>
      </w:r>
    </w:p>
    <w:p w14:paraId="19F05C36">
      <w:pPr>
        <w:keepNext w:val="0"/>
        <w:keepLines w:val="0"/>
        <w:pageBreakBefore w:val="0"/>
        <w:widowControl/>
        <w:suppressAutoHyphens/>
        <w:kinsoku/>
        <w:wordWrap/>
        <w:overflowPunct/>
        <w:topLinePunct w:val="0"/>
        <w:autoSpaceDE/>
        <w:autoSpaceDN/>
        <w:bidi w:val="0"/>
        <w:adjustRightInd w:val="0"/>
        <w:snapToGrid w:val="0"/>
        <w:spacing w:line="560" w:lineRule="exact"/>
        <w:ind w:firstLine="720"/>
        <w:jc w:val="left"/>
        <w:textAlignment w:val="auto"/>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zh-CN" w:eastAsia="zh-CN"/>
        </w:rPr>
        <w:t>20</w:t>
      </w:r>
      <w:r>
        <w:rPr>
          <w:rFonts w:hint="eastAsia" w:ascii="仿宋_GB2312" w:eastAsia="仿宋_GB2312" w:cs="宋体"/>
          <w:color w:val="000000"/>
          <w:kern w:val="0"/>
          <w:sz w:val="32"/>
          <w:szCs w:val="32"/>
          <w:shd w:val="clear" w:color="auto" w:fill="FFFFFF"/>
          <w:lang w:val="en-US" w:eastAsia="zh-CN"/>
        </w:rPr>
        <w:t>23</w:t>
      </w:r>
      <w:r>
        <w:rPr>
          <w:rFonts w:hint="eastAsia" w:ascii="仿宋_GB2312" w:eastAsia="仿宋_GB2312" w:cs="宋体"/>
          <w:color w:val="000000"/>
          <w:kern w:val="0"/>
          <w:sz w:val="32"/>
          <w:szCs w:val="32"/>
          <w:shd w:val="clear" w:color="auto" w:fill="FFFFFF"/>
          <w:lang w:val="zh-CN" w:eastAsia="zh-CN"/>
        </w:rPr>
        <w:t>年我中心严格按照相关部门文件的要求做好了预算编制、指标安排等相关工作。该项目用于茂县工业园区团结给水工程水资源论证证书编制、取水验收工作报告编制，取水在线监测系统建设、槽木集中区污水处理厂改造恢复及保证园区的正常运行等。</w:t>
      </w:r>
    </w:p>
    <w:p w14:paraId="22E102AC">
      <w:pPr>
        <w:keepNext w:val="0"/>
        <w:keepLines w:val="0"/>
        <w:pageBreakBefore w:val="0"/>
        <w:widowControl/>
        <w:suppressAutoHyphens/>
        <w:kinsoku/>
        <w:wordWrap/>
        <w:overflowPunct/>
        <w:topLinePunct w:val="0"/>
        <w:autoSpaceDE/>
        <w:autoSpaceDN/>
        <w:bidi w:val="0"/>
        <w:adjustRightInd w:val="0"/>
        <w:snapToGrid w:val="0"/>
        <w:spacing w:line="560" w:lineRule="exact"/>
        <w:ind w:firstLine="720"/>
        <w:jc w:val="left"/>
        <w:textAlignment w:val="auto"/>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en-US" w:eastAsia="zh-CN"/>
        </w:rPr>
        <w:t>2.</w:t>
      </w:r>
      <w:r>
        <w:rPr>
          <w:rFonts w:hint="eastAsia" w:ascii="仿宋_GB2312" w:eastAsia="仿宋_GB2312" w:cs="宋体"/>
          <w:color w:val="000000"/>
          <w:kern w:val="0"/>
          <w:sz w:val="32"/>
          <w:szCs w:val="32"/>
          <w:shd w:val="clear" w:color="auto" w:fill="FFFFFF"/>
          <w:lang w:val="zh-CN" w:eastAsia="zh-CN"/>
        </w:rPr>
        <w:t>项目效益情况。</w:t>
      </w:r>
    </w:p>
    <w:p w14:paraId="3C88FFFC">
      <w:pPr>
        <w:keepNext w:val="0"/>
        <w:keepLines w:val="0"/>
        <w:pageBreakBefore w:val="0"/>
        <w:widowControl/>
        <w:suppressAutoHyphens/>
        <w:kinsoku/>
        <w:wordWrap/>
        <w:overflowPunct/>
        <w:topLinePunct w:val="0"/>
        <w:autoSpaceDE/>
        <w:autoSpaceDN/>
        <w:bidi w:val="0"/>
        <w:adjustRightInd w:val="0"/>
        <w:snapToGrid w:val="0"/>
        <w:spacing w:line="560" w:lineRule="exact"/>
        <w:ind w:firstLine="720"/>
        <w:jc w:val="left"/>
        <w:textAlignment w:val="auto"/>
        <w:rPr>
          <w:rFonts w:hint="eastAsia" w:ascii="仿宋_GB2312" w:eastAsia="仿宋_GB2312" w:cs="宋体"/>
          <w:color w:val="000000"/>
          <w:kern w:val="0"/>
          <w:sz w:val="32"/>
          <w:szCs w:val="32"/>
          <w:shd w:val="clear" w:color="auto" w:fill="FFFFFF"/>
          <w:lang w:val="zh-CN" w:eastAsia="zh-CN"/>
        </w:rPr>
      </w:pPr>
      <w:r>
        <w:rPr>
          <w:rFonts w:hint="eastAsia" w:ascii="仿宋_GB2312" w:eastAsia="仿宋_GB2312" w:cs="宋体"/>
          <w:color w:val="000000"/>
          <w:kern w:val="0"/>
          <w:sz w:val="32"/>
          <w:szCs w:val="32"/>
          <w:shd w:val="clear" w:color="auto" w:fill="FFFFFF"/>
          <w:lang w:val="zh-CN" w:eastAsia="zh-CN"/>
        </w:rPr>
        <w:t>确保了园区各企业正常生产、生活运转。</w:t>
      </w:r>
    </w:p>
    <w:p w14:paraId="402C096B">
      <w:pPr>
        <w:pStyle w:val="22"/>
        <w:keepNext w:val="0"/>
        <w:keepLines w:val="0"/>
        <w:pageBreakBefore w:val="0"/>
        <w:widowControl/>
        <w:shd w:val="clear" w:color="auto" w:fill="FFFFFF"/>
        <w:suppressAutoHyphens/>
        <w:kinsoku/>
        <w:wordWrap/>
        <w:overflowPunct/>
        <w:topLinePunct w:val="0"/>
        <w:autoSpaceDE/>
        <w:autoSpaceDN/>
        <w:bidi w:val="0"/>
        <w:spacing w:before="0" w:beforeAutospacing="0" w:after="0" w:afterAutospacing="0" w:line="560" w:lineRule="exact"/>
        <w:ind w:firstLine="723" w:firstLineChars="200"/>
        <w:textAlignment w:val="auto"/>
        <w:rPr>
          <w:rFonts w:hint="eastAsia" w:ascii="Times New Roman" w:hAnsi="Times New Roman" w:eastAsia="仿宋_GB2312" w:cs="Times New Roman"/>
          <w:b/>
          <w:bCs/>
          <w:color w:val="auto"/>
          <w:kern w:val="2"/>
          <w:sz w:val="36"/>
          <w:szCs w:val="36"/>
          <w:highlight w:val="none"/>
          <w:lang w:val="zh-CN" w:eastAsia="zh-CN" w:bidi="ar-SA"/>
        </w:rPr>
      </w:pPr>
      <w:r>
        <w:rPr>
          <w:rFonts w:hint="eastAsia" w:ascii="Times New Roman" w:hAnsi="Times New Roman" w:eastAsia="仿宋_GB2312" w:cs="Times New Roman"/>
          <w:b/>
          <w:bCs/>
          <w:color w:val="auto"/>
          <w:kern w:val="2"/>
          <w:sz w:val="36"/>
          <w:szCs w:val="36"/>
          <w:highlight w:val="none"/>
          <w:lang w:val="zh-CN" w:eastAsia="zh-CN" w:bidi="ar-SA"/>
        </w:rPr>
        <w:t>四、问题及建议</w:t>
      </w:r>
    </w:p>
    <w:p w14:paraId="51C0AC14">
      <w:pPr>
        <w:keepNext w:val="0"/>
        <w:keepLines w:val="0"/>
        <w:pageBreakBefore w:val="0"/>
        <w:widowControl w:val="0"/>
        <w:suppressAutoHyphens/>
        <w:kinsoku/>
        <w:wordWrap/>
        <w:overflowPunct/>
        <w:topLinePunct w:val="0"/>
        <w:autoSpaceDE/>
        <w:autoSpaceDN/>
        <w:bidi w:val="0"/>
        <w:spacing w:line="560" w:lineRule="exact"/>
        <w:ind w:left="0" w:firstLine="643" w:firstLineChars="200"/>
        <w:jc w:val="left"/>
        <w:textAlignment w:val="auto"/>
        <w:rPr>
          <w:rFonts w:hint="eastAsia" w:ascii="Times New Roman" w:hAnsi="Times New Roman" w:eastAsia="仿宋_GB2312" w:cs="Times New Roman"/>
          <w:b/>
          <w:bCs/>
          <w:sz w:val="32"/>
          <w:szCs w:val="32"/>
          <w:highlight w:val="none"/>
          <w:lang w:val="zh-CN" w:eastAsia="zh-CN"/>
        </w:rPr>
      </w:pPr>
      <w:r>
        <w:rPr>
          <w:rFonts w:hint="eastAsia" w:ascii="Times New Roman" w:hAnsi="Times New Roman" w:eastAsia="仿宋_GB2312" w:cs="Times New Roman"/>
          <w:b/>
          <w:bCs/>
          <w:sz w:val="32"/>
          <w:szCs w:val="32"/>
          <w:highlight w:val="none"/>
          <w:lang w:val="zh-CN" w:eastAsia="zh-CN"/>
        </w:rPr>
        <w:t>（一）存在的问题。</w:t>
      </w:r>
    </w:p>
    <w:p w14:paraId="084173EC">
      <w:pPr>
        <w:keepNext w:val="0"/>
        <w:keepLines w:val="0"/>
        <w:pageBreakBefore w:val="0"/>
        <w:widowControl/>
        <w:suppressAutoHyphens/>
        <w:kinsoku/>
        <w:wordWrap/>
        <w:overflowPunct/>
        <w:topLinePunct w:val="0"/>
        <w:autoSpaceDE/>
        <w:autoSpaceDN/>
        <w:bidi w:val="0"/>
        <w:adjustRightInd w:val="0"/>
        <w:snapToGrid w:val="0"/>
        <w:spacing w:line="560" w:lineRule="exact"/>
        <w:ind w:firstLine="720"/>
        <w:jc w:val="left"/>
        <w:textAlignment w:val="auto"/>
        <w:rPr>
          <w:rFonts w:hint="eastAsia" w:ascii="仿宋_GB2312" w:eastAsia="仿宋_GB2312" w:cs="宋体"/>
          <w:color w:val="000000"/>
          <w:kern w:val="0"/>
          <w:sz w:val="32"/>
          <w:szCs w:val="32"/>
          <w:shd w:val="clear" w:color="auto" w:fill="FFFFFF"/>
          <w:lang w:val="en-US" w:eastAsia="zh-CN"/>
        </w:rPr>
      </w:pPr>
      <w:r>
        <w:rPr>
          <w:rFonts w:hint="eastAsia" w:ascii="仿宋_GB2312" w:eastAsia="仿宋_GB2312" w:cs="宋体"/>
          <w:color w:val="000000"/>
          <w:kern w:val="0"/>
          <w:sz w:val="32"/>
          <w:szCs w:val="32"/>
          <w:shd w:val="clear" w:color="auto" w:fill="FFFFFF"/>
          <w:lang w:val="en-US" w:eastAsia="zh-CN"/>
        </w:rPr>
        <w:t xml:space="preserve"> 无</w:t>
      </w:r>
    </w:p>
    <w:p w14:paraId="50E78637">
      <w:pPr>
        <w:pStyle w:val="8"/>
        <w:keepNext w:val="0"/>
        <w:keepLines w:val="0"/>
        <w:pageBreakBefore w:val="0"/>
        <w:widowControl w:val="0"/>
        <w:suppressAutoHyphens/>
        <w:kinsoku/>
        <w:wordWrap/>
        <w:overflowPunct/>
        <w:topLinePunct w:val="0"/>
        <w:autoSpaceDE/>
        <w:autoSpaceDN/>
        <w:bidi w:val="0"/>
        <w:spacing w:line="560" w:lineRule="exact"/>
        <w:textAlignment w:val="auto"/>
        <w:rPr>
          <w:rFonts w:hint="eastAsia" w:cs="Times New Roman"/>
          <w:color w:val="auto"/>
          <w:sz w:val="32"/>
          <w:szCs w:val="32"/>
          <w:highlight w:val="none"/>
          <w:lang w:val="zh-CN" w:eastAsia="zh-CN"/>
        </w:rPr>
      </w:pPr>
    </w:p>
    <w:p w14:paraId="75006927">
      <w:pPr>
        <w:pStyle w:val="8"/>
        <w:keepNext w:val="0"/>
        <w:keepLines w:val="0"/>
        <w:pageBreakBefore w:val="0"/>
        <w:widowControl w:val="0"/>
        <w:suppressAutoHyphens/>
        <w:kinsoku/>
        <w:wordWrap/>
        <w:overflowPunct/>
        <w:topLinePunct w:val="0"/>
        <w:autoSpaceDE/>
        <w:autoSpaceDN/>
        <w:bidi w:val="0"/>
        <w:spacing w:line="560" w:lineRule="exact"/>
        <w:ind w:left="0" w:leftChars="0" w:firstLine="602" w:firstLineChars="200"/>
        <w:textAlignment w:val="auto"/>
        <w:rPr>
          <w:rFonts w:hint="eastAsia" w:ascii="黑体" w:eastAsia="黑体" w:cs="黑体"/>
          <w:b/>
          <w:bCs/>
          <w:i w:val="0"/>
          <w:iCs w:val="0"/>
          <w:color w:val="000000"/>
          <w:kern w:val="0"/>
          <w:sz w:val="30"/>
          <w:szCs w:val="30"/>
          <w:u w:val="none"/>
          <w:lang w:val="en-US" w:eastAsia="zh-CN"/>
        </w:rPr>
        <w:sectPr>
          <w:footerReference r:id="rId7" w:type="default"/>
          <w:pgSz w:w="11906" w:h="16838"/>
          <w:pgMar w:top="1440" w:right="1800" w:bottom="1440" w:left="1800" w:header="720" w:footer="720" w:gutter="0"/>
          <w:pgNumType w:start="1"/>
          <w:cols w:space="720" w:num="1"/>
          <w:docGrid w:type="lines" w:linePitch="312" w:charSpace="0"/>
        </w:sectPr>
      </w:pPr>
      <w:bookmarkStart w:id="44" w:name="_Toc15396618"/>
    </w:p>
    <w:tbl>
      <w:tblPr>
        <w:tblStyle w:val="13"/>
        <w:tblW w:w="144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0"/>
        <w:gridCol w:w="2300"/>
        <w:gridCol w:w="1770"/>
        <w:gridCol w:w="2370"/>
        <w:gridCol w:w="525"/>
        <w:gridCol w:w="1680"/>
        <w:gridCol w:w="525"/>
        <w:gridCol w:w="1095"/>
        <w:gridCol w:w="510"/>
        <w:gridCol w:w="576"/>
        <w:gridCol w:w="2520"/>
      </w:tblGrid>
      <w:tr w14:paraId="5AA55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130" w:type="dxa"/>
            <w:gridSpan w:val="4"/>
            <w:tcBorders>
              <w:top w:val="nil"/>
              <w:left w:val="nil"/>
              <w:bottom w:val="nil"/>
              <w:right w:val="nil"/>
            </w:tcBorders>
            <w:noWrap/>
            <w:vAlign w:val="center"/>
          </w:tcPr>
          <w:p w14:paraId="10F460FB">
            <w:pPr>
              <w:pStyle w:val="8"/>
              <w:keepNext w:val="0"/>
              <w:keepLines w:val="0"/>
              <w:pageBreakBefore w:val="0"/>
              <w:widowControl w:val="0"/>
              <w:suppressAutoHyphens/>
              <w:kinsoku/>
              <w:wordWrap/>
              <w:overflowPunct/>
              <w:topLinePunct w:val="0"/>
              <w:autoSpaceDE/>
              <w:autoSpaceDN/>
              <w:bidi w:val="0"/>
              <w:spacing w:line="560" w:lineRule="exact"/>
              <w:ind w:left="0" w:leftChars="0" w:firstLine="0" w:firstLineChars="0"/>
              <w:textAlignment w:val="auto"/>
              <w:rPr>
                <w:rFonts w:hint="eastAsia" w:cs="Times New Roman"/>
                <w:color w:val="auto"/>
                <w:sz w:val="32"/>
                <w:szCs w:val="32"/>
                <w:highlight w:val="none"/>
                <w:lang w:val="zh-CN" w:eastAsia="zh-CN"/>
              </w:rPr>
            </w:pPr>
            <w:r>
              <w:rPr>
                <w:rFonts w:hint="eastAsia" w:cs="Times New Roman"/>
                <w:color w:val="auto"/>
                <w:sz w:val="32"/>
                <w:szCs w:val="32"/>
                <w:highlight w:val="none"/>
                <w:lang w:val="zh-CN" w:eastAsia="zh-CN"/>
              </w:rPr>
              <w:t>附表：</w:t>
            </w:r>
            <w:r>
              <w:rPr>
                <w:rFonts w:hint="eastAsia" w:cs="Times New Roman"/>
                <w:color w:val="auto"/>
                <w:sz w:val="32"/>
                <w:szCs w:val="32"/>
                <w:highlight w:val="none"/>
                <w:lang w:val="en-US" w:eastAsia="zh-CN"/>
              </w:rPr>
              <w:t>部门预算项目支出绩效自评表（2023年度）</w:t>
            </w:r>
          </w:p>
          <w:p w14:paraId="52136765">
            <w:pPr>
              <w:keepNext w:val="0"/>
              <w:keepLines w:val="0"/>
              <w:widowControl/>
              <w:suppressLineNumbers w:val="0"/>
              <w:suppressAutoHyphens/>
              <w:jc w:val="left"/>
              <w:textAlignment w:val="center"/>
              <w:rPr>
                <w:rFonts w:ascii="宋体" w:eastAsia="宋体" w:cs="宋体"/>
                <w:i w:val="0"/>
                <w:iCs w:val="0"/>
                <w:color w:val="C0C0C0"/>
                <w:kern w:val="0"/>
                <w:sz w:val="20"/>
                <w:szCs w:val="20"/>
                <w:u w:val="none"/>
                <w:lang w:val="en-US" w:eastAsia="zh-CN"/>
              </w:rPr>
            </w:pPr>
          </w:p>
          <w:p w14:paraId="31574E49">
            <w:pPr>
              <w:keepNext w:val="0"/>
              <w:keepLines w:val="0"/>
              <w:widowControl/>
              <w:suppressLineNumbers w:val="0"/>
              <w:suppressAutoHyphens/>
              <w:jc w:val="left"/>
              <w:textAlignment w:val="center"/>
              <w:rPr>
                <w:rFonts w:ascii="宋体" w:eastAsia="宋体" w:cs="宋体"/>
                <w:i w:val="0"/>
                <w:iCs w:val="0"/>
                <w:color w:val="C0C0C0"/>
                <w:sz w:val="20"/>
                <w:szCs w:val="20"/>
                <w:u w:val="none"/>
              </w:rPr>
            </w:pPr>
            <w:r>
              <w:rPr>
                <w:rFonts w:ascii="宋体" w:eastAsia="宋体" w:cs="宋体"/>
                <w:i w:val="0"/>
                <w:iCs w:val="0"/>
                <w:color w:val="C0C0C0"/>
                <w:kern w:val="0"/>
                <w:sz w:val="20"/>
                <w:szCs w:val="20"/>
                <w:u w:val="none"/>
                <w:lang w:val="en-US" w:eastAsia="zh-CN"/>
              </w:rPr>
              <w:t>报表编号：510000_0013zp</w:t>
            </w:r>
          </w:p>
        </w:tc>
        <w:tc>
          <w:tcPr>
            <w:tcW w:w="525" w:type="dxa"/>
            <w:tcBorders>
              <w:top w:val="nil"/>
              <w:left w:val="nil"/>
              <w:bottom w:val="nil"/>
              <w:right w:val="nil"/>
            </w:tcBorders>
            <w:noWrap/>
            <w:vAlign w:val="center"/>
          </w:tcPr>
          <w:p w14:paraId="3C64381E">
            <w:pPr>
              <w:rPr>
                <w:rFonts w:hint="eastAsia" w:ascii="宋体" w:eastAsia="宋体" w:cs="宋体"/>
                <w:i w:val="0"/>
                <w:iCs w:val="0"/>
                <w:color w:val="000000"/>
                <w:sz w:val="22"/>
                <w:szCs w:val="22"/>
                <w:u w:val="none"/>
              </w:rPr>
            </w:pPr>
          </w:p>
        </w:tc>
        <w:tc>
          <w:tcPr>
            <w:tcW w:w="3300" w:type="dxa"/>
            <w:gridSpan w:val="3"/>
            <w:tcBorders>
              <w:top w:val="nil"/>
              <w:left w:val="nil"/>
              <w:bottom w:val="nil"/>
              <w:right w:val="nil"/>
            </w:tcBorders>
            <w:noWrap/>
            <w:vAlign w:val="center"/>
          </w:tcPr>
          <w:p w14:paraId="48C8FE18">
            <w:pPr>
              <w:rPr>
                <w:rFonts w:hint="eastAsia" w:ascii="宋体" w:eastAsia="宋体" w:cs="宋体"/>
                <w:i w:val="0"/>
                <w:iCs w:val="0"/>
                <w:color w:val="000000"/>
                <w:sz w:val="20"/>
                <w:szCs w:val="20"/>
                <w:u w:val="none"/>
              </w:rPr>
            </w:pPr>
          </w:p>
        </w:tc>
        <w:tc>
          <w:tcPr>
            <w:tcW w:w="510" w:type="dxa"/>
            <w:tcBorders>
              <w:top w:val="nil"/>
              <w:left w:val="nil"/>
              <w:bottom w:val="nil"/>
              <w:right w:val="nil"/>
            </w:tcBorders>
            <w:noWrap/>
            <w:vAlign w:val="center"/>
          </w:tcPr>
          <w:p w14:paraId="753E926D">
            <w:pPr>
              <w:rPr>
                <w:rFonts w:hint="eastAsia" w:ascii="宋体" w:eastAsia="宋体" w:cs="宋体"/>
                <w:i w:val="0"/>
                <w:iCs w:val="0"/>
                <w:color w:val="000000"/>
                <w:sz w:val="22"/>
                <w:szCs w:val="22"/>
                <w:u w:val="none"/>
              </w:rPr>
            </w:pPr>
          </w:p>
        </w:tc>
        <w:tc>
          <w:tcPr>
            <w:tcW w:w="450" w:type="dxa"/>
            <w:tcBorders>
              <w:top w:val="nil"/>
              <w:left w:val="nil"/>
              <w:bottom w:val="nil"/>
              <w:right w:val="nil"/>
            </w:tcBorders>
            <w:noWrap/>
            <w:vAlign w:val="center"/>
          </w:tcPr>
          <w:p w14:paraId="60106E7D">
            <w:pPr>
              <w:rPr>
                <w:rFonts w:hint="eastAsia" w:ascii="宋体" w:eastAsia="宋体" w:cs="宋体"/>
                <w:i w:val="0"/>
                <w:iCs w:val="0"/>
                <w:color w:val="000000"/>
                <w:sz w:val="22"/>
                <w:szCs w:val="22"/>
                <w:u w:val="none"/>
              </w:rPr>
            </w:pPr>
          </w:p>
        </w:tc>
        <w:tc>
          <w:tcPr>
            <w:tcW w:w="2520" w:type="dxa"/>
            <w:tcBorders>
              <w:top w:val="nil"/>
              <w:left w:val="nil"/>
              <w:bottom w:val="nil"/>
              <w:right w:val="nil"/>
            </w:tcBorders>
            <w:noWrap/>
            <w:vAlign w:val="center"/>
          </w:tcPr>
          <w:p w14:paraId="1B217D52">
            <w:pPr>
              <w:rPr>
                <w:rFonts w:hint="eastAsia" w:ascii="宋体" w:eastAsia="宋体" w:cs="宋体"/>
                <w:i w:val="0"/>
                <w:iCs w:val="0"/>
                <w:color w:val="000000"/>
                <w:sz w:val="22"/>
                <w:szCs w:val="22"/>
                <w:u w:val="none"/>
              </w:rPr>
            </w:pPr>
          </w:p>
        </w:tc>
      </w:tr>
      <w:tr w14:paraId="28C2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435" w:type="dxa"/>
            <w:gridSpan w:val="11"/>
            <w:tcBorders>
              <w:top w:val="single" w:color="000000" w:sz="4" w:space="0"/>
              <w:left w:val="single" w:color="000000" w:sz="4" w:space="0"/>
              <w:bottom w:val="single" w:color="000000" w:sz="4" w:space="0"/>
              <w:right w:val="single" w:color="000000" w:sz="4" w:space="0"/>
            </w:tcBorders>
            <w:noWrap/>
            <w:vAlign w:val="center"/>
          </w:tcPr>
          <w:p w14:paraId="4347C404">
            <w:pPr>
              <w:keepNext w:val="0"/>
              <w:keepLines w:val="0"/>
              <w:widowControl/>
              <w:suppressLineNumbers w:val="0"/>
              <w:suppressAutoHyphens/>
              <w:jc w:val="center"/>
              <w:textAlignment w:val="center"/>
              <w:rPr>
                <w:rFonts w:ascii="黑体" w:eastAsia="黑体" w:cs="黑体"/>
                <w:b/>
                <w:bCs/>
                <w:i w:val="0"/>
                <w:iCs w:val="0"/>
                <w:color w:val="000000"/>
                <w:sz w:val="30"/>
                <w:szCs w:val="30"/>
                <w:u w:val="none"/>
              </w:rPr>
            </w:pPr>
            <w:r>
              <w:rPr>
                <w:rFonts w:hint="eastAsia" w:ascii="黑体" w:eastAsia="黑体" w:cs="黑体"/>
                <w:b/>
                <w:bCs/>
                <w:i w:val="0"/>
                <w:iCs w:val="0"/>
                <w:color w:val="000000"/>
                <w:kern w:val="0"/>
                <w:sz w:val="30"/>
                <w:szCs w:val="30"/>
                <w:u w:val="none"/>
                <w:lang w:val="en-US" w:eastAsia="zh-CN"/>
              </w:rPr>
              <w:t>部门预算项目支出绩效自评表（2023年度）</w:t>
            </w:r>
          </w:p>
        </w:tc>
      </w:tr>
      <w:tr w14:paraId="681BE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90" w:type="dxa"/>
            <w:gridSpan w:val="2"/>
            <w:tcBorders>
              <w:top w:val="single" w:color="000000" w:sz="4" w:space="0"/>
              <w:left w:val="single" w:color="000000" w:sz="4" w:space="0"/>
              <w:bottom w:val="single" w:color="000000" w:sz="4" w:space="0"/>
              <w:right w:val="single" w:color="000000" w:sz="4" w:space="0"/>
            </w:tcBorders>
            <w:noWrap/>
            <w:vAlign w:val="center"/>
          </w:tcPr>
          <w:p w14:paraId="44336418">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项目名称</w:t>
            </w:r>
          </w:p>
        </w:tc>
        <w:tc>
          <w:tcPr>
            <w:tcW w:w="11445" w:type="dxa"/>
            <w:gridSpan w:val="9"/>
            <w:tcBorders>
              <w:top w:val="single" w:color="000000" w:sz="4" w:space="0"/>
              <w:left w:val="single" w:color="000000" w:sz="4" w:space="0"/>
              <w:bottom w:val="single" w:color="000000" w:sz="4" w:space="0"/>
              <w:right w:val="single" w:color="000000" w:sz="4" w:space="0"/>
            </w:tcBorders>
            <w:noWrap/>
            <w:vAlign w:val="center"/>
          </w:tcPr>
          <w:p w14:paraId="3CA903C1">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51322323T000008718453</w:t>
            </w:r>
            <w:r>
              <w:rPr>
                <w:rFonts w:hint="eastAsia" w:ascii="宋体" w:cs="宋体"/>
                <w:i w:val="0"/>
                <w:iCs w:val="0"/>
                <w:color w:val="000000"/>
                <w:kern w:val="0"/>
                <w:sz w:val="18"/>
                <w:szCs w:val="18"/>
                <w:u w:val="none"/>
                <w:lang w:val="en-US" w:eastAsia="zh-CN"/>
              </w:rPr>
              <w:t>－</w:t>
            </w:r>
            <w:r>
              <w:rPr>
                <w:rFonts w:ascii="宋体" w:eastAsia="宋体" w:cs="宋体"/>
                <w:i w:val="0"/>
                <w:iCs w:val="0"/>
                <w:color w:val="000000"/>
                <w:kern w:val="0"/>
                <w:sz w:val="18"/>
                <w:szCs w:val="18"/>
                <w:u w:val="none"/>
                <w:lang w:val="en-US" w:eastAsia="zh-CN"/>
              </w:rPr>
              <w:t>阿坝工业园区茂县集中区、茂县工业园区规划环境影响评价编制</w:t>
            </w:r>
          </w:p>
        </w:tc>
      </w:tr>
      <w:tr w14:paraId="0EE5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990" w:type="dxa"/>
            <w:gridSpan w:val="2"/>
            <w:tcBorders>
              <w:top w:val="single" w:color="000000" w:sz="4" w:space="0"/>
              <w:left w:val="single" w:color="000000" w:sz="4" w:space="0"/>
              <w:bottom w:val="single" w:color="000000" w:sz="4" w:space="0"/>
              <w:right w:val="single" w:color="000000" w:sz="4" w:space="0"/>
            </w:tcBorders>
            <w:noWrap/>
            <w:vAlign w:val="center"/>
          </w:tcPr>
          <w:p w14:paraId="3F39E6A8">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主管部门</w:t>
            </w:r>
          </w:p>
        </w:tc>
        <w:tc>
          <w:tcPr>
            <w:tcW w:w="6870" w:type="dxa"/>
            <w:gridSpan w:val="5"/>
            <w:tcBorders>
              <w:top w:val="single" w:color="000000" w:sz="4" w:space="0"/>
              <w:left w:val="single" w:color="000000" w:sz="4" w:space="0"/>
              <w:bottom w:val="single" w:color="000000" w:sz="4" w:space="0"/>
              <w:right w:val="single" w:color="000000" w:sz="4" w:space="0"/>
            </w:tcBorders>
            <w:noWrap/>
            <w:vAlign w:val="center"/>
          </w:tcPr>
          <w:p w14:paraId="3D49FE17">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茂县工业服务中心本级</w:t>
            </w:r>
          </w:p>
        </w:tc>
        <w:tc>
          <w:tcPr>
            <w:tcW w:w="1095" w:type="dxa"/>
            <w:tcBorders>
              <w:top w:val="nil"/>
              <w:left w:val="nil"/>
              <w:bottom w:val="nil"/>
              <w:right w:val="nil"/>
            </w:tcBorders>
            <w:noWrap/>
            <w:vAlign w:val="center"/>
          </w:tcPr>
          <w:p w14:paraId="79316755">
            <w:pPr>
              <w:keepNext w:val="0"/>
              <w:keepLines w:val="0"/>
              <w:widowControl/>
              <w:suppressLineNumbers w:val="0"/>
              <w:suppressAutoHyphens/>
              <w:jc w:val="left"/>
              <w:textAlignment w:val="center"/>
              <w:rPr>
                <w:rFonts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实施单位 （盖章）</w:t>
            </w:r>
          </w:p>
        </w:tc>
        <w:tc>
          <w:tcPr>
            <w:tcW w:w="3480" w:type="dxa"/>
            <w:gridSpan w:val="3"/>
            <w:tcBorders>
              <w:top w:val="single" w:color="000000" w:sz="4" w:space="0"/>
              <w:left w:val="single" w:color="000000" w:sz="4" w:space="0"/>
              <w:bottom w:val="single" w:color="000000" w:sz="4" w:space="0"/>
              <w:right w:val="single" w:color="000000" w:sz="4" w:space="0"/>
            </w:tcBorders>
            <w:noWrap/>
            <w:vAlign w:val="center"/>
          </w:tcPr>
          <w:p w14:paraId="751BE0FD">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茂县工业服务中心</w:t>
            </w:r>
          </w:p>
        </w:tc>
      </w:tr>
      <w:tr w14:paraId="2239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restart"/>
            <w:tcBorders>
              <w:top w:val="single" w:color="000000" w:sz="4" w:space="0"/>
              <w:left w:val="single" w:color="000000" w:sz="4" w:space="0"/>
              <w:bottom w:val="single" w:color="000000" w:sz="4" w:space="0"/>
              <w:right w:val="single" w:color="000000" w:sz="4" w:space="0"/>
            </w:tcBorders>
            <w:noWrap/>
            <w:vAlign w:val="center"/>
          </w:tcPr>
          <w:p w14:paraId="6D42CE41">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项目基本情况</w:t>
            </w:r>
          </w:p>
        </w:tc>
        <w:tc>
          <w:tcPr>
            <w:tcW w:w="2300" w:type="dxa"/>
            <w:vMerge w:val="restart"/>
            <w:tcBorders>
              <w:top w:val="single" w:color="000000" w:sz="4" w:space="0"/>
              <w:left w:val="single" w:color="000000" w:sz="4" w:space="0"/>
              <w:bottom w:val="single" w:color="000000" w:sz="4" w:space="0"/>
              <w:right w:val="single" w:color="000000" w:sz="4" w:space="0"/>
            </w:tcBorders>
            <w:noWrap/>
            <w:vAlign w:val="center"/>
          </w:tcPr>
          <w:p w14:paraId="031D2B6D">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1.项目年度目标完成情况</w:t>
            </w:r>
          </w:p>
        </w:tc>
        <w:tc>
          <w:tcPr>
            <w:tcW w:w="6870" w:type="dxa"/>
            <w:gridSpan w:val="5"/>
            <w:tcBorders>
              <w:top w:val="single" w:color="000000" w:sz="4" w:space="0"/>
              <w:left w:val="single" w:color="000000" w:sz="4" w:space="0"/>
              <w:bottom w:val="single" w:color="000000" w:sz="4" w:space="0"/>
              <w:right w:val="single" w:color="000000" w:sz="4" w:space="0"/>
            </w:tcBorders>
            <w:noWrap/>
            <w:vAlign w:val="center"/>
          </w:tcPr>
          <w:p w14:paraId="4E047567">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项目年度目标</w:t>
            </w:r>
          </w:p>
        </w:tc>
        <w:tc>
          <w:tcPr>
            <w:tcW w:w="4575" w:type="dxa"/>
            <w:gridSpan w:val="4"/>
            <w:tcBorders>
              <w:top w:val="single" w:color="000000" w:sz="4" w:space="0"/>
              <w:left w:val="single" w:color="000000" w:sz="4" w:space="0"/>
              <w:bottom w:val="single" w:color="000000" w:sz="4" w:space="0"/>
              <w:right w:val="single" w:color="000000" w:sz="4" w:space="0"/>
            </w:tcBorders>
            <w:noWrap/>
            <w:vAlign w:val="center"/>
          </w:tcPr>
          <w:p w14:paraId="0436AD0A">
            <w:pPr>
              <w:keepNext w:val="0"/>
              <w:keepLines w:val="0"/>
              <w:widowControl/>
              <w:suppressLineNumbers w:val="0"/>
              <w:suppressAutoHyphens/>
              <w:jc w:val="center"/>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年度目标完成情况</w:t>
            </w:r>
          </w:p>
        </w:tc>
      </w:tr>
      <w:tr w14:paraId="708C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2B0BF50C"/>
        </w:tc>
        <w:tc>
          <w:tcPr>
            <w:tcW w:w="2300" w:type="dxa"/>
            <w:vMerge w:val="continue"/>
            <w:tcBorders>
              <w:top w:val="single" w:color="000000" w:sz="4" w:space="0"/>
              <w:left w:val="single" w:color="000000" w:sz="4" w:space="0"/>
              <w:bottom w:val="single" w:color="000000" w:sz="4" w:space="0"/>
              <w:right w:val="single" w:color="000000" w:sz="4" w:space="0"/>
            </w:tcBorders>
            <w:noWrap/>
            <w:vAlign w:val="center"/>
          </w:tcPr>
          <w:p w14:paraId="53ED21DE"/>
        </w:tc>
        <w:tc>
          <w:tcPr>
            <w:tcW w:w="6870" w:type="dxa"/>
            <w:gridSpan w:val="5"/>
            <w:tcBorders>
              <w:top w:val="single" w:color="000000" w:sz="4" w:space="0"/>
              <w:left w:val="single" w:color="000000" w:sz="4" w:space="0"/>
              <w:bottom w:val="single" w:color="000000" w:sz="4" w:space="0"/>
              <w:right w:val="single" w:color="000000" w:sz="4" w:space="0"/>
            </w:tcBorders>
            <w:noWrap/>
            <w:vAlign w:val="center"/>
          </w:tcPr>
          <w:p w14:paraId="73E73EA2">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推进茂县工业经济高质量发展，适应上位《茂县国土空间总体规划（2021-2035）》要求，完成茂县工业园区规划修编工作。根据《中华人民共和国环境影响评价法》及《规划环境影响评价条例》相关规定和《关于进一步加强产业园区规划环境影响评价工作的意见》（环环评【2020】65号）的要求，阿坝工业园区茂县集中区及茂县工业园区规划修编的编制部门应组织开展环境影响评价。</w:t>
            </w:r>
          </w:p>
        </w:tc>
        <w:tc>
          <w:tcPr>
            <w:tcW w:w="4575" w:type="dxa"/>
            <w:gridSpan w:val="4"/>
            <w:tcBorders>
              <w:top w:val="single" w:color="000000" w:sz="4" w:space="0"/>
              <w:left w:val="single" w:color="000000" w:sz="4" w:space="0"/>
              <w:bottom w:val="single" w:color="000000" w:sz="4" w:space="0"/>
              <w:right w:val="single" w:color="000000" w:sz="4" w:space="0"/>
            </w:tcBorders>
            <w:noWrap/>
            <w:vAlign w:val="center"/>
          </w:tcPr>
          <w:p w14:paraId="454715A3">
            <w:pPr>
              <w:keepNext w:val="0"/>
              <w:keepLines w:val="0"/>
              <w:widowControl/>
              <w:suppressLineNumbers w:val="0"/>
              <w:suppressAutoHyphens/>
              <w:jc w:val="left"/>
              <w:textAlignment w:val="center"/>
              <w:rPr>
                <w:rFonts w:hint="eastAsia" w:ascii="宋体" w:eastAsia="宋体" w:cs="宋体"/>
                <w:i w:val="0"/>
                <w:iCs w:val="0"/>
                <w:color w:val="000000"/>
                <w:sz w:val="18"/>
                <w:szCs w:val="18"/>
                <w:u w:val="none"/>
              </w:rPr>
            </w:pPr>
            <w:r>
              <w:rPr>
                <w:rFonts w:hint="eastAsia" w:ascii="宋体" w:eastAsia="宋体" w:cs="宋体"/>
                <w:i w:val="0"/>
                <w:iCs w:val="0"/>
                <w:color w:val="000000"/>
                <w:kern w:val="0"/>
                <w:sz w:val="18"/>
                <w:szCs w:val="18"/>
                <w:u w:val="none"/>
                <w:lang w:val="en-US" w:eastAsia="zh-CN"/>
              </w:rPr>
              <w:t>2023年8月25日，我中心在成都市主持召开了《茂县工业园区（槽木、亚坪、光明、团结、太安）控制性详细规划环境影响报告书》（过程稿）专家咨询会。与会专家和代表经认真讨论和深入评议，形成报告书咨询意见。意见指出建议加强与相关主管部门的对接，尽快解决数条前置问题，为规划环评报告编制</w:t>
            </w:r>
            <w:r>
              <w:rPr>
                <w:rFonts w:hint="eastAsia" w:ascii="宋体" w:cs="宋体"/>
                <w:i w:val="0"/>
                <w:iCs w:val="0"/>
                <w:color w:val="000000"/>
                <w:kern w:val="0"/>
                <w:sz w:val="18"/>
                <w:szCs w:val="18"/>
                <w:u w:val="none"/>
                <w:lang w:val="en-US" w:eastAsia="zh-CN"/>
              </w:rPr>
              <w:t>做好</w:t>
            </w:r>
            <w:r>
              <w:rPr>
                <w:rFonts w:hint="eastAsia" w:ascii="宋体" w:eastAsia="宋体" w:cs="宋体"/>
                <w:i w:val="0"/>
                <w:iCs w:val="0"/>
                <w:color w:val="000000"/>
                <w:kern w:val="0"/>
                <w:sz w:val="18"/>
                <w:szCs w:val="18"/>
                <w:u w:val="none"/>
                <w:lang w:val="en-US" w:eastAsia="zh-CN"/>
              </w:rPr>
              <w:t>支撑。后续我中心加大力度与相关部门对接解决规划环评存在的前置问题，完成了“现状产业结构与《四川省国家重点生态功能区产业准入负面清单》存在冲突问题以及省级开发区范围（亚坪片区、槽木片区）全部纳入茂县“三区三线”问题”。</w:t>
            </w:r>
          </w:p>
        </w:tc>
      </w:tr>
      <w:tr w14:paraId="2A6A3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05B1981C"/>
        </w:tc>
        <w:tc>
          <w:tcPr>
            <w:tcW w:w="2300" w:type="dxa"/>
            <w:tcBorders>
              <w:top w:val="single" w:color="000000" w:sz="4" w:space="0"/>
              <w:left w:val="single" w:color="000000" w:sz="4" w:space="0"/>
              <w:bottom w:val="single" w:color="000000" w:sz="4" w:space="0"/>
              <w:right w:val="single" w:color="000000" w:sz="4" w:space="0"/>
            </w:tcBorders>
            <w:noWrap/>
            <w:vAlign w:val="center"/>
          </w:tcPr>
          <w:p w14:paraId="0372BE0E">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2.项目实施内容及过程概述</w:t>
            </w:r>
          </w:p>
        </w:tc>
        <w:tc>
          <w:tcPr>
            <w:tcW w:w="11445" w:type="dxa"/>
            <w:gridSpan w:val="9"/>
            <w:tcBorders>
              <w:top w:val="single" w:color="000000" w:sz="4" w:space="0"/>
              <w:left w:val="single" w:color="000000" w:sz="4" w:space="0"/>
              <w:bottom w:val="single" w:color="000000" w:sz="4" w:space="0"/>
              <w:right w:val="single" w:color="000000" w:sz="4" w:space="0"/>
            </w:tcBorders>
            <w:noWrap/>
            <w:vAlign w:val="center"/>
          </w:tcPr>
          <w:p w14:paraId="6B18F6DA">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2023.3.2号我中心组织召开了园区规划及规划环评推进会，与规划编制单位及规划环评编制单位对接，确定了本次评价对象具体包含的工业片区为团结、太安、槽木、亚坪、光明五个片区。明确了园区内涉及省级开发区的核准范围。商讨了园区后续主导产业发展方向。            2、2023.4.7号茂县工业园区规划修编环境影响评价公众参与第一次信息公示挂网。                                                      3、2023年上半年编制单位委托第三方完成了茂县工业园区规划环评环境质量现状监测工作。                                             4、2023年8月我中心在成都市主持召开了《茂县工业园区（槽木、亚坪、光明、团结、太安）控制性详细规划环境影响报告书》（过程稿）专家咨询会。</w:t>
            </w:r>
          </w:p>
        </w:tc>
      </w:tr>
      <w:tr w14:paraId="69FC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0" w:type="dxa"/>
            <w:vMerge w:val="restart"/>
            <w:tcBorders>
              <w:top w:val="single" w:color="000000" w:sz="4" w:space="0"/>
              <w:left w:val="single" w:color="000000" w:sz="4" w:space="0"/>
              <w:bottom w:val="single" w:color="000000" w:sz="4" w:space="0"/>
              <w:right w:val="single" w:color="000000" w:sz="4" w:space="0"/>
            </w:tcBorders>
            <w:noWrap/>
            <w:vAlign w:val="center"/>
          </w:tcPr>
          <w:p w14:paraId="11C1C514">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预算执行情况（10分）</w:t>
            </w:r>
          </w:p>
        </w:tc>
        <w:tc>
          <w:tcPr>
            <w:tcW w:w="2300" w:type="dxa"/>
            <w:tcBorders>
              <w:top w:val="single" w:color="000000" w:sz="4" w:space="0"/>
              <w:left w:val="single" w:color="000000" w:sz="4" w:space="0"/>
              <w:bottom w:val="single" w:color="000000" w:sz="4" w:space="0"/>
              <w:right w:val="single" w:color="000000" w:sz="4" w:space="0"/>
            </w:tcBorders>
            <w:noWrap/>
            <w:vAlign w:val="center"/>
          </w:tcPr>
          <w:p w14:paraId="68ECD97D">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年度预算数（万元）</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79C75300">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年初预算</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15ED9392">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noWrap/>
            <w:vAlign w:val="center"/>
          </w:tcPr>
          <w:p w14:paraId="651B545C">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预算执行数</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42475ED">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预算执行率</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58B92D1">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553AB559">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得分</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04C72CA2">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原因</w:t>
            </w:r>
          </w:p>
        </w:tc>
      </w:tr>
      <w:tr w14:paraId="0FCA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4EB687CD"/>
        </w:tc>
        <w:tc>
          <w:tcPr>
            <w:tcW w:w="2300" w:type="dxa"/>
            <w:tcBorders>
              <w:top w:val="single" w:color="000000" w:sz="4" w:space="0"/>
              <w:left w:val="single" w:color="000000" w:sz="4" w:space="0"/>
              <w:bottom w:val="single" w:color="000000" w:sz="4" w:space="0"/>
              <w:right w:val="single" w:color="000000" w:sz="4" w:space="0"/>
            </w:tcBorders>
            <w:noWrap/>
            <w:vAlign w:val="center"/>
          </w:tcPr>
          <w:p w14:paraId="4E558896">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总额</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24CAEC0D">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7A49BF1D">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35.40</w:t>
            </w:r>
          </w:p>
        </w:tc>
        <w:tc>
          <w:tcPr>
            <w:tcW w:w="2730" w:type="dxa"/>
            <w:gridSpan w:val="3"/>
            <w:tcBorders>
              <w:top w:val="single" w:color="000000" w:sz="4" w:space="0"/>
              <w:left w:val="single" w:color="000000" w:sz="4" w:space="0"/>
              <w:bottom w:val="single" w:color="000000" w:sz="4" w:space="0"/>
              <w:right w:val="single" w:color="000000" w:sz="4" w:space="0"/>
            </w:tcBorders>
            <w:noWrap/>
            <w:vAlign w:val="center"/>
          </w:tcPr>
          <w:p w14:paraId="5CC1E801">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35.40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AB99C29">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100.00%</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3DDF606">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702D081A">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2520" w:type="dxa"/>
            <w:vMerge w:val="restart"/>
            <w:tcBorders>
              <w:top w:val="single" w:color="000000" w:sz="4" w:space="0"/>
              <w:left w:val="single" w:color="000000" w:sz="4" w:space="0"/>
              <w:bottom w:val="single" w:color="000000" w:sz="4" w:space="0"/>
              <w:right w:val="single" w:color="000000" w:sz="4" w:space="0"/>
            </w:tcBorders>
            <w:noWrap/>
            <w:vAlign w:val="center"/>
          </w:tcPr>
          <w:p w14:paraId="7EE6D773">
            <w:pPr>
              <w:keepNext w:val="0"/>
              <w:keepLines w:val="0"/>
              <w:widowControl/>
              <w:suppressLineNumbers w:val="0"/>
              <w:suppressAutoHyphens/>
              <w:jc w:val="left"/>
              <w:textAlignment w:val="center"/>
              <w:rPr>
                <w:rFonts w:hint="eastAsia" w:ascii="宋体" w:eastAsia="宋体" w:cs="宋体"/>
                <w:i/>
                <w:iCs/>
                <w:color w:val="000000"/>
                <w:sz w:val="18"/>
                <w:szCs w:val="18"/>
                <w:u w:val="none"/>
              </w:rPr>
            </w:pPr>
            <w:r>
              <w:rPr>
                <w:rFonts w:hint="eastAsia" w:ascii="宋体" w:eastAsia="宋体" w:cs="宋体"/>
                <w:i/>
                <w:iCs/>
                <w:color w:val="000000"/>
                <w:kern w:val="0"/>
                <w:sz w:val="18"/>
                <w:szCs w:val="18"/>
                <w:u w:val="none"/>
                <w:lang w:val="en-US" w:eastAsia="zh-CN"/>
              </w:rPr>
              <w:t>该项目为一次性项目，所以在需要支付资金是在进行资金的</w:t>
            </w:r>
            <w:r>
              <w:rPr>
                <w:rFonts w:hint="eastAsia" w:ascii="宋体" w:cs="宋体"/>
                <w:i/>
                <w:iCs/>
                <w:color w:val="000000"/>
                <w:kern w:val="0"/>
                <w:sz w:val="18"/>
                <w:szCs w:val="18"/>
                <w:u w:val="none"/>
                <w:lang w:val="en-US" w:eastAsia="zh-CN"/>
              </w:rPr>
              <w:t>申请</w:t>
            </w:r>
          </w:p>
        </w:tc>
      </w:tr>
      <w:tr w14:paraId="4BF2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58BCF744"/>
        </w:tc>
        <w:tc>
          <w:tcPr>
            <w:tcW w:w="2300" w:type="dxa"/>
            <w:tcBorders>
              <w:top w:val="single" w:color="000000" w:sz="4" w:space="0"/>
              <w:left w:val="single" w:color="000000" w:sz="4" w:space="0"/>
              <w:bottom w:val="single" w:color="000000" w:sz="4" w:space="0"/>
              <w:right w:val="single" w:color="000000" w:sz="4" w:space="0"/>
            </w:tcBorders>
            <w:noWrap/>
            <w:vAlign w:val="center"/>
          </w:tcPr>
          <w:p w14:paraId="789EF298">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其中：财政资金</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25854DDF">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7D453009">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35.40</w:t>
            </w:r>
          </w:p>
        </w:tc>
        <w:tc>
          <w:tcPr>
            <w:tcW w:w="2730" w:type="dxa"/>
            <w:gridSpan w:val="3"/>
            <w:tcBorders>
              <w:top w:val="single" w:color="000000" w:sz="4" w:space="0"/>
              <w:left w:val="single" w:color="000000" w:sz="4" w:space="0"/>
              <w:bottom w:val="single" w:color="000000" w:sz="4" w:space="0"/>
              <w:right w:val="single" w:color="000000" w:sz="4" w:space="0"/>
            </w:tcBorders>
            <w:noWrap/>
            <w:vAlign w:val="center"/>
          </w:tcPr>
          <w:p w14:paraId="3B068194">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35.40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147B056">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100.00%</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171D63F">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38843FAC">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2520" w:type="dxa"/>
            <w:vMerge w:val="continue"/>
            <w:tcBorders>
              <w:top w:val="single" w:color="000000" w:sz="4" w:space="0"/>
              <w:left w:val="single" w:color="000000" w:sz="4" w:space="0"/>
              <w:bottom w:val="single" w:color="000000" w:sz="4" w:space="0"/>
              <w:right w:val="single" w:color="000000" w:sz="4" w:space="0"/>
            </w:tcBorders>
            <w:noWrap/>
            <w:vAlign w:val="center"/>
          </w:tcPr>
          <w:p w14:paraId="61BF30A1"/>
        </w:tc>
      </w:tr>
      <w:tr w14:paraId="4707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224EAAF1"/>
        </w:tc>
        <w:tc>
          <w:tcPr>
            <w:tcW w:w="2300" w:type="dxa"/>
            <w:tcBorders>
              <w:top w:val="single" w:color="000000" w:sz="4" w:space="0"/>
              <w:left w:val="single" w:color="000000" w:sz="4" w:space="0"/>
              <w:bottom w:val="single" w:color="000000" w:sz="4" w:space="0"/>
              <w:right w:val="single" w:color="000000" w:sz="4" w:space="0"/>
            </w:tcBorders>
            <w:noWrap/>
            <w:vAlign w:val="center"/>
          </w:tcPr>
          <w:p w14:paraId="3D7AB94B">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财政专户管理资金</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569458D5">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0D2C4618">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2730" w:type="dxa"/>
            <w:gridSpan w:val="3"/>
            <w:tcBorders>
              <w:top w:val="single" w:color="000000" w:sz="4" w:space="0"/>
              <w:left w:val="single" w:color="000000" w:sz="4" w:space="0"/>
              <w:bottom w:val="single" w:color="000000" w:sz="4" w:space="0"/>
              <w:right w:val="single" w:color="000000" w:sz="4" w:space="0"/>
            </w:tcBorders>
            <w:noWrap/>
            <w:vAlign w:val="center"/>
          </w:tcPr>
          <w:p w14:paraId="76A49F43">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B7E7736">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1C06D05">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07A653F4">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2520" w:type="dxa"/>
            <w:vMerge w:val="continue"/>
            <w:tcBorders>
              <w:top w:val="single" w:color="000000" w:sz="4" w:space="0"/>
              <w:left w:val="single" w:color="000000" w:sz="4" w:space="0"/>
              <w:bottom w:val="single" w:color="000000" w:sz="4" w:space="0"/>
              <w:right w:val="single" w:color="000000" w:sz="4" w:space="0"/>
            </w:tcBorders>
            <w:noWrap/>
            <w:vAlign w:val="center"/>
          </w:tcPr>
          <w:p w14:paraId="077CAFE2"/>
        </w:tc>
      </w:tr>
      <w:tr w14:paraId="0F19E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5CEECBF4"/>
        </w:tc>
        <w:tc>
          <w:tcPr>
            <w:tcW w:w="2300" w:type="dxa"/>
            <w:tcBorders>
              <w:top w:val="single" w:color="000000" w:sz="4" w:space="0"/>
              <w:left w:val="single" w:color="000000" w:sz="4" w:space="0"/>
              <w:bottom w:val="single" w:color="000000" w:sz="4" w:space="0"/>
              <w:right w:val="single" w:color="000000" w:sz="4" w:space="0"/>
            </w:tcBorders>
            <w:noWrap/>
            <w:vAlign w:val="center"/>
          </w:tcPr>
          <w:p w14:paraId="3F3DD737">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单位资金</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50AD2E76">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5F5F1914">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2730" w:type="dxa"/>
            <w:gridSpan w:val="3"/>
            <w:tcBorders>
              <w:top w:val="single" w:color="000000" w:sz="4" w:space="0"/>
              <w:left w:val="single" w:color="000000" w:sz="4" w:space="0"/>
              <w:bottom w:val="single" w:color="000000" w:sz="4" w:space="0"/>
              <w:right w:val="single" w:color="000000" w:sz="4" w:space="0"/>
            </w:tcBorders>
            <w:noWrap/>
            <w:vAlign w:val="center"/>
          </w:tcPr>
          <w:p w14:paraId="4311AC1E">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0D0F62E">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9CE5D37">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50AAD83F">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2520" w:type="dxa"/>
            <w:vMerge w:val="continue"/>
            <w:tcBorders>
              <w:top w:val="single" w:color="000000" w:sz="4" w:space="0"/>
              <w:left w:val="single" w:color="000000" w:sz="4" w:space="0"/>
              <w:bottom w:val="single" w:color="000000" w:sz="4" w:space="0"/>
              <w:right w:val="single" w:color="000000" w:sz="4" w:space="0"/>
            </w:tcBorders>
            <w:noWrap/>
            <w:vAlign w:val="center"/>
          </w:tcPr>
          <w:p w14:paraId="02784C9A"/>
        </w:tc>
      </w:tr>
      <w:tr w14:paraId="3354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362E8C9A"/>
        </w:tc>
        <w:tc>
          <w:tcPr>
            <w:tcW w:w="2300" w:type="dxa"/>
            <w:tcBorders>
              <w:top w:val="single" w:color="000000" w:sz="4" w:space="0"/>
              <w:left w:val="single" w:color="000000" w:sz="4" w:space="0"/>
              <w:bottom w:val="single" w:color="000000" w:sz="4" w:space="0"/>
              <w:right w:val="single" w:color="000000" w:sz="4" w:space="0"/>
            </w:tcBorders>
            <w:noWrap/>
            <w:vAlign w:val="center"/>
          </w:tcPr>
          <w:p w14:paraId="718D6017">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其他资金</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738CC35A">
            <w:pPr>
              <w:jc w:val="center"/>
              <w:rPr>
                <w:rFonts w:hint="eastAsia" w:ascii="微软雅黑" w:eastAsia="微软雅黑" w:cs="微软雅黑"/>
                <w:i/>
                <w:iCs/>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7AFB18A9">
            <w:pPr>
              <w:jc w:val="center"/>
              <w:rPr>
                <w:rFonts w:hint="eastAsia" w:asci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noWrap/>
            <w:vAlign w:val="center"/>
          </w:tcPr>
          <w:p w14:paraId="7176FE1D">
            <w:pPr>
              <w:jc w:val="center"/>
              <w:rPr>
                <w:rFonts w:hint="eastAsia" w:asci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51B673A">
            <w:pPr>
              <w:jc w:val="center"/>
              <w:rPr>
                <w:rFonts w:hint="eastAsia" w:asci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6BABF9F">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2C171A45">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2520" w:type="dxa"/>
            <w:vMerge w:val="continue"/>
            <w:tcBorders>
              <w:top w:val="single" w:color="000000" w:sz="4" w:space="0"/>
              <w:left w:val="single" w:color="000000" w:sz="4" w:space="0"/>
              <w:bottom w:val="single" w:color="000000" w:sz="4" w:space="0"/>
              <w:right w:val="single" w:color="000000" w:sz="4" w:space="0"/>
            </w:tcBorders>
            <w:noWrap/>
            <w:vAlign w:val="center"/>
          </w:tcPr>
          <w:p w14:paraId="3498FD49"/>
        </w:tc>
      </w:tr>
      <w:tr w14:paraId="3C48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0" w:type="dxa"/>
            <w:vMerge w:val="restart"/>
            <w:tcBorders>
              <w:top w:val="single" w:color="000000" w:sz="4" w:space="0"/>
              <w:left w:val="single" w:color="000000" w:sz="4" w:space="0"/>
              <w:bottom w:val="single" w:color="000000" w:sz="4" w:space="0"/>
              <w:right w:val="single" w:color="000000" w:sz="4" w:space="0"/>
            </w:tcBorders>
            <w:noWrap/>
            <w:vAlign w:val="center"/>
          </w:tcPr>
          <w:p w14:paraId="2946D2A8">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绩效指标（90分）</w:t>
            </w:r>
          </w:p>
        </w:tc>
        <w:tc>
          <w:tcPr>
            <w:tcW w:w="2300" w:type="dxa"/>
            <w:tcBorders>
              <w:top w:val="single" w:color="000000" w:sz="4" w:space="0"/>
              <w:left w:val="single" w:color="000000" w:sz="4" w:space="0"/>
              <w:bottom w:val="single" w:color="000000" w:sz="4" w:space="0"/>
              <w:right w:val="single" w:color="000000" w:sz="4" w:space="0"/>
            </w:tcBorders>
            <w:noWrap/>
            <w:vAlign w:val="center"/>
          </w:tcPr>
          <w:p w14:paraId="0D5DA55E">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一级指标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5AA7FEF3">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二级指标</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0751AFF5">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三级指标</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B4AA29">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指标性质</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55305A5">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指标值</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033E6E">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度量单位</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93169C2">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完成值</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4E6F5EF">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0846B9FF">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得分</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0D6E8DE6">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未完成原因分析</w:t>
            </w:r>
          </w:p>
        </w:tc>
      </w:tr>
      <w:tr w14:paraId="53186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6A383CBC"/>
        </w:tc>
        <w:tc>
          <w:tcPr>
            <w:tcW w:w="2300" w:type="dxa"/>
            <w:tcBorders>
              <w:top w:val="single" w:color="000000" w:sz="4" w:space="0"/>
              <w:left w:val="single" w:color="000000" w:sz="4" w:space="0"/>
              <w:bottom w:val="single" w:color="000000" w:sz="4" w:space="0"/>
              <w:right w:val="single" w:color="000000" w:sz="4" w:space="0"/>
            </w:tcBorders>
            <w:noWrap/>
            <w:vAlign w:val="center"/>
          </w:tcPr>
          <w:p w14:paraId="695531E5">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产出指标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006D701F">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数量指标</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5CC9838D">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推进茂县工业经济高质量发展，适应上位《茂县国土空间总体规划（2021-2035）》要求，完成茂县工业园区规划修编工作。完成环境影响评价工作。</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A31C86">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9721DA4">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79C7C31">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520E46D">
            <w:pPr>
              <w:keepNext w:val="0"/>
              <w:keepLines w:val="0"/>
              <w:widowControl/>
              <w:suppressLineNumbers w:val="0"/>
              <w:suppressAutoHyphens/>
              <w:jc w:val="center"/>
              <w:textAlignment w:val="center"/>
              <w:rPr>
                <w:rFonts w:hint="eastAsia" w:ascii="微软雅黑" w:eastAsia="微软雅黑" w:cs="微软雅黑"/>
                <w:i/>
                <w:iCs/>
                <w:color w:val="000000"/>
                <w:sz w:val="16"/>
                <w:szCs w:val="16"/>
                <w:u w:val="none"/>
              </w:rPr>
            </w:pPr>
            <w:r>
              <w:rPr>
                <w:rFonts w:hint="eastAsia" w:ascii="微软雅黑" w:eastAsia="微软雅黑" w:cs="微软雅黑"/>
                <w:i/>
                <w:iCs/>
                <w:color w:val="000000"/>
                <w:kern w:val="0"/>
                <w:sz w:val="16"/>
                <w:szCs w:val="16"/>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3ACBC6A">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60</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6A278DC8">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55</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5965FF54">
            <w:pPr>
              <w:jc w:val="center"/>
              <w:rPr>
                <w:rFonts w:hint="eastAsia" w:ascii="微软雅黑" w:eastAsia="微软雅黑" w:cs="微软雅黑"/>
                <w:i/>
                <w:iCs/>
                <w:color w:val="000000"/>
                <w:sz w:val="16"/>
                <w:szCs w:val="16"/>
                <w:u w:val="none"/>
              </w:rPr>
            </w:pPr>
          </w:p>
        </w:tc>
      </w:tr>
      <w:tr w14:paraId="7F37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7ED26D21"/>
        </w:tc>
        <w:tc>
          <w:tcPr>
            <w:tcW w:w="2300" w:type="dxa"/>
            <w:tcBorders>
              <w:top w:val="single" w:color="000000" w:sz="4" w:space="0"/>
              <w:left w:val="single" w:color="000000" w:sz="4" w:space="0"/>
              <w:bottom w:val="single" w:color="000000" w:sz="4" w:space="0"/>
              <w:right w:val="single" w:color="000000" w:sz="4" w:space="0"/>
            </w:tcBorders>
            <w:noWrap/>
            <w:vAlign w:val="center"/>
          </w:tcPr>
          <w:p w14:paraId="3424C795">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效益指标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4DD44954">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经济效益指标</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0FF227B7">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推进茂县工业经济高质量发展，适应上位《茂县国土空间总体规划（2021-2035）》要求，完成茂县工业园区规划修编工作。完成环境影响评价工作。</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9303AF">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711917B7">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D478FA">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49A1254">
            <w:pPr>
              <w:keepNext w:val="0"/>
              <w:keepLines w:val="0"/>
              <w:widowControl/>
              <w:suppressLineNumbers w:val="0"/>
              <w:suppressAutoHyphens/>
              <w:jc w:val="center"/>
              <w:textAlignment w:val="center"/>
              <w:rPr>
                <w:rFonts w:hint="eastAsia" w:ascii="微软雅黑" w:eastAsia="微软雅黑" w:cs="微软雅黑"/>
                <w:i/>
                <w:iCs/>
                <w:color w:val="000000"/>
                <w:sz w:val="16"/>
                <w:szCs w:val="16"/>
                <w:u w:val="none"/>
              </w:rPr>
            </w:pPr>
            <w:r>
              <w:rPr>
                <w:rFonts w:hint="eastAsia" w:ascii="微软雅黑" w:eastAsia="微软雅黑" w:cs="微软雅黑"/>
                <w:i/>
                <w:iCs/>
                <w:color w:val="000000"/>
                <w:kern w:val="0"/>
                <w:sz w:val="16"/>
                <w:szCs w:val="16"/>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009ABAC">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6068A052">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128626A4">
            <w:pPr>
              <w:jc w:val="center"/>
              <w:rPr>
                <w:rFonts w:hint="eastAsia" w:ascii="微软雅黑" w:eastAsia="微软雅黑" w:cs="微软雅黑"/>
                <w:i/>
                <w:iCs/>
                <w:color w:val="000000"/>
                <w:sz w:val="16"/>
                <w:szCs w:val="16"/>
                <w:u w:val="none"/>
              </w:rPr>
            </w:pPr>
          </w:p>
        </w:tc>
      </w:tr>
      <w:tr w14:paraId="1847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68AC597F"/>
        </w:tc>
        <w:tc>
          <w:tcPr>
            <w:tcW w:w="2300" w:type="dxa"/>
            <w:tcBorders>
              <w:top w:val="single" w:color="000000" w:sz="4" w:space="0"/>
              <w:left w:val="single" w:color="000000" w:sz="4" w:space="0"/>
              <w:bottom w:val="single" w:color="000000" w:sz="4" w:space="0"/>
              <w:right w:val="single" w:color="000000" w:sz="4" w:space="0"/>
            </w:tcBorders>
            <w:noWrap/>
            <w:vAlign w:val="center"/>
          </w:tcPr>
          <w:p w14:paraId="064E07E7">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满意度指标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5FF48EFB">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服务对象满意度指标</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55894B2D">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区域环境影响评价达标</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C08A7B">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09076C5">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5D1B90">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BA6D245">
            <w:pPr>
              <w:keepNext w:val="0"/>
              <w:keepLines w:val="0"/>
              <w:widowControl/>
              <w:suppressLineNumbers w:val="0"/>
              <w:suppressAutoHyphens/>
              <w:jc w:val="center"/>
              <w:textAlignment w:val="center"/>
              <w:rPr>
                <w:rFonts w:hint="eastAsia" w:ascii="微软雅黑" w:eastAsia="微软雅黑" w:cs="微软雅黑"/>
                <w:i/>
                <w:iCs/>
                <w:color w:val="000000"/>
                <w:sz w:val="16"/>
                <w:szCs w:val="16"/>
                <w:u w:val="none"/>
              </w:rPr>
            </w:pPr>
            <w:r>
              <w:rPr>
                <w:rFonts w:hint="eastAsia" w:ascii="微软雅黑" w:eastAsia="微软雅黑" w:cs="微软雅黑"/>
                <w:i/>
                <w:iCs/>
                <w:color w:val="000000"/>
                <w:kern w:val="0"/>
                <w:sz w:val="16"/>
                <w:szCs w:val="16"/>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DBF8442">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24CE74CC">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73F81261">
            <w:pPr>
              <w:jc w:val="center"/>
              <w:rPr>
                <w:rFonts w:hint="eastAsia" w:ascii="微软雅黑" w:eastAsia="微软雅黑" w:cs="微软雅黑"/>
                <w:i/>
                <w:iCs/>
                <w:color w:val="000000"/>
                <w:sz w:val="16"/>
                <w:szCs w:val="16"/>
                <w:u w:val="none"/>
              </w:rPr>
            </w:pPr>
          </w:p>
        </w:tc>
      </w:tr>
      <w:tr w14:paraId="3C541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955" w:type="dxa"/>
            <w:gridSpan w:val="8"/>
            <w:tcBorders>
              <w:top w:val="single" w:color="000000" w:sz="4" w:space="0"/>
              <w:left w:val="single" w:color="000000" w:sz="4" w:space="0"/>
              <w:bottom w:val="single" w:color="000000" w:sz="4" w:space="0"/>
              <w:right w:val="single" w:color="000000" w:sz="4" w:space="0"/>
            </w:tcBorders>
            <w:noWrap/>
            <w:vAlign w:val="center"/>
          </w:tcPr>
          <w:p w14:paraId="6EE24F76">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合计</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16D0C57">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148766C6">
            <w:pPr>
              <w:keepNext w:val="0"/>
              <w:keepLines w:val="0"/>
              <w:widowControl/>
              <w:suppressLineNumbers w:val="0"/>
              <w:suppressAutoHyphens/>
              <w:jc w:val="righ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94</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47FE0C78">
            <w:pPr>
              <w:rPr>
                <w:rFonts w:hint="eastAsia" w:ascii="宋体" w:eastAsia="宋体" w:cs="宋体"/>
                <w:i w:val="0"/>
                <w:iCs w:val="0"/>
                <w:color w:val="000000"/>
                <w:sz w:val="18"/>
                <w:szCs w:val="18"/>
                <w:u w:val="none"/>
              </w:rPr>
            </w:pPr>
          </w:p>
        </w:tc>
      </w:tr>
      <w:tr w14:paraId="4DB6E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2C9027A4">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评价结论</w:t>
            </w:r>
          </w:p>
        </w:tc>
        <w:tc>
          <w:tcPr>
            <w:tcW w:w="13745" w:type="dxa"/>
            <w:gridSpan w:val="10"/>
            <w:tcBorders>
              <w:top w:val="single" w:color="000000" w:sz="4" w:space="0"/>
              <w:left w:val="single" w:color="000000" w:sz="4" w:space="0"/>
              <w:bottom w:val="single" w:color="000000" w:sz="4" w:space="0"/>
              <w:right w:val="single" w:color="000000" w:sz="4" w:space="0"/>
            </w:tcBorders>
            <w:noWrap/>
            <w:vAlign w:val="center"/>
          </w:tcPr>
          <w:p w14:paraId="6C88120E">
            <w:pPr>
              <w:rPr>
                <w:rFonts w:hint="eastAsia" w:ascii="微软雅黑" w:eastAsia="微软雅黑" w:cs="微软雅黑"/>
                <w:i/>
                <w:iCs/>
                <w:color w:val="000000"/>
                <w:sz w:val="16"/>
                <w:szCs w:val="16"/>
                <w:u w:val="none"/>
              </w:rPr>
            </w:pPr>
          </w:p>
        </w:tc>
      </w:tr>
      <w:tr w14:paraId="321D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41D0B02E">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存在问题</w:t>
            </w:r>
          </w:p>
        </w:tc>
        <w:tc>
          <w:tcPr>
            <w:tcW w:w="13745" w:type="dxa"/>
            <w:gridSpan w:val="10"/>
            <w:tcBorders>
              <w:top w:val="single" w:color="000000" w:sz="4" w:space="0"/>
              <w:left w:val="single" w:color="000000" w:sz="4" w:space="0"/>
              <w:bottom w:val="single" w:color="000000" w:sz="4" w:space="0"/>
              <w:right w:val="single" w:color="000000" w:sz="4" w:space="0"/>
            </w:tcBorders>
            <w:noWrap/>
            <w:vAlign w:val="center"/>
          </w:tcPr>
          <w:p w14:paraId="33E388E9">
            <w:pPr>
              <w:keepNext w:val="0"/>
              <w:keepLines w:val="0"/>
              <w:widowControl/>
              <w:suppressLineNumbers w:val="0"/>
              <w:suppressAutoHyphens/>
              <w:jc w:val="left"/>
              <w:textAlignment w:val="center"/>
              <w:rPr>
                <w:rFonts w:hint="eastAsia" w:ascii="微软雅黑" w:eastAsia="微软雅黑" w:cs="微软雅黑"/>
                <w:i/>
                <w:iCs/>
                <w:color w:val="000000"/>
                <w:sz w:val="16"/>
                <w:szCs w:val="16"/>
                <w:u w:val="none"/>
              </w:rPr>
            </w:pPr>
            <w:r>
              <w:rPr>
                <w:rFonts w:hint="eastAsia" w:ascii="微软雅黑" w:eastAsia="微软雅黑" w:cs="微软雅黑"/>
                <w:i/>
                <w:iCs/>
                <w:color w:val="000000"/>
                <w:kern w:val="0"/>
                <w:sz w:val="16"/>
                <w:szCs w:val="16"/>
                <w:u w:val="none"/>
                <w:lang w:val="en-US" w:eastAsia="zh-CN"/>
              </w:rPr>
              <w:t>绩效管理的跟踪反馈不足；加强预算编制的精细化管理，提高预算的准确性和可操作性</w:t>
            </w:r>
          </w:p>
        </w:tc>
      </w:tr>
      <w:tr w14:paraId="7EC9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7C8AAACF">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改进措施</w:t>
            </w:r>
          </w:p>
        </w:tc>
        <w:tc>
          <w:tcPr>
            <w:tcW w:w="13745" w:type="dxa"/>
            <w:gridSpan w:val="10"/>
            <w:tcBorders>
              <w:top w:val="single" w:color="000000" w:sz="4" w:space="0"/>
              <w:left w:val="single" w:color="000000" w:sz="4" w:space="0"/>
              <w:bottom w:val="single" w:color="000000" w:sz="4" w:space="0"/>
              <w:right w:val="single" w:color="000000" w:sz="4" w:space="0"/>
            </w:tcBorders>
            <w:noWrap/>
            <w:vAlign w:val="center"/>
          </w:tcPr>
          <w:p w14:paraId="2C5D1B1A">
            <w:pPr>
              <w:keepNext w:val="0"/>
              <w:keepLines w:val="0"/>
              <w:widowControl/>
              <w:suppressLineNumbers w:val="0"/>
              <w:suppressAutoHyphens/>
              <w:jc w:val="left"/>
              <w:textAlignment w:val="center"/>
              <w:rPr>
                <w:rFonts w:hint="eastAsia" w:ascii="微软雅黑" w:eastAsia="微软雅黑" w:cs="微软雅黑"/>
                <w:i/>
                <w:iCs/>
                <w:color w:val="000000"/>
                <w:sz w:val="16"/>
                <w:szCs w:val="16"/>
                <w:u w:val="none"/>
              </w:rPr>
            </w:pPr>
            <w:r>
              <w:rPr>
                <w:rFonts w:hint="eastAsia" w:ascii="微软雅黑" w:eastAsia="微软雅黑" w:cs="微软雅黑"/>
                <w:i/>
                <w:iCs/>
                <w:color w:val="000000"/>
                <w:kern w:val="0"/>
                <w:sz w:val="16"/>
                <w:szCs w:val="16"/>
                <w:u w:val="none"/>
                <w:lang w:val="en-US" w:eastAsia="zh-CN"/>
              </w:rPr>
              <w:t>进一步加强单位预算编制、支出执行、决算编制等工作的管理，特别是应加快专项资金的预算执行进度；进一步科学设定绩效目标，加强预算执行管理。改进部门收支预算编制，务实预算基础工作，提高预算编制质量</w:t>
            </w:r>
          </w:p>
        </w:tc>
      </w:tr>
      <w:tr w14:paraId="3C1C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655" w:type="dxa"/>
            <w:gridSpan w:val="5"/>
            <w:tcBorders>
              <w:top w:val="single" w:color="000000" w:sz="4" w:space="0"/>
              <w:left w:val="single" w:color="000000" w:sz="4" w:space="0"/>
              <w:bottom w:val="single" w:color="000000" w:sz="4" w:space="0"/>
              <w:right w:val="single" w:color="000000" w:sz="4" w:space="0"/>
            </w:tcBorders>
            <w:noWrap/>
            <w:vAlign w:val="center"/>
          </w:tcPr>
          <w:p w14:paraId="1BE35660">
            <w:pPr>
              <w:keepNext w:val="0"/>
              <w:keepLines w:val="0"/>
              <w:widowControl/>
              <w:suppressLineNumbers w:val="0"/>
              <w:suppressAutoHyphens/>
              <w:jc w:val="left"/>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项目负责人：郭太平</w:t>
            </w:r>
          </w:p>
        </w:tc>
        <w:tc>
          <w:tcPr>
            <w:tcW w:w="6780" w:type="dxa"/>
            <w:gridSpan w:val="6"/>
            <w:tcBorders>
              <w:top w:val="single" w:color="000000" w:sz="4" w:space="0"/>
              <w:left w:val="single" w:color="000000" w:sz="4" w:space="0"/>
              <w:bottom w:val="single" w:color="000000" w:sz="4" w:space="0"/>
              <w:right w:val="single" w:color="000000" w:sz="4" w:space="0"/>
            </w:tcBorders>
            <w:noWrap/>
            <w:vAlign w:val="center"/>
          </w:tcPr>
          <w:p w14:paraId="1FE1F01D">
            <w:pPr>
              <w:keepNext w:val="0"/>
              <w:keepLines w:val="0"/>
              <w:widowControl/>
              <w:suppressLineNumbers w:val="0"/>
              <w:suppressAutoHyphens/>
              <w:jc w:val="left"/>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财务负责人：杨春鹏</w:t>
            </w:r>
          </w:p>
        </w:tc>
      </w:tr>
      <w:tr w14:paraId="4A143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tcBorders>
              <w:top w:val="nil"/>
              <w:left w:val="nil"/>
              <w:bottom w:val="nil"/>
              <w:right w:val="nil"/>
            </w:tcBorders>
            <w:noWrap/>
            <w:vAlign w:val="center"/>
          </w:tcPr>
          <w:p w14:paraId="42E400FD">
            <w:pPr>
              <w:rPr>
                <w:rFonts w:hint="eastAsia" w:ascii="宋体" w:eastAsia="宋体" w:cs="宋体"/>
                <w:i w:val="0"/>
                <w:iCs w:val="0"/>
                <w:color w:val="000000"/>
                <w:sz w:val="18"/>
                <w:szCs w:val="18"/>
                <w:u w:val="none"/>
              </w:rPr>
            </w:pPr>
          </w:p>
        </w:tc>
        <w:tc>
          <w:tcPr>
            <w:tcW w:w="2300" w:type="dxa"/>
            <w:tcBorders>
              <w:top w:val="nil"/>
              <w:left w:val="nil"/>
              <w:bottom w:val="nil"/>
              <w:right w:val="nil"/>
            </w:tcBorders>
            <w:noWrap/>
            <w:vAlign w:val="center"/>
          </w:tcPr>
          <w:p w14:paraId="305A7D79">
            <w:pPr>
              <w:rPr>
                <w:rFonts w:hint="eastAsia" w:ascii="宋体" w:eastAsia="宋体" w:cs="宋体"/>
                <w:i w:val="0"/>
                <w:iCs w:val="0"/>
                <w:color w:val="000000"/>
                <w:sz w:val="18"/>
                <w:szCs w:val="18"/>
                <w:u w:val="none"/>
              </w:rPr>
            </w:pPr>
          </w:p>
        </w:tc>
        <w:tc>
          <w:tcPr>
            <w:tcW w:w="1770" w:type="dxa"/>
            <w:tcBorders>
              <w:top w:val="nil"/>
              <w:left w:val="nil"/>
              <w:bottom w:val="nil"/>
              <w:right w:val="nil"/>
            </w:tcBorders>
            <w:noWrap/>
            <w:vAlign w:val="center"/>
          </w:tcPr>
          <w:p w14:paraId="4424EF09">
            <w:pPr>
              <w:rPr>
                <w:rFonts w:hint="eastAsia" w:ascii="宋体" w:eastAsia="宋体" w:cs="宋体"/>
                <w:i w:val="0"/>
                <w:iCs w:val="0"/>
                <w:color w:val="000000"/>
                <w:sz w:val="18"/>
                <w:szCs w:val="18"/>
                <w:u w:val="none"/>
              </w:rPr>
            </w:pPr>
          </w:p>
        </w:tc>
        <w:tc>
          <w:tcPr>
            <w:tcW w:w="2370" w:type="dxa"/>
            <w:tcBorders>
              <w:top w:val="nil"/>
              <w:left w:val="nil"/>
              <w:bottom w:val="nil"/>
              <w:right w:val="nil"/>
            </w:tcBorders>
            <w:noWrap/>
            <w:vAlign w:val="center"/>
          </w:tcPr>
          <w:p w14:paraId="291CDC7A">
            <w:pPr>
              <w:rPr>
                <w:rFonts w:hint="eastAsia" w:ascii="宋体" w:eastAsia="宋体" w:cs="宋体"/>
                <w:i w:val="0"/>
                <w:iCs w:val="0"/>
                <w:color w:val="000000"/>
                <w:sz w:val="18"/>
                <w:szCs w:val="18"/>
                <w:u w:val="none"/>
              </w:rPr>
            </w:pPr>
          </w:p>
        </w:tc>
        <w:tc>
          <w:tcPr>
            <w:tcW w:w="525" w:type="dxa"/>
            <w:tcBorders>
              <w:top w:val="nil"/>
              <w:left w:val="nil"/>
              <w:bottom w:val="nil"/>
              <w:right w:val="nil"/>
            </w:tcBorders>
            <w:noWrap/>
            <w:vAlign w:val="center"/>
          </w:tcPr>
          <w:p w14:paraId="1A0011BA">
            <w:pPr>
              <w:rPr>
                <w:rFonts w:hint="eastAsia" w:ascii="宋体" w:eastAsia="宋体" w:cs="宋体"/>
                <w:i w:val="0"/>
                <w:iCs w:val="0"/>
                <w:color w:val="000000"/>
                <w:sz w:val="18"/>
                <w:szCs w:val="18"/>
                <w:u w:val="none"/>
              </w:rPr>
            </w:pPr>
          </w:p>
        </w:tc>
        <w:tc>
          <w:tcPr>
            <w:tcW w:w="1680" w:type="dxa"/>
            <w:tcBorders>
              <w:top w:val="nil"/>
              <w:left w:val="nil"/>
              <w:bottom w:val="nil"/>
              <w:right w:val="nil"/>
            </w:tcBorders>
            <w:noWrap/>
            <w:vAlign w:val="center"/>
          </w:tcPr>
          <w:p w14:paraId="40F2AE16">
            <w:pPr>
              <w:rPr>
                <w:rFonts w:hint="eastAsia" w:ascii="宋体" w:eastAsia="宋体" w:cs="宋体"/>
                <w:i w:val="0"/>
                <w:iCs w:val="0"/>
                <w:color w:val="000000"/>
                <w:sz w:val="18"/>
                <w:szCs w:val="18"/>
                <w:u w:val="none"/>
              </w:rPr>
            </w:pPr>
          </w:p>
        </w:tc>
        <w:tc>
          <w:tcPr>
            <w:tcW w:w="525" w:type="dxa"/>
            <w:tcBorders>
              <w:top w:val="nil"/>
              <w:left w:val="nil"/>
              <w:bottom w:val="nil"/>
              <w:right w:val="nil"/>
            </w:tcBorders>
            <w:noWrap/>
            <w:vAlign w:val="center"/>
          </w:tcPr>
          <w:p w14:paraId="5AAA4C5F">
            <w:pPr>
              <w:rPr>
                <w:rFonts w:hint="eastAsia" w:ascii="宋体" w:eastAsia="宋体" w:cs="宋体"/>
                <w:i w:val="0"/>
                <w:iCs w:val="0"/>
                <w:color w:val="000000"/>
                <w:sz w:val="18"/>
                <w:szCs w:val="18"/>
                <w:u w:val="none"/>
              </w:rPr>
            </w:pPr>
          </w:p>
        </w:tc>
        <w:tc>
          <w:tcPr>
            <w:tcW w:w="1095" w:type="dxa"/>
            <w:tcBorders>
              <w:top w:val="nil"/>
              <w:left w:val="nil"/>
              <w:bottom w:val="nil"/>
              <w:right w:val="nil"/>
            </w:tcBorders>
            <w:noWrap/>
            <w:vAlign w:val="center"/>
          </w:tcPr>
          <w:p w14:paraId="26F090FB">
            <w:pPr>
              <w:rPr>
                <w:rFonts w:hint="eastAsia" w:ascii="宋体" w:eastAsia="宋体" w:cs="宋体"/>
                <w:i w:val="0"/>
                <w:iCs w:val="0"/>
                <w:color w:val="000000"/>
                <w:sz w:val="18"/>
                <w:szCs w:val="18"/>
                <w:u w:val="none"/>
              </w:rPr>
            </w:pPr>
          </w:p>
        </w:tc>
        <w:tc>
          <w:tcPr>
            <w:tcW w:w="510" w:type="dxa"/>
            <w:tcBorders>
              <w:top w:val="nil"/>
              <w:left w:val="nil"/>
              <w:bottom w:val="nil"/>
              <w:right w:val="nil"/>
            </w:tcBorders>
            <w:noWrap/>
            <w:vAlign w:val="center"/>
          </w:tcPr>
          <w:p w14:paraId="54A0B35E">
            <w:pPr>
              <w:rPr>
                <w:rFonts w:hint="eastAsia" w:ascii="宋体" w:eastAsia="宋体" w:cs="宋体"/>
                <w:i w:val="0"/>
                <w:iCs w:val="0"/>
                <w:color w:val="000000"/>
                <w:sz w:val="18"/>
                <w:szCs w:val="18"/>
                <w:u w:val="none"/>
              </w:rPr>
            </w:pPr>
          </w:p>
        </w:tc>
        <w:tc>
          <w:tcPr>
            <w:tcW w:w="450" w:type="dxa"/>
            <w:tcBorders>
              <w:top w:val="nil"/>
              <w:left w:val="nil"/>
              <w:bottom w:val="nil"/>
              <w:right w:val="nil"/>
            </w:tcBorders>
            <w:noWrap/>
            <w:vAlign w:val="center"/>
          </w:tcPr>
          <w:p w14:paraId="533F94B3">
            <w:pPr>
              <w:rPr>
                <w:rFonts w:hint="eastAsia" w:ascii="宋体" w:eastAsia="宋体" w:cs="宋体"/>
                <w:i w:val="0"/>
                <w:iCs w:val="0"/>
                <w:color w:val="000000"/>
                <w:sz w:val="18"/>
                <w:szCs w:val="18"/>
                <w:u w:val="none"/>
              </w:rPr>
            </w:pPr>
          </w:p>
        </w:tc>
        <w:tc>
          <w:tcPr>
            <w:tcW w:w="2520" w:type="dxa"/>
            <w:tcBorders>
              <w:top w:val="nil"/>
              <w:left w:val="nil"/>
              <w:bottom w:val="nil"/>
              <w:right w:val="nil"/>
            </w:tcBorders>
            <w:noWrap/>
            <w:vAlign w:val="center"/>
          </w:tcPr>
          <w:p w14:paraId="2EE31D0C">
            <w:pPr>
              <w:rPr>
                <w:rFonts w:hint="eastAsia" w:ascii="宋体" w:eastAsia="宋体" w:cs="宋体"/>
                <w:i w:val="0"/>
                <w:iCs w:val="0"/>
                <w:color w:val="000000"/>
                <w:sz w:val="18"/>
                <w:szCs w:val="18"/>
                <w:u w:val="none"/>
              </w:rPr>
            </w:pPr>
          </w:p>
        </w:tc>
      </w:tr>
      <w:tr w14:paraId="4677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435" w:type="dxa"/>
            <w:gridSpan w:val="11"/>
            <w:tcBorders>
              <w:top w:val="single" w:color="000000" w:sz="4" w:space="0"/>
              <w:left w:val="single" w:color="000000" w:sz="4" w:space="0"/>
              <w:bottom w:val="single" w:color="000000" w:sz="4" w:space="0"/>
              <w:right w:val="single" w:color="000000" w:sz="4" w:space="0"/>
            </w:tcBorders>
            <w:noWrap/>
            <w:vAlign w:val="center"/>
          </w:tcPr>
          <w:p w14:paraId="3B409AA2">
            <w:pPr>
              <w:keepNext w:val="0"/>
              <w:keepLines w:val="0"/>
              <w:widowControl/>
              <w:suppressLineNumbers w:val="0"/>
              <w:suppressAutoHyphens/>
              <w:jc w:val="center"/>
              <w:textAlignment w:val="center"/>
              <w:rPr>
                <w:rFonts w:hint="eastAsia" w:ascii="黑体" w:eastAsia="黑体" w:cs="黑体"/>
                <w:b/>
                <w:bCs/>
                <w:i w:val="0"/>
                <w:iCs w:val="0"/>
                <w:color w:val="000000"/>
                <w:sz w:val="30"/>
                <w:szCs w:val="30"/>
                <w:u w:val="none"/>
              </w:rPr>
            </w:pPr>
            <w:r>
              <w:rPr>
                <w:rFonts w:hint="eastAsia" w:ascii="黑体" w:eastAsia="黑体" w:cs="黑体"/>
                <w:b/>
                <w:bCs/>
                <w:i w:val="0"/>
                <w:iCs w:val="0"/>
                <w:color w:val="000000"/>
                <w:kern w:val="0"/>
                <w:sz w:val="30"/>
                <w:szCs w:val="30"/>
                <w:u w:val="none"/>
                <w:lang w:val="en-US" w:eastAsia="zh-CN"/>
              </w:rPr>
              <w:t>部门预算项目支出绩效自评表（2023年度）</w:t>
            </w:r>
          </w:p>
        </w:tc>
      </w:tr>
      <w:tr w14:paraId="59AD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90" w:type="dxa"/>
            <w:gridSpan w:val="2"/>
            <w:tcBorders>
              <w:top w:val="single" w:color="000000" w:sz="4" w:space="0"/>
              <w:left w:val="single" w:color="000000" w:sz="4" w:space="0"/>
              <w:bottom w:val="single" w:color="000000" w:sz="4" w:space="0"/>
              <w:right w:val="single" w:color="000000" w:sz="4" w:space="0"/>
            </w:tcBorders>
            <w:noWrap/>
            <w:vAlign w:val="center"/>
          </w:tcPr>
          <w:p w14:paraId="1B4D0266">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项目名称</w:t>
            </w:r>
          </w:p>
        </w:tc>
        <w:tc>
          <w:tcPr>
            <w:tcW w:w="11445" w:type="dxa"/>
            <w:gridSpan w:val="9"/>
            <w:tcBorders>
              <w:top w:val="single" w:color="000000" w:sz="4" w:space="0"/>
              <w:left w:val="single" w:color="000000" w:sz="4" w:space="0"/>
              <w:bottom w:val="single" w:color="000000" w:sz="4" w:space="0"/>
              <w:right w:val="single" w:color="000000" w:sz="4" w:space="0"/>
            </w:tcBorders>
            <w:noWrap/>
            <w:vAlign w:val="center"/>
          </w:tcPr>
          <w:p w14:paraId="7C670A03">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51322323T000009053208</w:t>
            </w:r>
            <w:r>
              <w:rPr>
                <w:rFonts w:hint="eastAsia" w:ascii="宋体" w:cs="宋体"/>
                <w:i w:val="0"/>
                <w:iCs w:val="0"/>
                <w:color w:val="000000"/>
                <w:kern w:val="0"/>
                <w:sz w:val="18"/>
                <w:szCs w:val="18"/>
                <w:u w:val="none"/>
                <w:lang w:val="en-US" w:eastAsia="zh-CN"/>
              </w:rPr>
              <w:t>－</w:t>
            </w:r>
            <w:r>
              <w:rPr>
                <w:rFonts w:ascii="宋体" w:eastAsia="宋体" w:cs="宋体"/>
                <w:i w:val="0"/>
                <w:iCs w:val="0"/>
                <w:color w:val="000000"/>
                <w:kern w:val="0"/>
                <w:sz w:val="18"/>
                <w:szCs w:val="18"/>
                <w:u w:val="none"/>
                <w:lang w:val="en-US" w:eastAsia="zh-CN"/>
              </w:rPr>
              <w:t>茂县工业园区基础设施运行维护费</w:t>
            </w:r>
          </w:p>
        </w:tc>
      </w:tr>
      <w:tr w14:paraId="4F821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90" w:type="dxa"/>
            <w:gridSpan w:val="2"/>
            <w:tcBorders>
              <w:top w:val="single" w:color="000000" w:sz="4" w:space="0"/>
              <w:left w:val="single" w:color="000000" w:sz="4" w:space="0"/>
              <w:bottom w:val="single" w:color="000000" w:sz="4" w:space="0"/>
              <w:right w:val="single" w:color="000000" w:sz="4" w:space="0"/>
            </w:tcBorders>
            <w:noWrap/>
            <w:vAlign w:val="center"/>
          </w:tcPr>
          <w:p w14:paraId="2A9523A0">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主管部门</w:t>
            </w:r>
          </w:p>
        </w:tc>
        <w:tc>
          <w:tcPr>
            <w:tcW w:w="6870" w:type="dxa"/>
            <w:gridSpan w:val="5"/>
            <w:tcBorders>
              <w:top w:val="single" w:color="000000" w:sz="4" w:space="0"/>
              <w:left w:val="single" w:color="000000" w:sz="4" w:space="0"/>
              <w:bottom w:val="single" w:color="000000" w:sz="4" w:space="0"/>
              <w:right w:val="single" w:color="000000" w:sz="4" w:space="0"/>
            </w:tcBorders>
            <w:noWrap/>
            <w:vAlign w:val="center"/>
          </w:tcPr>
          <w:p w14:paraId="46048A02">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茂县工业服务中心本级</w:t>
            </w:r>
          </w:p>
        </w:tc>
        <w:tc>
          <w:tcPr>
            <w:tcW w:w="1095" w:type="dxa"/>
            <w:tcBorders>
              <w:top w:val="nil"/>
              <w:left w:val="nil"/>
              <w:bottom w:val="nil"/>
              <w:right w:val="nil"/>
            </w:tcBorders>
            <w:noWrap/>
            <w:vAlign w:val="center"/>
          </w:tcPr>
          <w:p w14:paraId="175F435E">
            <w:pPr>
              <w:keepNext w:val="0"/>
              <w:keepLines w:val="0"/>
              <w:widowControl/>
              <w:suppressLineNumbers w:val="0"/>
              <w:suppressAutoHyphens/>
              <w:jc w:val="left"/>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实施单位 （盖章）</w:t>
            </w:r>
          </w:p>
        </w:tc>
        <w:tc>
          <w:tcPr>
            <w:tcW w:w="3480" w:type="dxa"/>
            <w:gridSpan w:val="3"/>
            <w:tcBorders>
              <w:top w:val="single" w:color="000000" w:sz="4" w:space="0"/>
              <w:left w:val="single" w:color="000000" w:sz="4" w:space="0"/>
              <w:bottom w:val="single" w:color="000000" w:sz="4" w:space="0"/>
              <w:right w:val="single" w:color="000000" w:sz="4" w:space="0"/>
            </w:tcBorders>
            <w:noWrap/>
            <w:vAlign w:val="center"/>
          </w:tcPr>
          <w:p w14:paraId="4D1FFEE6">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茂县工业服务中心</w:t>
            </w:r>
          </w:p>
        </w:tc>
      </w:tr>
      <w:tr w14:paraId="1C279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restart"/>
            <w:tcBorders>
              <w:top w:val="single" w:color="000000" w:sz="4" w:space="0"/>
              <w:left w:val="single" w:color="000000" w:sz="4" w:space="0"/>
              <w:bottom w:val="single" w:color="000000" w:sz="4" w:space="0"/>
              <w:right w:val="single" w:color="000000" w:sz="4" w:space="0"/>
            </w:tcBorders>
            <w:noWrap/>
            <w:vAlign w:val="center"/>
          </w:tcPr>
          <w:p w14:paraId="68E6CE04">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项目基本情况</w:t>
            </w:r>
          </w:p>
        </w:tc>
        <w:tc>
          <w:tcPr>
            <w:tcW w:w="2300" w:type="dxa"/>
            <w:vMerge w:val="restart"/>
            <w:tcBorders>
              <w:top w:val="single" w:color="000000" w:sz="4" w:space="0"/>
              <w:left w:val="single" w:color="000000" w:sz="4" w:space="0"/>
              <w:bottom w:val="single" w:color="000000" w:sz="4" w:space="0"/>
              <w:right w:val="single" w:color="000000" w:sz="4" w:space="0"/>
            </w:tcBorders>
            <w:noWrap/>
            <w:vAlign w:val="center"/>
          </w:tcPr>
          <w:p w14:paraId="4B6E4D5C">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1.项目年度目标完成情况</w:t>
            </w:r>
          </w:p>
        </w:tc>
        <w:tc>
          <w:tcPr>
            <w:tcW w:w="6870" w:type="dxa"/>
            <w:gridSpan w:val="5"/>
            <w:tcBorders>
              <w:top w:val="single" w:color="000000" w:sz="4" w:space="0"/>
              <w:left w:val="single" w:color="000000" w:sz="4" w:space="0"/>
              <w:bottom w:val="single" w:color="000000" w:sz="4" w:space="0"/>
              <w:right w:val="single" w:color="000000" w:sz="4" w:space="0"/>
            </w:tcBorders>
            <w:noWrap/>
            <w:vAlign w:val="center"/>
          </w:tcPr>
          <w:p w14:paraId="7207D659">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项目年度目标</w:t>
            </w:r>
          </w:p>
        </w:tc>
        <w:tc>
          <w:tcPr>
            <w:tcW w:w="4575" w:type="dxa"/>
            <w:gridSpan w:val="4"/>
            <w:tcBorders>
              <w:top w:val="single" w:color="000000" w:sz="4" w:space="0"/>
              <w:left w:val="single" w:color="000000" w:sz="4" w:space="0"/>
              <w:bottom w:val="single" w:color="000000" w:sz="4" w:space="0"/>
              <w:right w:val="single" w:color="000000" w:sz="4" w:space="0"/>
            </w:tcBorders>
            <w:noWrap/>
            <w:vAlign w:val="center"/>
          </w:tcPr>
          <w:p w14:paraId="586F476F">
            <w:pPr>
              <w:keepNext w:val="0"/>
              <w:keepLines w:val="0"/>
              <w:widowControl/>
              <w:suppressLineNumbers w:val="0"/>
              <w:suppressAutoHyphens/>
              <w:jc w:val="center"/>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年度目标完成情况</w:t>
            </w:r>
          </w:p>
        </w:tc>
      </w:tr>
      <w:tr w14:paraId="41759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4759E847"/>
        </w:tc>
        <w:tc>
          <w:tcPr>
            <w:tcW w:w="2300" w:type="dxa"/>
            <w:vMerge w:val="continue"/>
            <w:tcBorders>
              <w:top w:val="single" w:color="000000" w:sz="4" w:space="0"/>
              <w:left w:val="single" w:color="000000" w:sz="4" w:space="0"/>
              <w:bottom w:val="single" w:color="000000" w:sz="4" w:space="0"/>
              <w:right w:val="single" w:color="000000" w:sz="4" w:space="0"/>
            </w:tcBorders>
            <w:noWrap/>
            <w:vAlign w:val="center"/>
          </w:tcPr>
          <w:p w14:paraId="30D66426"/>
        </w:tc>
        <w:tc>
          <w:tcPr>
            <w:tcW w:w="6870" w:type="dxa"/>
            <w:gridSpan w:val="5"/>
            <w:tcBorders>
              <w:top w:val="single" w:color="000000" w:sz="4" w:space="0"/>
              <w:left w:val="single" w:color="000000" w:sz="4" w:space="0"/>
              <w:bottom w:val="single" w:color="000000" w:sz="4" w:space="0"/>
              <w:right w:val="single" w:color="000000" w:sz="4" w:space="0"/>
            </w:tcBorders>
            <w:noWrap/>
            <w:vAlign w:val="center"/>
          </w:tcPr>
          <w:p w14:paraId="2E9DEA95">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茂县工业园区基础设施日常运行管理和维修维护，为园区企业正常运行提供要素保障等。</w:t>
            </w:r>
          </w:p>
        </w:tc>
        <w:tc>
          <w:tcPr>
            <w:tcW w:w="4575" w:type="dxa"/>
            <w:gridSpan w:val="4"/>
            <w:tcBorders>
              <w:top w:val="single" w:color="000000" w:sz="4" w:space="0"/>
              <w:left w:val="single" w:color="000000" w:sz="4" w:space="0"/>
              <w:bottom w:val="single" w:color="000000" w:sz="4" w:space="0"/>
              <w:right w:val="single" w:color="000000" w:sz="4" w:space="0"/>
            </w:tcBorders>
            <w:noWrap/>
            <w:vAlign w:val="center"/>
          </w:tcPr>
          <w:p w14:paraId="6B87D31D">
            <w:pPr>
              <w:keepNext w:val="0"/>
              <w:keepLines w:val="0"/>
              <w:widowControl/>
              <w:suppressLineNumbers w:val="0"/>
              <w:suppressAutoHyphens/>
              <w:jc w:val="left"/>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维修维护并保障茂县工业园区给排水厂、道路、桥梁等基础设施正常运行，为企业正常运行提供要素保障；做好园区环境污染检测、安全生产等工作；确保了园区各企业正常生产、生活运转</w:t>
            </w:r>
          </w:p>
        </w:tc>
      </w:tr>
      <w:tr w14:paraId="6DE5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7BB87F99"/>
        </w:tc>
        <w:tc>
          <w:tcPr>
            <w:tcW w:w="2300" w:type="dxa"/>
            <w:tcBorders>
              <w:top w:val="single" w:color="000000" w:sz="4" w:space="0"/>
              <w:left w:val="single" w:color="000000" w:sz="4" w:space="0"/>
              <w:bottom w:val="single" w:color="000000" w:sz="4" w:space="0"/>
              <w:right w:val="single" w:color="000000" w:sz="4" w:space="0"/>
            </w:tcBorders>
            <w:noWrap/>
            <w:vAlign w:val="center"/>
          </w:tcPr>
          <w:p w14:paraId="156E618D">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2.项目实施内容及过程概述</w:t>
            </w:r>
          </w:p>
        </w:tc>
        <w:tc>
          <w:tcPr>
            <w:tcW w:w="11445" w:type="dxa"/>
            <w:gridSpan w:val="9"/>
            <w:tcBorders>
              <w:top w:val="single" w:color="000000" w:sz="4" w:space="0"/>
              <w:left w:val="single" w:color="000000" w:sz="4" w:space="0"/>
              <w:bottom w:val="single" w:color="000000" w:sz="4" w:space="0"/>
              <w:right w:val="single" w:color="000000" w:sz="4" w:space="0"/>
            </w:tcBorders>
            <w:noWrap/>
            <w:vAlign w:val="center"/>
          </w:tcPr>
          <w:p w14:paraId="005EA57A">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维修维护并保障茂县工业园区给排水厂、道路、桥梁等基础设施正常运行，为企业正常运行提供要素保障；做好园区环境污染检测、安全生产等工作；确保了园区各企业正常生产、生活运转；完成茂县工业园区团结给水工程水资源论证证书编制、取水验收工作报告编制，取水在线监测系统的完成；保障了园区的正常运行。</w:t>
            </w:r>
          </w:p>
        </w:tc>
      </w:tr>
      <w:tr w14:paraId="631B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0" w:type="dxa"/>
            <w:vMerge w:val="restart"/>
            <w:tcBorders>
              <w:top w:val="single" w:color="000000" w:sz="4" w:space="0"/>
              <w:left w:val="single" w:color="000000" w:sz="4" w:space="0"/>
              <w:bottom w:val="single" w:color="000000" w:sz="4" w:space="0"/>
              <w:right w:val="single" w:color="000000" w:sz="4" w:space="0"/>
            </w:tcBorders>
            <w:noWrap/>
            <w:vAlign w:val="center"/>
          </w:tcPr>
          <w:p w14:paraId="48FACB60">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预算执行情况（10分）</w:t>
            </w:r>
          </w:p>
        </w:tc>
        <w:tc>
          <w:tcPr>
            <w:tcW w:w="2300" w:type="dxa"/>
            <w:tcBorders>
              <w:top w:val="single" w:color="000000" w:sz="4" w:space="0"/>
              <w:left w:val="single" w:color="000000" w:sz="4" w:space="0"/>
              <w:bottom w:val="single" w:color="000000" w:sz="4" w:space="0"/>
              <w:right w:val="single" w:color="000000" w:sz="4" w:space="0"/>
            </w:tcBorders>
            <w:noWrap/>
            <w:vAlign w:val="center"/>
          </w:tcPr>
          <w:p w14:paraId="1C6DD34B">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年度预算数（万元）</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7E39348C">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年初预算</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43EA9971">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noWrap/>
            <w:vAlign w:val="center"/>
          </w:tcPr>
          <w:p w14:paraId="4DD65A43">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预算执行数</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9480BBA">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预算执行率</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072C2C5C">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0713BC83">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得分</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06BB6FA2">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原因</w:t>
            </w:r>
          </w:p>
        </w:tc>
      </w:tr>
      <w:tr w14:paraId="3C6DC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211D91A2"/>
        </w:tc>
        <w:tc>
          <w:tcPr>
            <w:tcW w:w="2300" w:type="dxa"/>
            <w:tcBorders>
              <w:top w:val="single" w:color="000000" w:sz="4" w:space="0"/>
              <w:left w:val="single" w:color="000000" w:sz="4" w:space="0"/>
              <w:bottom w:val="single" w:color="000000" w:sz="4" w:space="0"/>
              <w:right w:val="single" w:color="000000" w:sz="4" w:space="0"/>
            </w:tcBorders>
            <w:noWrap/>
            <w:vAlign w:val="center"/>
          </w:tcPr>
          <w:p w14:paraId="467FA610">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总额</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2B03E836">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3E8BD872">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75.56</w:t>
            </w:r>
          </w:p>
        </w:tc>
        <w:tc>
          <w:tcPr>
            <w:tcW w:w="2730" w:type="dxa"/>
            <w:gridSpan w:val="3"/>
            <w:tcBorders>
              <w:top w:val="single" w:color="000000" w:sz="4" w:space="0"/>
              <w:left w:val="single" w:color="000000" w:sz="4" w:space="0"/>
              <w:bottom w:val="single" w:color="000000" w:sz="4" w:space="0"/>
              <w:right w:val="single" w:color="000000" w:sz="4" w:space="0"/>
            </w:tcBorders>
            <w:noWrap/>
            <w:vAlign w:val="center"/>
          </w:tcPr>
          <w:p w14:paraId="292AB6E7">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75.56</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6C550CF2">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100.00%</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0596929">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222766E4">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2520" w:type="dxa"/>
            <w:vMerge w:val="restart"/>
            <w:tcBorders>
              <w:top w:val="single" w:color="000000" w:sz="4" w:space="0"/>
              <w:left w:val="single" w:color="000000" w:sz="4" w:space="0"/>
              <w:bottom w:val="single" w:color="000000" w:sz="4" w:space="0"/>
              <w:right w:val="single" w:color="000000" w:sz="4" w:space="0"/>
            </w:tcBorders>
            <w:noWrap/>
            <w:vAlign w:val="center"/>
          </w:tcPr>
          <w:p w14:paraId="0DE1FD7C">
            <w:pPr>
              <w:keepNext w:val="0"/>
              <w:keepLines w:val="0"/>
              <w:widowControl/>
              <w:suppressLineNumbers w:val="0"/>
              <w:suppressAutoHyphens/>
              <w:jc w:val="left"/>
              <w:textAlignment w:val="center"/>
              <w:rPr>
                <w:rFonts w:hint="eastAsia" w:ascii="宋体" w:eastAsia="宋体" w:cs="宋体"/>
                <w:i/>
                <w:iCs/>
                <w:color w:val="000000"/>
                <w:sz w:val="18"/>
                <w:szCs w:val="18"/>
                <w:u w:val="none"/>
              </w:rPr>
            </w:pPr>
            <w:r>
              <w:rPr>
                <w:rFonts w:hint="eastAsia" w:ascii="宋体" w:eastAsia="宋体" w:cs="宋体"/>
                <w:i/>
                <w:iCs/>
                <w:color w:val="000000"/>
                <w:kern w:val="0"/>
                <w:sz w:val="18"/>
                <w:szCs w:val="18"/>
                <w:u w:val="none"/>
                <w:lang w:val="en-US" w:eastAsia="zh-CN"/>
              </w:rPr>
              <w:t>为财政代管资金，故在需要使用时在进行申请支付</w:t>
            </w:r>
          </w:p>
        </w:tc>
      </w:tr>
      <w:tr w14:paraId="74538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1838881E"/>
        </w:tc>
        <w:tc>
          <w:tcPr>
            <w:tcW w:w="2300" w:type="dxa"/>
            <w:tcBorders>
              <w:top w:val="single" w:color="000000" w:sz="4" w:space="0"/>
              <w:left w:val="single" w:color="000000" w:sz="4" w:space="0"/>
              <w:bottom w:val="single" w:color="000000" w:sz="4" w:space="0"/>
              <w:right w:val="single" w:color="000000" w:sz="4" w:space="0"/>
            </w:tcBorders>
            <w:noWrap/>
            <w:vAlign w:val="center"/>
          </w:tcPr>
          <w:p w14:paraId="2253662F">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其中：财政资金</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3DDF9176">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3654ED7E">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2730" w:type="dxa"/>
            <w:gridSpan w:val="3"/>
            <w:tcBorders>
              <w:top w:val="single" w:color="000000" w:sz="4" w:space="0"/>
              <w:left w:val="single" w:color="000000" w:sz="4" w:space="0"/>
              <w:bottom w:val="single" w:color="000000" w:sz="4" w:space="0"/>
              <w:right w:val="single" w:color="000000" w:sz="4" w:space="0"/>
            </w:tcBorders>
            <w:noWrap/>
            <w:vAlign w:val="center"/>
          </w:tcPr>
          <w:p w14:paraId="14789F26">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62174A3">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41D74601">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0ED5B874">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2520" w:type="dxa"/>
            <w:vMerge w:val="continue"/>
            <w:tcBorders>
              <w:top w:val="single" w:color="000000" w:sz="4" w:space="0"/>
              <w:left w:val="single" w:color="000000" w:sz="4" w:space="0"/>
              <w:bottom w:val="single" w:color="000000" w:sz="4" w:space="0"/>
              <w:right w:val="single" w:color="000000" w:sz="4" w:space="0"/>
            </w:tcBorders>
            <w:noWrap/>
            <w:vAlign w:val="center"/>
          </w:tcPr>
          <w:p w14:paraId="2F518A4E"/>
        </w:tc>
      </w:tr>
      <w:tr w14:paraId="6378F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372124B5"/>
        </w:tc>
        <w:tc>
          <w:tcPr>
            <w:tcW w:w="2300" w:type="dxa"/>
            <w:tcBorders>
              <w:top w:val="single" w:color="000000" w:sz="4" w:space="0"/>
              <w:left w:val="single" w:color="000000" w:sz="4" w:space="0"/>
              <w:bottom w:val="single" w:color="000000" w:sz="4" w:space="0"/>
              <w:right w:val="single" w:color="000000" w:sz="4" w:space="0"/>
            </w:tcBorders>
            <w:noWrap/>
            <w:vAlign w:val="center"/>
          </w:tcPr>
          <w:p w14:paraId="36DC9833">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财政专户管理资金</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1108740A">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0247A730">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2730" w:type="dxa"/>
            <w:gridSpan w:val="3"/>
            <w:tcBorders>
              <w:top w:val="single" w:color="000000" w:sz="4" w:space="0"/>
              <w:left w:val="single" w:color="000000" w:sz="4" w:space="0"/>
              <w:bottom w:val="single" w:color="000000" w:sz="4" w:space="0"/>
              <w:right w:val="single" w:color="000000" w:sz="4" w:space="0"/>
            </w:tcBorders>
            <w:noWrap/>
            <w:vAlign w:val="center"/>
          </w:tcPr>
          <w:p w14:paraId="7395C219">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DE87F06">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341AE5A">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4FCB037D">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2520" w:type="dxa"/>
            <w:vMerge w:val="continue"/>
            <w:tcBorders>
              <w:top w:val="single" w:color="000000" w:sz="4" w:space="0"/>
              <w:left w:val="single" w:color="000000" w:sz="4" w:space="0"/>
              <w:bottom w:val="single" w:color="000000" w:sz="4" w:space="0"/>
              <w:right w:val="single" w:color="000000" w:sz="4" w:space="0"/>
            </w:tcBorders>
            <w:noWrap/>
            <w:vAlign w:val="center"/>
          </w:tcPr>
          <w:p w14:paraId="0CF9CAEC"/>
        </w:tc>
      </w:tr>
      <w:tr w14:paraId="1920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7CE016D4"/>
        </w:tc>
        <w:tc>
          <w:tcPr>
            <w:tcW w:w="2300" w:type="dxa"/>
            <w:tcBorders>
              <w:top w:val="single" w:color="000000" w:sz="4" w:space="0"/>
              <w:left w:val="single" w:color="000000" w:sz="4" w:space="0"/>
              <w:bottom w:val="single" w:color="000000" w:sz="4" w:space="0"/>
              <w:right w:val="single" w:color="000000" w:sz="4" w:space="0"/>
            </w:tcBorders>
            <w:noWrap/>
            <w:vAlign w:val="center"/>
          </w:tcPr>
          <w:p w14:paraId="4431176C">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单位资金</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1CD66C94">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3B737A6C">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75.56</w:t>
            </w:r>
          </w:p>
        </w:tc>
        <w:tc>
          <w:tcPr>
            <w:tcW w:w="2730" w:type="dxa"/>
            <w:gridSpan w:val="3"/>
            <w:tcBorders>
              <w:top w:val="single" w:color="000000" w:sz="4" w:space="0"/>
              <w:left w:val="single" w:color="000000" w:sz="4" w:space="0"/>
              <w:bottom w:val="single" w:color="000000" w:sz="4" w:space="0"/>
              <w:right w:val="single" w:color="000000" w:sz="4" w:space="0"/>
            </w:tcBorders>
            <w:noWrap/>
            <w:vAlign w:val="center"/>
          </w:tcPr>
          <w:p w14:paraId="2BA0CE7D">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75.56</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D89ED16">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100.00%</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9447366">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3E0AAFAD">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2520" w:type="dxa"/>
            <w:vMerge w:val="continue"/>
            <w:tcBorders>
              <w:top w:val="single" w:color="000000" w:sz="4" w:space="0"/>
              <w:left w:val="single" w:color="000000" w:sz="4" w:space="0"/>
              <w:bottom w:val="single" w:color="000000" w:sz="4" w:space="0"/>
              <w:right w:val="single" w:color="000000" w:sz="4" w:space="0"/>
            </w:tcBorders>
            <w:noWrap/>
            <w:vAlign w:val="center"/>
          </w:tcPr>
          <w:p w14:paraId="172F57FC"/>
        </w:tc>
      </w:tr>
      <w:tr w14:paraId="68FB8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204CD533"/>
        </w:tc>
        <w:tc>
          <w:tcPr>
            <w:tcW w:w="2300" w:type="dxa"/>
            <w:tcBorders>
              <w:top w:val="single" w:color="000000" w:sz="4" w:space="0"/>
              <w:left w:val="single" w:color="000000" w:sz="4" w:space="0"/>
              <w:bottom w:val="single" w:color="000000" w:sz="4" w:space="0"/>
              <w:right w:val="single" w:color="000000" w:sz="4" w:space="0"/>
            </w:tcBorders>
            <w:noWrap/>
            <w:vAlign w:val="center"/>
          </w:tcPr>
          <w:p w14:paraId="6D8C088F">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其他资金</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211F9B90">
            <w:pPr>
              <w:jc w:val="center"/>
              <w:rPr>
                <w:rFonts w:hint="eastAsia" w:ascii="微软雅黑" w:eastAsia="微软雅黑" w:cs="微软雅黑"/>
                <w:i/>
                <w:iCs/>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6EE87E12">
            <w:pPr>
              <w:jc w:val="center"/>
              <w:rPr>
                <w:rFonts w:hint="eastAsia" w:asci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noWrap/>
            <w:vAlign w:val="center"/>
          </w:tcPr>
          <w:p w14:paraId="0B597308">
            <w:pPr>
              <w:jc w:val="center"/>
              <w:rPr>
                <w:rFonts w:hint="eastAsia" w:asci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E0B2344">
            <w:pPr>
              <w:jc w:val="center"/>
              <w:rPr>
                <w:rFonts w:hint="eastAsia" w:asci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088F93A">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4C00CBC7">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2520" w:type="dxa"/>
            <w:vMerge w:val="continue"/>
            <w:tcBorders>
              <w:top w:val="single" w:color="000000" w:sz="4" w:space="0"/>
              <w:left w:val="single" w:color="000000" w:sz="4" w:space="0"/>
              <w:bottom w:val="single" w:color="000000" w:sz="4" w:space="0"/>
              <w:right w:val="single" w:color="000000" w:sz="4" w:space="0"/>
            </w:tcBorders>
            <w:noWrap/>
            <w:vAlign w:val="center"/>
          </w:tcPr>
          <w:p w14:paraId="03C9F2EE"/>
        </w:tc>
      </w:tr>
      <w:tr w14:paraId="5F956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0" w:type="dxa"/>
            <w:vMerge w:val="restart"/>
            <w:tcBorders>
              <w:top w:val="single" w:color="000000" w:sz="4" w:space="0"/>
              <w:left w:val="single" w:color="000000" w:sz="4" w:space="0"/>
              <w:bottom w:val="single" w:color="000000" w:sz="4" w:space="0"/>
              <w:right w:val="single" w:color="000000" w:sz="4" w:space="0"/>
            </w:tcBorders>
            <w:noWrap/>
            <w:vAlign w:val="center"/>
          </w:tcPr>
          <w:p w14:paraId="2B760A8C">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绩效指标（90分）</w:t>
            </w:r>
          </w:p>
        </w:tc>
        <w:tc>
          <w:tcPr>
            <w:tcW w:w="2300" w:type="dxa"/>
            <w:tcBorders>
              <w:top w:val="single" w:color="000000" w:sz="4" w:space="0"/>
              <w:left w:val="single" w:color="000000" w:sz="4" w:space="0"/>
              <w:bottom w:val="single" w:color="000000" w:sz="4" w:space="0"/>
              <w:right w:val="single" w:color="000000" w:sz="4" w:space="0"/>
            </w:tcBorders>
            <w:noWrap/>
            <w:vAlign w:val="center"/>
          </w:tcPr>
          <w:p w14:paraId="5D052CA7">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一级指标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79839160">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二级指标</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5CAEBE0E">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三级指标</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7F61C2">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指标性质</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B2B0C32">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指标值</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7F7B3B">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度量单位</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5E31991">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完成值</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83DE6E4">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7B5C2040">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得分</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3AB92D83">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未完成原因分析</w:t>
            </w:r>
          </w:p>
        </w:tc>
      </w:tr>
      <w:tr w14:paraId="0C3F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4A375FAD"/>
        </w:tc>
        <w:tc>
          <w:tcPr>
            <w:tcW w:w="2300" w:type="dxa"/>
            <w:tcBorders>
              <w:top w:val="single" w:color="000000" w:sz="4" w:space="0"/>
              <w:left w:val="single" w:color="000000" w:sz="4" w:space="0"/>
              <w:bottom w:val="single" w:color="000000" w:sz="4" w:space="0"/>
              <w:right w:val="single" w:color="000000" w:sz="4" w:space="0"/>
            </w:tcBorders>
            <w:noWrap/>
            <w:vAlign w:val="center"/>
          </w:tcPr>
          <w:p w14:paraId="458F41CB">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产出指标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4B8B03F1">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质量指标</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114FA466">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完成工业企业配套基础设施的日常运行和管理维护等</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3C3628">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495C5C7">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127D8B">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304E9333">
            <w:pPr>
              <w:keepNext w:val="0"/>
              <w:keepLines w:val="0"/>
              <w:widowControl/>
              <w:suppressLineNumbers w:val="0"/>
              <w:suppressAutoHyphens/>
              <w:jc w:val="center"/>
              <w:textAlignment w:val="center"/>
              <w:rPr>
                <w:rFonts w:hint="eastAsia" w:ascii="微软雅黑" w:eastAsia="微软雅黑" w:cs="微软雅黑"/>
                <w:i/>
                <w:iCs/>
                <w:color w:val="000000"/>
                <w:sz w:val="16"/>
                <w:szCs w:val="16"/>
                <w:u w:val="none"/>
              </w:rPr>
            </w:pPr>
            <w:r>
              <w:rPr>
                <w:rFonts w:hint="eastAsia" w:ascii="微软雅黑" w:eastAsia="微软雅黑" w:cs="微软雅黑"/>
                <w:i/>
                <w:iCs/>
                <w:color w:val="000000"/>
                <w:kern w:val="0"/>
                <w:sz w:val="16"/>
                <w:szCs w:val="16"/>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A618250">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50</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043F7FE3">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49</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34DBE8A5">
            <w:pPr>
              <w:jc w:val="center"/>
              <w:rPr>
                <w:rFonts w:hint="eastAsia" w:ascii="微软雅黑" w:eastAsia="微软雅黑" w:cs="微软雅黑"/>
                <w:i/>
                <w:iCs/>
                <w:color w:val="000000"/>
                <w:sz w:val="16"/>
                <w:szCs w:val="16"/>
                <w:u w:val="none"/>
              </w:rPr>
            </w:pPr>
          </w:p>
        </w:tc>
      </w:tr>
      <w:tr w14:paraId="28CD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76D43023"/>
        </w:tc>
        <w:tc>
          <w:tcPr>
            <w:tcW w:w="2300" w:type="dxa"/>
            <w:tcBorders>
              <w:top w:val="single" w:color="000000" w:sz="4" w:space="0"/>
              <w:left w:val="single" w:color="000000" w:sz="4" w:space="0"/>
              <w:bottom w:val="single" w:color="000000" w:sz="4" w:space="0"/>
              <w:right w:val="single" w:color="000000" w:sz="4" w:space="0"/>
            </w:tcBorders>
            <w:noWrap/>
            <w:vAlign w:val="center"/>
          </w:tcPr>
          <w:p w14:paraId="75B5AD31">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效益指标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3FA23163">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经济效益指标</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00EF78C8">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确保企业正常运行</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264CFC">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7E585D5A">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C28212C">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8C2DCFC">
            <w:pPr>
              <w:keepNext w:val="0"/>
              <w:keepLines w:val="0"/>
              <w:widowControl/>
              <w:suppressLineNumbers w:val="0"/>
              <w:suppressAutoHyphens/>
              <w:jc w:val="center"/>
              <w:textAlignment w:val="center"/>
              <w:rPr>
                <w:rFonts w:hint="eastAsia" w:ascii="微软雅黑" w:eastAsia="微软雅黑" w:cs="微软雅黑"/>
                <w:i/>
                <w:iCs/>
                <w:color w:val="000000"/>
                <w:sz w:val="16"/>
                <w:szCs w:val="16"/>
                <w:u w:val="none"/>
              </w:rPr>
            </w:pPr>
            <w:r>
              <w:rPr>
                <w:rFonts w:hint="eastAsia" w:ascii="微软雅黑" w:eastAsia="微软雅黑" w:cs="微软雅黑"/>
                <w:i/>
                <w:iCs/>
                <w:color w:val="000000"/>
                <w:kern w:val="0"/>
                <w:sz w:val="16"/>
                <w:szCs w:val="16"/>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AD1D1CC">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30</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03D6B3B2">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28</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6524AFBD">
            <w:pPr>
              <w:jc w:val="center"/>
              <w:rPr>
                <w:rFonts w:hint="eastAsia" w:ascii="微软雅黑" w:eastAsia="微软雅黑" w:cs="微软雅黑"/>
                <w:i/>
                <w:iCs/>
                <w:color w:val="000000"/>
                <w:sz w:val="16"/>
                <w:szCs w:val="16"/>
                <w:u w:val="none"/>
              </w:rPr>
            </w:pPr>
          </w:p>
        </w:tc>
      </w:tr>
      <w:tr w14:paraId="6939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6C61746B"/>
        </w:tc>
        <w:tc>
          <w:tcPr>
            <w:tcW w:w="2300" w:type="dxa"/>
            <w:tcBorders>
              <w:top w:val="single" w:color="000000" w:sz="4" w:space="0"/>
              <w:left w:val="single" w:color="000000" w:sz="4" w:space="0"/>
              <w:bottom w:val="single" w:color="000000" w:sz="4" w:space="0"/>
              <w:right w:val="single" w:color="000000" w:sz="4" w:space="0"/>
            </w:tcBorders>
            <w:noWrap/>
            <w:vAlign w:val="center"/>
          </w:tcPr>
          <w:p w14:paraId="5C2C3115">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满意度指标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535C4395">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服务对象满意度指标</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7D746FFD">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各企业满意</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272961">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FB81937">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D42DD9D">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274A8FD">
            <w:pPr>
              <w:keepNext w:val="0"/>
              <w:keepLines w:val="0"/>
              <w:widowControl/>
              <w:suppressLineNumbers w:val="0"/>
              <w:suppressAutoHyphens/>
              <w:jc w:val="center"/>
              <w:textAlignment w:val="center"/>
              <w:rPr>
                <w:rFonts w:hint="eastAsia" w:ascii="微软雅黑" w:eastAsia="微软雅黑" w:cs="微软雅黑"/>
                <w:i/>
                <w:iCs/>
                <w:color w:val="000000"/>
                <w:sz w:val="16"/>
                <w:szCs w:val="16"/>
                <w:u w:val="none"/>
              </w:rPr>
            </w:pPr>
            <w:r>
              <w:rPr>
                <w:rFonts w:hint="eastAsia" w:ascii="微软雅黑" w:eastAsia="微软雅黑" w:cs="微软雅黑"/>
                <w:i/>
                <w:iCs/>
                <w:color w:val="000000"/>
                <w:kern w:val="0"/>
                <w:sz w:val="16"/>
                <w:szCs w:val="16"/>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C3E1275">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3A5C34F2">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5A7B83B1">
            <w:pPr>
              <w:jc w:val="center"/>
              <w:rPr>
                <w:rFonts w:hint="eastAsia" w:ascii="微软雅黑" w:eastAsia="微软雅黑" w:cs="微软雅黑"/>
                <w:i/>
                <w:iCs/>
                <w:color w:val="000000"/>
                <w:sz w:val="16"/>
                <w:szCs w:val="16"/>
                <w:u w:val="none"/>
              </w:rPr>
            </w:pPr>
          </w:p>
        </w:tc>
      </w:tr>
      <w:tr w14:paraId="2559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955" w:type="dxa"/>
            <w:gridSpan w:val="8"/>
            <w:tcBorders>
              <w:top w:val="single" w:color="000000" w:sz="4" w:space="0"/>
              <w:left w:val="single" w:color="000000" w:sz="4" w:space="0"/>
              <w:bottom w:val="single" w:color="000000" w:sz="4" w:space="0"/>
              <w:right w:val="single" w:color="000000" w:sz="4" w:space="0"/>
            </w:tcBorders>
            <w:noWrap/>
            <w:vAlign w:val="center"/>
          </w:tcPr>
          <w:p w14:paraId="4FBFC0B6">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合计</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4AF9601">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1F59A0E3">
            <w:pPr>
              <w:keepNext w:val="0"/>
              <w:keepLines w:val="0"/>
              <w:widowControl/>
              <w:suppressLineNumbers w:val="0"/>
              <w:suppressAutoHyphens/>
              <w:jc w:val="righ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96</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302BC215">
            <w:pPr>
              <w:rPr>
                <w:rFonts w:hint="eastAsia" w:ascii="宋体" w:eastAsia="宋体" w:cs="宋体"/>
                <w:i w:val="0"/>
                <w:iCs w:val="0"/>
                <w:color w:val="000000"/>
                <w:sz w:val="18"/>
                <w:szCs w:val="18"/>
                <w:u w:val="none"/>
              </w:rPr>
            </w:pPr>
          </w:p>
        </w:tc>
      </w:tr>
      <w:tr w14:paraId="76BB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605A21EB">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评价结论</w:t>
            </w:r>
          </w:p>
        </w:tc>
        <w:tc>
          <w:tcPr>
            <w:tcW w:w="13745" w:type="dxa"/>
            <w:gridSpan w:val="10"/>
            <w:tcBorders>
              <w:top w:val="single" w:color="000000" w:sz="4" w:space="0"/>
              <w:left w:val="single" w:color="000000" w:sz="4" w:space="0"/>
              <w:bottom w:val="single" w:color="000000" w:sz="4" w:space="0"/>
              <w:right w:val="single" w:color="000000" w:sz="4" w:space="0"/>
            </w:tcBorders>
            <w:noWrap/>
            <w:vAlign w:val="center"/>
          </w:tcPr>
          <w:p w14:paraId="65483A78">
            <w:pPr>
              <w:keepNext w:val="0"/>
              <w:keepLines w:val="0"/>
              <w:widowControl/>
              <w:suppressLineNumbers w:val="0"/>
              <w:suppressAutoHyphens/>
              <w:jc w:val="left"/>
              <w:textAlignment w:val="center"/>
              <w:rPr>
                <w:rFonts w:hint="eastAsia" w:ascii="微软雅黑" w:eastAsia="微软雅黑" w:cs="微软雅黑"/>
                <w:i/>
                <w:iCs/>
                <w:color w:val="000000"/>
                <w:sz w:val="16"/>
                <w:szCs w:val="16"/>
                <w:u w:val="none"/>
              </w:rPr>
            </w:pPr>
            <w:r>
              <w:rPr>
                <w:rFonts w:hint="eastAsia" w:ascii="微软雅黑" w:eastAsia="微软雅黑" w:cs="微软雅黑"/>
                <w:i/>
                <w:iCs/>
                <w:color w:val="000000"/>
                <w:kern w:val="0"/>
                <w:sz w:val="16"/>
                <w:szCs w:val="16"/>
                <w:u w:val="none"/>
                <w:lang w:val="en-US" w:eastAsia="zh-CN"/>
              </w:rPr>
              <w:t>维修维护并保障茂县工业园区给排水厂、道路、桥梁等基础设施正常运行，为企业正常运行提供要素保障；做好园区环境污染检测、安全生产等工作；确保了园区各企业正常生产、生活运转</w:t>
            </w:r>
          </w:p>
        </w:tc>
      </w:tr>
      <w:tr w14:paraId="724A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13A04BE0">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存在问题</w:t>
            </w:r>
          </w:p>
        </w:tc>
        <w:tc>
          <w:tcPr>
            <w:tcW w:w="13745" w:type="dxa"/>
            <w:gridSpan w:val="10"/>
            <w:tcBorders>
              <w:top w:val="single" w:color="000000" w:sz="4" w:space="0"/>
              <w:left w:val="single" w:color="000000" w:sz="4" w:space="0"/>
              <w:bottom w:val="single" w:color="000000" w:sz="4" w:space="0"/>
              <w:right w:val="single" w:color="000000" w:sz="4" w:space="0"/>
            </w:tcBorders>
            <w:noWrap/>
            <w:vAlign w:val="center"/>
          </w:tcPr>
          <w:p w14:paraId="5C9A26D3">
            <w:pPr>
              <w:keepNext w:val="0"/>
              <w:keepLines w:val="0"/>
              <w:widowControl/>
              <w:suppressLineNumbers w:val="0"/>
              <w:suppressAutoHyphens/>
              <w:jc w:val="left"/>
              <w:textAlignment w:val="center"/>
              <w:rPr>
                <w:rFonts w:hint="eastAsia" w:ascii="微软雅黑" w:eastAsia="微软雅黑" w:cs="微软雅黑"/>
                <w:i/>
                <w:iCs/>
                <w:color w:val="000000"/>
                <w:sz w:val="16"/>
                <w:szCs w:val="16"/>
                <w:u w:val="none"/>
              </w:rPr>
            </w:pPr>
            <w:r>
              <w:rPr>
                <w:rFonts w:hint="eastAsia" w:ascii="微软雅黑" w:eastAsia="微软雅黑" w:cs="微软雅黑"/>
                <w:i/>
                <w:iCs/>
                <w:color w:val="000000"/>
                <w:kern w:val="0"/>
                <w:sz w:val="16"/>
                <w:szCs w:val="16"/>
                <w:u w:val="none"/>
                <w:lang w:val="en-US" w:eastAsia="zh-CN"/>
              </w:rPr>
              <w:t>绩效管理的跟踪反馈不足；加强预算编制的精细化管理，提高预算的准确性和可操作性</w:t>
            </w:r>
          </w:p>
        </w:tc>
      </w:tr>
      <w:tr w14:paraId="3BC7F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0F7A9B85">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改进措施</w:t>
            </w:r>
          </w:p>
        </w:tc>
        <w:tc>
          <w:tcPr>
            <w:tcW w:w="13745" w:type="dxa"/>
            <w:gridSpan w:val="10"/>
            <w:tcBorders>
              <w:top w:val="single" w:color="000000" w:sz="4" w:space="0"/>
              <w:left w:val="single" w:color="000000" w:sz="4" w:space="0"/>
              <w:bottom w:val="single" w:color="000000" w:sz="4" w:space="0"/>
              <w:right w:val="single" w:color="000000" w:sz="4" w:space="0"/>
            </w:tcBorders>
            <w:noWrap/>
            <w:vAlign w:val="center"/>
          </w:tcPr>
          <w:p w14:paraId="118D7193">
            <w:pPr>
              <w:keepNext w:val="0"/>
              <w:keepLines w:val="0"/>
              <w:widowControl/>
              <w:suppressLineNumbers w:val="0"/>
              <w:suppressAutoHyphens/>
              <w:jc w:val="left"/>
              <w:textAlignment w:val="center"/>
              <w:rPr>
                <w:rFonts w:hint="eastAsia" w:ascii="微软雅黑" w:eastAsia="微软雅黑" w:cs="微软雅黑"/>
                <w:i/>
                <w:iCs/>
                <w:color w:val="000000"/>
                <w:sz w:val="16"/>
                <w:szCs w:val="16"/>
                <w:u w:val="none"/>
              </w:rPr>
            </w:pPr>
            <w:r>
              <w:rPr>
                <w:rFonts w:hint="eastAsia" w:ascii="微软雅黑" w:eastAsia="微软雅黑" w:cs="微软雅黑"/>
                <w:i/>
                <w:iCs/>
                <w:color w:val="000000"/>
                <w:kern w:val="0"/>
                <w:sz w:val="16"/>
                <w:szCs w:val="16"/>
                <w:u w:val="none"/>
                <w:lang w:val="en-US" w:eastAsia="zh-CN"/>
              </w:rPr>
              <w:t>进一步加强单位预算编制、支出执行、决算编制等工作的管理，特别是应加快专项资金的预算执行进度；进一步科学设定绩效目标，加强预算执行管理。改进部门收支预算编制，务实预算基础工作，提高预算编制质量</w:t>
            </w:r>
          </w:p>
        </w:tc>
      </w:tr>
      <w:tr w14:paraId="64DB1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655" w:type="dxa"/>
            <w:gridSpan w:val="5"/>
            <w:tcBorders>
              <w:top w:val="single" w:color="000000" w:sz="4" w:space="0"/>
              <w:left w:val="single" w:color="000000" w:sz="4" w:space="0"/>
              <w:bottom w:val="single" w:color="000000" w:sz="4" w:space="0"/>
              <w:right w:val="single" w:color="000000" w:sz="4" w:space="0"/>
            </w:tcBorders>
            <w:noWrap/>
            <w:vAlign w:val="center"/>
          </w:tcPr>
          <w:p w14:paraId="54C4B9D8">
            <w:pPr>
              <w:keepNext w:val="0"/>
              <w:keepLines w:val="0"/>
              <w:widowControl/>
              <w:suppressLineNumbers w:val="0"/>
              <w:suppressAutoHyphens/>
              <w:jc w:val="left"/>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项目负责人：郭太平</w:t>
            </w:r>
          </w:p>
        </w:tc>
        <w:tc>
          <w:tcPr>
            <w:tcW w:w="6780" w:type="dxa"/>
            <w:gridSpan w:val="6"/>
            <w:tcBorders>
              <w:top w:val="single" w:color="000000" w:sz="4" w:space="0"/>
              <w:left w:val="single" w:color="000000" w:sz="4" w:space="0"/>
              <w:bottom w:val="single" w:color="000000" w:sz="4" w:space="0"/>
              <w:right w:val="single" w:color="000000" w:sz="4" w:space="0"/>
            </w:tcBorders>
            <w:noWrap/>
            <w:vAlign w:val="center"/>
          </w:tcPr>
          <w:p w14:paraId="7FA89654">
            <w:pPr>
              <w:keepNext w:val="0"/>
              <w:keepLines w:val="0"/>
              <w:widowControl/>
              <w:suppressLineNumbers w:val="0"/>
              <w:suppressAutoHyphens/>
              <w:jc w:val="left"/>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财务负责人：杨春鹏</w:t>
            </w:r>
          </w:p>
        </w:tc>
      </w:tr>
      <w:tr w14:paraId="16E4D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tcBorders>
              <w:top w:val="nil"/>
              <w:left w:val="nil"/>
              <w:bottom w:val="nil"/>
              <w:right w:val="nil"/>
            </w:tcBorders>
            <w:noWrap/>
            <w:vAlign w:val="center"/>
          </w:tcPr>
          <w:p w14:paraId="6A3B7F82">
            <w:pPr>
              <w:rPr>
                <w:rFonts w:hint="eastAsia" w:ascii="宋体" w:eastAsia="宋体" w:cs="宋体"/>
                <w:i w:val="0"/>
                <w:iCs w:val="0"/>
                <w:color w:val="000000"/>
                <w:sz w:val="18"/>
                <w:szCs w:val="18"/>
                <w:u w:val="none"/>
              </w:rPr>
            </w:pPr>
          </w:p>
        </w:tc>
        <w:tc>
          <w:tcPr>
            <w:tcW w:w="2300" w:type="dxa"/>
            <w:tcBorders>
              <w:top w:val="nil"/>
              <w:left w:val="nil"/>
              <w:bottom w:val="nil"/>
              <w:right w:val="nil"/>
            </w:tcBorders>
            <w:noWrap/>
            <w:vAlign w:val="center"/>
          </w:tcPr>
          <w:p w14:paraId="7C0B7521">
            <w:pPr>
              <w:rPr>
                <w:rFonts w:hint="eastAsia" w:ascii="宋体" w:eastAsia="宋体" w:cs="宋体"/>
                <w:i w:val="0"/>
                <w:iCs w:val="0"/>
                <w:color w:val="000000"/>
                <w:sz w:val="18"/>
                <w:szCs w:val="18"/>
                <w:u w:val="none"/>
              </w:rPr>
            </w:pPr>
          </w:p>
        </w:tc>
        <w:tc>
          <w:tcPr>
            <w:tcW w:w="1770" w:type="dxa"/>
            <w:tcBorders>
              <w:top w:val="nil"/>
              <w:left w:val="nil"/>
              <w:bottom w:val="nil"/>
              <w:right w:val="nil"/>
            </w:tcBorders>
            <w:noWrap/>
            <w:vAlign w:val="center"/>
          </w:tcPr>
          <w:p w14:paraId="38CFB033">
            <w:pPr>
              <w:rPr>
                <w:rFonts w:hint="eastAsia" w:ascii="宋体" w:eastAsia="宋体" w:cs="宋体"/>
                <w:i w:val="0"/>
                <w:iCs w:val="0"/>
                <w:color w:val="000000"/>
                <w:sz w:val="18"/>
                <w:szCs w:val="18"/>
                <w:u w:val="none"/>
              </w:rPr>
            </w:pPr>
          </w:p>
        </w:tc>
        <w:tc>
          <w:tcPr>
            <w:tcW w:w="2370" w:type="dxa"/>
            <w:tcBorders>
              <w:top w:val="nil"/>
              <w:left w:val="nil"/>
              <w:bottom w:val="nil"/>
              <w:right w:val="nil"/>
            </w:tcBorders>
            <w:noWrap/>
            <w:vAlign w:val="center"/>
          </w:tcPr>
          <w:p w14:paraId="2F11A3ED">
            <w:pPr>
              <w:rPr>
                <w:rFonts w:hint="eastAsia" w:ascii="宋体" w:eastAsia="宋体" w:cs="宋体"/>
                <w:i w:val="0"/>
                <w:iCs w:val="0"/>
                <w:color w:val="000000"/>
                <w:sz w:val="18"/>
                <w:szCs w:val="18"/>
                <w:u w:val="none"/>
              </w:rPr>
            </w:pPr>
          </w:p>
        </w:tc>
        <w:tc>
          <w:tcPr>
            <w:tcW w:w="525" w:type="dxa"/>
            <w:tcBorders>
              <w:top w:val="nil"/>
              <w:left w:val="nil"/>
              <w:bottom w:val="nil"/>
              <w:right w:val="nil"/>
            </w:tcBorders>
            <w:noWrap/>
            <w:vAlign w:val="center"/>
          </w:tcPr>
          <w:p w14:paraId="0FA39BAE">
            <w:pPr>
              <w:rPr>
                <w:rFonts w:hint="eastAsia" w:ascii="宋体" w:eastAsia="宋体" w:cs="宋体"/>
                <w:i w:val="0"/>
                <w:iCs w:val="0"/>
                <w:color w:val="000000"/>
                <w:sz w:val="18"/>
                <w:szCs w:val="18"/>
                <w:u w:val="none"/>
              </w:rPr>
            </w:pPr>
          </w:p>
        </w:tc>
        <w:tc>
          <w:tcPr>
            <w:tcW w:w="1680" w:type="dxa"/>
            <w:tcBorders>
              <w:top w:val="nil"/>
              <w:left w:val="nil"/>
              <w:bottom w:val="nil"/>
              <w:right w:val="nil"/>
            </w:tcBorders>
            <w:noWrap/>
            <w:vAlign w:val="center"/>
          </w:tcPr>
          <w:p w14:paraId="2FE9C75E">
            <w:pPr>
              <w:rPr>
                <w:rFonts w:hint="eastAsia" w:ascii="宋体" w:eastAsia="宋体" w:cs="宋体"/>
                <w:i w:val="0"/>
                <w:iCs w:val="0"/>
                <w:color w:val="000000"/>
                <w:sz w:val="18"/>
                <w:szCs w:val="18"/>
                <w:u w:val="none"/>
              </w:rPr>
            </w:pPr>
          </w:p>
        </w:tc>
        <w:tc>
          <w:tcPr>
            <w:tcW w:w="525" w:type="dxa"/>
            <w:tcBorders>
              <w:top w:val="nil"/>
              <w:left w:val="nil"/>
              <w:bottom w:val="nil"/>
              <w:right w:val="nil"/>
            </w:tcBorders>
            <w:noWrap/>
            <w:vAlign w:val="center"/>
          </w:tcPr>
          <w:p w14:paraId="74C52B81">
            <w:pPr>
              <w:rPr>
                <w:rFonts w:hint="eastAsia" w:ascii="宋体" w:eastAsia="宋体" w:cs="宋体"/>
                <w:i w:val="0"/>
                <w:iCs w:val="0"/>
                <w:color w:val="000000"/>
                <w:sz w:val="18"/>
                <w:szCs w:val="18"/>
                <w:u w:val="none"/>
              </w:rPr>
            </w:pPr>
          </w:p>
        </w:tc>
        <w:tc>
          <w:tcPr>
            <w:tcW w:w="1095" w:type="dxa"/>
            <w:tcBorders>
              <w:top w:val="nil"/>
              <w:left w:val="nil"/>
              <w:bottom w:val="nil"/>
              <w:right w:val="nil"/>
            </w:tcBorders>
            <w:noWrap/>
            <w:vAlign w:val="center"/>
          </w:tcPr>
          <w:p w14:paraId="647BC762">
            <w:pPr>
              <w:rPr>
                <w:rFonts w:hint="eastAsia" w:ascii="宋体" w:eastAsia="宋体" w:cs="宋体"/>
                <w:i w:val="0"/>
                <w:iCs w:val="0"/>
                <w:color w:val="000000"/>
                <w:sz w:val="18"/>
                <w:szCs w:val="18"/>
                <w:u w:val="none"/>
              </w:rPr>
            </w:pPr>
          </w:p>
        </w:tc>
        <w:tc>
          <w:tcPr>
            <w:tcW w:w="510" w:type="dxa"/>
            <w:tcBorders>
              <w:top w:val="nil"/>
              <w:left w:val="nil"/>
              <w:bottom w:val="nil"/>
              <w:right w:val="nil"/>
            </w:tcBorders>
            <w:noWrap/>
            <w:vAlign w:val="center"/>
          </w:tcPr>
          <w:p w14:paraId="4D275910">
            <w:pPr>
              <w:rPr>
                <w:rFonts w:hint="eastAsia" w:ascii="宋体" w:eastAsia="宋体" w:cs="宋体"/>
                <w:i w:val="0"/>
                <w:iCs w:val="0"/>
                <w:color w:val="000000"/>
                <w:sz w:val="18"/>
                <w:szCs w:val="18"/>
                <w:u w:val="none"/>
              </w:rPr>
            </w:pPr>
          </w:p>
        </w:tc>
        <w:tc>
          <w:tcPr>
            <w:tcW w:w="450" w:type="dxa"/>
            <w:tcBorders>
              <w:top w:val="nil"/>
              <w:left w:val="nil"/>
              <w:bottom w:val="nil"/>
              <w:right w:val="nil"/>
            </w:tcBorders>
            <w:noWrap/>
            <w:vAlign w:val="center"/>
          </w:tcPr>
          <w:p w14:paraId="6C74FD90">
            <w:pPr>
              <w:rPr>
                <w:rFonts w:hint="eastAsia" w:ascii="宋体" w:eastAsia="宋体" w:cs="宋体"/>
                <w:i w:val="0"/>
                <w:iCs w:val="0"/>
                <w:color w:val="000000"/>
                <w:sz w:val="18"/>
                <w:szCs w:val="18"/>
                <w:u w:val="none"/>
              </w:rPr>
            </w:pPr>
          </w:p>
        </w:tc>
        <w:tc>
          <w:tcPr>
            <w:tcW w:w="2520" w:type="dxa"/>
            <w:tcBorders>
              <w:top w:val="nil"/>
              <w:left w:val="nil"/>
              <w:bottom w:val="nil"/>
              <w:right w:val="nil"/>
            </w:tcBorders>
            <w:noWrap/>
            <w:vAlign w:val="center"/>
          </w:tcPr>
          <w:p w14:paraId="3BD90F97">
            <w:pPr>
              <w:rPr>
                <w:rFonts w:hint="eastAsia" w:ascii="宋体" w:eastAsia="宋体" w:cs="宋体"/>
                <w:i w:val="0"/>
                <w:iCs w:val="0"/>
                <w:color w:val="000000"/>
                <w:sz w:val="18"/>
                <w:szCs w:val="18"/>
                <w:u w:val="none"/>
              </w:rPr>
            </w:pPr>
          </w:p>
        </w:tc>
      </w:tr>
      <w:tr w14:paraId="475A0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435" w:type="dxa"/>
            <w:gridSpan w:val="11"/>
            <w:tcBorders>
              <w:top w:val="single" w:color="000000" w:sz="4" w:space="0"/>
              <w:left w:val="single" w:color="000000" w:sz="4" w:space="0"/>
              <w:bottom w:val="single" w:color="000000" w:sz="4" w:space="0"/>
              <w:right w:val="single" w:color="000000" w:sz="4" w:space="0"/>
            </w:tcBorders>
            <w:noWrap/>
            <w:vAlign w:val="center"/>
          </w:tcPr>
          <w:p w14:paraId="7951C723">
            <w:pPr>
              <w:keepNext w:val="0"/>
              <w:keepLines w:val="0"/>
              <w:widowControl/>
              <w:suppressLineNumbers w:val="0"/>
              <w:suppressAutoHyphens/>
              <w:jc w:val="center"/>
              <w:textAlignment w:val="center"/>
              <w:rPr>
                <w:rFonts w:hint="eastAsia" w:ascii="黑体" w:eastAsia="黑体" w:cs="黑体"/>
                <w:b/>
                <w:bCs/>
                <w:i w:val="0"/>
                <w:iCs w:val="0"/>
                <w:color w:val="000000"/>
                <w:sz w:val="30"/>
                <w:szCs w:val="30"/>
                <w:u w:val="none"/>
              </w:rPr>
            </w:pPr>
            <w:r>
              <w:rPr>
                <w:rFonts w:hint="eastAsia" w:ascii="黑体" w:eastAsia="黑体" w:cs="黑体"/>
                <w:b/>
                <w:bCs/>
                <w:i w:val="0"/>
                <w:iCs w:val="0"/>
                <w:color w:val="000000"/>
                <w:kern w:val="0"/>
                <w:sz w:val="30"/>
                <w:szCs w:val="30"/>
                <w:u w:val="none"/>
                <w:lang w:val="en-US" w:eastAsia="zh-CN"/>
              </w:rPr>
              <w:t>部门预算项目支出绩效自评表（2023年度）</w:t>
            </w:r>
          </w:p>
        </w:tc>
      </w:tr>
      <w:tr w14:paraId="6103B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90" w:type="dxa"/>
            <w:gridSpan w:val="2"/>
            <w:tcBorders>
              <w:top w:val="single" w:color="000000" w:sz="4" w:space="0"/>
              <w:left w:val="single" w:color="000000" w:sz="4" w:space="0"/>
              <w:bottom w:val="single" w:color="000000" w:sz="4" w:space="0"/>
              <w:right w:val="single" w:color="000000" w:sz="4" w:space="0"/>
            </w:tcBorders>
            <w:noWrap/>
            <w:vAlign w:val="center"/>
          </w:tcPr>
          <w:p w14:paraId="0FBAC06B">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项目名称</w:t>
            </w:r>
          </w:p>
        </w:tc>
        <w:tc>
          <w:tcPr>
            <w:tcW w:w="11445" w:type="dxa"/>
            <w:gridSpan w:val="9"/>
            <w:tcBorders>
              <w:top w:val="single" w:color="000000" w:sz="4" w:space="0"/>
              <w:left w:val="single" w:color="000000" w:sz="4" w:space="0"/>
              <w:bottom w:val="single" w:color="000000" w:sz="4" w:space="0"/>
              <w:right w:val="single" w:color="000000" w:sz="4" w:space="0"/>
            </w:tcBorders>
            <w:noWrap/>
            <w:vAlign w:val="center"/>
          </w:tcPr>
          <w:p w14:paraId="73FCB3B8">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51322324T000010147290</w:t>
            </w:r>
            <w:r>
              <w:rPr>
                <w:rFonts w:hint="eastAsia" w:ascii="宋体" w:cs="宋体"/>
                <w:i w:val="0"/>
                <w:iCs w:val="0"/>
                <w:color w:val="000000"/>
                <w:kern w:val="0"/>
                <w:sz w:val="18"/>
                <w:szCs w:val="18"/>
                <w:u w:val="none"/>
                <w:lang w:val="en-US" w:eastAsia="zh-CN"/>
              </w:rPr>
              <w:t>－</w:t>
            </w:r>
            <w:r>
              <w:rPr>
                <w:rFonts w:ascii="宋体" w:eastAsia="宋体" w:cs="宋体"/>
                <w:i w:val="0"/>
                <w:iCs w:val="0"/>
                <w:color w:val="000000"/>
                <w:kern w:val="0"/>
                <w:sz w:val="18"/>
                <w:szCs w:val="18"/>
                <w:u w:val="none"/>
                <w:lang w:val="en-US" w:eastAsia="zh-CN"/>
              </w:rPr>
              <w:t>工业园区基础设施运行经费</w:t>
            </w:r>
          </w:p>
        </w:tc>
      </w:tr>
      <w:tr w14:paraId="0183D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990" w:type="dxa"/>
            <w:gridSpan w:val="2"/>
            <w:tcBorders>
              <w:top w:val="single" w:color="000000" w:sz="4" w:space="0"/>
              <w:left w:val="single" w:color="000000" w:sz="4" w:space="0"/>
              <w:bottom w:val="single" w:color="000000" w:sz="4" w:space="0"/>
              <w:right w:val="single" w:color="000000" w:sz="4" w:space="0"/>
            </w:tcBorders>
            <w:noWrap/>
            <w:vAlign w:val="center"/>
          </w:tcPr>
          <w:p w14:paraId="29B643F1">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主管部门</w:t>
            </w:r>
          </w:p>
        </w:tc>
        <w:tc>
          <w:tcPr>
            <w:tcW w:w="6870" w:type="dxa"/>
            <w:gridSpan w:val="5"/>
            <w:tcBorders>
              <w:top w:val="single" w:color="000000" w:sz="4" w:space="0"/>
              <w:left w:val="single" w:color="000000" w:sz="4" w:space="0"/>
              <w:bottom w:val="single" w:color="000000" w:sz="4" w:space="0"/>
              <w:right w:val="single" w:color="000000" w:sz="4" w:space="0"/>
            </w:tcBorders>
            <w:noWrap/>
            <w:vAlign w:val="center"/>
          </w:tcPr>
          <w:p w14:paraId="505C8460">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茂县工业服务中心本级</w:t>
            </w:r>
          </w:p>
        </w:tc>
        <w:tc>
          <w:tcPr>
            <w:tcW w:w="1095" w:type="dxa"/>
            <w:tcBorders>
              <w:top w:val="nil"/>
              <w:left w:val="nil"/>
              <w:bottom w:val="nil"/>
              <w:right w:val="nil"/>
            </w:tcBorders>
            <w:noWrap/>
            <w:vAlign w:val="center"/>
          </w:tcPr>
          <w:p w14:paraId="210BEAEB">
            <w:pPr>
              <w:keepNext w:val="0"/>
              <w:keepLines w:val="0"/>
              <w:widowControl/>
              <w:suppressLineNumbers w:val="0"/>
              <w:suppressAutoHyphens/>
              <w:jc w:val="left"/>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实施单位 （盖章）</w:t>
            </w:r>
          </w:p>
        </w:tc>
        <w:tc>
          <w:tcPr>
            <w:tcW w:w="3480" w:type="dxa"/>
            <w:gridSpan w:val="3"/>
            <w:tcBorders>
              <w:top w:val="single" w:color="000000" w:sz="4" w:space="0"/>
              <w:left w:val="single" w:color="000000" w:sz="4" w:space="0"/>
              <w:bottom w:val="single" w:color="000000" w:sz="4" w:space="0"/>
              <w:right w:val="single" w:color="000000" w:sz="4" w:space="0"/>
            </w:tcBorders>
            <w:noWrap/>
            <w:vAlign w:val="center"/>
          </w:tcPr>
          <w:p w14:paraId="5446B98A">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茂县工业服务中心</w:t>
            </w:r>
          </w:p>
        </w:tc>
      </w:tr>
      <w:tr w14:paraId="67F34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0" w:type="dxa"/>
            <w:vMerge w:val="restart"/>
            <w:tcBorders>
              <w:top w:val="single" w:color="000000" w:sz="4" w:space="0"/>
              <w:left w:val="single" w:color="000000" w:sz="4" w:space="0"/>
              <w:bottom w:val="single" w:color="000000" w:sz="4" w:space="0"/>
              <w:right w:val="single" w:color="000000" w:sz="4" w:space="0"/>
            </w:tcBorders>
            <w:noWrap/>
            <w:vAlign w:val="center"/>
          </w:tcPr>
          <w:p w14:paraId="78844D53">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项目基本情况</w:t>
            </w:r>
          </w:p>
        </w:tc>
        <w:tc>
          <w:tcPr>
            <w:tcW w:w="2300" w:type="dxa"/>
            <w:vMerge w:val="restart"/>
            <w:tcBorders>
              <w:top w:val="single" w:color="000000" w:sz="4" w:space="0"/>
              <w:left w:val="single" w:color="000000" w:sz="4" w:space="0"/>
              <w:bottom w:val="single" w:color="000000" w:sz="4" w:space="0"/>
              <w:right w:val="single" w:color="000000" w:sz="4" w:space="0"/>
            </w:tcBorders>
            <w:noWrap/>
            <w:vAlign w:val="center"/>
          </w:tcPr>
          <w:p w14:paraId="7FAA2404">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1.项目年度目标完成情况</w:t>
            </w:r>
          </w:p>
        </w:tc>
        <w:tc>
          <w:tcPr>
            <w:tcW w:w="6870" w:type="dxa"/>
            <w:gridSpan w:val="5"/>
            <w:tcBorders>
              <w:top w:val="single" w:color="000000" w:sz="4" w:space="0"/>
              <w:left w:val="single" w:color="000000" w:sz="4" w:space="0"/>
              <w:bottom w:val="single" w:color="000000" w:sz="4" w:space="0"/>
              <w:right w:val="single" w:color="000000" w:sz="4" w:space="0"/>
            </w:tcBorders>
            <w:noWrap/>
            <w:vAlign w:val="center"/>
          </w:tcPr>
          <w:p w14:paraId="2CA396DB">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项目年度目标</w:t>
            </w:r>
          </w:p>
        </w:tc>
        <w:tc>
          <w:tcPr>
            <w:tcW w:w="4575" w:type="dxa"/>
            <w:gridSpan w:val="4"/>
            <w:tcBorders>
              <w:top w:val="single" w:color="000000" w:sz="4" w:space="0"/>
              <w:left w:val="single" w:color="000000" w:sz="4" w:space="0"/>
              <w:bottom w:val="single" w:color="000000" w:sz="4" w:space="0"/>
              <w:right w:val="single" w:color="000000" w:sz="4" w:space="0"/>
            </w:tcBorders>
            <w:noWrap/>
            <w:vAlign w:val="center"/>
          </w:tcPr>
          <w:p w14:paraId="1188C7F1">
            <w:pPr>
              <w:keepNext w:val="0"/>
              <w:keepLines w:val="0"/>
              <w:widowControl/>
              <w:suppressLineNumbers w:val="0"/>
              <w:suppressAutoHyphens/>
              <w:jc w:val="center"/>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年度目标完成情况</w:t>
            </w:r>
          </w:p>
        </w:tc>
      </w:tr>
      <w:tr w14:paraId="73F9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622AE455"/>
        </w:tc>
        <w:tc>
          <w:tcPr>
            <w:tcW w:w="2300" w:type="dxa"/>
            <w:vMerge w:val="continue"/>
            <w:tcBorders>
              <w:top w:val="single" w:color="000000" w:sz="4" w:space="0"/>
              <w:left w:val="single" w:color="000000" w:sz="4" w:space="0"/>
              <w:bottom w:val="single" w:color="000000" w:sz="4" w:space="0"/>
              <w:right w:val="single" w:color="000000" w:sz="4" w:space="0"/>
            </w:tcBorders>
            <w:noWrap/>
            <w:vAlign w:val="center"/>
          </w:tcPr>
          <w:p w14:paraId="3BC7BDA5"/>
        </w:tc>
        <w:tc>
          <w:tcPr>
            <w:tcW w:w="6870" w:type="dxa"/>
            <w:gridSpan w:val="5"/>
            <w:tcBorders>
              <w:top w:val="single" w:color="000000" w:sz="4" w:space="0"/>
              <w:left w:val="single" w:color="000000" w:sz="4" w:space="0"/>
              <w:bottom w:val="single" w:color="000000" w:sz="4" w:space="0"/>
              <w:right w:val="single" w:color="000000" w:sz="4" w:space="0"/>
            </w:tcBorders>
            <w:noWrap/>
            <w:vAlign w:val="center"/>
          </w:tcPr>
          <w:p w14:paraId="39118690">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茂县工业园区基础设施正常运行和管理，为园区企业正常运转提供要素保障等。</w:t>
            </w:r>
          </w:p>
        </w:tc>
        <w:tc>
          <w:tcPr>
            <w:tcW w:w="4575" w:type="dxa"/>
            <w:gridSpan w:val="4"/>
            <w:tcBorders>
              <w:top w:val="single" w:color="000000" w:sz="4" w:space="0"/>
              <w:left w:val="single" w:color="000000" w:sz="4" w:space="0"/>
              <w:bottom w:val="single" w:color="000000" w:sz="4" w:space="0"/>
              <w:right w:val="single" w:color="000000" w:sz="4" w:space="0"/>
            </w:tcBorders>
            <w:noWrap/>
            <w:vAlign w:val="center"/>
          </w:tcPr>
          <w:p w14:paraId="5BE3F762">
            <w:pPr>
              <w:keepNext w:val="0"/>
              <w:keepLines w:val="0"/>
              <w:widowControl/>
              <w:suppressLineNumbers w:val="0"/>
              <w:suppressAutoHyphens/>
              <w:jc w:val="left"/>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维修维护并保障茂县工业园区给排水厂、道路、桥梁等基础设施正常运行，为企业正常运行提供要素保障；做好园区环境污染检测、安全生产等工作；确保了园区各企业正常生产、生活运转</w:t>
            </w:r>
          </w:p>
        </w:tc>
      </w:tr>
      <w:tr w14:paraId="6BF8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2CB430C7"/>
        </w:tc>
        <w:tc>
          <w:tcPr>
            <w:tcW w:w="2300" w:type="dxa"/>
            <w:tcBorders>
              <w:top w:val="single" w:color="000000" w:sz="4" w:space="0"/>
              <w:left w:val="single" w:color="000000" w:sz="4" w:space="0"/>
              <w:bottom w:val="single" w:color="000000" w:sz="4" w:space="0"/>
              <w:right w:val="single" w:color="000000" w:sz="4" w:space="0"/>
            </w:tcBorders>
            <w:noWrap/>
            <w:vAlign w:val="center"/>
          </w:tcPr>
          <w:p w14:paraId="4F2B2B87">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2.项目实施内容及过程概述</w:t>
            </w:r>
          </w:p>
        </w:tc>
        <w:tc>
          <w:tcPr>
            <w:tcW w:w="11445" w:type="dxa"/>
            <w:gridSpan w:val="9"/>
            <w:tcBorders>
              <w:top w:val="single" w:color="000000" w:sz="4" w:space="0"/>
              <w:left w:val="single" w:color="000000" w:sz="4" w:space="0"/>
              <w:bottom w:val="single" w:color="000000" w:sz="4" w:space="0"/>
              <w:right w:val="single" w:color="000000" w:sz="4" w:space="0"/>
            </w:tcBorders>
            <w:noWrap/>
            <w:vAlign w:val="center"/>
          </w:tcPr>
          <w:p w14:paraId="1B8A736B">
            <w:pPr>
              <w:keepNext w:val="0"/>
              <w:keepLines w:val="0"/>
              <w:widowControl/>
              <w:suppressLineNumbers w:val="0"/>
              <w:suppressAutoHyphens/>
              <w:jc w:val="lef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维修维护并保障茂县工业园区给排水厂、道路、桥梁等基础设施正常运行，为企业正常运行提供要素保障；做好园区环境污染检测、安全生产等工作；确保了园区各企业正常生产、生活运转；完成了槽木集中区污水处理厂改造恢复；保障了园区的正常运行。</w:t>
            </w:r>
          </w:p>
        </w:tc>
      </w:tr>
      <w:tr w14:paraId="5852E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0" w:type="dxa"/>
            <w:vMerge w:val="restart"/>
            <w:tcBorders>
              <w:top w:val="single" w:color="000000" w:sz="4" w:space="0"/>
              <w:left w:val="single" w:color="000000" w:sz="4" w:space="0"/>
              <w:bottom w:val="single" w:color="000000" w:sz="4" w:space="0"/>
              <w:right w:val="single" w:color="000000" w:sz="4" w:space="0"/>
            </w:tcBorders>
            <w:noWrap/>
            <w:vAlign w:val="center"/>
          </w:tcPr>
          <w:p w14:paraId="2AAAE224">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预算执行情况（10分）</w:t>
            </w:r>
          </w:p>
        </w:tc>
        <w:tc>
          <w:tcPr>
            <w:tcW w:w="2300" w:type="dxa"/>
            <w:tcBorders>
              <w:top w:val="single" w:color="000000" w:sz="4" w:space="0"/>
              <w:left w:val="single" w:color="000000" w:sz="4" w:space="0"/>
              <w:bottom w:val="single" w:color="000000" w:sz="4" w:space="0"/>
              <w:right w:val="single" w:color="000000" w:sz="4" w:space="0"/>
            </w:tcBorders>
            <w:noWrap/>
            <w:vAlign w:val="center"/>
          </w:tcPr>
          <w:p w14:paraId="6FAA92ED">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年度预算数（万元）</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5DDC777E">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年初预算</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3F061600">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noWrap/>
            <w:vAlign w:val="center"/>
          </w:tcPr>
          <w:p w14:paraId="2B20133D">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预算执行数</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C17C77C">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预算执行率</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0DA45A9">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3C7646D0">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得分</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06A27A1D">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原因</w:t>
            </w:r>
          </w:p>
        </w:tc>
      </w:tr>
      <w:tr w14:paraId="0BB45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4BCBC5D8"/>
        </w:tc>
        <w:tc>
          <w:tcPr>
            <w:tcW w:w="2300" w:type="dxa"/>
            <w:tcBorders>
              <w:top w:val="single" w:color="000000" w:sz="4" w:space="0"/>
              <w:left w:val="single" w:color="000000" w:sz="4" w:space="0"/>
              <w:bottom w:val="single" w:color="000000" w:sz="4" w:space="0"/>
              <w:right w:val="single" w:color="000000" w:sz="4" w:space="0"/>
            </w:tcBorders>
            <w:noWrap/>
            <w:vAlign w:val="center"/>
          </w:tcPr>
          <w:p w14:paraId="260FD343">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总额</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58C86216">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5AF97B26">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20.47</w:t>
            </w:r>
          </w:p>
        </w:tc>
        <w:tc>
          <w:tcPr>
            <w:tcW w:w="2730" w:type="dxa"/>
            <w:gridSpan w:val="3"/>
            <w:tcBorders>
              <w:top w:val="single" w:color="000000" w:sz="4" w:space="0"/>
              <w:left w:val="single" w:color="000000" w:sz="4" w:space="0"/>
              <w:bottom w:val="single" w:color="000000" w:sz="4" w:space="0"/>
              <w:right w:val="single" w:color="000000" w:sz="4" w:space="0"/>
            </w:tcBorders>
            <w:noWrap/>
            <w:vAlign w:val="center"/>
          </w:tcPr>
          <w:p w14:paraId="029B625F">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12.97</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2214A306">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63.36%</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E4F6056">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69CE7B9C">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6.3</w:t>
            </w:r>
          </w:p>
        </w:tc>
        <w:tc>
          <w:tcPr>
            <w:tcW w:w="2520" w:type="dxa"/>
            <w:vMerge w:val="restart"/>
            <w:tcBorders>
              <w:top w:val="single" w:color="000000" w:sz="4" w:space="0"/>
              <w:left w:val="single" w:color="000000" w:sz="4" w:space="0"/>
              <w:bottom w:val="single" w:color="000000" w:sz="4" w:space="0"/>
              <w:right w:val="single" w:color="000000" w:sz="4" w:space="0"/>
            </w:tcBorders>
            <w:noWrap/>
            <w:vAlign w:val="center"/>
          </w:tcPr>
          <w:p w14:paraId="42E75848">
            <w:pPr>
              <w:keepNext w:val="0"/>
              <w:keepLines w:val="0"/>
              <w:widowControl/>
              <w:suppressLineNumbers w:val="0"/>
              <w:suppressAutoHyphens/>
              <w:jc w:val="left"/>
              <w:textAlignment w:val="center"/>
              <w:rPr>
                <w:rFonts w:hint="eastAsia" w:ascii="宋体" w:eastAsia="宋体" w:cs="宋体"/>
                <w:i/>
                <w:iCs/>
                <w:color w:val="000000"/>
                <w:sz w:val="18"/>
                <w:szCs w:val="18"/>
                <w:u w:val="none"/>
              </w:rPr>
            </w:pPr>
            <w:r>
              <w:rPr>
                <w:rFonts w:hint="eastAsia" w:ascii="宋体" w:eastAsia="宋体" w:cs="宋体"/>
                <w:i/>
                <w:iCs/>
                <w:color w:val="000000"/>
                <w:kern w:val="0"/>
                <w:sz w:val="18"/>
                <w:szCs w:val="18"/>
                <w:u w:val="none"/>
                <w:lang w:val="en-US" w:eastAsia="zh-CN"/>
              </w:rPr>
              <w:t>为财政代管资金，故在需要使用时在进行申请支付；未及时进行支付是由于报账资料未及时提交，无法及时</w:t>
            </w:r>
            <w:r>
              <w:rPr>
                <w:rFonts w:hint="eastAsia" w:ascii="宋体" w:cs="宋体"/>
                <w:i/>
                <w:iCs/>
                <w:color w:val="000000"/>
                <w:kern w:val="0"/>
                <w:sz w:val="18"/>
                <w:szCs w:val="18"/>
                <w:u w:val="none"/>
                <w:lang w:val="en-US" w:eastAsia="zh-CN"/>
              </w:rPr>
              <w:t>进行</w:t>
            </w:r>
            <w:r>
              <w:rPr>
                <w:rFonts w:hint="eastAsia" w:ascii="宋体" w:eastAsia="宋体" w:cs="宋体"/>
                <w:i/>
                <w:iCs/>
                <w:color w:val="000000"/>
                <w:kern w:val="0"/>
                <w:sz w:val="18"/>
                <w:szCs w:val="18"/>
                <w:u w:val="none"/>
                <w:lang w:val="en-US" w:eastAsia="zh-CN"/>
              </w:rPr>
              <w:t>资金的支付</w:t>
            </w:r>
          </w:p>
        </w:tc>
      </w:tr>
      <w:tr w14:paraId="70FA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79726B9C"/>
        </w:tc>
        <w:tc>
          <w:tcPr>
            <w:tcW w:w="2300" w:type="dxa"/>
            <w:tcBorders>
              <w:top w:val="single" w:color="000000" w:sz="4" w:space="0"/>
              <w:left w:val="single" w:color="000000" w:sz="4" w:space="0"/>
              <w:bottom w:val="single" w:color="000000" w:sz="4" w:space="0"/>
              <w:right w:val="single" w:color="000000" w:sz="4" w:space="0"/>
            </w:tcBorders>
            <w:noWrap/>
            <w:vAlign w:val="center"/>
          </w:tcPr>
          <w:p w14:paraId="20EEFAA8">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其中：财政资金</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225664F2">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098BB1C0">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2730" w:type="dxa"/>
            <w:gridSpan w:val="3"/>
            <w:tcBorders>
              <w:top w:val="single" w:color="000000" w:sz="4" w:space="0"/>
              <w:left w:val="single" w:color="000000" w:sz="4" w:space="0"/>
              <w:bottom w:val="single" w:color="000000" w:sz="4" w:space="0"/>
              <w:right w:val="single" w:color="000000" w:sz="4" w:space="0"/>
            </w:tcBorders>
            <w:noWrap/>
            <w:vAlign w:val="center"/>
          </w:tcPr>
          <w:p w14:paraId="00D874F8">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45B67B3">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7E6EC32">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13ED8001">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2520" w:type="dxa"/>
            <w:vMerge w:val="continue"/>
            <w:tcBorders>
              <w:top w:val="single" w:color="000000" w:sz="4" w:space="0"/>
              <w:left w:val="single" w:color="000000" w:sz="4" w:space="0"/>
              <w:bottom w:val="single" w:color="000000" w:sz="4" w:space="0"/>
              <w:right w:val="single" w:color="000000" w:sz="4" w:space="0"/>
            </w:tcBorders>
            <w:noWrap/>
            <w:vAlign w:val="center"/>
          </w:tcPr>
          <w:p w14:paraId="5B3EBEAB"/>
        </w:tc>
      </w:tr>
      <w:tr w14:paraId="5B84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3F174875"/>
        </w:tc>
        <w:tc>
          <w:tcPr>
            <w:tcW w:w="2300" w:type="dxa"/>
            <w:tcBorders>
              <w:top w:val="single" w:color="000000" w:sz="4" w:space="0"/>
              <w:left w:val="single" w:color="000000" w:sz="4" w:space="0"/>
              <w:bottom w:val="single" w:color="000000" w:sz="4" w:space="0"/>
              <w:right w:val="single" w:color="000000" w:sz="4" w:space="0"/>
            </w:tcBorders>
            <w:noWrap/>
            <w:vAlign w:val="center"/>
          </w:tcPr>
          <w:p w14:paraId="7BF14F30">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财政专户管理资金</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283395F7">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5F1BE5B7">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2730" w:type="dxa"/>
            <w:gridSpan w:val="3"/>
            <w:tcBorders>
              <w:top w:val="single" w:color="000000" w:sz="4" w:space="0"/>
              <w:left w:val="single" w:color="000000" w:sz="4" w:space="0"/>
              <w:bottom w:val="single" w:color="000000" w:sz="4" w:space="0"/>
              <w:right w:val="single" w:color="000000" w:sz="4" w:space="0"/>
            </w:tcBorders>
            <w:noWrap/>
            <w:vAlign w:val="center"/>
          </w:tcPr>
          <w:p w14:paraId="43B71F4B">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515BF10">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02C53C0">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243DFD3A">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2520" w:type="dxa"/>
            <w:vMerge w:val="continue"/>
            <w:tcBorders>
              <w:top w:val="single" w:color="000000" w:sz="4" w:space="0"/>
              <w:left w:val="single" w:color="000000" w:sz="4" w:space="0"/>
              <w:bottom w:val="single" w:color="000000" w:sz="4" w:space="0"/>
              <w:right w:val="single" w:color="000000" w:sz="4" w:space="0"/>
            </w:tcBorders>
            <w:noWrap/>
            <w:vAlign w:val="center"/>
          </w:tcPr>
          <w:p w14:paraId="5D39D963"/>
        </w:tc>
      </w:tr>
      <w:tr w14:paraId="7C410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4DD26359"/>
        </w:tc>
        <w:tc>
          <w:tcPr>
            <w:tcW w:w="2300" w:type="dxa"/>
            <w:tcBorders>
              <w:top w:val="single" w:color="000000" w:sz="4" w:space="0"/>
              <w:left w:val="single" w:color="000000" w:sz="4" w:space="0"/>
              <w:bottom w:val="single" w:color="000000" w:sz="4" w:space="0"/>
              <w:right w:val="single" w:color="000000" w:sz="4" w:space="0"/>
            </w:tcBorders>
            <w:noWrap/>
            <w:vAlign w:val="center"/>
          </w:tcPr>
          <w:p w14:paraId="7F71E7D9">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单位资金</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167E749A">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0.00</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742C5D00">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20.47</w:t>
            </w:r>
          </w:p>
        </w:tc>
        <w:tc>
          <w:tcPr>
            <w:tcW w:w="2730" w:type="dxa"/>
            <w:gridSpan w:val="3"/>
            <w:tcBorders>
              <w:top w:val="single" w:color="000000" w:sz="4" w:space="0"/>
              <w:left w:val="single" w:color="000000" w:sz="4" w:space="0"/>
              <w:bottom w:val="single" w:color="000000" w:sz="4" w:space="0"/>
              <w:right w:val="single" w:color="000000" w:sz="4" w:space="0"/>
            </w:tcBorders>
            <w:noWrap/>
            <w:vAlign w:val="center"/>
          </w:tcPr>
          <w:p w14:paraId="5C51D6C7">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12.97</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076F897">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63.36%</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C62D8E5">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7FF75B78">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2520" w:type="dxa"/>
            <w:vMerge w:val="continue"/>
            <w:tcBorders>
              <w:top w:val="single" w:color="000000" w:sz="4" w:space="0"/>
              <w:left w:val="single" w:color="000000" w:sz="4" w:space="0"/>
              <w:bottom w:val="single" w:color="000000" w:sz="4" w:space="0"/>
              <w:right w:val="single" w:color="000000" w:sz="4" w:space="0"/>
            </w:tcBorders>
            <w:noWrap/>
            <w:vAlign w:val="center"/>
          </w:tcPr>
          <w:p w14:paraId="5B49B257"/>
        </w:tc>
      </w:tr>
      <w:tr w14:paraId="1FB4B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559E639D"/>
        </w:tc>
        <w:tc>
          <w:tcPr>
            <w:tcW w:w="2300" w:type="dxa"/>
            <w:tcBorders>
              <w:top w:val="single" w:color="000000" w:sz="4" w:space="0"/>
              <w:left w:val="single" w:color="000000" w:sz="4" w:space="0"/>
              <w:bottom w:val="single" w:color="000000" w:sz="4" w:space="0"/>
              <w:right w:val="single" w:color="000000" w:sz="4" w:space="0"/>
            </w:tcBorders>
            <w:noWrap/>
            <w:vAlign w:val="center"/>
          </w:tcPr>
          <w:p w14:paraId="755F5301">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其他资金</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2BC6231A">
            <w:pPr>
              <w:jc w:val="center"/>
              <w:rPr>
                <w:rFonts w:hint="eastAsia" w:ascii="微软雅黑" w:eastAsia="微软雅黑" w:cs="微软雅黑"/>
                <w:i/>
                <w:iCs/>
                <w:color w:val="000000"/>
                <w:sz w:val="16"/>
                <w:szCs w:val="16"/>
                <w:u w:val="none"/>
              </w:rPr>
            </w:pP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4E92AA70">
            <w:pPr>
              <w:jc w:val="center"/>
              <w:rPr>
                <w:rFonts w:hint="eastAsia" w:asci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noWrap/>
            <w:vAlign w:val="center"/>
          </w:tcPr>
          <w:p w14:paraId="6C33C701">
            <w:pPr>
              <w:jc w:val="center"/>
              <w:rPr>
                <w:rFonts w:hint="eastAsia" w:asci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279F3ED">
            <w:pPr>
              <w:jc w:val="center"/>
              <w:rPr>
                <w:rFonts w:hint="eastAsia" w:asci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66C54785">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27267EA5">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2520" w:type="dxa"/>
            <w:vMerge w:val="continue"/>
            <w:tcBorders>
              <w:top w:val="single" w:color="000000" w:sz="4" w:space="0"/>
              <w:left w:val="single" w:color="000000" w:sz="4" w:space="0"/>
              <w:bottom w:val="single" w:color="000000" w:sz="4" w:space="0"/>
              <w:right w:val="single" w:color="000000" w:sz="4" w:space="0"/>
            </w:tcBorders>
            <w:noWrap/>
            <w:vAlign w:val="center"/>
          </w:tcPr>
          <w:p w14:paraId="5B3094DC"/>
        </w:tc>
      </w:tr>
      <w:tr w14:paraId="4282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0" w:type="dxa"/>
            <w:vMerge w:val="restart"/>
            <w:tcBorders>
              <w:top w:val="single" w:color="000000" w:sz="4" w:space="0"/>
              <w:left w:val="single" w:color="000000" w:sz="4" w:space="0"/>
              <w:bottom w:val="single" w:color="000000" w:sz="4" w:space="0"/>
              <w:right w:val="single" w:color="000000" w:sz="4" w:space="0"/>
            </w:tcBorders>
            <w:noWrap/>
            <w:vAlign w:val="center"/>
          </w:tcPr>
          <w:p w14:paraId="49BF13B3">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绩效指标（90分）</w:t>
            </w:r>
          </w:p>
        </w:tc>
        <w:tc>
          <w:tcPr>
            <w:tcW w:w="2300" w:type="dxa"/>
            <w:tcBorders>
              <w:top w:val="single" w:color="000000" w:sz="4" w:space="0"/>
              <w:left w:val="single" w:color="000000" w:sz="4" w:space="0"/>
              <w:bottom w:val="single" w:color="000000" w:sz="4" w:space="0"/>
              <w:right w:val="single" w:color="000000" w:sz="4" w:space="0"/>
            </w:tcBorders>
            <w:noWrap/>
            <w:vAlign w:val="center"/>
          </w:tcPr>
          <w:p w14:paraId="31097E88">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一级指标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7DB61993">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二级指标</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1F67C35F">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三级指标</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E3B7AD5">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指标性质</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B16ED39">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指标值</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879693">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度量单位</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56F51273">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完成值</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59F08146">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权重</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2E72BBE9">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得分</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2855876C">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未完成原因分析</w:t>
            </w:r>
          </w:p>
        </w:tc>
      </w:tr>
      <w:tr w14:paraId="1134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7CA45F2A"/>
        </w:tc>
        <w:tc>
          <w:tcPr>
            <w:tcW w:w="2300" w:type="dxa"/>
            <w:tcBorders>
              <w:top w:val="single" w:color="000000" w:sz="4" w:space="0"/>
              <w:left w:val="single" w:color="000000" w:sz="4" w:space="0"/>
              <w:bottom w:val="single" w:color="000000" w:sz="4" w:space="0"/>
              <w:right w:val="single" w:color="000000" w:sz="4" w:space="0"/>
            </w:tcBorders>
            <w:noWrap/>
            <w:vAlign w:val="center"/>
          </w:tcPr>
          <w:p w14:paraId="165E7D44">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产出指标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1A7B1284">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质量指标</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5CEFC914">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完成园区企业配套基础设施的日常运行和管理。</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B38044E">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D3EDC98">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91F6FF">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768F9C30">
            <w:pPr>
              <w:keepNext w:val="0"/>
              <w:keepLines w:val="0"/>
              <w:widowControl/>
              <w:suppressLineNumbers w:val="0"/>
              <w:suppressAutoHyphens/>
              <w:jc w:val="center"/>
              <w:textAlignment w:val="center"/>
              <w:rPr>
                <w:rFonts w:hint="eastAsia" w:ascii="微软雅黑" w:eastAsia="微软雅黑" w:cs="微软雅黑"/>
                <w:i/>
                <w:iCs/>
                <w:color w:val="000000"/>
                <w:sz w:val="16"/>
                <w:szCs w:val="16"/>
                <w:u w:val="none"/>
              </w:rPr>
            </w:pPr>
            <w:r>
              <w:rPr>
                <w:rFonts w:hint="eastAsia" w:ascii="微软雅黑" w:eastAsia="微软雅黑" w:cs="微软雅黑"/>
                <w:i/>
                <w:iCs/>
                <w:color w:val="000000"/>
                <w:kern w:val="0"/>
                <w:sz w:val="16"/>
                <w:szCs w:val="16"/>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2F29421F">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50</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5A60AF50">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49</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6394323D">
            <w:pPr>
              <w:jc w:val="center"/>
              <w:rPr>
                <w:rFonts w:hint="eastAsia" w:ascii="微软雅黑" w:eastAsia="微软雅黑" w:cs="微软雅黑"/>
                <w:i/>
                <w:iCs/>
                <w:color w:val="000000"/>
                <w:sz w:val="16"/>
                <w:szCs w:val="16"/>
                <w:u w:val="none"/>
              </w:rPr>
            </w:pPr>
          </w:p>
        </w:tc>
      </w:tr>
      <w:tr w14:paraId="7B55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7F340043"/>
        </w:tc>
        <w:tc>
          <w:tcPr>
            <w:tcW w:w="2300" w:type="dxa"/>
            <w:tcBorders>
              <w:top w:val="single" w:color="000000" w:sz="4" w:space="0"/>
              <w:left w:val="single" w:color="000000" w:sz="4" w:space="0"/>
              <w:bottom w:val="single" w:color="000000" w:sz="4" w:space="0"/>
              <w:right w:val="single" w:color="000000" w:sz="4" w:space="0"/>
            </w:tcBorders>
            <w:noWrap/>
            <w:vAlign w:val="center"/>
          </w:tcPr>
          <w:p w14:paraId="4241D4B7">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效益指标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2106DFE7">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经济效益指标</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79B83511">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确保企业正常运转提供要素保障</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002ADF">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C9B381E">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037180">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ACCE158">
            <w:pPr>
              <w:keepNext w:val="0"/>
              <w:keepLines w:val="0"/>
              <w:widowControl/>
              <w:suppressLineNumbers w:val="0"/>
              <w:suppressAutoHyphens/>
              <w:jc w:val="center"/>
              <w:textAlignment w:val="center"/>
              <w:rPr>
                <w:rFonts w:hint="eastAsia" w:ascii="微软雅黑" w:eastAsia="微软雅黑" w:cs="微软雅黑"/>
                <w:i/>
                <w:iCs/>
                <w:color w:val="000000"/>
                <w:sz w:val="16"/>
                <w:szCs w:val="16"/>
                <w:u w:val="none"/>
              </w:rPr>
            </w:pPr>
            <w:r>
              <w:rPr>
                <w:rFonts w:hint="eastAsia" w:ascii="微软雅黑" w:eastAsia="微软雅黑" w:cs="微软雅黑"/>
                <w:i/>
                <w:iCs/>
                <w:color w:val="000000"/>
                <w:kern w:val="0"/>
                <w:sz w:val="16"/>
                <w:szCs w:val="16"/>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315A9F3A">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30</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1B996663">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27</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06931D54">
            <w:pPr>
              <w:jc w:val="center"/>
              <w:rPr>
                <w:rFonts w:hint="eastAsia" w:ascii="微软雅黑" w:eastAsia="微软雅黑" w:cs="微软雅黑"/>
                <w:i/>
                <w:iCs/>
                <w:color w:val="000000"/>
                <w:sz w:val="16"/>
                <w:szCs w:val="16"/>
                <w:u w:val="none"/>
              </w:rPr>
            </w:pPr>
          </w:p>
        </w:tc>
      </w:tr>
      <w:tr w14:paraId="2723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73867420"/>
        </w:tc>
        <w:tc>
          <w:tcPr>
            <w:tcW w:w="2300" w:type="dxa"/>
            <w:tcBorders>
              <w:top w:val="single" w:color="000000" w:sz="4" w:space="0"/>
              <w:left w:val="single" w:color="000000" w:sz="4" w:space="0"/>
              <w:bottom w:val="single" w:color="000000" w:sz="4" w:space="0"/>
              <w:right w:val="single" w:color="000000" w:sz="4" w:space="0"/>
            </w:tcBorders>
            <w:noWrap/>
            <w:vAlign w:val="center"/>
          </w:tcPr>
          <w:p w14:paraId="6794187A">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满意度指标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155A94E0">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服务对象满意度指标</w:t>
            </w:r>
          </w:p>
        </w:tc>
        <w:tc>
          <w:tcPr>
            <w:tcW w:w="2370" w:type="dxa"/>
            <w:tcBorders>
              <w:top w:val="single" w:color="000000" w:sz="4" w:space="0"/>
              <w:left w:val="single" w:color="000000" w:sz="4" w:space="0"/>
              <w:bottom w:val="single" w:color="000000" w:sz="4" w:space="0"/>
              <w:right w:val="single" w:color="000000" w:sz="4" w:space="0"/>
            </w:tcBorders>
            <w:noWrap/>
            <w:vAlign w:val="center"/>
          </w:tcPr>
          <w:p w14:paraId="2820B08D">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各企业满意</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6906ED">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9DAD532">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C96625">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13C4041F">
            <w:pPr>
              <w:keepNext w:val="0"/>
              <w:keepLines w:val="0"/>
              <w:widowControl/>
              <w:suppressLineNumbers w:val="0"/>
              <w:suppressAutoHyphens/>
              <w:jc w:val="center"/>
              <w:textAlignment w:val="center"/>
              <w:rPr>
                <w:rFonts w:hint="eastAsia" w:ascii="微软雅黑" w:eastAsia="微软雅黑" w:cs="微软雅黑"/>
                <w:i/>
                <w:iCs/>
                <w:color w:val="000000"/>
                <w:sz w:val="16"/>
                <w:szCs w:val="16"/>
                <w:u w:val="none"/>
              </w:rPr>
            </w:pPr>
            <w:r>
              <w:rPr>
                <w:rFonts w:hint="eastAsia" w:ascii="微软雅黑" w:eastAsia="微软雅黑" w:cs="微软雅黑"/>
                <w:i/>
                <w:iCs/>
                <w:color w:val="000000"/>
                <w:kern w:val="0"/>
                <w:sz w:val="16"/>
                <w:szCs w:val="16"/>
                <w:u w:val="none"/>
                <w:lang w:val="en-US" w:eastAsia="zh-CN"/>
              </w:rPr>
              <w:t>100</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179CE2B3">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21933A6E">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7DE16950">
            <w:pPr>
              <w:jc w:val="center"/>
              <w:rPr>
                <w:rFonts w:hint="eastAsia" w:ascii="微软雅黑" w:eastAsia="微软雅黑" w:cs="微软雅黑"/>
                <w:i/>
                <w:iCs/>
                <w:color w:val="000000"/>
                <w:sz w:val="16"/>
                <w:szCs w:val="16"/>
                <w:u w:val="none"/>
              </w:rPr>
            </w:pPr>
          </w:p>
        </w:tc>
      </w:tr>
      <w:tr w14:paraId="7B61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955" w:type="dxa"/>
            <w:gridSpan w:val="8"/>
            <w:tcBorders>
              <w:top w:val="single" w:color="000000" w:sz="4" w:space="0"/>
              <w:left w:val="single" w:color="000000" w:sz="4" w:space="0"/>
              <w:bottom w:val="single" w:color="000000" w:sz="4" w:space="0"/>
              <w:right w:val="single" w:color="000000" w:sz="4" w:space="0"/>
            </w:tcBorders>
            <w:noWrap/>
            <w:vAlign w:val="center"/>
          </w:tcPr>
          <w:p w14:paraId="56E0A80F">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合计</w:t>
            </w:r>
          </w:p>
        </w:tc>
        <w:tc>
          <w:tcPr>
            <w:tcW w:w="510" w:type="dxa"/>
            <w:tcBorders>
              <w:top w:val="single" w:color="000000" w:sz="4" w:space="0"/>
              <w:left w:val="single" w:color="000000" w:sz="4" w:space="0"/>
              <w:bottom w:val="single" w:color="000000" w:sz="4" w:space="0"/>
              <w:right w:val="single" w:color="000000" w:sz="4" w:space="0"/>
            </w:tcBorders>
            <w:noWrap/>
            <w:vAlign w:val="center"/>
          </w:tcPr>
          <w:p w14:paraId="7EE27CCE">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100</w:t>
            </w:r>
          </w:p>
        </w:tc>
        <w:tc>
          <w:tcPr>
            <w:tcW w:w="450" w:type="dxa"/>
            <w:tcBorders>
              <w:top w:val="single" w:color="000000" w:sz="4" w:space="0"/>
              <w:left w:val="single" w:color="000000" w:sz="4" w:space="0"/>
              <w:bottom w:val="single" w:color="000000" w:sz="4" w:space="0"/>
              <w:right w:val="single" w:color="000000" w:sz="4" w:space="0"/>
            </w:tcBorders>
            <w:noWrap/>
            <w:vAlign w:val="center"/>
          </w:tcPr>
          <w:p w14:paraId="1164A33C">
            <w:pPr>
              <w:keepNext w:val="0"/>
              <w:keepLines w:val="0"/>
              <w:widowControl/>
              <w:suppressLineNumbers w:val="0"/>
              <w:suppressAutoHyphens/>
              <w:jc w:val="right"/>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91.3</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1C7B3F6A">
            <w:pPr>
              <w:rPr>
                <w:rFonts w:hint="eastAsia" w:ascii="宋体" w:eastAsia="宋体" w:cs="宋体"/>
                <w:i w:val="0"/>
                <w:iCs w:val="0"/>
                <w:color w:val="000000"/>
                <w:sz w:val="18"/>
                <w:szCs w:val="18"/>
                <w:u w:val="none"/>
              </w:rPr>
            </w:pPr>
          </w:p>
        </w:tc>
      </w:tr>
      <w:tr w14:paraId="4AB2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19D60D3E">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评价结论</w:t>
            </w:r>
          </w:p>
        </w:tc>
        <w:tc>
          <w:tcPr>
            <w:tcW w:w="13745" w:type="dxa"/>
            <w:gridSpan w:val="10"/>
            <w:tcBorders>
              <w:top w:val="single" w:color="000000" w:sz="4" w:space="0"/>
              <w:left w:val="single" w:color="000000" w:sz="4" w:space="0"/>
              <w:bottom w:val="single" w:color="000000" w:sz="4" w:space="0"/>
              <w:right w:val="single" w:color="000000" w:sz="4" w:space="0"/>
            </w:tcBorders>
            <w:noWrap/>
            <w:vAlign w:val="center"/>
          </w:tcPr>
          <w:p w14:paraId="52893CEA">
            <w:pPr>
              <w:keepNext w:val="0"/>
              <w:keepLines w:val="0"/>
              <w:widowControl/>
              <w:suppressLineNumbers w:val="0"/>
              <w:suppressAutoHyphens/>
              <w:jc w:val="left"/>
              <w:textAlignment w:val="center"/>
              <w:rPr>
                <w:rFonts w:hint="eastAsia" w:ascii="微软雅黑" w:eastAsia="微软雅黑" w:cs="微软雅黑"/>
                <w:i/>
                <w:iCs/>
                <w:color w:val="000000"/>
                <w:sz w:val="16"/>
                <w:szCs w:val="16"/>
                <w:u w:val="none"/>
              </w:rPr>
            </w:pPr>
            <w:r>
              <w:rPr>
                <w:rFonts w:hint="eastAsia" w:ascii="微软雅黑" w:eastAsia="微软雅黑" w:cs="微软雅黑"/>
                <w:i/>
                <w:iCs/>
                <w:color w:val="000000"/>
                <w:kern w:val="0"/>
                <w:sz w:val="16"/>
                <w:szCs w:val="16"/>
                <w:u w:val="none"/>
                <w:lang w:val="en-US" w:eastAsia="zh-CN"/>
              </w:rPr>
              <w:t>维修维护并保障茂县工业园区给排水厂、道路、桥梁等基础设施正常运行，为企业正常运行提供要素保障；做好园区环境污染检测、安全生产等工作；确保了园区各企业正常生产、生活运转</w:t>
            </w:r>
          </w:p>
        </w:tc>
      </w:tr>
      <w:tr w14:paraId="6FDDB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412DF070">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存在问题</w:t>
            </w:r>
          </w:p>
        </w:tc>
        <w:tc>
          <w:tcPr>
            <w:tcW w:w="13745" w:type="dxa"/>
            <w:gridSpan w:val="10"/>
            <w:tcBorders>
              <w:top w:val="single" w:color="000000" w:sz="4" w:space="0"/>
              <w:left w:val="single" w:color="000000" w:sz="4" w:space="0"/>
              <w:bottom w:val="single" w:color="000000" w:sz="4" w:space="0"/>
              <w:right w:val="single" w:color="000000" w:sz="4" w:space="0"/>
            </w:tcBorders>
            <w:noWrap/>
            <w:vAlign w:val="center"/>
          </w:tcPr>
          <w:p w14:paraId="469A2405">
            <w:pPr>
              <w:keepNext w:val="0"/>
              <w:keepLines w:val="0"/>
              <w:widowControl/>
              <w:suppressLineNumbers w:val="0"/>
              <w:suppressAutoHyphens/>
              <w:jc w:val="left"/>
              <w:textAlignment w:val="center"/>
              <w:rPr>
                <w:rFonts w:hint="eastAsia" w:ascii="微软雅黑" w:eastAsia="微软雅黑" w:cs="微软雅黑"/>
                <w:i/>
                <w:iCs/>
                <w:color w:val="000000"/>
                <w:sz w:val="16"/>
                <w:szCs w:val="16"/>
                <w:u w:val="none"/>
              </w:rPr>
            </w:pPr>
            <w:r>
              <w:rPr>
                <w:rFonts w:hint="eastAsia" w:ascii="微软雅黑" w:eastAsia="微软雅黑" w:cs="微软雅黑"/>
                <w:i/>
                <w:iCs/>
                <w:color w:val="000000"/>
                <w:kern w:val="0"/>
                <w:sz w:val="16"/>
                <w:szCs w:val="16"/>
                <w:u w:val="none"/>
                <w:lang w:val="en-US" w:eastAsia="zh-CN"/>
              </w:rPr>
              <w:t>绩效管理的跟踪反馈不足；加强预算编制的精细化管理，提高预算的准确性和可操作性</w:t>
            </w:r>
          </w:p>
        </w:tc>
      </w:tr>
      <w:tr w14:paraId="6BB7F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4621947E">
            <w:pPr>
              <w:keepNext w:val="0"/>
              <w:keepLines w:val="0"/>
              <w:widowControl/>
              <w:suppressLineNumbers w:val="0"/>
              <w:suppressAutoHyphens/>
              <w:jc w:val="center"/>
              <w:textAlignment w:val="center"/>
              <w:rPr>
                <w:rFonts w:ascii="宋体" w:eastAsia="宋体" w:cs="宋体"/>
                <w:i w:val="0"/>
                <w:iCs w:val="0"/>
                <w:color w:val="000000"/>
                <w:sz w:val="18"/>
                <w:szCs w:val="18"/>
                <w:u w:val="none"/>
              </w:rPr>
            </w:pPr>
            <w:r>
              <w:rPr>
                <w:rFonts w:ascii="宋体" w:eastAsia="宋体" w:cs="宋体"/>
                <w:i w:val="0"/>
                <w:iCs w:val="0"/>
                <w:color w:val="000000"/>
                <w:kern w:val="0"/>
                <w:sz w:val="18"/>
                <w:szCs w:val="18"/>
                <w:u w:val="none"/>
                <w:lang w:val="en-US" w:eastAsia="zh-CN"/>
              </w:rPr>
              <w:t>改进措施</w:t>
            </w:r>
          </w:p>
        </w:tc>
        <w:tc>
          <w:tcPr>
            <w:tcW w:w="13745" w:type="dxa"/>
            <w:gridSpan w:val="10"/>
            <w:tcBorders>
              <w:top w:val="single" w:color="000000" w:sz="4" w:space="0"/>
              <w:left w:val="single" w:color="000000" w:sz="4" w:space="0"/>
              <w:bottom w:val="single" w:color="000000" w:sz="4" w:space="0"/>
              <w:right w:val="single" w:color="000000" w:sz="4" w:space="0"/>
            </w:tcBorders>
            <w:noWrap/>
            <w:vAlign w:val="center"/>
          </w:tcPr>
          <w:p w14:paraId="01D00A33">
            <w:pPr>
              <w:keepNext w:val="0"/>
              <w:keepLines w:val="0"/>
              <w:widowControl/>
              <w:suppressLineNumbers w:val="0"/>
              <w:suppressAutoHyphens/>
              <w:jc w:val="left"/>
              <w:textAlignment w:val="center"/>
              <w:rPr>
                <w:rFonts w:hint="eastAsia" w:ascii="微软雅黑" w:eastAsia="微软雅黑" w:cs="微软雅黑"/>
                <w:i/>
                <w:iCs/>
                <w:color w:val="000000"/>
                <w:sz w:val="16"/>
                <w:szCs w:val="16"/>
                <w:u w:val="none"/>
              </w:rPr>
            </w:pPr>
            <w:r>
              <w:rPr>
                <w:rFonts w:hint="eastAsia" w:ascii="微软雅黑" w:eastAsia="微软雅黑" w:cs="微软雅黑"/>
                <w:i/>
                <w:iCs/>
                <w:color w:val="000000"/>
                <w:kern w:val="0"/>
                <w:sz w:val="16"/>
                <w:szCs w:val="16"/>
                <w:u w:val="none"/>
                <w:lang w:val="en-US" w:eastAsia="zh-CN"/>
              </w:rPr>
              <w:t>进一步加强单位预算编制、支出执行、决算编制等工作的管理，特别是应加快专项资金的预算执行进度；进一步科学设定绩效目标，加强预算执行管理。改进部门收支预算编制，务实预算基础工作，提高预算编制质量</w:t>
            </w:r>
          </w:p>
        </w:tc>
      </w:tr>
      <w:tr w14:paraId="7F63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655" w:type="dxa"/>
            <w:gridSpan w:val="5"/>
            <w:tcBorders>
              <w:top w:val="single" w:color="000000" w:sz="4" w:space="0"/>
              <w:left w:val="single" w:color="000000" w:sz="4" w:space="0"/>
              <w:bottom w:val="single" w:color="000000" w:sz="4" w:space="0"/>
              <w:right w:val="single" w:color="000000" w:sz="4" w:space="0"/>
            </w:tcBorders>
            <w:noWrap/>
            <w:vAlign w:val="center"/>
          </w:tcPr>
          <w:p w14:paraId="4F4B6B11">
            <w:pPr>
              <w:keepNext w:val="0"/>
              <w:keepLines w:val="0"/>
              <w:widowControl/>
              <w:suppressLineNumbers w:val="0"/>
              <w:suppressAutoHyphens/>
              <w:jc w:val="left"/>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项目负责人：郭太平</w:t>
            </w:r>
          </w:p>
        </w:tc>
        <w:tc>
          <w:tcPr>
            <w:tcW w:w="6780" w:type="dxa"/>
            <w:gridSpan w:val="6"/>
            <w:tcBorders>
              <w:top w:val="single" w:color="000000" w:sz="4" w:space="0"/>
              <w:left w:val="single" w:color="000000" w:sz="4" w:space="0"/>
              <w:bottom w:val="single" w:color="000000" w:sz="4" w:space="0"/>
              <w:right w:val="single" w:color="000000" w:sz="4" w:space="0"/>
            </w:tcBorders>
            <w:noWrap/>
            <w:vAlign w:val="center"/>
          </w:tcPr>
          <w:p w14:paraId="2185592D">
            <w:pPr>
              <w:keepNext w:val="0"/>
              <w:keepLines w:val="0"/>
              <w:widowControl/>
              <w:suppressLineNumbers w:val="0"/>
              <w:suppressAutoHyphens/>
              <w:jc w:val="left"/>
              <w:textAlignment w:val="center"/>
              <w:rPr>
                <w:rFonts w:hint="eastAsia" w:ascii="黑体" w:eastAsia="黑体" w:cs="黑体"/>
                <w:i w:val="0"/>
                <w:iCs w:val="0"/>
                <w:color w:val="000000"/>
                <w:sz w:val="18"/>
                <w:szCs w:val="18"/>
                <w:u w:val="none"/>
              </w:rPr>
            </w:pPr>
            <w:r>
              <w:rPr>
                <w:rFonts w:hint="eastAsia" w:ascii="黑体" w:eastAsia="黑体" w:cs="黑体"/>
                <w:i w:val="0"/>
                <w:iCs w:val="0"/>
                <w:color w:val="000000"/>
                <w:kern w:val="0"/>
                <w:sz w:val="18"/>
                <w:szCs w:val="18"/>
                <w:u w:val="none"/>
                <w:lang w:val="en-US" w:eastAsia="zh-CN"/>
              </w:rPr>
              <w:t>财务负责人：杨春鹏</w:t>
            </w:r>
          </w:p>
        </w:tc>
      </w:tr>
    </w:tbl>
    <w:p w14:paraId="219A4A88">
      <w:pPr>
        <w:keepNext w:val="0"/>
        <w:keepLines w:val="0"/>
        <w:widowControl/>
        <w:suppressLineNumbers w:val="0"/>
        <w:suppressAutoHyphens/>
        <w:jc w:val="both"/>
        <w:textAlignment w:val="center"/>
        <w:rPr>
          <w:rFonts w:hint="eastAsia" w:ascii="黑体" w:eastAsia="黑体" w:cs="黑体"/>
          <w:b/>
          <w:bCs/>
          <w:i w:val="0"/>
          <w:iCs w:val="0"/>
          <w:color w:val="000000"/>
          <w:kern w:val="0"/>
          <w:sz w:val="30"/>
          <w:szCs w:val="30"/>
          <w:u w:val="none"/>
          <w:lang w:val="en-US" w:eastAsia="zh-CN"/>
        </w:rPr>
      </w:pPr>
    </w:p>
    <w:p w14:paraId="7EA28D0B">
      <w:pPr>
        <w:bidi w:val="0"/>
        <w:rPr>
          <w:rFonts w:hint="eastAsia"/>
          <w:lang w:val="en-US" w:eastAsia="zh-CN"/>
        </w:rPr>
      </w:pPr>
    </w:p>
    <w:p w14:paraId="18E4D5FB">
      <w:pPr>
        <w:bidi w:val="0"/>
        <w:rPr>
          <w:rFonts w:hint="eastAsia"/>
          <w:lang w:val="en-US" w:eastAsia="zh-CN"/>
        </w:rPr>
        <w:sectPr>
          <w:pgSz w:w="16838" w:h="11906" w:orient="landscape"/>
          <w:pgMar w:top="1800" w:right="1440" w:bottom="1800" w:left="1440" w:header="720" w:footer="720" w:gutter="0"/>
          <w:cols w:space="720" w:num="1"/>
          <w:docGrid w:type="lines" w:linePitch="312" w:charSpace="0"/>
        </w:sectPr>
      </w:pPr>
    </w:p>
    <w:p w14:paraId="58E34D38">
      <w:pPr>
        <w:widowControl/>
        <w:suppressAutoHyphens/>
        <w:jc w:val="center"/>
        <w:rPr>
          <w:rFonts w:hint="eastAsia" w:ascii="仿宋" w:eastAsia="仿宋"/>
          <w:b w:val="0"/>
          <w:color w:val="auto"/>
          <w:highlight w:val="none"/>
        </w:rPr>
      </w:pPr>
      <w:r>
        <w:rPr>
          <w:rFonts w:hint="eastAsia" w:ascii="黑体" w:eastAsia="黑体"/>
          <w:color w:val="auto"/>
          <w:sz w:val="44"/>
          <w:szCs w:val="44"/>
          <w:highlight w:val="none"/>
        </w:rPr>
        <w:t>第</w:t>
      </w:r>
      <w:r>
        <w:rPr>
          <w:rStyle w:val="17"/>
          <w:rFonts w:hint="eastAsia" w:ascii="黑体" w:eastAsia="黑体"/>
          <w:b w:val="0"/>
          <w:color w:val="auto"/>
          <w:highlight w:val="none"/>
        </w:rPr>
        <w:t>五部分 附表</w:t>
      </w:r>
    </w:p>
    <w:p w14:paraId="33F914FB">
      <w:pPr>
        <w:pStyle w:val="4"/>
        <w:rPr>
          <w:rFonts w:ascii="仿宋" w:eastAsia="仿宋"/>
          <w:color w:val="auto"/>
          <w:highlight w:val="none"/>
        </w:rPr>
      </w:pPr>
      <w:r>
        <w:rPr>
          <w:rFonts w:hint="eastAsia" w:ascii="仿宋" w:eastAsia="仿宋"/>
          <w:b w:val="0"/>
          <w:color w:val="auto"/>
          <w:highlight w:val="none"/>
        </w:rPr>
        <w:t>一、收</w:t>
      </w:r>
      <w:r>
        <w:rPr>
          <w:rStyle w:val="18"/>
          <w:rFonts w:hint="eastAsia" w:ascii="仿宋" w:eastAsia="仿宋"/>
          <w:b w:val="0"/>
          <w:bCs w:val="0"/>
          <w:color w:val="auto"/>
          <w:highlight w:val="none"/>
        </w:rPr>
        <w:t>入支出决算总表</w:t>
      </w:r>
    </w:p>
    <w:p w14:paraId="55346ADC">
      <w:pPr>
        <w:pStyle w:val="4"/>
        <w:rPr>
          <w:rFonts w:ascii="仿宋" w:eastAsia="仿宋"/>
          <w:color w:val="auto"/>
          <w:highlight w:val="none"/>
        </w:rPr>
      </w:pPr>
      <w:r>
        <w:rPr>
          <w:rFonts w:hint="eastAsia" w:ascii="仿宋" w:eastAsia="仿宋"/>
          <w:b w:val="0"/>
          <w:color w:val="auto"/>
          <w:highlight w:val="none"/>
        </w:rPr>
        <w:t>二、收</w:t>
      </w:r>
      <w:r>
        <w:rPr>
          <w:rStyle w:val="18"/>
          <w:rFonts w:hint="eastAsia" w:ascii="仿宋" w:eastAsia="仿宋"/>
          <w:b w:val="0"/>
          <w:bCs w:val="0"/>
          <w:color w:val="auto"/>
          <w:highlight w:val="none"/>
        </w:rPr>
        <w:t>入决算表</w:t>
      </w:r>
    </w:p>
    <w:p w14:paraId="5D526E40">
      <w:pPr>
        <w:pStyle w:val="4"/>
        <w:rPr>
          <w:rFonts w:ascii="仿宋" w:eastAsia="仿宋"/>
          <w:color w:val="auto"/>
          <w:highlight w:val="none"/>
        </w:rPr>
      </w:pPr>
      <w:r>
        <w:rPr>
          <w:rStyle w:val="18"/>
          <w:rFonts w:hint="eastAsia" w:ascii="仿宋" w:eastAsia="仿宋"/>
          <w:b w:val="0"/>
          <w:bCs w:val="0"/>
          <w:color w:val="auto"/>
          <w:highlight w:val="none"/>
        </w:rPr>
        <w:t>三、</w:t>
      </w:r>
      <w:r>
        <w:rPr>
          <w:rFonts w:hint="eastAsia" w:ascii="仿宋" w:eastAsia="仿宋"/>
          <w:b w:val="0"/>
          <w:color w:val="auto"/>
          <w:highlight w:val="none"/>
        </w:rPr>
        <w:t>支</w:t>
      </w:r>
      <w:r>
        <w:rPr>
          <w:rStyle w:val="18"/>
          <w:rFonts w:hint="eastAsia" w:ascii="仿宋" w:eastAsia="仿宋"/>
          <w:b w:val="0"/>
          <w:bCs w:val="0"/>
          <w:color w:val="auto"/>
          <w:highlight w:val="none"/>
        </w:rPr>
        <w:t>出决算表</w:t>
      </w:r>
    </w:p>
    <w:p w14:paraId="5BFE033B">
      <w:pPr>
        <w:pStyle w:val="4"/>
        <w:rPr>
          <w:rFonts w:ascii="仿宋" w:eastAsia="仿宋"/>
          <w:b w:val="0"/>
          <w:color w:val="auto"/>
          <w:highlight w:val="none"/>
        </w:rPr>
      </w:pPr>
      <w:r>
        <w:rPr>
          <w:rStyle w:val="18"/>
          <w:rFonts w:hint="eastAsia" w:ascii="仿宋" w:eastAsia="仿宋"/>
          <w:b w:val="0"/>
          <w:bCs w:val="0"/>
          <w:color w:val="auto"/>
          <w:highlight w:val="none"/>
        </w:rPr>
        <w:t>四、</w:t>
      </w:r>
      <w:r>
        <w:rPr>
          <w:rFonts w:hint="eastAsia" w:ascii="仿宋" w:eastAsia="仿宋"/>
          <w:b w:val="0"/>
          <w:color w:val="auto"/>
          <w:highlight w:val="none"/>
        </w:rPr>
        <w:t>财</w:t>
      </w:r>
      <w:r>
        <w:rPr>
          <w:rStyle w:val="18"/>
          <w:rFonts w:hint="eastAsia" w:ascii="仿宋" w:eastAsia="仿宋"/>
          <w:b w:val="0"/>
          <w:bCs w:val="0"/>
          <w:color w:val="auto"/>
          <w:highlight w:val="none"/>
        </w:rPr>
        <w:t>政拨款收入支出决算总表</w:t>
      </w:r>
    </w:p>
    <w:p w14:paraId="25257C1B">
      <w:pPr>
        <w:pStyle w:val="4"/>
        <w:rPr>
          <w:rStyle w:val="18"/>
          <w:rFonts w:ascii="仿宋" w:eastAsia="仿宋"/>
          <w:b w:val="0"/>
          <w:bCs w:val="0"/>
          <w:color w:val="auto"/>
          <w:highlight w:val="none"/>
        </w:rPr>
      </w:pPr>
      <w:r>
        <w:rPr>
          <w:rStyle w:val="18"/>
          <w:rFonts w:hint="eastAsia" w:ascii="仿宋" w:eastAsia="仿宋"/>
          <w:b w:val="0"/>
          <w:bCs w:val="0"/>
          <w:color w:val="auto"/>
          <w:highlight w:val="none"/>
        </w:rPr>
        <w:t>五、</w:t>
      </w:r>
      <w:r>
        <w:rPr>
          <w:rFonts w:hint="eastAsia" w:ascii="仿宋" w:eastAsia="仿宋"/>
          <w:b w:val="0"/>
          <w:color w:val="auto"/>
          <w:highlight w:val="none"/>
        </w:rPr>
        <w:t>财</w:t>
      </w:r>
      <w:r>
        <w:rPr>
          <w:rStyle w:val="18"/>
          <w:rFonts w:hint="eastAsia" w:ascii="仿宋" w:eastAsia="仿宋"/>
          <w:b w:val="0"/>
          <w:bCs w:val="0"/>
          <w:color w:val="auto"/>
          <w:highlight w:val="none"/>
        </w:rPr>
        <w:t>政拨款支出决算明细表</w:t>
      </w:r>
    </w:p>
    <w:p w14:paraId="78F16BAA">
      <w:pPr>
        <w:pStyle w:val="4"/>
        <w:rPr>
          <w:rFonts w:ascii="仿宋" w:eastAsia="仿宋"/>
          <w:color w:val="auto"/>
          <w:highlight w:val="none"/>
        </w:rPr>
      </w:pPr>
      <w:r>
        <w:rPr>
          <w:rStyle w:val="18"/>
          <w:rFonts w:hint="eastAsia" w:ascii="仿宋" w:eastAsia="仿宋"/>
          <w:b w:val="0"/>
          <w:bCs w:val="0"/>
          <w:color w:val="auto"/>
          <w:highlight w:val="none"/>
        </w:rPr>
        <w:t>六、</w:t>
      </w:r>
      <w:r>
        <w:rPr>
          <w:rFonts w:hint="eastAsia" w:ascii="仿宋" w:eastAsia="仿宋"/>
          <w:b w:val="0"/>
          <w:color w:val="auto"/>
          <w:highlight w:val="none"/>
        </w:rPr>
        <w:t>一</w:t>
      </w:r>
      <w:r>
        <w:rPr>
          <w:rStyle w:val="18"/>
          <w:rFonts w:hint="eastAsia" w:ascii="仿宋" w:eastAsia="仿宋"/>
          <w:b w:val="0"/>
          <w:bCs w:val="0"/>
          <w:color w:val="auto"/>
          <w:highlight w:val="none"/>
        </w:rPr>
        <w:t>般公共预算财政拨款支出决算表</w:t>
      </w:r>
    </w:p>
    <w:p w14:paraId="4CF7C081">
      <w:pPr>
        <w:pStyle w:val="4"/>
        <w:rPr>
          <w:rFonts w:ascii="仿宋" w:eastAsia="仿宋"/>
          <w:color w:val="auto"/>
          <w:highlight w:val="none"/>
        </w:rPr>
      </w:pPr>
      <w:r>
        <w:rPr>
          <w:rStyle w:val="18"/>
          <w:rFonts w:hint="eastAsia" w:ascii="仿宋" w:eastAsia="仿宋"/>
          <w:b w:val="0"/>
          <w:bCs w:val="0"/>
          <w:color w:val="auto"/>
          <w:highlight w:val="none"/>
        </w:rPr>
        <w:t>七、</w:t>
      </w:r>
      <w:r>
        <w:rPr>
          <w:rFonts w:hint="eastAsia" w:ascii="仿宋" w:eastAsia="仿宋"/>
          <w:b w:val="0"/>
          <w:color w:val="auto"/>
          <w:highlight w:val="none"/>
        </w:rPr>
        <w:t>一</w:t>
      </w:r>
      <w:r>
        <w:rPr>
          <w:rStyle w:val="18"/>
          <w:rFonts w:hint="eastAsia" w:ascii="仿宋" w:eastAsia="仿宋"/>
          <w:b w:val="0"/>
          <w:bCs w:val="0"/>
          <w:color w:val="auto"/>
          <w:highlight w:val="none"/>
        </w:rPr>
        <w:t>般公共预算财政拨款支出决算明细表</w:t>
      </w:r>
    </w:p>
    <w:p w14:paraId="4C3D4BB9">
      <w:pPr>
        <w:pStyle w:val="4"/>
        <w:rPr>
          <w:rFonts w:ascii="仿宋" w:eastAsia="仿宋"/>
          <w:color w:val="auto"/>
          <w:highlight w:val="none"/>
        </w:rPr>
      </w:pPr>
      <w:r>
        <w:rPr>
          <w:rStyle w:val="18"/>
          <w:rFonts w:hint="eastAsia" w:ascii="仿宋" w:eastAsia="仿宋"/>
          <w:b w:val="0"/>
          <w:bCs w:val="0"/>
          <w:color w:val="auto"/>
          <w:highlight w:val="none"/>
        </w:rPr>
        <w:t>八、</w:t>
      </w:r>
      <w:r>
        <w:rPr>
          <w:rFonts w:hint="eastAsia" w:ascii="仿宋" w:eastAsia="仿宋"/>
          <w:b w:val="0"/>
          <w:color w:val="auto"/>
          <w:highlight w:val="none"/>
        </w:rPr>
        <w:t>一</w:t>
      </w:r>
      <w:r>
        <w:rPr>
          <w:rStyle w:val="18"/>
          <w:rFonts w:hint="eastAsia" w:ascii="仿宋" w:eastAsia="仿宋"/>
          <w:b w:val="0"/>
          <w:bCs w:val="0"/>
          <w:color w:val="auto"/>
          <w:highlight w:val="none"/>
        </w:rPr>
        <w:t>般公共预算财政拨款基本支出决算表</w:t>
      </w:r>
    </w:p>
    <w:p w14:paraId="1ED0F1DC">
      <w:pPr>
        <w:pStyle w:val="4"/>
        <w:rPr>
          <w:rFonts w:ascii="仿宋" w:eastAsia="仿宋"/>
          <w:color w:val="auto"/>
          <w:highlight w:val="none"/>
        </w:rPr>
      </w:pPr>
      <w:r>
        <w:rPr>
          <w:rStyle w:val="18"/>
          <w:rFonts w:hint="eastAsia" w:ascii="仿宋" w:eastAsia="仿宋"/>
          <w:b w:val="0"/>
          <w:bCs w:val="0"/>
          <w:color w:val="auto"/>
          <w:highlight w:val="none"/>
        </w:rPr>
        <w:t>九、</w:t>
      </w:r>
      <w:r>
        <w:rPr>
          <w:rFonts w:hint="eastAsia" w:ascii="仿宋" w:eastAsia="仿宋"/>
          <w:b w:val="0"/>
          <w:color w:val="auto"/>
          <w:highlight w:val="none"/>
        </w:rPr>
        <w:t>一</w:t>
      </w:r>
      <w:r>
        <w:rPr>
          <w:rStyle w:val="18"/>
          <w:rFonts w:hint="eastAsia" w:ascii="仿宋" w:eastAsia="仿宋"/>
          <w:b w:val="0"/>
          <w:bCs w:val="0"/>
          <w:color w:val="auto"/>
          <w:highlight w:val="none"/>
        </w:rPr>
        <w:t>般公共预算财政拨款项目支出决算表</w:t>
      </w:r>
    </w:p>
    <w:p w14:paraId="0D19A7F3">
      <w:pPr>
        <w:pStyle w:val="4"/>
        <w:rPr>
          <w:rFonts w:ascii="仿宋" w:eastAsia="仿宋"/>
          <w:color w:val="auto"/>
          <w:highlight w:val="none"/>
        </w:rPr>
      </w:pPr>
      <w:r>
        <w:rPr>
          <w:rStyle w:val="18"/>
          <w:rFonts w:hint="eastAsia" w:ascii="仿宋" w:eastAsia="仿宋"/>
          <w:b w:val="0"/>
          <w:bCs w:val="0"/>
          <w:color w:val="auto"/>
          <w:highlight w:val="none"/>
        </w:rPr>
        <w:t>十、</w:t>
      </w:r>
      <w:r>
        <w:rPr>
          <w:rFonts w:hint="eastAsia" w:ascii="仿宋" w:eastAsia="仿宋"/>
          <w:b w:val="0"/>
          <w:color w:val="auto"/>
          <w:highlight w:val="none"/>
        </w:rPr>
        <w:t>政</w:t>
      </w:r>
      <w:r>
        <w:rPr>
          <w:rStyle w:val="18"/>
          <w:rFonts w:hint="eastAsia" w:ascii="仿宋" w:eastAsia="仿宋"/>
          <w:b w:val="0"/>
          <w:bCs w:val="0"/>
          <w:color w:val="auto"/>
          <w:highlight w:val="none"/>
        </w:rPr>
        <w:t>府性基金预算财政拨款收入支出决算表</w:t>
      </w:r>
    </w:p>
    <w:p w14:paraId="2CA80138">
      <w:pPr>
        <w:pStyle w:val="4"/>
        <w:rPr>
          <w:rFonts w:ascii="仿宋" w:eastAsia="仿宋"/>
          <w:color w:val="auto"/>
          <w:highlight w:val="none"/>
        </w:rPr>
      </w:pPr>
      <w:r>
        <w:rPr>
          <w:rStyle w:val="18"/>
          <w:rFonts w:hint="eastAsia" w:ascii="仿宋" w:eastAsia="仿宋"/>
          <w:b w:val="0"/>
          <w:bCs w:val="0"/>
          <w:color w:val="auto"/>
          <w:highlight w:val="none"/>
        </w:rPr>
        <w:t>十一、</w:t>
      </w:r>
      <w:r>
        <w:rPr>
          <w:rFonts w:hint="eastAsia" w:ascii="仿宋" w:eastAsia="仿宋"/>
          <w:b w:val="0"/>
          <w:color w:val="auto"/>
          <w:highlight w:val="none"/>
        </w:rPr>
        <w:t>国</w:t>
      </w:r>
      <w:r>
        <w:rPr>
          <w:rStyle w:val="18"/>
          <w:rFonts w:hint="eastAsia" w:ascii="仿宋" w:eastAsia="仿宋"/>
          <w:b w:val="0"/>
          <w:bCs w:val="0"/>
          <w:color w:val="auto"/>
          <w:highlight w:val="none"/>
        </w:rPr>
        <w:t>有资本经营预算</w:t>
      </w:r>
      <w:r>
        <w:rPr>
          <w:rStyle w:val="18"/>
          <w:rFonts w:hint="eastAsia" w:ascii="仿宋" w:eastAsia="仿宋"/>
          <w:b w:val="0"/>
          <w:bCs w:val="0"/>
          <w:color w:val="auto"/>
          <w:highlight w:val="none"/>
          <w:lang w:eastAsia="zh-CN"/>
        </w:rPr>
        <w:t>财政拨款收入</w:t>
      </w:r>
      <w:r>
        <w:rPr>
          <w:rStyle w:val="18"/>
          <w:rFonts w:hint="eastAsia" w:ascii="仿宋" w:eastAsia="仿宋"/>
          <w:b w:val="0"/>
          <w:bCs w:val="0"/>
          <w:color w:val="auto"/>
          <w:highlight w:val="none"/>
        </w:rPr>
        <w:t>支出决算表</w:t>
      </w:r>
    </w:p>
    <w:p w14:paraId="5F25B88D">
      <w:pPr>
        <w:pStyle w:val="4"/>
        <w:rPr>
          <w:rFonts w:ascii="仿宋" w:eastAsia="仿宋"/>
          <w:color w:val="auto"/>
          <w:highlight w:val="none"/>
        </w:rPr>
      </w:pPr>
      <w:r>
        <w:rPr>
          <w:rStyle w:val="18"/>
          <w:rFonts w:hint="eastAsia" w:ascii="仿宋" w:eastAsia="仿宋"/>
          <w:b w:val="0"/>
          <w:bCs w:val="0"/>
          <w:color w:val="auto"/>
          <w:highlight w:val="none"/>
        </w:rPr>
        <w:t>十二、</w:t>
      </w:r>
      <w:r>
        <w:rPr>
          <w:rStyle w:val="18"/>
          <w:rFonts w:hint="eastAsia" w:ascii="仿宋" w:eastAsia="仿宋"/>
          <w:b w:val="0"/>
          <w:bCs w:val="0"/>
          <w:color w:val="auto"/>
          <w:highlight w:val="none"/>
          <w:lang w:eastAsia="zh-CN"/>
        </w:rPr>
        <w:t>国有资本经营预算财政拨款支出决算表</w:t>
      </w:r>
    </w:p>
    <w:p w14:paraId="1F4E10CD">
      <w:pPr>
        <w:pStyle w:val="4"/>
        <w:rPr>
          <w:rStyle w:val="18"/>
          <w:rFonts w:hint="eastAsia" w:ascii="仿宋" w:eastAsia="仿宋"/>
          <w:b w:val="0"/>
          <w:bCs w:val="0"/>
          <w:color w:val="auto"/>
          <w:highlight w:val="none"/>
          <w:lang w:eastAsia="zh-CN"/>
        </w:rPr>
      </w:pPr>
      <w:r>
        <w:rPr>
          <w:rStyle w:val="18"/>
          <w:rFonts w:hint="eastAsia" w:ascii="仿宋" w:eastAsia="仿宋"/>
          <w:b w:val="0"/>
          <w:bCs w:val="0"/>
          <w:color w:val="auto"/>
          <w:highlight w:val="none"/>
        </w:rPr>
        <w:t>十三、</w:t>
      </w:r>
      <w:r>
        <w:rPr>
          <w:rStyle w:val="18"/>
          <w:rFonts w:hint="eastAsia" w:ascii="仿宋" w:eastAsia="仿宋"/>
          <w:b w:val="0"/>
          <w:bCs w:val="0"/>
          <w:color w:val="auto"/>
          <w:highlight w:val="none"/>
          <w:lang w:eastAsia="zh-CN"/>
        </w:rPr>
        <w:t>财政拨款“三公”经费支出决算表</w:t>
      </w:r>
    </w:p>
    <w:p w14:paraId="18694FAE"/>
    <w:p w14:paraId="0605744A">
      <w:pPr>
        <w:bidi w:val="0"/>
        <w:rPr>
          <w:rFonts w:hint="eastAsia"/>
          <w:lang w:val="en-US" w:eastAsia="zh-CN"/>
        </w:rPr>
      </w:pPr>
    </w:p>
    <w:p w14:paraId="51EA3FF0">
      <w:pPr>
        <w:bidi w:val="0"/>
        <w:rPr>
          <w:rFonts w:hint="eastAsia"/>
          <w:lang w:val="en-US" w:eastAsia="zh-CN"/>
        </w:rPr>
      </w:pPr>
    </w:p>
    <w:p w14:paraId="0641AF67">
      <w:pPr>
        <w:bidi w:val="0"/>
        <w:rPr>
          <w:rFonts w:hint="eastAsia"/>
          <w:lang w:val="en-US" w:eastAsia="zh-CN"/>
        </w:rPr>
      </w:pPr>
    </w:p>
    <w:bookmarkEnd w:id="42"/>
    <w:bookmarkEnd w:id="44"/>
    <w:p w14:paraId="6EF874D8"/>
    <w:sectPr>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5DC54">
    <w:pPr>
      <w:pStyle w:val="9"/>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文本框 2"/>
              <wp:cNvGraphicFramePr/>
              <a:graphic xmlns:a="http://schemas.openxmlformats.org/drawingml/2006/main">
                <a:graphicData uri="http://schemas.microsoft.com/office/word/2010/wordprocessingShape">
                  <wps:wsp>
                    <wps:cNvSpPr/>
                    <wps:spPr>
                      <a:xfrm>
                        <a:off x="0" y="0"/>
                        <a:ext cx="57950" cy="139560"/>
                      </a:xfrm>
                      <a:prstGeom prst="rect">
                        <a:avLst/>
                      </a:prstGeom>
                      <a:noFill/>
                      <a:ln w="9525" cap="flat" cmpd="sng">
                        <a:noFill/>
                        <a:prstDash val="solid"/>
                        <a:round/>
                      </a:ln>
                    </wps:spPr>
                    <wps:txbx>
                      <w:txbxContent>
                        <w:p w14:paraId="672B20D8">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uvP1tAAAAACAQAADwAAAAAAAAABACAAAAAiAAAAZHJzL2Rvd25yZXYu&#10;eG1sUEsBAhQAFAAAAAgAh07iQOsDtdIDAgAA8wMAAA4AAAAAAAAAAQAgAAAAHwEAAGRycy9lMm9E&#10;b2MueG1sUEsFBgAAAAAGAAYAWQEAAJQFAAAAAA==&#10;">
              <v:fill on="f" focussize="0,0"/>
              <v:stroke on="f" joinstyle="round"/>
              <v:imagedata o:title=""/>
              <o:lock v:ext="edit" aspectratio="f"/>
              <v:textbox inset="0mm,0mm,0mm,0mm" style="mso-fit-shape-to-text:t;">
                <w:txbxContent>
                  <w:p w14:paraId="672B20D8">
                    <w:pPr>
                      <w:pStyle w:val="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AD5DF">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30593">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2E45D">
    <w:pPr>
      <w:pStyle w:val="9"/>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12"/>
              <wp:cNvGraphicFramePr/>
              <a:graphic xmlns:a="http://schemas.openxmlformats.org/drawingml/2006/main">
                <a:graphicData uri="http://schemas.microsoft.com/office/word/2010/wordprocessingShape">
                  <wps:wsp>
                    <wps:cNvSpPr/>
                    <wps:spPr>
                      <a:xfrm>
                        <a:off x="0" y="0"/>
                        <a:ext cx="115900" cy="139560"/>
                      </a:xfrm>
                      <a:prstGeom prst="rect">
                        <a:avLst/>
                      </a:prstGeom>
                      <a:noFill/>
                      <a:ln w="9525" cap="flat" cmpd="sng">
                        <a:noFill/>
                        <a:prstDash val="solid"/>
                        <a:round/>
                      </a:ln>
                    </wps:spPr>
                    <wps:txbx>
                      <w:txbxContent>
                        <w:p w14:paraId="08C20CDF">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2"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XQ6n9EAAAADAQAADwAAAAAAAAABACAAAAAiAAAAZHJzL2Rvd25y&#10;ZXYueG1sUEsBAhQAFAAAAAgAh07iQOHsL90FAgAA9QMAAA4AAAAAAAAAAQAgAAAAIAEAAGRycy9l&#10;Mm9Eb2MueG1sUEsFBgAAAAAGAAYAWQEAAJcFAAAAAA==&#10;">
              <v:fill on="f" focussize="0,0"/>
              <v:stroke on="f" joinstyle="round"/>
              <v:imagedata o:title=""/>
              <o:lock v:ext="edit" aspectratio="f"/>
              <v:textbox inset="0mm,0mm,0mm,0mm" style="mso-fit-shape-to-text:t;">
                <w:txbxContent>
                  <w:p w14:paraId="08C20CDF">
                    <w:pPr>
                      <w:pStyle w:val="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B964D">
    <w:pPr>
      <w:pStyle w:val="9"/>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4" name="文本框 11"/>
              <wp:cNvGraphicFramePr/>
              <a:graphic xmlns:a="http://schemas.openxmlformats.org/drawingml/2006/main">
                <a:graphicData uri="http://schemas.microsoft.com/office/word/2010/wordprocessingShape">
                  <wps:wsp>
                    <wps:cNvSpPr/>
                    <wps:spPr>
                      <a:xfrm>
                        <a:off x="0" y="0"/>
                        <a:ext cx="115900" cy="139560"/>
                      </a:xfrm>
                      <a:prstGeom prst="rect">
                        <a:avLst/>
                      </a:prstGeom>
                      <a:noFill/>
                      <a:ln w="9525" cap="flat" cmpd="sng">
                        <a:noFill/>
                        <a:prstDash val="solid"/>
                        <a:round/>
                      </a:ln>
                    </wps:spPr>
                    <wps:txbx>
                      <w:txbxContent>
                        <w:p w14:paraId="1F223642">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1"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XQ6n9EAAAADAQAADwAAAAAAAAABACAAAAAiAAAAZHJzL2Rvd25y&#10;ZXYueG1sUEsBAhQAFAAAAAgAh07iQPw26YAFAgAA9gMAAA4AAAAAAAAAAQAgAAAAIAEAAGRycy9l&#10;Mm9Eb2MueG1sUEsFBgAAAAAGAAYAWQEAAJcFAAAAAA==&#10;">
              <v:fill on="f" focussize="0,0"/>
              <v:stroke on="f" joinstyle="round"/>
              <v:imagedata o:title=""/>
              <o:lock v:ext="edit" aspectratio="f"/>
              <v:textbox inset="0mm,0mm,0mm,0mm" style="mso-fit-shape-to-text:t;">
                <w:txbxContent>
                  <w:p w14:paraId="1F223642">
                    <w:pPr>
                      <w:pStyle w:val="9"/>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93CF1">
    <w:pPr>
      <w:pStyle w:val="10"/>
    </w:pPr>
  </w:p>
  <w:p w14:paraId="1B78DABC">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A6B9F6"/>
    <w:multiLevelType w:val="multilevel"/>
    <w:tmpl w:val="B5A6B9F6"/>
    <w:lvl w:ilvl="0" w:tentative="0">
      <w:start w:val="1"/>
      <w:numFmt w:val="chineseCountingThousand"/>
      <w:lvlText w:val="（%1）"/>
      <w:lvlJc w:val="left"/>
      <w:pPr>
        <w:ind w:left="1611" w:hanging="971"/>
      </w:pPr>
      <w:rPr>
        <w:rFonts w:hint="default" w:eastAsia="仿宋_GB2312" w:cs="Times New Roman"/>
        <w:b/>
        <w:bCs/>
        <w:i w:val="0"/>
        <w:iCs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CF652CEC"/>
    <w:multiLevelType w:val="singleLevel"/>
    <w:tmpl w:val="CF652CEC"/>
    <w:lvl w:ilvl="0" w:tentative="0">
      <w:start w:val="9"/>
      <w:numFmt w:val="chineseCounting"/>
      <w:suff w:val="nothing"/>
      <w:lvlText w:val="%1、"/>
      <w:lvlJc w:val="left"/>
      <w:pPr>
        <w:ind w:left="0" w:firstLine="0"/>
      </w:pPr>
      <w:rPr>
        <w:rFonts w:hint="eastAsia"/>
      </w:rPr>
    </w:lvl>
  </w:abstractNum>
  <w:abstractNum w:abstractNumId="2">
    <w:nsid w:val="E2FA047D"/>
    <w:multiLevelType w:val="singleLevel"/>
    <w:tmpl w:val="E2FA047D"/>
    <w:lvl w:ilvl="0" w:tentative="0">
      <w:start w:val="3"/>
      <w:numFmt w:val="chineseCounting"/>
      <w:suff w:val="space"/>
      <w:lvlText w:val="第%1部分"/>
      <w:lvlJc w:val="left"/>
      <w:pPr>
        <w:ind w:left="0" w:firstLine="0"/>
      </w:pPr>
      <w:rPr>
        <w:rFonts w:hint="eastAsia"/>
      </w:rPr>
    </w:lvl>
  </w:abstractNum>
  <w:abstractNum w:abstractNumId="3">
    <w:nsid w:val="118F5E6C"/>
    <w:multiLevelType w:val="singleLevel"/>
    <w:tmpl w:val="118F5E6C"/>
    <w:lvl w:ilvl="0" w:tentative="0">
      <w:start w:val="1"/>
      <w:numFmt w:val="chineseCounting"/>
      <w:suff w:val="nothing"/>
      <w:lvlText w:val="%1、"/>
      <w:lvlJc w:val="left"/>
      <w:pPr>
        <w:ind w:left="0" w:firstLine="0"/>
      </w:pPr>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GQ3Yzg2NWU0ZWU2NjUzNmU1M2YwNGIzODI3ODUxNmYifQ=="/>
  </w:docVars>
  <w:rsids>
    <w:rsidRoot w:val="00000000"/>
    <w:rsid w:val="00DF3F59"/>
    <w:rsid w:val="05B653F6"/>
    <w:rsid w:val="12F00CB6"/>
    <w:rsid w:val="1ACD2659"/>
    <w:rsid w:val="2C7072E8"/>
    <w:rsid w:val="487C64BA"/>
    <w:rsid w:val="5C805DFE"/>
    <w:rsid w:val="7B332F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link w:val="17"/>
    <w:qFormat/>
    <w:uiPriority w:val="0"/>
    <w:pPr>
      <w:keepNext/>
      <w:keepLines/>
      <w:widowControl w:val="0"/>
      <w:suppressAutoHyphens/>
      <w:spacing w:before="340" w:after="330" w:line="578" w:lineRule="auto"/>
      <w:outlineLvl w:val="0"/>
    </w:pPr>
    <w:rPr>
      <w:b/>
      <w:bCs/>
      <w:kern w:val="44"/>
      <w:sz w:val="44"/>
      <w:szCs w:val="44"/>
    </w:rPr>
  </w:style>
  <w:style w:type="paragraph" w:styleId="4">
    <w:name w:val="heading 2"/>
    <w:basedOn w:val="1"/>
    <w:next w:val="1"/>
    <w:link w:val="18"/>
    <w:qFormat/>
    <w:uiPriority w:val="0"/>
    <w:pPr>
      <w:keepNext/>
      <w:keepLines/>
      <w:widowControl w:val="0"/>
      <w:suppressAutoHyphens/>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6">
    <w:name w:val="Body Text"/>
    <w:basedOn w:val="1"/>
    <w:qFormat/>
    <w:uiPriority w:val="0"/>
    <w:pPr>
      <w:spacing w:before="0" w:after="140" w:line="276" w:lineRule="auto"/>
    </w:pPr>
  </w:style>
  <w:style w:type="paragraph" w:styleId="7">
    <w:name w:val="Body Text Indent"/>
    <w:basedOn w:val="1"/>
    <w:next w:val="8"/>
    <w:qFormat/>
    <w:uiPriority w:val="0"/>
    <w:pPr>
      <w:spacing w:after="120"/>
      <w:ind w:left="200" w:leftChars="200"/>
    </w:pPr>
    <w:rPr>
      <w:rFonts w:ascii="仿宋_GB2312" w:hAnsi="仿宋_GB2312"/>
      <w:szCs w:val="32"/>
    </w:rPr>
  </w:style>
  <w:style w:type="paragraph" w:styleId="8">
    <w:name w:val="Body Text First Indent 2"/>
    <w:basedOn w:val="7"/>
    <w:qFormat/>
    <w:uiPriority w:val="0"/>
    <w:pPr>
      <w:ind w:firstLine="200" w:firstLine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tabs>
        <w:tab w:val="right" w:leader="dot" w:pos="8296"/>
      </w:tabs>
      <w:spacing w:before="93"/>
      <w:jc w:val="center"/>
    </w:pPr>
    <w:rPr>
      <w:rFonts w:ascii="仿宋" w:eastAsia="仿宋"/>
      <w:sz w:val="28"/>
      <w:szCs w:val="28"/>
    </w:rPr>
  </w:style>
  <w:style w:type="paragraph" w:styleId="12">
    <w:name w:val="toc 2"/>
    <w:basedOn w:val="1"/>
    <w:next w:val="1"/>
    <w:qFormat/>
    <w:uiPriority w:val="0"/>
    <w:pPr>
      <w:tabs>
        <w:tab w:val="right" w:leader="dot" w:pos="8296"/>
      </w:tabs>
      <w:ind w:left="200" w:leftChars="200"/>
    </w:p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heading 1 Char"/>
    <w:basedOn w:val="14"/>
    <w:link w:val="3"/>
    <w:qFormat/>
    <w:uiPriority w:val="0"/>
    <w:rPr>
      <w:rFonts w:ascii="Calibri" w:hAnsi="Calibri" w:eastAsia="宋体" w:cs="Times New Roman"/>
      <w:b/>
      <w:bCs/>
      <w:color w:val="auto"/>
      <w:kern w:val="44"/>
      <w:sz w:val="44"/>
      <w:szCs w:val="44"/>
      <w:lang w:val="en-US" w:eastAsia="zh-CN" w:bidi="ar-SA"/>
    </w:rPr>
  </w:style>
  <w:style w:type="character" w:customStyle="1" w:styleId="18">
    <w:name w:val="heading 2 Char"/>
    <w:basedOn w:val="14"/>
    <w:link w:val="4"/>
    <w:qFormat/>
    <w:uiPriority w:val="0"/>
    <w:rPr>
      <w:rFonts w:ascii="Cambria" w:hAnsi="Cambria" w:eastAsia="宋体" w:cs="Times New Roman"/>
      <w:b/>
      <w:bCs/>
      <w:color w:val="auto"/>
      <w:kern w:val="2"/>
      <w:sz w:val="32"/>
      <w:szCs w:val="32"/>
      <w:lang w:val="en-US" w:eastAsia="zh-CN" w:bidi="ar-SA"/>
    </w:rPr>
  </w:style>
  <w:style w:type="paragraph" w:styleId="19">
    <w:name w:val="List Paragraph"/>
    <w:basedOn w:val="1"/>
    <w:qFormat/>
    <w:uiPriority w:val="0"/>
    <w:pPr>
      <w:ind w:firstLine="200" w:firstLineChars="200"/>
    </w:pPr>
  </w:style>
  <w:style w:type="paragraph" w:customStyle="1" w:styleId="20">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1">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2">
    <w:name w:val="17"/>
    <w:basedOn w:val="1"/>
    <w:qFormat/>
    <w:uiPriority w:val="0"/>
    <w:pPr>
      <w:widowControl/>
      <w:suppressAutoHyphens/>
      <w:spacing w:before="100" w:beforeAutospacing="1" w:after="10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Times New Roman" panose="02020603050405020304"/>
                <a:ea typeface="宋体" panose="02010600030101010101" charset="-122"/>
                <a:cs typeface="Arial" panose="020B0604020202020204" pitchFamily="2"/>
              </a:defRPr>
            </a:pPr>
            <a:r>
              <a:rPr lang="zh-CN"/>
              <a:t>收、支决算总体变动情况图</a:t>
            </a:r>
            <a:endParaRPr lang="zh-CN"/>
          </a:p>
        </c:rich>
      </c:tx>
      <c:layout/>
      <c:overlay val="0"/>
      <c:spPr>
        <a:noFill/>
        <a:ln>
          <a:noFill/>
        </a:ln>
      </c:spPr>
    </c:title>
    <c:autoTitleDeleted val="0"/>
    <c:plotArea>
      <c:layout/>
      <c:barChart>
        <c:barDir val="col"/>
        <c:grouping val="clustered"/>
        <c:varyColors val="0"/>
        <c:ser>
          <c:idx val="0"/>
          <c:order val="0"/>
          <c:tx>
            <c:strRef>
              <c:f>'Sheet1'!$A$2</c:f>
              <c:strCache>
                <c:ptCount val="1"/>
                <c:pt idx="0">
                  <c:v>2022年</c:v>
                </c:pt>
              </c:strCache>
            </c:strRef>
          </c:tx>
          <c:spPr>
            <a:solidFill>
              <a:srgbClr val="4874CB"/>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'Sheet1'!$B$1:$C$1</c:f>
              <c:strCache>
                <c:ptCount val="2"/>
                <c:pt idx="0">
                  <c:v>收入</c:v>
                </c:pt>
                <c:pt idx="1">
                  <c:v>支出</c:v>
                </c:pt>
              </c:strCache>
            </c:strRef>
          </c:cat>
          <c:val>
            <c:numRef>
              <c:f>'Sheet1'!$B$2:$C$2</c:f>
              <c:numCache>
                <c:formatCode>General</c:formatCode>
                <c:ptCount val="2"/>
                <c:pt idx="0">
                  <c:v>161.18</c:v>
                </c:pt>
                <c:pt idx="1">
                  <c:v>161.18</c:v>
                </c:pt>
              </c:numCache>
            </c:numRef>
          </c:val>
        </c:ser>
        <c:ser>
          <c:idx val="1"/>
          <c:order val="1"/>
          <c:tx>
            <c:strRef>
              <c:f>'Sheet1'!$A$3</c:f>
              <c:strCache>
                <c:ptCount val="1"/>
                <c:pt idx="0">
                  <c:v>2023年</c:v>
                </c:pt>
              </c:strCache>
            </c:strRef>
          </c:tx>
          <c:spPr>
            <a:solidFill>
              <a:srgbClr val="EE822F"/>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'Sheet1'!$B$1:$C$1</c:f>
              <c:strCache>
                <c:ptCount val="2"/>
                <c:pt idx="0">
                  <c:v>收入</c:v>
                </c:pt>
                <c:pt idx="1">
                  <c:v>支出</c:v>
                </c:pt>
              </c:strCache>
            </c:strRef>
          </c:cat>
          <c:val>
            <c:numRef>
              <c:f>'Sheet1'!$B$3:$C$3</c:f>
              <c:numCache>
                <c:formatCode>General</c:formatCode>
                <c:ptCount val="2"/>
                <c:pt idx="0">
                  <c:v>170.23</c:v>
                </c:pt>
                <c:pt idx="1">
                  <c:v>170.23</c:v>
                </c:pt>
              </c:numCache>
            </c:numRef>
          </c:val>
        </c:ser>
        <c:dLbls>
          <c:showLegendKey val="0"/>
          <c:showVal val="1"/>
          <c:showCatName val="0"/>
          <c:showSerName val="0"/>
          <c:showPercent val="0"/>
          <c:showBubbleSize val="0"/>
        </c:dLbls>
        <c:gapWidth val="246"/>
        <c:overlap val="-28"/>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6E6E6"/>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Times New Roman" panose="02020603050405020304"/>
                <a:ea typeface="宋体" panose="02010600030101010101" charset="-122"/>
                <a:cs typeface="Arial" panose="020B0604020202020204" pitchFamily="2"/>
              </a:defRPr>
            </a:pPr>
            <a:r>
              <a:rPr lang="zh-CN"/>
              <a:t>收入决算结构图</a:t>
            </a:r>
            <a:endParaRPr lang="zh-CN"/>
          </a:p>
        </c:rich>
      </c:tx>
      <c:layout/>
      <c:overlay val="0"/>
      <c:spPr>
        <a:noFill/>
        <a:ln>
          <a:noFill/>
        </a:ln>
      </c:spPr>
    </c:title>
    <c:autoTitleDeleted val="0"/>
    <c:plotArea>
      <c:layout/>
      <c:pieChart>
        <c:varyColors val="1"/>
        <c:ser>
          <c:idx val="0"/>
          <c:order val="0"/>
          <c:tx>
            <c:strRef>
              <c:f>'Sheet1 (2)'!$B$1</c:f>
              <c:strCache>
                <c:ptCount val="1"/>
                <c:pt idx="0">
                  <c:v>收入决算结构图</c:v>
                </c:pt>
              </c:strCache>
            </c:strRef>
          </c:tx>
          <c:spPr>
            <a:ln>
              <a:noFill/>
            </a:ln>
          </c:spPr>
          <c:explosion val="0"/>
          <c:dPt>
            <c:idx val="0"/>
            <c:bubble3D val="0"/>
            <c:spPr>
              <a:solidFill>
                <a:srgbClr val="4874CB"/>
              </a:solidFill>
              <a:ln w="6350">
                <a:solidFill>
                  <a:srgbClr val="FFFFFF"/>
                </a:solidFill>
                <a:prstDash val="solid"/>
              </a:ln>
            </c:spPr>
          </c:dPt>
          <c:dPt>
            <c:idx val="1"/>
            <c:bubble3D val="0"/>
            <c:spPr>
              <a:solidFill>
                <a:srgbClr val="EE822F"/>
              </a:solidFill>
              <a:ln w="6350">
                <a:solidFill>
                  <a:srgbClr val="FFFFFF"/>
                </a:solidFill>
                <a:prstDash val="solid"/>
              </a:ln>
            </c:spPr>
          </c:dPt>
          <c:dPt>
            <c:idx val="2"/>
            <c:bubble3D val="0"/>
            <c:spPr>
              <a:solidFill>
                <a:srgbClr val="F2BA02"/>
              </a:solidFill>
              <a:ln w="6350">
                <a:solidFill>
                  <a:srgbClr val="FFFFFF"/>
                </a:solidFill>
                <a:prstDash val="solid"/>
              </a:ln>
            </c:spPr>
          </c:dPt>
          <c:dPt>
            <c:idx val="3"/>
            <c:bubble3D val="0"/>
            <c:spPr>
              <a:solidFill>
                <a:srgbClr val="75BD42"/>
              </a:solidFill>
              <a:ln w="6350">
                <a:solidFill>
                  <a:srgbClr val="FFFFFF"/>
                </a:solidFill>
                <a:prstDash val="solid"/>
              </a:ln>
            </c:spPr>
          </c:dPt>
          <c:dPt>
            <c:idx val="4"/>
            <c:bubble3D val="0"/>
            <c:spPr>
              <a:solidFill>
                <a:srgbClr val="30C0B4"/>
              </a:solidFill>
              <a:ln w="6350">
                <a:solidFill>
                  <a:srgbClr val="FFFFFF"/>
                </a:solidFill>
                <a:prstDash val="solid"/>
              </a:ln>
            </c:spPr>
          </c:dPt>
          <c:dPt>
            <c:idx val="5"/>
            <c:bubble3D val="0"/>
            <c:spPr>
              <a:solidFill>
                <a:srgbClr val="E54C5E"/>
              </a:solidFill>
              <a:ln w="6350">
                <a:solidFill>
                  <a:srgbClr val="FFFFFF"/>
                </a:solidFill>
                <a:prstDash val="solid"/>
              </a:ln>
            </c:spPr>
          </c:dPt>
          <c:dPt>
            <c:idx val="6"/>
            <c:bubble3D val="0"/>
            <c:spPr>
              <a:solidFill>
                <a:srgbClr val="254380"/>
              </a:solidFill>
              <a:ln w="6350">
                <a:solidFill>
                  <a:srgbClr val="FFFFFF"/>
                </a:solidFill>
                <a:prstDash val="solid"/>
              </a:ln>
            </c:spPr>
          </c:dPt>
          <c:dPt>
            <c:idx val="7"/>
            <c:bubble3D val="0"/>
            <c:spPr>
              <a:solidFill>
                <a:srgbClr val="9E4C0D"/>
              </a:solidFill>
              <a:ln w="6350">
                <a:solidFill>
                  <a:srgbClr val="FFFFFF"/>
                </a:solidFill>
                <a:prstDash val="solid"/>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(2)'!$A$2:$A$9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 (2)'!$B$2:$B$9</c:f>
              <c:numCache>
                <c:formatCode>General</c:formatCode>
                <c:ptCount val="8"/>
                <c:pt idx="0">
                  <c:v>170.23</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c:spPr>
    </c:plotArea>
    <c:legend>
      <c:legendPos val="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Times New Roman" panose="02020603050405020304"/>
                <a:ea typeface="宋体" panose="02010600030101010101" charset="-122"/>
                <a:cs typeface="Arial" panose="020B0604020202020204" pitchFamily="2"/>
              </a:defRPr>
            </a:pPr>
            <a:r>
              <a:rPr lang="zh-CN"/>
              <a:t>支出决算结构图</a:t>
            </a:r>
            <a:endParaRPr lang="zh-CN"/>
          </a:p>
        </c:rich>
      </c:tx>
      <c:layout/>
      <c:overlay val="0"/>
      <c:spPr>
        <a:noFill/>
        <a:ln>
          <a:noFill/>
        </a:ln>
      </c:spPr>
    </c:title>
    <c:autoTitleDeleted val="0"/>
    <c:plotArea>
      <c:layout/>
      <c:pieChart>
        <c:varyColors val="1"/>
        <c:ser>
          <c:idx val="0"/>
          <c:order val="0"/>
          <c:tx>
            <c:strRef>
              <c:f>'Sheet1 (3)'!$B$1</c:f>
              <c:strCache>
                <c:ptCount val="1"/>
                <c:pt idx="0">
                  <c:v>支出决算结构图</c:v>
                </c:pt>
              </c:strCache>
            </c:strRef>
          </c:tx>
          <c:spPr>
            <a:ln>
              <a:noFill/>
            </a:ln>
          </c:spPr>
          <c:explosion val="0"/>
          <c:dPt>
            <c:idx val="0"/>
            <c:bubble3D val="0"/>
            <c:spPr>
              <a:solidFill>
                <a:srgbClr val="4874CB"/>
              </a:solidFill>
              <a:ln w="6350">
                <a:solidFill>
                  <a:srgbClr val="FFFFFF"/>
                </a:solidFill>
                <a:prstDash val="solid"/>
              </a:ln>
            </c:spPr>
          </c:dPt>
          <c:dPt>
            <c:idx val="1"/>
            <c:bubble3D val="0"/>
            <c:spPr>
              <a:solidFill>
                <a:srgbClr val="EE822F"/>
              </a:solidFill>
              <a:ln w="6350">
                <a:solidFill>
                  <a:srgbClr val="FFFFFF"/>
                </a:solidFill>
                <a:prstDash val="solid"/>
              </a:ln>
            </c:spPr>
          </c:dPt>
          <c:dPt>
            <c:idx val="2"/>
            <c:bubble3D val="0"/>
            <c:spPr>
              <a:solidFill>
                <a:srgbClr val="F2BA02"/>
              </a:solidFill>
              <a:ln w="6350">
                <a:solidFill>
                  <a:srgbClr val="FFFFFF"/>
                </a:solidFill>
                <a:prstDash val="solid"/>
              </a:ln>
            </c:spPr>
          </c:dPt>
          <c:dPt>
            <c:idx val="3"/>
            <c:bubble3D val="0"/>
            <c:spPr>
              <a:solidFill>
                <a:srgbClr val="75BD42"/>
              </a:solidFill>
              <a:ln w="6350">
                <a:solidFill>
                  <a:srgbClr val="FFFFFF"/>
                </a:solidFill>
                <a:prstDash val="solid"/>
              </a:ln>
            </c:spPr>
          </c:dPt>
          <c:dPt>
            <c:idx val="4"/>
            <c:bubble3D val="0"/>
            <c:spPr>
              <a:solidFill>
                <a:srgbClr val="30C0B4"/>
              </a:solidFill>
              <a:ln w="6350">
                <a:solidFill>
                  <a:srgbClr val="FFFFFF"/>
                </a:solidFill>
                <a:prstDash val="solid"/>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(3)'!$A$2:$A$6</c:f>
              <c:strCache>
                <c:ptCount val="5"/>
                <c:pt idx="0">
                  <c:v>基本支出</c:v>
                </c:pt>
                <c:pt idx="1">
                  <c:v>项目支出</c:v>
                </c:pt>
                <c:pt idx="2">
                  <c:v>上缴上级支出</c:v>
                </c:pt>
                <c:pt idx="3">
                  <c:v>经营支出</c:v>
                </c:pt>
                <c:pt idx="4">
                  <c:v>对附属单位补助支出</c:v>
                </c:pt>
              </c:strCache>
            </c:strRef>
          </c:cat>
          <c:val>
            <c:numRef>
              <c:f>'Sheet1 (3)'!$B$2:$B$6</c:f>
              <c:numCache>
                <c:formatCode>General</c:formatCode>
                <c:ptCount val="5"/>
                <c:pt idx="0">
                  <c:v>170.23</c:v>
                </c:pt>
                <c:pt idx="1">
                  <c:v>0</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c:spPr>
    </c:plotArea>
    <c:legend>
      <c:legendPos val="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Times New Roman" panose="02020603050405020304"/>
                <a:ea typeface="宋体" panose="02010600030101010101" charset="-122"/>
                <a:cs typeface="Arial" panose="020B0604020202020204" pitchFamily="2"/>
              </a:defRPr>
            </a:pPr>
            <a:r>
              <a:rPr lang="zh-CN"/>
              <a:t>财政拨款收、支决算总计变动情况图</a:t>
            </a:r>
            <a:endParaRPr lang="zh-CN"/>
          </a:p>
        </c:rich>
      </c:tx>
      <c:layout/>
      <c:overlay val="0"/>
      <c:spPr>
        <a:noFill/>
        <a:ln>
          <a:noFill/>
        </a:ln>
      </c:spPr>
    </c:title>
    <c:autoTitleDeleted val="0"/>
    <c:plotArea>
      <c:layout/>
      <c:barChart>
        <c:barDir val="col"/>
        <c:grouping val="clustered"/>
        <c:varyColors val="0"/>
        <c:ser>
          <c:idx val="0"/>
          <c:order val="0"/>
          <c:tx>
            <c:strRef>
              <c:f>'Sheet1 (4)'!$B$1</c:f>
              <c:strCache>
                <c:ptCount val="1"/>
                <c:pt idx="0">
                  <c:v>2022年</c:v>
                </c:pt>
              </c:strCache>
            </c:strRef>
          </c:tx>
          <c:spPr>
            <a:solidFill>
              <a:srgbClr val="4874CB"/>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(4)'!$A$2:$A$3</c:f>
              <c:strCache>
                <c:ptCount val="2"/>
                <c:pt idx="0">
                  <c:v>收入</c:v>
                </c:pt>
                <c:pt idx="1">
                  <c:v>支出</c:v>
                </c:pt>
              </c:strCache>
            </c:strRef>
          </c:cat>
          <c:val>
            <c:numRef>
              <c:f>'Sheet1 (4)'!$B$2:$B$3</c:f>
              <c:numCache>
                <c:formatCode>General</c:formatCode>
                <c:ptCount val="2"/>
                <c:pt idx="0">
                  <c:v>161.18</c:v>
                </c:pt>
                <c:pt idx="1">
                  <c:v>161.18</c:v>
                </c:pt>
              </c:numCache>
            </c:numRef>
          </c:val>
        </c:ser>
        <c:ser>
          <c:idx val="1"/>
          <c:order val="1"/>
          <c:tx>
            <c:strRef>
              <c:f>'Sheet1 (4)'!$C$1</c:f>
              <c:strCache>
                <c:ptCount val="1"/>
                <c:pt idx="0">
                  <c:v>2023年</c:v>
                </c:pt>
              </c:strCache>
            </c:strRef>
          </c:tx>
          <c:spPr>
            <a:solidFill>
              <a:srgbClr val="EE822F"/>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(4)'!$A$2:$A$3</c:f>
              <c:strCache>
                <c:ptCount val="2"/>
                <c:pt idx="0">
                  <c:v>收入</c:v>
                </c:pt>
                <c:pt idx="1">
                  <c:v>支出</c:v>
                </c:pt>
              </c:strCache>
            </c:strRef>
          </c:cat>
          <c:val>
            <c:numRef>
              <c:f>'Sheet1 (4)'!$C$2:$C$3</c:f>
              <c:numCache>
                <c:formatCode>General</c:formatCode>
                <c:ptCount val="2"/>
                <c:pt idx="0">
                  <c:v>170.23</c:v>
                </c:pt>
                <c:pt idx="1">
                  <c:v>170.23</c:v>
                </c:pt>
              </c:numCache>
            </c:numRef>
          </c:val>
        </c:ser>
        <c:dLbls>
          <c:showLegendKey val="0"/>
          <c:showVal val="1"/>
          <c:showCatName val="0"/>
          <c:showSerName val="0"/>
          <c:showPercent val="0"/>
          <c:showBubbleSize val="0"/>
        </c:dLbls>
        <c:gapWidth val="246"/>
        <c:overlap val="-28"/>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6E6E6"/>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Times New Roman" panose="02020603050405020304"/>
                <a:ea typeface="宋体" panose="02010600030101010101" charset="-122"/>
                <a:cs typeface="Arial" panose="020B0604020202020204" pitchFamily="2"/>
              </a:defRPr>
            </a:pPr>
            <a:r>
              <a:rPr lang="zh-CN"/>
              <a:t>一般公共预算财政拨款支出决算变动情况图</a:t>
            </a:r>
            <a:endParaRPr lang="zh-CN"/>
          </a:p>
        </c:rich>
      </c:tx>
      <c:layout/>
      <c:overlay val="0"/>
      <c:spPr>
        <a:noFill/>
        <a:ln>
          <a:noFill/>
        </a:ln>
      </c:spPr>
    </c:title>
    <c:autoTitleDeleted val="0"/>
    <c:plotArea>
      <c:layout/>
      <c:barChart>
        <c:barDir val="col"/>
        <c:grouping val="clustered"/>
        <c:varyColors val="0"/>
        <c:ser>
          <c:idx val="0"/>
          <c:order val="0"/>
          <c:tx>
            <c:strRef>
              <c:f>'Sheet1 (5)'!$B$1</c:f>
              <c:strCache>
                <c:ptCount val="1"/>
                <c:pt idx="0">
                  <c:v>2022年</c:v>
                </c:pt>
              </c:strCache>
            </c:strRef>
          </c:tx>
          <c:spPr>
            <a:solidFill>
              <a:srgbClr val="4874CB"/>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(5)'!$A$2</c:f>
              <c:strCache>
                <c:ptCount val="1"/>
                <c:pt idx="0">
                  <c:v>支出</c:v>
                </c:pt>
              </c:strCache>
            </c:strRef>
          </c:cat>
          <c:val>
            <c:numRef>
              <c:f>Sheet1 (5)!$B$2</c:f>
              <c:numCache>
                <c:formatCode>General</c:formatCode>
                <c:ptCount val="1"/>
                <c:pt idx="0">
                  <c:v>161.18</c:v>
                </c:pt>
              </c:numCache>
            </c:numRef>
          </c:val>
        </c:ser>
        <c:ser>
          <c:idx val="1"/>
          <c:order val="1"/>
          <c:tx>
            <c:strRef>
              <c:f>'Sheet1 (5)'!$C$1</c:f>
              <c:strCache>
                <c:ptCount val="1"/>
                <c:pt idx="0">
                  <c:v>2023年</c:v>
                </c:pt>
              </c:strCache>
            </c:strRef>
          </c:tx>
          <c:spPr>
            <a:solidFill>
              <a:srgbClr val="EE822F"/>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(5)'!$A$2</c:f>
              <c:strCache>
                <c:ptCount val="1"/>
                <c:pt idx="0">
                  <c:v>支出</c:v>
                </c:pt>
              </c:strCache>
            </c:strRef>
          </c:cat>
          <c:val>
            <c:numRef>
              <c:f>Sheet1 (5)!$C$2</c:f>
              <c:numCache>
                <c:formatCode>General</c:formatCode>
                <c:ptCount val="1"/>
                <c:pt idx="0">
                  <c:v>170.23</c:v>
                </c:pt>
              </c:numCache>
            </c:numRef>
          </c:val>
        </c:ser>
        <c:dLbls>
          <c:showLegendKey val="0"/>
          <c:showVal val="1"/>
          <c:showCatName val="0"/>
          <c:showSerName val="0"/>
          <c:showPercent val="0"/>
          <c:showBubbleSize val="0"/>
        </c:dLbls>
        <c:gapWidth val="246"/>
        <c:overlap val="-28"/>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6E6E6"/>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Times New Roman" panose="02020603050405020304"/>
                <a:ea typeface="宋体" panose="02010600030101010101" charset="-122"/>
                <a:cs typeface="Arial" panose="020B0604020202020204" pitchFamily="2"/>
              </a:defRPr>
            </a:pPr>
            <a:r>
              <a:rPr lang="zh-CN"/>
              <a:t>一般公共预算财政拨款支出决算结构图</a:t>
            </a:r>
            <a:endParaRPr lang="zh-CN"/>
          </a:p>
        </c:rich>
      </c:tx>
      <c:layout/>
      <c:overlay val="0"/>
      <c:spPr>
        <a:noFill/>
        <a:ln>
          <a:noFill/>
        </a:ln>
      </c:spPr>
    </c:title>
    <c:autoTitleDeleted val="0"/>
    <c:plotArea>
      <c:layout/>
      <c:pieChart>
        <c:varyColors val="1"/>
        <c:ser>
          <c:idx val="0"/>
          <c:order val="0"/>
          <c:tx>
            <c:strRef>
              <c:f>'Sheet1 (6)'!$B$1</c:f>
              <c:strCache>
                <c:ptCount val="1"/>
                <c:pt idx="0">
                  <c:v>一般公共预算财政拨款支出决算结构图</c:v>
                </c:pt>
              </c:strCache>
            </c:strRef>
          </c:tx>
          <c:spPr>
            <a:ln>
              <a:noFill/>
            </a:ln>
          </c:spPr>
          <c:explosion val="0"/>
          <c:dPt>
            <c:idx val="0"/>
            <c:bubble3D val="0"/>
            <c:spPr>
              <a:solidFill>
                <a:srgbClr val="4874CB"/>
              </a:solidFill>
              <a:ln w="6350">
                <a:solidFill>
                  <a:srgbClr val="FFFFFF"/>
                </a:solidFill>
                <a:prstDash val="solid"/>
              </a:ln>
            </c:spPr>
          </c:dPt>
          <c:dPt>
            <c:idx val="1"/>
            <c:bubble3D val="0"/>
            <c:spPr>
              <a:solidFill>
                <a:srgbClr val="EE822F"/>
              </a:solidFill>
              <a:ln w="6350">
                <a:solidFill>
                  <a:srgbClr val="FFFFFF"/>
                </a:solidFill>
                <a:prstDash val="solid"/>
              </a:ln>
            </c:spPr>
          </c:dPt>
          <c:dPt>
            <c:idx val="2"/>
            <c:bubble3D val="0"/>
            <c:spPr>
              <a:solidFill>
                <a:srgbClr val="F2BA02"/>
              </a:solidFill>
              <a:ln w="6350">
                <a:solidFill>
                  <a:srgbClr val="FFFFFF"/>
                </a:solidFill>
                <a:prstDash val="solid"/>
              </a:ln>
            </c:spPr>
          </c:dPt>
          <c:dPt>
            <c:idx val="3"/>
            <c:bubble3D val="0"/>
            <c:spPr>
              <a:solidFill>
                <a:srgbClr val="75BD42"/>
              </a:solidFill>
              <a:ln w="6350">
                <a:solidFill>
                  <a:srgbClr val="FFFFFF"/>
                </a:solidFill>
                <a:prstDash val="solid"/>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(6)'!$A$2:$A$5</c:f>
              <c:strCache>
                <c:ptCount val="4"/>
                <c:pt idx="0">
                  <c:v>一般公共服务支出</c:v>
                </c:pt>
                <c:pt idx="1">
                  <c:v>社会保障和就业支出</c:v>
                </c:pt>
                <c:pt idx="2">
                  <c:v>卫生健康支出</c:v>
                </c:pt>
                <c:pt idx="3">
                  <c:v>住房保障支出</c:v>
                </c:pt>
              </c:strCache>
            </c:strRef>
          </c:cat>
          <c:val>
            <c:numRef>
              <c:f>'Sheet1 (6)'!$B$2:$B$5</c:f>
              <c:numCache>
                <c:formatCode>General</c:formatCode>
                <c:ptCount val="4"/>
                <c:pt idx="0">
                  <c:v>125.64</c:v>
                </c:pt>
                <c:pt idx="1">
                  <c:v>23.72</c:v>
                </c:pt>
                <c:pt idx="2">
                  <c:v>8.88</c:v>
                </c:pt>
                <c:pt idx="3">
                  <c:v>11.99</c:v>
                </c:pt>
              </c:numCache>
            </c:numRef>
          </c:val>
        </c:ser>
        <c:dLbls>
          <c:showLegendKey val="0"/>
          <c:showVal val="1"/>
          <c:showCatName val="0"/>
          <c:showSerName val="0"/>
          <c:showPercent val="0"/>
          <c:showBubbleSize val="0"/>
          <c:showLeaderLines val="1"/>
        </c:dLbls>
        <c:firstSliceAng val="0"/>
      </c:pieChart>
      <c:spPr>
        <a:noFill/>
        <a:ln>
          <a:noFill/>
        </a:ln>
      </c:spPr>
    </c:plotArea>
    <c:legend>
      <c:legendPos val="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Times New Roman" panose="02020603050405020304"/>
                <a:ea typeface="宋体" panose="02010600030101010101" charset="-122"/>
                <a:cs typeface="Arial" panose="020B0604020202020204" pitchFamily="2"/>
              </a:defRPr>
            </a:pPr>
            <a:r>
              <a:rPr lang="zh-CN"/>
              <a:t>“三公”经费财政拨款支出结构图</a:t>
            </a:r>
            <a:endParaRPr lang="zh-CN"/>
          </a:p>
        </c:rich>
      </c:tx>
      <c:layout/>
      <c:overlay val="0"/>
      <c:spPr>
        <a:noFill/>
        <a:ln>
          <a:noFill/>
        </a:ln>
      </c:spPr>
    </c:title>
    <c:autoTitleDeleted val="0"/>
    <c:plotArea>
      <c:layout/>
      <c:pieChart>
        <c:varyColors val="1"/>
        <c:ser>
          <c:idx val="0"/>
          <c:order val="0"/>
          <c:tx>
            <c:strRef>
              <c:f>'Sheet1 (7)'!$B$1</c:f>
              <c:strCache>
                <c:ptCount val="1"/>
                <c:pt idx="0">
                  <c:v>“三公”经费财政拨款支出结构图</c:v>
                </c:pt>
              </c:strCache>
            </c:strRef>
          </c:tx>
          <c:spPr>
            <a:ln>
              <a:noFill/>
            </a:ln>
          </c:spPr>
          <c:explosion val="0"/>
          <c:dPt>
            <c:idx val="0"/>
            <c:bubble3D val="0"/>
            <c:spPr>
              <a:solidFill>
                <a:srgbClr val="4874CB"/>
              </a:solidFill>
              <a:ln w="6350">
                <a:solidFill>
                  <a:srgbClr val="FFFFFF"/>
                </a:solidFill>
                <a:prstDash val="solid"/>
              </a:ln>
            </c:spPr>
          </c:dPt>
          <c:dPt>
            <c:idx val="1"/>
            <c:bubble3D val="0"/>
            <c:spPr>
              <a:solidFill>
                <a:srgbClr val="EE822F"/>
              </a:solidFill>
              <a:ln w="6350">
                <a:solidFill>
                  <a:srgbClr val="FFFFFF"/>
                </a:solidFill>
                <a:prstDash val="solid"/>
              </a:ln>
            </c:spPr>
          </c:dPt>
          <c:dPt>
            <c:idx val="2"/>
            <c:bubble3D val="0"/>
            <c:spPr>
              <a:solidFill>
                <a:srgbClr val="F2BA02"/>
              </a:solidFill>
              <a:ln w="6350">
                <a:solidFill>
                  <a:srgbClr val="FFFFFF"/>
                </a:solidFill>
                <a:prstDash val="solid"/>
              </a:ln>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 (7)'!$A$2:$A$4</c:f>
              <c:strCache>
                <c:ptCount val="3"/>
                <c:pt idx="0">
                  <c:v>因公出国（境）费支出</c:v>
                </c:pt>
                <c:pt idx="1">
                  <c:v>公务用车购置及运行维护费支出</c:v>
                </c:pt>
                <c:pt idx="2">
                  <c:v>公务接待费支出</c:v>
                </c:pt>
              </c:strCache>
            </c:strRef>
          </c:cat>
          <c:val>
            <c:numRef>
              <c:f>'Sheet1 (7)'!$B$2:$B$4</c:f>
              <c:numCache>
                <c:formatCode>General</c:formatCode>
                <c:ptCount val="3"/>
                <c:pt idx="0">
                  <c:v>0</c:v>
                </c:pt>
                <c:pt idx="1">
                  <c:v>2.26</c:v>
                </c:pt>
                <c:pt idx="2">
                  <c:v>0</c:v>
                </c:pt>
              </c:numCache>
            </c:numRef>
          </c:val>
        </c:ser>
        <c:dLbls>
          <c:showLegendKey val="0"/>
          <c:showVal val="1"/>
          <c:showCatName val="0"/>
          <c:showSerName val="0"/>
          <c:showPercent val="0"/>
          <c:showBubbleSize val="0"/>
          <c:showLeaderLines val="1"/>
        </c:dLbls>
        <c:firstSliceAng val="0"/>
      </c:pieChart>
      <c:spPr>
        <a:noFill/>
        <a:ln>
          <a:noFill/>
        </a:ln>
      </c:spPr>
    </c:plotArea>
    <c:legend>
      <c:legendPos val="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Arial" panose="020B0604020202020204" pitchFamily="2"/>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35</Pages>
  <Words>12090</Words>
  <Characters>13154</Characters>
  <Lines>1055</Lines>
  <Paragraphs>563</Paragraphs>
  <TotalTime>8</TotalTime>
  <ScaleCrop>false</ScaleCrop>
  <LinksUpToDate>false</LinksUpToDate>
  <CharactersWithSpaces>13323</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2024-09-24T01:00:00Z</dcterms:created>
  <dc:creator>@*</dc:creator>
  <cp:lastModifiedBy>@*</cp:lastModifiedBy>
  <cp:lastPrinted>2024-09-25T01:36:11Z</cp:lastPrinted>
  <dcterms:modified xsi:type="dcterms:W3CDTF">2024-09-25T01:37:18Z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3260FF4111874E1F94CA4AE513E5F414_11</vt:lpwstr>
  </property>
</Properties>
</file>