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77193"/>
      <w:bookmarkStart w:id="2" w:name="_Toc15396475"/>
      <w:bookmarkStart w:id="3" w:name="_Toc15396597"/>
      <w:bookmarkStart w:id="4" w:name="_Toc15377425"/>
      <w:bookmarkStart w:id="5" w:name="_Toc15306267"/>
    </w:p>
    <w:p w14:paraId="7D73BD19">
      <w:pPr>
        <w:pStyle w:val="6"/>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402783EE">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0164890B">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597C79E">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09AE7C3">
      <w:pPr>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bookmarkEnd w:id="4"/>
    </w:p>
    <w:bookmarkEnd w:id="5"/>
    <w:p w14:paraId="6DBC95DC">
      <w:pPr>
        <w:jc w:val="center"/>
        <w:rPr>
          <w:rFonts w:hint="eastAsia" w:ascii="黑体" w:hAnsi="黑体" w:eastAsia="黑体" w:cs="黑体"/>
          <w:b w:val="0"/>
          <w:bCs/>
          <w:color w:val="000000" w:themeColor="text1"/>
          <w:sz w:val="44"/>
          <w:szCs w:val="44"/>
          <w14:textFill>
            <w14:solidFill>
              <w14:schemeClr w14:val="tx1"/>
            </w14:solidFill>
          </w14:textFill>
        </w:rPr>
      </w:pPr>
      <w:bookmarkStart w:id="6" w:name="_Toc15378442"/>
      <w:bookmarkStart w:id="7" w:name="_Toc15377194"/>
      <w:bookmarkStart w:id="8" w:name="_Toc15396476"/>
      <w:bookmarkStart w:id="9" w:name="_Toc15377426"/>
      <w:bookmarkStart w:id="10" w:name="_Toc15396598"/>
      <w:bookmarkStart w:id="11" w:name="_Toc15306268"/>
      <w:r>
        <w:rPr>
          <w:rFonts w:hint="eastAsia" w:ascii="黑体" w:hAnsi="黑体" w:eastAsia="黑体" w:cs="黑体"/>
          <w:b w:val="0"/>
          <w:bCs/>
          <w:color w:val="000000" w:themeColor="text1"/>
          <w:sz w:val="44"/>
          <w:szCs w:val="44"/>
          <w14:textFill>
            <w14:solidFill>
              <w14:schemeClr w14:val="tx1"/>
            </w14:solidFill>
          </w14:textFill>
        </w:rPr>
        <w:t>茂县交通运输综合服务中心</w:t>
      </w:r>
      <w:r>
        <w:rPr>
          <w:rFonts w:hint="eastAsia" w:ascii="黑体" w:hAnsi="黑体" w:eastAsia="黑体" w:cs="黑体"/>
          <w:color w:val="000000"/>
          <w:sz w:val="44"/>
          <w:u w:color="auto"/>
          <w:lang w:val="en-US" w:eastAsia="zh-CN"/>
        </w:rPr>
        <w:t>单位</w:t>
      </w:r>
      <w:r>
        <w:rPr>
          <w:rFonts w:ascii="黑体" w:hAnsi="黑体" w:eastAsia="黑体" w:cs="黑体"/>
          <w:color w:val="000000"/>
          <w:sz w:val="44"/>
          <w:u w:color="auto"/>
        </w:rPr>
        <w:t>决算</w:t>
      </w:r>
      <w:bookmarkEnd w:id="6"/>
      <w:bookmarkEnd w:id="7"/>
      <w:bookmarkEnd w:id="8"/>
      <w:bookmarkEnd w:id="9"/>
      <w:bookmarkEnd w:id="10"/>
      <w:bookmarkEnd w:id="11"/>
    </w:p>
    <w:p w14:paraId="0E2C97A9">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6"/>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sz w:val="32"/>
          <w:u w:color="auto"/>
          <w:lang w:val="en-US" w:eastAsia="zh-CN"/>
        </w:rPr>
        <w:t>单位</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185CA32">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16</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9EB3F66">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16</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2FF81B7">
      <w:pPr>
        <w:pStyle w:val="6"/>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3"/>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14:paraId="521E39E1">
      <w:pPr>
        <w:pStyle w:val="3"/>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单位</w:t>
      </w:r>
      <w:r>
        <w:rPr>
          <w:rStyle w:val="32"/>
          <w:rFonts w:ascii="黑体" w:hAnsi="黑体" w:eastAsia="黑体" w:cs="黑体"/>
          <w:b w:val="0"/>
          <w:bCs w:val="0"/>
          <w:u w:color="auto"/>
        </w:rPr>
        <w:t>概况</w:t>
      </w:r>
      <w:bookmarkEnd w:id="12"/>
      <w:bookmarkEnd w:id="13"/>
      <w:bookmarkEnd w:id="14"/>
    </w:p>
    <w:p w14:paraId="24C03C62">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lang w:val="en-US" w:eastAsia="zh-CN"/>
        </w:rPr>
      </w:pPr>
      <w:bookmarkStart w:id="15" w:name="_Toc111208496"/>
      <w:bookmarkStart w:id="16" w:name="_Toc113981010"/>
      <w:bookmarkStart w:id="17" w:name="_Toc28564"/>
      <w:bookmarkStart w:id="18" w:name="_Toc15377197"/>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主要职责</w:t>
      </w:r>
    </w:p>
    <w:bookmarkEnd w:id="20"/>
    <w:bookmarkEnd w:id="21"/>
    <w:p w14:paraId="2F4B16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1、贯彻执行国家及省、州有关道路运输的方针、政策和法规，执行上级道路运输管理部门制定的有关规章、规范、标准和细则。</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2、负责县道路客货运输、城市公交、出租汽车、车辆维修和检测、运输服务行业的管理及监督、指导和协调。</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3、根据管理权限</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指导、督促各镇落实农村客运源头管理责任。</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4、具体负责执行对道路运输市场的运输质量、经营行为、价格执行及使用的证、照、牌、单、票据等进行日常性监督检查，调解日常性运输纠纷。</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5、具体组织实施重点物资、大宗物资的运输，具体组织实施指令性的抢险救灾，战备物资的运输。</w:t>
      </w:r>
    </w:p>
    <w:p w14:paraId="2CF1E803">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22" w:name="_Toc111208497"/>
      <w:bookmarkStart w:id="23" w:name="_Toc113981011"/>
      <w:bookmarkStart w:id="24" w:name="_Toc15377200"/>
      <w:bookmarkStart w:id="25" w:name="_Toc22056"/>
      <w:r>
        <w:rPr>
          <w:rFonts w:hint="eastAsia" w:ascii="黑体" w:hAnsi="黑体" w:eastAsia="黑体" w:cs="黑体"/>
          <w:b w:val="0"/>
          <w:bCs/>
          <w:color w:val="000000"/>
        </w:rPr>
        <w:t>二、机构设置</w:t>
      </w:r>
      <w:bookmarkEnd w:id="22"/>
      <w:bookmarkEnd w:id="23"/>
      <w:bookmarkEnd w:id="24"/>
      <w:bookmarkEnd w:id="25"/>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茂县交通运输综合服务中心</w:t>
      </w:r>
      <w:r>
        <w:rPr>
          <w:rFonts w:hint="eastAsia" w:ascii="仿宋_GB2312" w:eastAsia="仿宋_GB2312"/>
          <w:sz w:val="32"/>
          <w:szCs w:val="32"/>
          <w:lang w:eastAsia="zh-CN"/>
        </w:rPr>
        <w:t>属一级预算单位，</w:t>
      </w:r>
      <w:r>
        <w:rPr>
          <w:rFonts w:hint="eastAsia" w:ascii="仿宋_GB2312" w:hAnsi="仿宋_GB2312" w:eastAsia="仿宋_GB2312" w:cs="仿宋_GB2312"/>
          <w:color w:val="000000"/>
          <w:sz w:val="32"/>
          <w:szCs w:val="32"/>
          <w:lang w:eastAsia="zh-CN"/>
        </w:rPr>
        <w:t>下属二级预算单位</w:t>
      </w:r>
      <w:r>
        <w:rPr>
          <w:rFonts w:hint="eastAsia" w:ascii="仿宋_GB2312" w:hAnsi="仿宋_GB2312" w:eastAsia="仿宋_GB2312" w:cs="仿宋_GB2312"/>
          <w:color w:val="000000"/>
          <w:sz w:val="32"/>
          <w:szCs w:val="32"/>
          <w:lang w:val="en-US" w:eastAsia="zh-CN"/>
        </w:rPr>
        <w:t>0个，其中行政单位0个，参照公务员法管理的事业单位0个，其他事业单位0个。</w:t>
      </w:r>
    </w:p>
    <w:p w14:paraId="4DE8AC96">
      <w:pPr>
        <w:pStyle w:val="3"/>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 xml:space="preserve">第二部分 </w:t>
      </w:r>
      <w:r>
        <w:rPr>
          <w:rFonts w:ascii="黑体" w:hAnsi="黑体" w:eastAsia="黑体" w:cs="黑体"/>
          <w:u w:color="auto"/>
        </w:rPr>
        <w:t>2024年度</w:t>
      </w:r>
      <w:r>
        <w:rPr>
          <w:rFonts w:hint="eastAsia" w:ascii="黑体" w:hAnsi="黑体" w:eastAsia="黑体" w:cs="黑体"/>
          <w:u w:color="auto"/>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ascii="仿宋" w:hAnsi="仿宋" w:eastAsia="仿宋" w:cs="仿宋"/>
          <w:color w:val="000000"/>
          <w:sz w:val="32"/>
          <w:u w:color="auto"/>
        </w:rPr>
        <w:t>年度收入、支出总计均为137.87</w:t>
      </w:r>
      <w:r>
        <w:rPr>
          <w:rFonts w:hint="eastAsia" w:ascii="仿宋" w:hAnsi="仿宋" w:eastAsia="仿宋" w:cs="仿宋"/>
          <w:color w:val="000000"/>
          <w:sz w:val="32"/>
          <w:szCs w:val="32"/>
        </w:rPr>
        <w:t>万元。与</w:t>
      </w:r>
      <w:r>
        <w:rPr>
          <w:rFonts w:ascii="仿宋" w:hAnsi="仿宋" w:eastAsia="仿宋" w:cs="仿宋"/>
          <w:color w:val="000000"/>
          <w:sz w:val="32"/>
          <w:u w:color="auto"/>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相比，收入、支出总计各</w:t>
      </w:r>
      <w:r>
        <w:rPr>
          <w:rFonts w:ascii="仿宋" w:hAnsi="仿宋" w:eastAsia="仿宋" w:cs="仿宋"/>
          <w:color w:val="000000"/>
          <w:sz w:val="32"/>
          <w:u w:color="auto"/>
        </w:rPr>
        <w:t>减少381.26万元，下降73.4%。主要变动原因是</w:t>
      </w:r>
      <w:r>
        <w:rPr>
          <w:rFonts w:hint="eastAsia" w:ascii="仿宋" w:hAnsi="仿宋" w:eastAsia="仿宋" w:cs="仿宋"/>
          <w:color w:val="000000"/>
          <w:sz w:val="32"/>
          <w:u w:color="auto"/>
          <w:lang w:val="en-US" w:eastAsia="zh-CN"/>
        </w:rPr>
        <w:t>:</w:t>
      </w:r>
      <w:r>
        <w:rPr>
          <w:rFonts w:ascii="仿宋" w:hAnsi="仿宋" w:eastAsia="仿宋" w:cs="仿宋"/>
          <w:color w:val="000000"/>
          <w:sz w:val="32"/>
          <w:u w:color="auto"/>
        </w:rPr>
        <w:t xml:space="preserve">项目资金减少。 </w:t>
      </w:r>
    </w:p>
    <w:p w14:paraId="61134D0D">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911B5D">
      <w:pPr>
        <w:pStyle w:val="16"/>
        <w:rPr>
          <w:rFonts w:hint="eastAsia"/>
        </w:rPr>
      </w:pPr>
    </w:p>
    <w:p w14:paraId="43B3D363">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Cs w:val="0"/>
          <w:color w:val="000000"/>
        </w:rPr>
      </w:pPr>
      <w:bookmarkStart w:id="31" w:name="_Toc15377206"/>
      <w:bookmarkStart w:id="32" w:name="_Toc111208500"/>
      <w:bookmarkStart w:id="33" w:name="_Toc8125"/>
      <w:r>
        <w:rPr>
          <w:rFonts w:hint="eastAsia" w:ascii="黑体" w:hAnsi="黑体" w:eastAsia="黑体" w:cs="黑体"/>
          <w:b w:val="0"/>
          <w:bCs/>
          <w:color w:val="000000"/>
        </w:rPr>
        <w:t>二、收入决算情况说明</w:t>
      </w:r>
      <w:bookmarkEnd w:id="31"/>
      <w:bookmarkEnd w:id="32"/>
      <w:bookmarkEnd w:id="33"/>
    </w:p>
    <w:p w14:paraId="7DAB409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137.87万元</w:t>
      </w:r>
      <w:r>
        <w:rPr>
          <w:rFonts w:hint="eastAsia" w:ascii="仿宋" w:hAnsi="仿宋" w:eastAsia="仿宋" w:cs="仿宋"/>
          <w:color w:val="000000"/>
          <w:sz w:val="32"/>
          <w:szCs w:val="32"/>
          <w:lang w:val="en-US" w:eastAsia="zh-CN"/>
        </w:rPr>
        <w:t>，其中:一般公共预算财政拨款收入137.87万元，占100%;政府性基金预算财政拨款收入0.00万元，占0%。</w:t>
      </w:r>
    </w:p>
    <w:p w14:paraId="00ACE2C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sz w:val="32"/>
          <w:szCs w:val="32"/>
          <w:lang w:val="en-US"/>
        </w:rPr>
      </w:pPr>
    </w:p>
    <w:p w14:paraId="6EDCABAB">
      <w:pPr>
        <w:pStyle w:val="2"/>
        <w:ind w:left="1060" w:hanging="640"/>
        <w:jc w:val="center"/>
        <w:rPr>
          <w:rFonts w:hint="eastAsia"/>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96F3EB">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34" w:name="_Toc28283"/>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14:paraId="1753835D">
      <w:pPr>
        <w:pStyle w:val="6"/>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137.87万元</w:t>
      </w:r>
      <w:r>
        <w:rPr>
          <w:rFonts w:hint="eastAsia" w:ascii="仿宋" w:hAnsi="仿宋" w:eastAsia="仿宋" w:cs="仿宋"/>
          <w:color w:val="000000"/>
          <w:sz w:val="32"/>
          <w:szCs w:val="32"/>
          <w:lang w:val="en-US" w:eastAsia="zh-CN"/>
        </w:rPr>
        <w:t>，其中:基本支出114.84万元，占83.3%；项目支出23.02万元，占16.7%</w:t>
      </w:r>
      <w:r>
        <w:rPr>
          <w:rFonts w:hint="eastAsia" w:ascii="仿宋" w:hAnsi="仿宋" w:eastAsia="仿宋" w:cs="仿宋"/>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4445" t="4445" r="1016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366D49">
      <w:pPr>
        <w:pStyle w:val="16"/>
        <w:rPr>
          <w:rFonts w:hint="eastAsia"/>
        </w:rPr>
      </w:pPr>
    </w:p>
    <w:p w14:paraId="0429694F">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37" w:name="_Toc111208502"/>
      <w:bookmarkStart w:id="38" w:name="_Toc15377208"/>
      <w:bookmarkStart w:id="39" w:name="_Toc19521"/>
      <w:r>
        <w:rPr>
          <w:rFonts w:hint="eastAsia" w:ascii="黑体" w:hAnsi="黑体" w:eastAsia="黑体" w:cs="黑体"/>
          <w:b w:val="0"/>
          <w:bCs/>
          <w:color w:val="000000"/>
        </w:rPr>
        <w:t>四、财政拨款收入支出决算总体情况说明</w:t>
      </w:r>
      <w:bookmarkEnd w:id="37"/>
      <w:bookmarkEnd w:id="38"/>
      <w:bookmarkEnd w:id="39"/>
    </w:p>
    <w:p w14:paraId="4883010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总计均为</w:t>
      </w:r>
      <w:r>
        <w:rPr>
          <w:rFonts w:ascii="仿宋" w:hAnsi="仿宋" w:eastAsia="仿宋" w:cs="仿宋"/>
          <w:color w:val="000000"/>
          <w:sz w:val="32"/>
          <w:u w:color="auto"/>
        </w:rPr>
        <w:t>137.87万元。与2023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总计各</w:t>
      </w:r>
      <w:r>
        <w:rPr>
          <w:rFonts w:ascii="仿宋" w:hAnsi="仿宋" w:eastAsia="仿宋" w:cs="仿宋"/>
          <w:color w:val="000000"/>
          <w:sz w:val="32"/>
          <w:u w:color="auto"/>
        </w:rPr>
        <w:t>减少381.26万元，下降73.4%。主要变动原因是</w:t>
      </w:r>
      <w:r>
        <w:rPr>
          <w:rFonts w:hint="eastAsia" w:ascii="仿宋" w:hAnsi="仿宋" w:eastAsia="仿宋" w:cs="仿宋"/>
          <w:color w:val="000000"/>
          <w:sz w:val="32"/>
          <w:u w:color="auto"/>
          <w:lang w:val="en-US" w:eastAsia="zh-CN"/>
        </w:rPr>
        <w:t>:</w:t>
      </w:r>
      <w:r>
        <w:rPr>
          <w:rFonts w:ascii="仿宋" w:hAnsi="仿宋" w:eastAsia="仿宋" w:cs="仿宋"/>
          <w:color w:val="000000"/>
          <w:sz w:val="32"/>
          <w:u w:color="auto"/>
        </w:rPr>
        <w:t xml:space="preserve">项目资金减少。 </w:t>
      </w:r>
    </w:p>
    <w:p w14:paraId="74768A39">
      <w:pPr>
        <w:pStyle w:val="6"/>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4987CA">
      <w:pPr>
        <w:pStyle w:val="4"/>
        <w:pageBreakBefore w:val="0"/>
        <w:widowControl w:val="0"/>
        <w:kinsoku/>
        <w:wordWrap/>
        <w:overflowPunct/>
        <w:topLinePunct w:val="0"/>
        <w:autoSpaceDE/>
        <w:autoSpaceDN/>
        <w:bidi w:val="0"/>
        <w:adjustRightInd/>
        <w:snapToGrid/>
        <w:spacing w:before="0" w:after="0"/>
        <w:ind w:firstLine="320" w:firstLineChars="100"/>
        <w:textAlignment w:val="auto"/>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14:paraId="371C2FB4">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137.87万元，占本年支出合计的100%。与2023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减少381.26万元，下降73.4%。主要变动原因是</w:t>
      </w:r>
      <w:r>
        <w:rPr>
          <w:rFonts w:hint="eastAsia" w:ascii="仿宋" w:hAnsi="仿宋" w:eastAsia="仿宋" w:cs="仿宋"/>
          <w:color w:val="000000"/>
          <w:sz w:val="32"/>
          <w:u w:color="auto"/>
          <w:lang w:val="en-US" w:eastAsia="zh-CN"/>
        </w:rPr>
        <w:t>:</w:t>
      </w:r>
      <w:r>
        <w:rPr>
          <w:rFonts w:ascii="仿宋" w:hAnsi="仿宋" w:eastAsia="仿宋" w:cs="仿宋"/>
          <w:color w:val="000000"/>
          <w:sz w:val="32"/>
          <w:u w:color="auto"/>
        </w:rPr>
        <w:t xml:space="preserve">项目资金减少。 </w:t>
      </w:r>
    </w:p>
    <w:p w14:paraId="1392859B">
      <w:pPr>
        <w:pStyle w:val="6"/>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4B7C4">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14:paraId="1E3404D8">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137.87万元，主要用于以下方面: 社会保障和就业支出13.42万元，占9.7%；卫生健康支出6.9</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万元，占5%；农林水支出23.02万元，占16.7%；交通运输支出85.27万元，占61.8%；住房保障支出9.25万元，占6.7%。</w:t>
      </w:r>
    </w:p>
    <w:p w14:paraId="68BC5887">
      <w:pPr>
        <w:pStyle w:val="6"/>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724150"/>
            <wp:effectExtent l="4445" t="4445" r="571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678BDA">
      <w:pPr>
        <w:spacing w:line="600" w:lineRule="exact"/>
        <w:ind w:firstLine="321" w:firstLineChars="1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3506E72">
      <w:pPr>
        <w:spacing w:line="600" w:lineRule="exact"/>
        <w:ind w:firstLine="640"/>
        <w:rPr>
          <w:rFonts w:hint="eastAsia" w:ascii="仿宋" w:hAnsi="仿宋" w:eastAsia="仿宋" w:cs="仿宋"/>
          <w:color w:val="000000"/>
          <w:sz w:val="32"/>
          <w:szCs w:val="32"/>
        </w:rPr>
      </w:pPr>
      <w:bookmarkStart w:id="46" w:name="_Toc15377444"/>
      <w:bookmarkStart w:id="47" w:name="_Toc15377213"/>
      <w:bookmarkStart w:id="48" w:name="_Toc15378460"/>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137.87万元，完成预算100%。其中：</w:t>
      </w:r>
      <w:bookmarkEnd w:id="46"/>
      <w:bookmarkEnd w:id="47"/>
      <w:bookmarkEnd w:id="48"/>
    </w:p>
    <w:p w14:paraId="7AED4EFD">
      <w:pPr>
        <w:numPr>
          <w:ilvl w:val="0"/>
          <w:numId w:val="0"/>
        </w:num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社会保障和就业支出（208）行政事业单位养老支出（05）机关事业单位基本养老保险缴费支出（05）:支出决算8.94万元，完成预算100%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2.社会保障和就业支出（208）行政事业单位养老支出（05）机关事业单位职业年金缴费支出（06）:支出决算4.48万元，完成预算100%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3.卫生健康支出（210）行政事业单位医疗（11）行政单位医疗（01）:支出决算6.47万元，完成预算100%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4.卫生健康支出（210）行政事业单位医疗（11）事业单位医疗（02）:支出决算0.43万元，完成预算100%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5.农林水支出（213）巩固脱贫攻坚成果衔接乡村振兴（05）农村基础设施建设（04）:支出决算23.02万元，完成预算100%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6.交通运输支出（214）公路水路运输（01）行政运行（01）:支出决算85.27万元，完成预算100%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7.住房保障支出（221）住房改革支出（02）住房公积金（01）:支出决算7.24万元，完成预算100%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8.住房保障支出（221）住房改革支出（02）购房补贴（03）:支出决算2.02万元，完成预算100%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决算数与预算数持平。</w:t>
      </w:r>
    </w:p>
    <w:p w14:paraId="5F1461C4">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114.84万元，其中：</w:t>
      </w:r>
    </w:p>
    <w:p w14:paraId="116EF1F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107.69万元，主要包括：基本工资21.75万元、津贴补贴20.15万元、奖金24.45万元、机关事业单位基本养老保险缴费8.94万元、职业年金缴费4.48万元、职工基本医疗保险缴费6.9</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万元、其他社会保障缴费1.31万元、住房公积金7.24万元、医疗费1.4</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万元、生活补助11.07万元、奖励金0.01万元。</w:t>
      </w:r>
    </w:p>
    <w:p w14:paraId="39B6CA0F">
      <w:pPr>
        <w:spacing w:line="600" w:lineRule="exact"/>
        <w:ind w:firstLine="640"/>
        <w:rPr>
          <w:rFonts w:ascii="仿宋" w:hAnsi="仿宋" w:eastAsia="仿宋" w:cs="仿宋"/>
          <w:color w:val="000000"/>
          <w:sz w:val="32"/>
          <w:u w:color="auto"/>
        </w:rPr>
      </w:pPr>
      <w:r>
        <w:rPr>
          <w:rFonts w:hint="eastAsia" w:ascii="仿宋" w:hAnsi="仿宋" w:eastAsia="仿宋" w:cs="仿宋"/>
          <w:color w:val="000000"/>
          <w:sz w:val="32"/>
          <w:szCs w:val="32"/>
        </w:rPr>
        <w:t>公用经费</w:t>
      </w:r>
      <w:r>
        <w:rPr>
          <w:rFonts w:ascii="仿宋" w:hAnsi="仿宋" w:eastAsia="仿宋" w:cs="仿宋"/>
          <w:color w:val="000000"/>
          <w:sz w:val="32"/>
          <w:u w:color="auto"/>
        </w:rPr>
        <w:t>7.15万元，主要包括：办公费0.24万元、电费0.61万元、邮电费1.32万元、差旅费0.99万元、公务用车运行维护费4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p>
    <w:p w14:paraId="6CC0D3FF">
      <w:pPr>
        <w:pStyle w:val="4"/>
        <w:pageBreakBefore w:val="0"/>
        <w:widowControl w:val="0"/>
        <w:numPr>
          <w:ilvl w:val="0"/>
          <w:numId w:val="1"/>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52" w:name="_Toc15377215"/>
      <w:bookmarkStart w:id="53" w:name="_Toc111208505"/>
      <w:bookmarkStart w:id="54" w:name="_Toc6614"/>
      <w:r>
        <w:rPr>
          <w:rFonts w:hint="eastAsia" w:ascii="黑体" w:hAnsi="黑体" w:eastAsia="黑体" w:cs="黑体"/>
          <w:b w:val="0"/>
          <w:bCs/>
          <w:color w:val="000000"/>
        </w:rPr>
        <w:t>“三公”经费财政拨款支出决算情况说明</w:t>
      </w:r>
      <w:bookmarkEnd w:id="52"/>
      <w:bookmarkEnd w:id="53"/>
      <w:bookmarkEnd w:id="54"/>
      <w:bookmarkStart w:id="55" w:name="_Toc15377216"/>
    </w:p>
    <w:p w14:paraId="613FE387">
      <w:pPr>
        <w:pStyle w:val="4"/>
        <w:pageBreakBefore w:val="0"/>
        <w:widowControl w:val="0"/>
        <w:numPr>
          <w:ilvl w:val="0"/>
          <w:numId w:val="0"/>
        </w:numPr>
        <w:kinsoku/>
        <w:wordWrap/>
        <w:overflowPunct/>
        <w:topLinePunct w:val="0"/>
        <w:autoSpaceDE/>
        <w:autoSpaceDN/>
        <w:bidi w:val="0"/>
        <w:adjustRightInd/>
        <w:snapToGrid/>
        <w:spacing w:before="0" w:after="0"/>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（一）“三公”经费财政拨款支出决算总体情况说明</w:t>
      </w:r>
      <w:bookmarkEnd w:id="55"/>
    </w:p>
    <w:p w14:paraId="0C6B4B9F">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万元，完成预算100%，</w:t>
      </w:r>
      <w:bookmarkStart w:id="56" w:name="_Toc15377217"/>
      <w:r>
        <w:rPr>
          <w:rFonts w:hint="eastAsia" w:ascii="仿宋" w:hAnsi="仿宋" w:eastAsia="仿宋" w:cs="仿宋"/>
          <w:color w:val="000000"/>
          <w:sz w:val="32"/>
          <w:u w:color="auto"/>
          <w:lang w:eastAsia="zh-CN"/>
        </w:rPr>
        <w:t>与</w:t>
      </w:r>
      <w:r>
        <w:rPr>
          <w:rFonts w:hint="eastAsia" w:ascii="仿宋" w:hAnsi="仿宋" w:eastAsia="仿宋" w:cs="仿宋"/>
          <w:color w:val="000000"/>
          <w:sz w:val="32"/>
          <w:u w:color="auto"/>
          <w:lang w:val="en-US" w:eastAsia="zh-CN"/>
        </w:rPr>
        <w:t>2023年相比无变化</w:t>
      </w:r>
      <w:r>
        <w:rPr>
          <w:rFonts w:ascii="仿宋" w:hAnsi="仿宋" w:eastAsia="仿宋" w:cs="仿宋"/>
          <w:color w:val="000000"/>
          <w:sz w:val="32"/>
          <w:u w:color="auto"/>
        </w:rPr>
        <w:t>。</w:t>
      </w:r>
    </w:p>
    <w:p w14:paraId="5BC57BE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万元，因公出国（境）费支出决算0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万元，占0%；公务用车购置及运行维护费支出决算4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万元，占100%；公务接待费支出决算0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万元，占0%。具体情况如下：</w:t>
      </w:r>
    </w:p>
    <w:p w14:paraId="35A33F8D">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D76AF">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万元,完成预算100%</w:t>
      </w:r>
      <w:r>
        <w:rPr>
          <w:rFonts w:hint="eastAsia" w:ascii="仿宋" w:hAnsi="仿宋" w:eastAsia="仿宋" w:cs="仿宋"/>
          <w:color w:val="000000"/>
          <w:sz w:val="32"/>
          <w:u w:color="auto"/>
          <w:lang w:eastAsia="zh-CN"/>
        </w:rPr>
        <w:t>，与</w:t>
      </w:r>
      <w:r>
        <w:rPr>
          <w:rFonts w:hint="eastAsia" w:ascii="仿宋" w:hAnsi="仿宋" w:eastAsia="仿宋" w:cs="仿宋"/>
          <w:color w:val="000000"/>
          <w:sz w:val="32"/>
          <w:u w:color="auto"/>
          <w:lang w:val="en-US" w:eastAsia="zh-CN"/>
        </w:rPr>
        <w:t>2023年相比无变化。</w:t>
      </w:r>
      <w:r>
        <w:rPr>
          <w:rFonts w:ascii="仿宋" w:hAnsi="仿宋" w:eastAsia="仿宋" w:cs="仿宋"/>
          <w:color w:val="000000"/>
          <w:sz w:val="32"/>
          <w:u w:color="auto"/>
        </w:rPr>
        <w:t xml:space="preserve"> </w:t>
      </w:r>
    </w:p>
    <w:p w14:paraId="327BF985">
      <w:pPr>
        <w:spacing w:line="600" w:lineRule="exact"/>
        <w:ind w:firstLine="640"/>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万元,完成预算100%。公务用车购置及运行维护费支出</w:t>
      </w:r>
      <w:r>
        <w:rPr>
          <w:rFonts w:hint="eastAsia" w:ascii="仿宋" w:hAnsi="仿宋" w:eastAsia="仿宋" w:cs="仿宋"/>
          <w:color w:val="000000"/>
          <w:sz w:val="32"/>
          <w:u w:color="auto"/>
          <w:lang w:eastAsia="zh-CN"/>
        </w:rPr>
        <w:t>与</w:t>
      </w:r>
      <w:r>
        <w:rPr>
          <w:rFonts w:hint="eastAsia" w:ascii="仿宋" w:hAnsi="仿宋" w:eastAsia="仿宋" w:cs="仿宋"/>
          <w:color w:val="000000"/>
          <w:sz w:val="32"/>
          <w:u w:color="auto"/>
          <w:lang w:val="en-US" w:eastAsia="zh-CN"/>
        </w:rPr>
        <w:t>2023年相比无变化。</w:t>
      </w:r>
    </w:p>
    <w:p w14:paraId="7D2B639A">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其中：</w:t>
      </w:r>
      <w:r>
        <w:rPr>
          <w:rFonts w:hint="eastAsia" w:ascii="仿宋" w:hAnsi="仿宋" w:eastAsia="仿宋" w:cs="仿宋"/>
          <w:b/>
          <w:bCs/>
          <w:color w:val="000000"/>
          <w:sz w:val="32"/>
          <w:szCs w:val="32"/>
          <w:highlight w:val="none"/>
        </w:rPr>
        <w:t>公务用车购置支出</w:t>
      </w:r>
      <w:r>
        <w:rPr>
          <w:rFonts w:hint="eastAsia" w:ascii="仿宋" w:hAnsi="仿宋" w:eastAsia="仿宋" w:cs="仿宋"/>
          <w:color w:val="000000"/>
          <w:sz w:val="32"/>
          <w:szCs w:val="32"/>
          <w:highlight w:val="none"/>
        </w:rPr>
        <w:t>0</w:t>
      </w:r>
      <w:r>
        <w:rPr>
          <w:rFonts w:hint="eastAsia" w:ascii="仿宋" w:hAnsi="仿宋" w:eastAsia="仿宋" w:cs="仿宋"/>
          <w:color w:val="000000"/>
          <w:sz w:val="32"/>
          <w:szCs w:val="32"/>
          <w:highlight w:val="none"/>
          <w:lang w:val="en-US" w:eastAsia="zh-CN"/>
        </w:rPr>
        <w:t>.00</w:t>
      </w:r>
      <w:r>
        <w:rPr>
          <w:rFonts w:ascii="仿宋" w:hAnsi="仿宋" w:eastAsia="仿宋" w:cs="仿宋"/>
          <w:color w:val="000000"/>
          <w:sz w:val="32"/>
          <w:highlight w:val="none"/>
          <w:u w:color="auto"/>
        </w:rPr>
        <w:t>万元。全年按规定更新购置公务用车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辆，其中：轿车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0.00</w:t>
      </w:r>
      <w:r>
        <w:rPr>
          <w:rFonts w:hint="eastAsia" w:ascii="仿宋" w:hAnsi="仿宋" w:eastAsia="仿宋" w:cs="仿宋"/>
          <w:color w:val="000000"/>
          <w:sz w:val="32"/>
          <w:szCs w:val="32"/>
          <w:highlight w:val="none"/>
        </w:rPr>
        <w:t>万元，越野车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0.00</w:t>
      </w:r>
      <w:r>
        <w:rPr>
          <w:rFonts w:hint="eastAsia" w:ascii="仿宋" w:hAnsi="仿宋" w:eastAsia="仿宋" w:cs="仿宋"/>
          <w:color w:val="000000"/>
          <w:sz w:val="32"/>
          <w:szCs w:val="32"/>
          <w:highlight w:val="none"/>
        </w:rPr>
        <w:t>万元，载客汽车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0.00</w:t>
      </w:r>
      <w:r>
        <w:rPr>
          <w:rFonts w:hint="eastAsia" w:ascii="仿宋" w:hAnsi="仿宋" w:eastAsia="仿宋" w:cs="仿宋"/>
          <w:color w:val="000000"/>
          <w:sz w:val="32"/>
          <w:szCs w:val="32"/>
          <w:highlight w:val="none"/>
        </w:rPr>
        <w:t>万元。截至</w:t>
      </w:r>
      <w:r>
        <w:rPr>
          <w:rFonts w:ascii="仿宋" w:hAnsi="仿宋" w:eastAsia="仿宋" w:cs="仿宋"/>
          <w:color w:val="000000"/>
          <w:sz w:val="32"/>
          <w:highlight w:val="none"/>
          <w:u w:color="auto"/>
        </w:rPr>
        <w:t>2024年12月</w:t>
      </w:r>
      <w:r>
        <w:rPr>
          <w:rFonts w:hint="eastAsia" w:ascii="仿宋" w:hAnsi="仿宋" w:eastAsia="仿宋" w:cs="仿宋"/>
          <w:color w:val="000000"/>
          <w:sz w:val="32"/>
          <w:szCs w:val="32"/>
          <w:highlight w:val="none"/>
          <w:lang w:val="en-US" w:eastAsia="zh-CN"/>
        </w:rPr>
        <w:t>31日</w:t>
      </w:r>
      <w:r>
        <w:rPr>
          <w:rFonts w:hint="eastAsia" w:ascii="仿宋" w:hAnsi="仿宋" w:eastAsia="仿宋" w:cs="仿宋"/>
          <w:color w:val="000000"/>
          <w:sz w:val="32"/>
          <w:szCs w:val="32"/>
          <w:highlight w:val="none"/>
        </w:rPr>
        <w:t>，单位共有公务用车</w:t>
      </w:r>
      <w:r>
        <w:rPr>
          <w:rFonts w:ascii="仿宋" w:hAnsi="仿宋" w:eastAsia="仿宋" w:cs="仿宋"/>
          <w:color w:val="000000"/>
          <w:sz w:val="32"/>
          <w:highlight w:val="none"/>
          <w:u w:color="auto"/>
        </w:rPr>
        <w:t>4辆，其中：轿车</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辆、越野车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w:t>
      </w:r>
      <w:r>
        <w:rPr>
          <w:rFonts w:hint="eastAsia" w:ascii="仿宋" w:hAnsi="仿宋" w:eastAsia="仿宋" w:cs="仿宋"/>
          <w:color w:val="000000"/>
          <w:sz w:val="32"/>
          <w:szCs w:val="32"/>
          <w:highlight w:val="none"/>
          <w:lang w:val="en-US" w:eastAsia="zh-CN"/>
        </w:rPr>
        <w:t>。</w:t>
      </w:r>
    </w:p>
    <w:p w14:paraId="2ED6A1A6">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 xml:space="preserve">万元。 </w:t>
      </w:r>
    </w:p>
    <w:p w14:paraId="2C1431EB">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万元，完成预算</w:t>
      </w:r>
      <w:r>
        <w:rPr>
          <w:rFonts w:hint="eastAsia" w:ascii="仿宋" w:hAnsi="仿宋" w:eastAsia="仿宋" w:cs="仿宋"/>
          <w:color w:val="000000"/>
          <w:sz w:val="32"/>
          <w:u w:color="auto"/>
          <w:lang w:val="en-US" w:eastAsia="zh-CN"/>
        </w:rPr>
        <w:t>10</w:t>
      </w:r>
      <w:r>
        <w:rPr>
          <w:rFonts w:ascii="仿宋" w:hAnsi="仿宋" w:eastAsia="仿宋" w:cs="仿宋"/>
          <w:color w:val="000000"/>
          <w:sz w:val="32"/>
          <w:u w:color="auto"/>
        </w:rPr>
        <w:t>0%。公务接待费支出决算比2023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万元，增长0%。</w:t>
      </w:r>
      <w:bookmarkStart w:id="57" w:name="_Toc15377218"/>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其中：</w:t>
      </w:r>
    </w:p>
    <w:p w14:paraId="7F3EE578">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万元。国内公务接待0批次，0人次（不包括陪同人员），共计支出0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p>
    <w:p w14:paraId="662C5F0F">
      <w:pPr>
        <w:pStyle w:val="6"/>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.00</w:t>
      </w:r>
      <w:r>
        <w:rPr>
          <w:rFonts w:ascii="仿宋" w:hAnsi="仿宋" w:eastAsia="仿宋" w:cs="仿宋"/>
          <w:color w:val="000000"/>
          <w:sz w:val="32"/>
          <w:u w:color="auto"/>
        </w:rPr>
        <w:t>万元。外事接待0批次，0人次（不包括陪同人员），共计支出0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p>
    <w:p w14:paraId="5DA11626">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政府性基金预算拨款支出</w:t>
      </w:r>
      <w:r>
        <w:rPr>
          <w:rFonts w:ascii="仿宋" w:hAnsi="仿宋" w:eastAsia="仿宋" w:cs="仿宋"/>
          <w:color w:val="000000"/>
          <w:sz w:val="32"/>
          <w:u w:color="auto"/>
        </w:rPr>
        <w:t>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bookmarkStart w:id="60" w:name="_Toc15377219"/>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仿宋" w:hAnsi="仿宋" w:eastAsia="仿宋" w:cs="仿宋"/>
          <w:color w:val="000000"/>
          <w:sz w:val="32"/>
          <w:szCs w:val="32"/>
        </w:rPr>
        <w:t>0%</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 w:hAnsi="仿宋" w:eastAsia="仿宋" w:cs="仿宋"/>
          <w:color w:val="000000"/>
          <w:sz w:val="32"/>
          <w:szCs w:val="32"/>
        </w:rPr>
        <w:t>2023</w:t>
      </w:r>
      <w:r>
        <w:rPr>
          <w:rFonts w:hint="eastAsia" w:ascii="Times New Roman" w:hAnsi="Times New Roman" w:eastAsia="仿宋_GB2312" w:cs="仿宋_GB2312"/>
          <w:color w:val="auto"/>
          <w:kern w:val="2"/>
          <w:sz w:val="32"/>
          <w:szCs w:val="32"/>
          <w:highlight w:val="none"/>
          <w:lang w:val="en-US" w:eastAsia="zh-CN" w:bidi="ar-SA"/>
        </w:rPr>
        <w:t>年度相比，</w:t>
      </w:r>
      <w:r>
        <w:rPr>
          <w:rFonts w:hint="eastAsia" w:eastAsia="仿宋_GB2312" w:cs="仿宋_GB2312"/>
          <w:color w:val="auto"/>
          <w:kern w:val="2"/>
          <w:sz w:val="32"/>
          <w:szCs w:val="32"/>
          <w:highlight w:val="none"/>
          <w:lang w:val="en-US" w:eastAsia="zh-CN" w:bidi="ar-SA"/>
        </w:rPr>
        <w:t>无变化。</w:t>
      </w:r>
    </w:p>
    <w:p w14:paraId="79E1D034">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14:paraId="19F0375D">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仿宋" w:hAnsi="仿宋" w:eastAsia="仿宋" w:cs="仿宋"/>
          <w:color w:val="000000"/>
          <w:sz w:val="32"/>
          <w:szCs w:val="32"/>
        </w:rPr>
        <w:t>0%</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 w:hAnsi="仿宋" w:eastAsia="仿宋" w:cs="仿宋"/>
          <w:color w:val="000000"/>
          <w:sz w:val="32"/>
          <w:szCs w:val="32"/>
        </w:rPr>
        <w:t>2023</w:t>
      </w:r>
      <w:r>
        <w:rPr>
          <w:rFonts w:hint="eastAsia" w:ascii="Times New Roman" w:hAnsi="Times New Roman" w:eastAsia="仿宋_GB2312" w:cs="仿宋_GB2312"/>
          <w:color w:val="auto"/>
          <w:kern w:val="2"/>
          <w:sz w:val="32"/>
          <w:szCs w:val="32"/>
          <w:highlight w:val="none"/>
          <w:lang w:val="en-US" w:eastAsia="zh-CN" w:bidi="ar-SA"/>
        </w:rPr>
        <w:t>年度相比，</w:t>
      </w:r>
      <w:r>
        <w:rPr>
          <w:rFonts w:hint="eastAsia" w:eastAsia="仿宋_GB2312" w:cs="仿宋_GB2312"/>
          <w:color w:val="auto"/>
          <w:kern w:val="2"/>
          <w:sz w:val="32"/>
          <w:szCs w:val="32"/>
          <w:highlight w:val="none"/>
          <w:lang w:val="en-US" w:eastAsia="zh-CN" w:bidi="ar-SA"/>
        </w:rPr>
        <w:t>无变化。</w:t>
      </w:r>
    </w:p>
    <w:p w14:paraId="76FD0E14">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63" w:name="_Toc15377221"/>
      <w:bookmarkStart w:id="64" w:name="_Toc111208508"/>
      <w:bookmarkStart w:id="65" w:name="_Toc18455"/>
      <w:r>
        <w:rPr>
          <w:rFonts w:hint="eastAsia" w:ascii="黑体" w:hAnsi="黑体" w:eastAsia="黑体" w:cs="黑体"/>
          <w:b w:val="0"/>
          <w:bCs/>
          <w:color w:val="000000"/>
        </w:rPr>
        <w:t>十、其他重要事项的情况说明</w:t>
      </w:r>
      <w:bookmarkEnd w:id="63"/>
      <w:bookmarkEnd w:id="64"/>
      <w:bookmarkEnd w:id="65"/>
    </w:p>
    <w:p w14:paraId="019CBB22">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527675A8">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茂县交通运输综合服务中心机关运行经费支出7.15万元，比2023年减少2.22万元，</w:t>
      </w:r>
      <w:bookmarkStart w:id="91" w:name="_GoBack"/>
      <w:bookmarkEnd w:id="91"/>
      <w:r>
        <w:rPr>
          <w:rFonts w:ascii="仿宋" w:hAnsi="仿宋" w:eastAsia="仿宋" w:cs="仿宋"/>
          <w:color w:val="000000"/>
          <w:sz w:val="32"/>
          <w:u w:color="auto"/>
        </w:rPr>
        <w:t>下降31.1%。主要原因是</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厉行节俭，过紧日子。</w:t>
      </w:r>
    </w:p>
    <w:p w14:paraId="66094D57">
      <w:pPr>
        <w:spacing w:line="600" w:lineRule="exact"/>
        <w:ind w:firstLine="643"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2CEFD7A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茂县交通运输综合服务中心政府采购支出总额0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万元，其中：政府采购货物支出0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万元、政府采购工程支出0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万元、政府采购服务支出0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万元。授予中小企业合同金额0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0%。</w:t>
      </w:r>
    </w:p>
    <w:p w14:paraId="12B7C937">
      <w:pPr>
        <w:spacing w:line="600" w:lineRule="exact"/>
        <w:ind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17A0ED7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2024年12月31日，茂县交通运输综合服务中心共有车辆4辆，其中：主要领导干部用车0辆、机要通信用车0辆、应急保障用车4辆、其他用车0辆。单价100</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w:t>
      </w:r>
      <w:r>
        <w:rPr>
          <w:rFonts w:ascii="仿宋" w:hAnsi="仿宋" w:eastAsia="仿宋" w:cs="仿宋"/>
          <w:color w:val="000000"/>
          <w:sz w:val="32"/>
          <w:u w:color="auto"/>
        </w:rPr>
        <w:t>台（套）。</w:t>
      </w:r>
    </w:p>
    <w:p w14:paraId="4EF5086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13CC4FBB">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仿宋"/>
          <w:sz w:val="32"/>
          <w:szCs w:val="32"/>
        </w:rPr>
        <w:t xml:space="preserve"> </w:t>
      </w: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预算编制阶段，组织对农村客运车辆座位险补助</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22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22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58B88FA5">
      <w:pPr>
        <w:pStyle w:val="6"/>
        <w:rPr>
          <w:rFonts w:hint="eastAsia" w:ascii="仿宋" w:hAnsi="仿宋" w:eastAsia="仿宋" w:cs="仿宋"/>
          <w:sz w:val="32"/>
          <w:szCs w:val="32"/>
        </w:rPr>
      </w:pPr>
    </w:p>
    <w:p w14:paraId="1F943EA8">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3"/>
        <w:jc w:val="center"/>
        <w:rPr>
          <w:rFonts w:hint="eastAsia" w:ascii="黑体" w:hAnsi="黑体" w:eastAsia="黑体" w:cs="黑体"/>
          <w:b w:val="0"/>
          <w:bCs w:val="0"/>
        </w:rPr>
      </w:pPr>
      <w:bookmarkStart w:id="69" w:name="_Toc15377225"/>
      <w:bookmarkStart w:id="70" w:name="_Toc18122"/>
      <w:bookmarkStart w:id="71" w:name="_Toc111208509"/>
      <w:r>
        <w:rPr>
          <w:rFonts w:hint="eastAsia" w:ascii="黑体" w:hAnsi="黑体" w:eastAsia="黑体" w:cs="黑体"/>
          <w:b w:val="0"/>
          <w:bCs w:val="0"/>
        </w:rPr>
        <w:t>第三部分 名词解释</w:t>
      </w:r>
      <w:bookmarkEnd w:id="69"/>
      <w:bookmarkEnd w:id="70"/>
      <w:bookmarkEnd w:id="71"/>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14.交通运输支出（类）公路水路运输（款）行政运行（项）:反映行政单位（包括实行公务员管理的事业单位）的基本支出。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16.住房保障支出（类）住房改革支出（款）购房补贴（项）:反映按房改政策规定，行政事业单位向符合条件职工（含离退休人员）、军队（含武警）向转役复员离退休人员发放的用于购买住房的补贴。</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17</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18</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19</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247E03">
      <w:pPr>
        <w:pStyle w:val="3"/>
        <w:jc w:val="center"/>
        <w:rPr>
          <w:rFonts w:hint="eastAsia"/>
          <w:lang w:eastAsia="zh-CN"/>
        </w:rPr>
      </w:pPr>
      <w:bookmarkStart w:id="72" w:name="_Toc111208510"/>
      <w:bookmarkStart w:id="73" w:name="_Toc25539"/>
      <w:r>
        <w:rPr>
          <w:rFonts w:hint="eastAsia" w:ascii="黑体" w:hAnsi="黑体" w:eastAsia="黑体" w:cs="黑体"/>
          <w:b w:val="0"/>
          <w:bCs w:val="0"/>
        </w:rPr>
        <w:t>第四部分 附件</w:t>
      </w:r>
      <w:bookmarkEnd w:id="72"/>
      <w:bookmarkEnd w:id="73"/>
    </w:p>
    <w:tbl>
      <w:tblPr>
        <w:tblStyle w:val="19"/>
        <w:tblpPr w:leftFromText="180" w:rightFromText="180" w:vertAnchor="text" w:horzAnchor="page" w:tblpX="377" w:tblpY="735"/>
        <w:tblOverlap w:val="never"/>
        <w:tblW w:w="13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669"/>
        <w:gridCol w:w="1352"/>
        <w:gridCol w:w="1750"/>
        <w:gridCol w:w="1653"/>
        <w:gridCol w:w="1095"/>
        <w:gridCol w:w="1654"/>
        <w:gridCol w:w="266"/>
        <w:gridCol w:w="1338"/>
        <w:gridCol w:w="505"/>
        <w:gridCol w:w="455"/>
        <w:gridCol w:w="2522"/>
      </w:tblGrid>
      <w:tr w14:paraId="09D1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8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7949B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4" w:name="_Toc79163885"/>
            <w:bookmarkStart w:id="75" w:name="_Toc111208512"/>
            <w:bookmarkStart w:id="76" w:name="_Toc79163635"/>
            <w:bookmarkStart w:id="77" w:name="_Toc21200"/>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52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7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A4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51322323T000008012722-农村客运车辆座位险补助</w:t>
            </w:r>
          </w:p>
        </w:tc>
      </w:tr>
      <w:tr w14:paraId="5714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521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D1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茂县交通运输综合服务中心本级</w:t>
            </w:r>
          </w:p>
        </w:tc>
        <w:tc>
          <w:tcPr>
            <w:tcW w:w="1338" w:type="dxa"/>
            <w:tcBorders>
              <w:top w:val="nil"/>
              <w:left w:val="nil"/>
              <w:bottom w:val="nil"/>
              <w:right w:val="nil"/>
            </w:tcBorders>
            <w:shd w:val="clear" w:color="auto" w:fill="auto"/>
            <w:vAlign w:val="center"/>
          </w:tcPr>
          <w:p w14:paraId="248250C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C5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茂县交通运输综合服务中心</w:t>
            </w:r>
          </w:p>
        </w:tc>
      </w:tr>
      <w:tr w14:paraId="22ED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4BA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8E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E82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316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7E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930F">
            <w:pP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EADC">
            <w:pPr>
              <w:rPr>
                <w:rFonts w:hint="eastAsia" w:ascii="宋体" w:hAnsi="宋体" w:eastAsia="宋体" w:cs="宋体"/>
                <w:i w:val="0"/>
                <w:iCs w:val="0"/>
                <w:color w:val="000000"/>
                <w:sz w:val="18"/>
                <w:szCs w:val="18"/>
                <w:u w:val="none"/>
              </w:rPr>
            </w:pPr>
          </w:p>
        </w:tc>
        <w:tc>
          <w:tcPr>
            <w:tcW w:w="7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43F8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统筹城乡公共交通发展，大力扶持和发展农村道路客运，科学合理规划农村客运班线，落实农村客运优惠政策，实施农村客运车辆保险保费补助政策，降低营运成本，解决农村群众安全、方便出行问题。</w:t>
            </w:r>
          </w:p>
        </w:tc>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D54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E4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5B66">
            <w:pP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D0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4A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为2023年农村客运承运险补贴资金23.02万元，根全县农村客运车辆实际保险费的70%予以支付。阿坝九寨黄龙运业集团有限责任公司、茂县古羌农村客运有限责任公司提供资料，分别分配给九黄运业15辆、古羌农客86辆农客车辆。我中心将资金转至公司账户后，要求各公司及时进行兑付，并根据2家公司提供的资料，核对补贴发放表、银行代收付汇总清单、银行回单等资料。九黄运业公司于2024年11月14日前将5.66万元补助发放至该公司15辆农村客运车辆；古羌农村客运公司于2024年10月25日前将17.36万元补助发放至该公司86辆农村客运车辆。电话随机调查5位农客司机，现场随机调查4位客运司机，回复均收到补贴资金，金额与标准一致，</w:t>
            </w:r>
          </w:p>
        </w:tc>
      </w:tr>
      <w:tr w14:paraId="2867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EF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5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9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E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00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7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C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1E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31A1">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0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44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EE7">
            <w:pPr>
              <w:jc w:val="center"/>
              <w:rPr>
                <w:rFonts w:hint="eastAsia" w:ascii="宋体" w:hAnsi="宋体" w:eastAsia="宋体" w:cs="宋体"/>
                <w:i w:val="0"/>
                <w:iCs w:val="0"/>
                <w:color w:val="000000"/>
                <w:sz w:val="18"/>
                <w:szCs w:val="18"/>
                <w:u w:val="none"/>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001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6C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B776">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6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81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ED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8404">
            <w:pPr>
              <w:rPr>
                <w:rFonts w:hint="eastAsia" w:ascii="黑体" w:hAnsi="黑体" w:eastAsia="黑体" w:cs="黑体"/>
                <w:i/>
                <w:iCs/>
                <w:color w:val="000000"/>
                <w:sz w:val="18"/>
                <w:szCs w:val="18"/>
                <w:u w:val="none"/>
              </w:rPr>
            </w:pPr>
          </w:p>
        </w:tc>
      </w:tr>
      <w:tr w14:paraId="769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AD59">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C4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C9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5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0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3ECB">
            <w:pPr>
              <w:rPr>
                <w:rFonts w:hint="eastAsia" w:ascii="黑体" w:hAnsi="黑体" w:eastAsia="黑体" w:cs="黑体"/>
                <w:i/>
                <w:iCs/>
                <w:color w:val="000000"/>
                <w:sz w:val="18"/>
                <w:szCs w:val="18"/>
                <w:u w:val="none"/>
              </w:rPr>
            </w:pPr>
          </w:p>
        </w:tc>
      </w:tr>
      <w:tr w14:paraId="170C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0ECD">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B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E0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C7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6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0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BD3F">
            <w:pPr>
              <w:rPr>
                <w:rFonts w:hint="eastAsia" w:ascii="黑体" w:hAnsi="黑体" w:eastAsia="黑体" w:cs="黑体"/>
                <w:i/>
                <w:iCs/>
                <w:color w:val="000000"/>
                <w:sz w:val="18"/>
                <w:szCs w:val="18"/>
                <w:u w:val="none"/>
              </w:rPr>
            </w:pPr>
          </w:p>
        </w:tc>
      </w:tr>
      <w:tr w14:paraId="6267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5BB5">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D4E60">
            <w:pPr>
              <w:jc w:val="center"/>
              <w:rPr>
                <w:rFonts w:hint="eastAsia" w:ascii="微软雅黑" w:hAnsi="微软雅黑" w:eastAsia="微软雅黑" w:cs="微软雅黑"/>
                <w:i/>
                <w:iCs/>
                <w:color w:val="000000"/>
                <w:sz w:val="16"/>
                <w:szCs w:val="16"/>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AE9">
            <w:pPr>
              <w:jc w:val="center"/>
              <w:rPr>
                <w:rFonts w:hint="eastAsia" w:ascii="微软雅黑" w:hAnsi="微软雅黑" w:eastAsia="微软雅黑" w:cs="微软雅黑"/>
                <w:i/>
                <w:iCs/>
                <w:color w:val="000000"/>
                <w:sz w:val="16"/>
                <w:szCs w:val="16"/>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A3FA7">
            <w:pPr>
              <w:jc w:val="center"/>
              <w:rPr>
                <w:rFonts w:hint="eastAsia" w:ascii="微软雅黑" w:hAnsi="微软雅黑" w:eastAsia="微软雅黑" w:cs="微软雅黑"/>
                <w:i/>
                <w:iCs/>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12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3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7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EF93">
            <w:pPr>
              <w:rPr>
                <w:rFonts w:hint="eastAsia" w:ascii="黑体" w:hAnsi="黑体" w:eastAsia="黑体" w:cs="黑体"/>
                <w:i/>
                <w:iCs/>
                <w:color w:val="000000"/>
                <w:sz w:val="18"/>
                <w:szCs w:val="18"/>
                <w:u w:val="none"/>
              </w:rPr>
            </w:pPr>
          </w:p>
        </w:tc>
      </w:tr>
      <w:tr w14:paraId="5FF4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0C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7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5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3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4B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DFAC">
            <w:pPr>
              <w:jc w:val="center"/>
              <w:rPr>
                <w:rFonts w:hint="eastAsia" w:ascii="宋体" w:hAnsi="宋体" w:eastAsia="宋体" w:cs="宋体"/>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98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F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7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农村客运车辆数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A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60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E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F6FD">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944F">
            <w:pPr>
              <w:jc w:val="center"/>
              <w:rPr>
                <w:rFonts w:hint="eastAsia" w:ascii="微软雅黑" w:hAnsi="微软雅黑" w:eastAsia="微软雅黑" w:cs="微软雅黑"/>
                <w:i/>
                <w:iCs/>
                <w:color w:val="000000"/>
                <w:sz w:val="16"/>
                <w:szCs w:val="16"/>
                <w:u w:val="none"/>
              </w:rPr>
            </w:pPr>
          </w:p>
        </w:tc>
      </w:tr>
      <w:tr w14:paraId="1190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3AF2">
            <w:pPr>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DC72">
            <w:pPr>
              <w:jc w:val="center"/>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A7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F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6B3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F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193">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359D">
            <w:pPr>
              <w:jc w:val="center"/>
              <w:rPr>
                <w:rFonts w:hint="eastAsia" w:ascii="微软雅黑" w:hAnsi="微软雅黑" w:eastAsia="微软雅黑" w:cs="微软雅黑"/>
                <w:i/>
                <w:iCs/>
                <w:color w:val="000000"/>
                <w:sz w:val="16"/>
                <w:szCs w:val="16"/>
                <w:u w:val="none"/>
              </w:rPr>
            </w:pPr>
          </w:p>
        </w:tc>
      </w:tr>
      <w:tr w14:paraId="2B6C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539">
            <w:pPr>
              <w:jc w:val="center"/>
              <w:rPr>
                <w:rFonts w:hint="eastAsia" w:ascii="宋体" w:hAnsi="宋体" w:eastAsia="宋体" w:cs="宋体"/>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63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6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F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行政村通车率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47F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A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88D2">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59B2">
            <w:pPr>
              <w:jc w:val="center"/>
              <w:rPr>
                <w:rFonts w:hint="eastAsia" w:ascii="微软雅黑" w:hAnsi="微软雅黑" w:eastAsia="微软雅黑" w:cs="微软雅黑"/>
                <w:i/>
                <w:iCs/>
                <w:color w:val="000000"/>
                <w:sz w:val="16"/>
                <w:szCs w:val="16"/>
                <w:u w:val="none"/>
              </w:rPr>
            </w:pPr>
          </w:p>
        </w:tc>
      </w:tr>
      <w:tr w14:paraId="6F32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0129">
            <w:pPr>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37CB">
            <w:pPr>
              <w:jc w:val="center"/>
              <w:rPr>
                <w:rFonts w:hint="eastAsia" w:ascii="宋体" w:hAnsi="宋体" w:eastAsia="宋体" w:cs="宋体"/>
                <w:i w:val="0"/>
                <w:iCs w:val="0"/>
                <w:color w:val="000000"/>
                <w:sz w:val="18"/>
                <w:szCs w:val="18"/>
                <w:u w:val="none"/>
              </w:rPr>
            </w:pPr>
          </w:p>
        </w:tc>
        <w:tc>
          <w:tcPr>
            <w:tcW w:w="3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225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保障农村客运车辆正常运行，满足群众出行需求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FB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5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5E7">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41B">
            <w:pPr>
              <w:jc w:val="center"/>
              <w:rPr>
                <w:rFonts w:hint="eastAsia" w:ascii="微软雅黑" w:hAnsi="微软雅黑" w:eastAsia="微软雅黑" w:cs="微软雅黑"/>
                <w:i/>
                <w:iCs/>
                <w:color w:val="000000"/>
                <w:sz w:val="16"/>
                <w:szCs w:val="16"/>
                <w:u w:val="none"/>
              </w:rPr>
            </w:pPr>
          </w:p>
        </w:tc>
      </w:tr>
      <w:tr w14:paraId="251C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BB0B">
            <w:pPr>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15AF">
            <w:pPr>
              <w:jc w:val="center"/>
              <w:rPr>
                <w:rFonts w:hint="eastAsia" w:ascii="宋体" w:hAnsi="宋体" w:eastAsia="宋体" w:cs="宋体"/>
                <w:i w:val="0"/>
                <w:iCs w:val="0"/>
                <w:color w:val="000000"/>
                <w:sz w:val="18"/>
                <w:szCs w:val="18"/>
                <w:u w:val="none"/>
              </w:rPr>
            </w:pPr>
          </w:p>
        </w:tc>
        <w:tc>
          <w:tcPr>
            <w:tcW w:w="3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4CF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9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乡镇通车率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7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52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4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4D17">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060">
            <w:pPr>
              <w:jc w:val="center"/>
              <w:rPr>
                <w:rFonts w:hint="eastAsia" w:ascii="微软雅黑" w:hAnsi="微软雅黑" w:eastAsia="微软雅黑" w:cs="微软雅黑"/>
                <w:i/>
                <w:iCs/>
                <w:color w:val="000000"/>
                <w:sz w:val="16"/>
                <w:szCs w:val="16"/>
                <w:u w:val="none"/>
              </w:rPr>
            </w:pPr>
          </w:p>
        </w:tc>
      </w:tr>
      <w:tr w14:paraId="7C83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AD19">
            <w:pPr>
              <w:jc w:val="center"/>
              <w:rPr>
                <w:rFonts w:hint="eastAsia" w:ascii="宋体" w:hAnsi="宋体" w:eastAsia="宋体" w:cs="宋体"/>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AC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A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B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农客驾驶员及群众满意度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5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6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C4B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A423">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44B">
            <w:pPr>
              <w:jc w:val="center"/>
              <w:rPr>
                <w:rFonts w:hint="eastAsia" w:ascii="微软雅黑" w:hAnsi="微软雅黑" w:eastAsia="微软雅黑" w:cs="微软雅黑"/>
                <w:i/>
                <w:iCs/>
                <w:color w:val="000000"/>
                <w:sz w:val="16"/>
                <w:szCs w:val="16"/>
                <w:u w:val="none"/>
              </w:rPr>
            </w:pPr>
          </w:p>
        </w:tc>
      </w:tr>
      <w:tr w14:paraId="750E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F1E7">
            <w:pPr>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3617">
            <w:pPr>
              <w:jc w:val="center"/>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B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各农客企业满意度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EE3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A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1025">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DFFA">
            <w:pPr>
              <w:jc w:val="center"/>
              <w:rPr>
                <w:rFonts w:hint="eastAsia" w:ascii="微软雅黑" w:hAnsi="微软雅黑" w:eastAsia="微软雅黑" w:cs="微软雅黑"/>
                <w:i/>
                <w:iCs/>
                <w:color w:val="000000"/>
                <w:sz w:val="16"/>
                <w:szCs w:val="16"/>
                <w:u w:val="none"/>
              </w:rPr>
            </w:pPr>
          </w:p>
        </w:tc>
      </w:tr>
      <w:tr w14:paraId="12F0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17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6659">
            <w:pP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FA5">
            <w:pPr>
              <w:rPr>
                <w:rFonts w:hint="eastAsia" w:ascii="宋体" w:hAnsi="宋体" w:eastAsia="宋体" w:cs="宋体"/>
                <w:i w:val="0"/>
                <w:iCs w:val="0"/>
                <w:color w:val="000000"/>
                <w:sz w:val="18"/>
                <w:szCs w:val="18"/>
                <w:u w:val="none"/>
              </w:rPr>
            </w:pPr>
          </w:p>
        </w:tc>
      </w:tr>
      <w:tr w14:paraId="74E5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4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FA56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我中心认真开展自评工作，通过自评，我中心2023年农村客运车辆承运险补贴项目自评得分100分，自评结果良好，保证农村客运的正常运行。</w:t>
            </w:r>
          </w:p>
        </w:tc>
      </w:tr>
      <w:tr w14:paraId="1D8A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93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723A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6D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3C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5E7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BB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182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项目负责人：田发义</w:t>
            </w: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F67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财务负责人：唐雪梅</w:t>
            </w:r>
          </w:p>
        </w:tc>
      </w:tr>
      <w:tr w14:paraId="4269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45" w:type="dxa"/>
            <w:gridSpan w:val="2"/>
            <w:tcBorders>
              <w:top w:val="nil"/>
              <w:left w:val="nil"/>
              <w:bottom w:val="nil"/>
              <w:right w:val="nil"/>
            </w:tcBorders>
            <w:shd w:val="clear" w:color="auto" w:fill="auto"/>
            <w:vAlign w:val="center"/>
          </w:tcPr>
          <w:p w14:paraId="71025128">
            <w:pPr>
              <w:rPr>
                <w:rFonts w:hint="eastAsia" w:ascii="宋体" w:hAnsi="宋体" w:eastAsia="宋体" w:cs="宋体"/>
                <w:i w:val="0"/>
                <w:iCs w:val="0"/>
                <w:color w:val="000000"/>
                <w:sz w:val="18"/>
                <w:szCs w:val="18"/>
                <w:u w:val="none"/>
              </w:rPr>
            </w:pPr>
          </w:p>
        </w:tc>
        <w:tc>
          <w:tcPr>
            <w:tcW w:w="1352" w:type="dxa"/>
            <w:tcBorders>
              <w:top w:val="nil"/>
              <w:left w:val="nil"/>
              <w:bottom w:val="nil"/>
              <w:right w:val="nil"/>
            </w:tcBorders>
            <w:shd w:val="clear" w:color="auto" w:fill="auto"/>
            <w:vAlign w:val="center"/>
          </w:tcPr>
          <w:p w14:paraId="3C38BD83">
            <w:pPr>
              <w:rPr>
                <w:rFonts w:hint="eastAsia" w:ascii="宋体" w:hAnsi="宋体" w:eastAsia="宋体" w:cs="宋体"/>
                <w:i w:val="0"/>
                <w:iCs w:val="0"/>
                <w:color w:val="000000"/>
                <w:sz w:val="18"/>
                <w:szCs w:val="18"/>
                <w:u w:val="none"/>
              </w:rPr>
            </w:pPr>
          </w:p>
        </w:tc>
        <w:tc>
          <w:tcPr>
            <w:tcW w:w="1750" w:type="dxa"/>
            <w:tcBorders>
              <w:top w:val="nil"/>
              <w:left w:val="nil"/>
              <w:bottom w:val="nil"/>
              <w:right w:val="nil"/>
            </w:tcBorders>
            <w:shd w:val="clear" w:color="auto" w:fill="auto"/>
            <w:vAlign w:val="center"/>
          </w:tcPr>
          <w:p w14:paraId="617BA9C2">
            <w:pPr>
              <w:rPr>
                <w:rFonts w:hint="eastAsia" w:ascii="宋体" w:hAnsi="宋体" w:eastAsia="宋体" w:cs="宋体"/>
                <w:i w:val="0"/>
                <w:iCs w:val="0"/>
                <w:color w:val="000000"/>
                <w:sz w:val="18"/>
                <w:szCs w:val="18"/>
                <w:u w:val="none"/>
              </w:rPr>
            </w:pPr>
          </w:p>
        </w:tc>
        <w:tc>
          <w:tcPr>
            <w:tcW w:w="1653" w:type="dxa"/>
            <w:tcBorders>
              <w:top w:val="nil"/>
              <w:left w:val="nil"/>
              <w:bottom w:val="nil"/>
              <w:right w:val="nil"/>
            </w:tcBorders>
            <w:shd w:val="clear" w:color="auto" w:fill="auto"/>
            <w:vAlign w:val="center"/>
          </w:tcPr>
          <w:p w14:paraId="5E3A614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1C3AB55">
            <w:pPr>
              <w:rPr>
                <w:rFonts w:hint="eastAsia" w:ascii="宋体" w:hAnsi="宋体" w:eastAsia="宋体" w:cs="宋体"/>
                <w:i w:val="0"/>
                <w:iCs w:val="0"/>
                <w:color w:val="000000"/>
                <w:sz w:val="18"/>
                <w:szCs w:val="18"/>
                <w:u w:val="none"/>
              </w:rPr>
            </w:pPr>
          </w:p>
        </w:tc>
        <w:tc>
          <w:tcPr>
            <w:tcW w:w="1654" w:type="dxa"/>
            <w:tcBorders>
              <w:top w:val="nil"/>
              <w:left w:val="nil"/>
              <w:bottom w:val="nil"/>
              <w:right w:val="nil"/>
            </w:tcBorders>
            <w:shd w:val="clear" w:color="auto" w:fill="auto"/>
            <w:vAlign w:val="center"/>
          </w:tcPr>
          <w:p w14:paraId="61278C1E">
            <w:pPr>
              <w:rPr>
                <w:rFonts w:hint="eastAsia" w:ascii="宋体" w:hAnsi="宋体" w:eastAsia="宋体" w:cs="宋体"/>
                <w:i w:val="0"/>
                <w:iCs w:val="0"/>
                <w:color w:val="000000"/>
                <w:sz w:val="18"/>
                <w:szCs w:val="18"/>
                <w:u w:val="none"/>
              </w:rPr>
            </w:pPr>
          </w:p>
        </w:tc>
        <w:tc>
          <w:tcPr>
            <w:tcW w:w="266" w:type="dxa"/>
            <w:tcBorders>
              <w:top w:val="nil"/>
              <w:left w:val="nil"/>
              <w:bottom w:val="nil"/>
              <w:right w:val="nil"/>
            </w:tcBorders>
            <w:shd w:val="clear" w:color="auto" w:fill="auto"/>
            <w:vAlign w:val="center"/>
          </w:tcPr>
          <w:p w14:paraId="4BF34423">
            <w:pPr>
              <w:rPr>
                <w:rFonts w:hint="eastAsia" w:ascii="宋体" w:hAnsi="宋体" w:eastAsia="宋体" w:cs="宋体"/>
                <w:i w:val="0"/>
                <w:iCs w:val="0"/>
                <w:color w:val="000000"/>
                <w:sz w:val="18"/>
                <w:szCs w:val="18"/>
                <w:u w:val="none"/>
              </w:rPr>
            </w:pPr>
          </w:p>
        </w:tc>
        <w:tc>
          <w:tcPr>
            <w:tcW w:w="1338" w:type="dxa"/>
            <w:tcBorders>
              <w:top w:val="nil"/>
              <w:left w:val="nil"/>
              <w:bottom w:val="nil"/>
              <w:right w:val="nil"/>
            </w:tcBorders>
            <w:shd w:val="clear" w:color="auto" w:fill="auto"/>
            <w:vAlign w:val="center"/>
          </w:tcPr>
          <w:p w14:paraId="39E548E2">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89F6FCB">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14:paraId="1FA8E59A">
            <w:pPr>
              <w:rPr>
                <w:rFonts w:hint="eastAsia" w:ascii="宋体" w:hAnsi="宋体" w:eastAsia="宋体" w:cs="宋体"/>
                <w:i w:val="0"/>
                <w:iCs w:val="0"/>
                <w:color w:val="000000"/>
                <w:sz w:val="18"/>
                <w:szCs w:val="18"/>
                <w:u w:val="none"/>
              </w:rPr>
            </w:pPr>
          </w:p>
        </w:tc>
        <w:tc>
          <w:tcPr>
            <w:tcW w:w="2522" w:type="dxa"/>
            <w:tcBorders>
              <w:top w:val="nil"/>
              <w:left w:val="nil"/>
              <w:bottom w:val="nil"/>
              <w:right w:val="nil"/>
            </w:tcBorders>
            <w:shd w:val="clear" w:color="auto" w:fill="auto"/>
            <w:vAlign w:val="center"/>
          </w:tcPr>
          <w:p w14:paraId="46E4DDF4">
            <w:pPr>
              <w:rPr>
                <w:rFonts w:hint="eastAsia" w:ascii="宋体" w:hAnsi="宋体" w:eastAsia="宋体" w:cs="宋体"/>
                <w:i w:val="0"/>
                <w:iCs w:val="0"/>
                <w:color w:val="000000"/>
                <w:sz w:val="18"/>
                <w:szCs w:val="18"/>
                <w:u w:val="none"/>
              </w:rPr>
            </w:pPr>
          </w:p>
        </w:tc>
      </w:tr>
    </w:tbl>
    <w:p w14:paraId="60DA63A6">
      <w:pPr>
        <w:keepNext w:val="0"/>
        <w:keepLines w:val="0"/>
        <w:pageBreakBefore w:val="0"/>
        <w:kinsoku/>
        <w:wordWrap/>
        <w:overflowPunct/>
        <w:topLinePunct w:val="0"/>
        <w:autoSpaceDE/>
        <w:autoSpaceDN/>
        <w:bidi w:val="0"/>
        <w:spacing w:line="572" w:lineRule="exact"/>
        <w:jc w:val="left"/>
        <w:textAlignment w:val="auto"/>
        <w:outlineLvl w:val="0"/>
        <w:rPr>
          <w:rStyle w:val="37"/>
          <w:rFonts w:hint="eastAsia" w:ascii="黑体" w:hAnsi="黑体" w:eastAsia="黑体"/>
          <w:b w:val="0"/>
          <w:color w:val="auto"/>
          <w:highlight w:val="none"/>
        </w:rPr>
      </w:pPr>
      <w:r>
        <w:rPr>
          <w:rStyle w:val="37"/>
          <w:rFonts w:hint="eastAsia" w:ascii="黑体" w:hAnsi="黑体" w:eastAsia="黑体"/>
          <w:b w:val="0"/>
          <w:color w:val="auto"/>
          <w:highlight w:val="none"/>
        </w:rPr>
        <w:br w:type="page"/>
      </w: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7"/>
          <w:rFonts w:hint="eastAsia" w:ascii="黑体" w:hAnsi="黑体" w:eastAsia="黑体"/>
          <w:b w:val="0"/>
          <w:color w:val="auto"/>
          <w:highlight w:val="none"/>
        </w:rPr>
        <w:t>第五部分 附表</w:t>
      </w:r>
      <w:bookmarkEnd w:id="74"/>
      <w:bookmarkEnd w:id="75"/>
      <w:bookmarkEnd w:id="76"/>
      <w:bookmarkEnd w:id="77"/>
    </w:p>
    <w:p w14:paraId="39407B2D">
      <w:pPr>
        <w:pStyle w:val="4"/>
        <w:ind w:firstLine="640" w:firstLineChars="200"/>
        <w:rPr>
          <w:rFonts w:hint="eastAsia" w:ascii="仿宋" w:hAnsi="仿宋" w:eastAsia="仿宋" w:cs="仿宋"/>
          <w:b w:val="0"/>
          <w:bCs/>
          <w:color w:val="000000"/>
        </w:rPr>
      </w:pPr>
      <w:bookmarkStart w:id="78" w:name="_Toc16431"/>
      <w:r>
        <w:rPr>
          <w:rFonts w:hint="eastAsia" w:ascii="仿宋" w:hAnsi="仿宋" w:eastAsia="仿宋" w:cs="仿宋"/>
          <w:b w:val="0"/>
          <w:bCs/>
          <w:color w:val="000000"/>
        </w:rPr>
        <w:t>一、收入支出决算总表</w:t>
      </w:r>
      <w:bookmarkEnd w:id="78"/>
    </w:p>
    <w:p w14:paraId="2B7DC4AC">
      <w:pPr>
        <w:pStyle w:val="4"/>
        <w:ind w:firstLine="640" w:firstLineChars="200"/>
        <w:rPr>
          <w:rFonts w:hint="eastAsia" w:ascii="仿宋" w:hAnsi="仿宋" w:eastAsia="仿宋" w:cs="仿宋"/>
          <w:b w:val="0"/>
          <w:bCs/>
          <w:color w:val="000000"/>
        </w:rPr>
      </w:pPr>
      <w:bookmarkStart w:id="79" w:name="_Toc25389"/>
      <w:r>
        <w:rPr>
          <w:rFonts w:hint="eastAsia" w:ascii="仿宋" w:hAnsi="仿宋" w:eastAsia="仿宋" w:cs="仿宋"/>
          <w:b w:val="0"/>
          <w:bCs/>
          <w:color w:val="000000"/>
        </w:rPr>
        <w:t>二、收入决算表</w:t>
      </w:r>
      <w:bookmarkEnd w:id="79"/>
    </w:p>
    <w:p w14:paraId="7858E927">
      <w:pPr>
        <w:pStyle w:val="4"/>
        <w:ind w:firstLine="640" w:firstLineChars="200"/>
        <w:rPr>
          <w:rFonts w:hint="eastAsia" w:ascii="仿宋" w:hAnsi="仿宋" w:eastAsia="仿宋" w:cs="仿宋"/>
          <w:b w:val="0"/>
          <w:bCs/>
          <w:color w:val="000000"/>
        </w:rPr>
      </w:pPr>
      <w:bookmarkStart w:id="80" w:name="_Toc10450"/>
      <w:r>
        <w:rPr>
          <w:rFonts w:hint="eastAsia" w:ascii="仿宋" w:hAnsi="仿宋" w:eastAsia="仿宋" w:cs="仿宋"/>
          <w:b w:val="0"/>
          <w:bCs/>
          <w:color w:val="000000"/>
        </w:rPr>
        <w:t>三、支出决算表</w:t>
      </w:r>
      <w:bookmarkEnd w:id="80"/>
    </w:p>
    <w:p w14:paraId="31EC7FA5">
      <w:pPr>
        <w:pStyle w:val="4"/>
        <w:ind w:firstLine="640" w:firstLineChars="200"/>
        <w:rPr>
          <w:rFonts w:hint="eastAsia" w:ascii="仿宋" w:hAnsi="仿宋" w:eastAsia="仿宋" w:cs="仿宋"/>
          <w:b w:val="0"/>
          <w:bCs/>
          <w:color w:val="000000"/>
        </w:rPr>
      </w:pPr>
      <w:bookmarkStart w:id="81" w:name="_Toc15415"/>
      <w:r>
        <w:rPr>
          <w:rFonts w:hint="eastAsia" w:ascii="仿宋" w:hAnsi="仿宋" w:eastAsia="仿宋" w:cs="仿宋"/>
          <w:b w:val="0"/>
          <w:bCs/>
          <w:color w:val="000000"/>
        </w:rPr>
        <w:t>四、财政拨款收入支出决算总表</w:t>
      </w:r>
      <w:bookmarkEnd w:id="81"/>
    </w:p>
    <w:p w14:paraId="4A2F30BB">
      <w:pPr>
        <w:pStyle w:val="4"/>
        <w:ind w:firstLine="640" w:firstLineChars="200"/>
        <w:rPr>
          <w:rFonts w:hint="eastAsia" w:ascii="仿宋" w:hAnsi="仿宋" w:eastAsia="仿宋" w:cs="仿宋"/>
          <w:b w:val="0"/>
          <w:bCs/>
          <w:color w:val="000000"/>
        </w:rPr>
      </w:pPr>
      <w:bookmarkStart w:id="82" w:name="_Toc17530"/>
      <w:r>
        <w:rPr>
          <w:rFonts w:hint="eastAsia" w:ascii="仿宋" w:hAnsi="仿宋" w:eastAsia="仿宋" w:cs="仿宋"/>
          <w:b w:val="0"/>
          <w:bCs/>
          <w:color w:val="000000"/>
        </w:rPr>
        <w:t>五、财政拨款支出决算明细表</w:t>
      </w:r>
      <w:bookmarkEnd w:id="82"/>
    </w:p>
    <w:p w14:paraId="712C880D">
      <w:pPr>
        <w:pStyle w:val="4"/>
        <w:ind w:firstLine="640" w:firstLineChars="200"/>
        <w:rPr>
          <w:rFonts w:hint="eastAsia" w:ascii="仿宋" w:hAnsi="仿宋" w:eastAsia="仿宋" w:cs="仿宋"/>
          <w:b w:val="0"/>
          <w:bCs/>
          <w:color w:val="000000"/>
        </w:rPr>
      </w:pPr>
      <w:bookmarkStart w:id="83" w:name="_Toc22032"/>
      <w:r>
        <w:rPr>
          <w:rFonts w:hint="eastAsia" w:ascii="仿宋" w:hAnsi="仿宋" w:eastAsia="仿宋" w:cs="仿宋"/>
          <w:b w:val="0"/>
          <w:bCs/>
          <w:color w:val="000000"/>
        </w:rPr>
        <w:t>六、一般公共预算财政拨款支出决算表</w:t>
      </w:r>
      <w:bookmarkEnd w:id="83"/>
    </w:p>
    <w:p w14:paraId="51429EF5">
      <w:pPr>
        <w:pStyle w:val="4"/>
        <w:ind w:firstLine="640" w:firstLineChars="200"/>
        <w:rPr>
          <w:rFonts w:hint="eastAsia" w:ascii="仿宋" w:hAnsi="仿宋" w:eastAsia="仿宋" w:cs="仿宋"/>
          <w:b w:val="0"/>
          <w:bCs/>
          <w:color w:val="000000"/>
        </w:rPr>
      </w:pPr>
      <w:bookmarkStart w:id="84" w:name="_Toc3364"/>
      <w:r>
        <w:rPr>
          <w:rFonts w:hint="eastAsia" w:ascii="仿宋" w:hAnsi="仿宋" w:eastAsia="仿宋" w:cs="仿宋"/>
          <w:b w:val="0"/>
          <w:bCs/>
          <w:color w:val="000000"/>
        </w:rPr>
        <w:t>七、一般公共预算财政拨款支出决算明细表</w:t>
      </w:r>
      <w:bookmarkEnd w:id="84"/>
    </w:p>
    <w:p w14:paraId="672B9B4D">
      <w:pPr>
        <w:pStyle w:val="4"/>
        <w:ind w:firstLine="640" w:firstLineChars="200"/>
        <w:rPr>
          <w:rFonts w:hint="eastAsia" w:ascii="仿宋" w:hAnsi="仿宋" w:eastAsia="仿宋" w:cs="仿宋"/>
          <w:b w:val="0"/>
          <w:bCs/>
          <w:color w:val="000000"/>
        </w:rPr>
      </w:pPr>
      <w:bookmarkStart w:id="85" w:name="_Toc9110"/>
      <w:r>
        <w:rPr>
          <w:rFonts w:hint="eastAsia" w:ascii="仿宋" w:hAnsi="仿宋" w:eastAsia="仿宋" w:cs="仿宋"/>
          <w:b w:val="0"/>
          <w:bCs/>
          <w:color w:val="000000"/>
        </w:rPr>
        <w:t>八、一般公共预算财政拨款基本支出决算表</w:t>
      </w:r>
      <w:bookmarkEnd w:id="85"/>
    </w:p>
    <w:p w14:paraId="2002A273">
      <w:pPr>
        <w:pStyle w:val="4"/>
        <w:ind w:firstLine="640" w:firstLineChars="200"/>
        <w:rPr>
          <w:rFonts w:hint="eastAsia" w:ascii="仿宋" w:hAnsi="仿宋" w:eastAsia="仿宋" w:cs="仿宋"/>
          <w:b w:val="0"/>
          <w:bCs/>
          <w:color w:val="000000"/>
        </w:rPr>
      </w:pPr>
      <w:bookmarkStart w:id="86" w:name="_Toc28582"/>
      <w:r>
        <w:rPr>
          <w:rFonts w:hint="eastAsia" w:ascii="仿宋" w:hAnsi="仿宋" w:eastAsia="仿宋" w:cs="仿宋"/>
          <w:b w:val="0"/>
          <w:bCs/>
          <w:color w:val="000000"/>
        </w:rPr>
        <w:t>九、一般公共预算财政拨款项目支出决算表</w:t>
      </w:r>
      <w:bookmarkEnd w:id="86"/>
    </w:p>
    <w:p w14:paraId="0A36D281">
      <w:pPr>
        <w:pStyle w:val="4"/>
        <w:ind w:firstLine="640" w:firstLineChars="200"/>
        <w:rPr>
          <w:rFonts w:hint="eastAsia" w:ascii="仿宋" w:hAnsi="仿宋" w:eastAsia="仿宋" w:cs="仿宋"/>
          <w:b w:val="0"/>
          <w:bCs/>
          <w:color w:val="000000"/>
        </w:rPr>
      </w:pPr>
      <w:bookmarkStart w:id="87" w:name="_Toc22001"/>
      <w:r>
        <w:rPr>
          <w:rFonts w:hint="eastAsia" w:ascii="仿宋" w:hAnsi="仿宋" w:eastAsia="仿宋" w:cs="仿宋"/>
          <w:b w:val="0"/>
          <w:bCs/>
          <w:color w:val="000000"/>
        </w:rPr>
        <w:t>十、政府性基金预算财政拨款收入支出决算表</w:t>
      </w:r>
      <w:bookmarkEnd w:id="87"/>
    </w:p>
    <w:p w14:paraId="0BD12BAB">
      <w:pPr>
        <w:pStyle w:val="4"/>
        <w:ind w:firstLine="640" w:firstLineChars="200"/>
        <w:rPr>
          <w:rFonts w:hint="eastAsia" w:ascii="仿宋" w:hAnsi="仿宋" w:eastAsia="仿宋" w:cs="仿宋"/>
          <w:b w:val="0"/>
          <w:bCs/>
          <w:color w:val="000000"/>
        </w:rPr>
      </w:pPr>
      <w:bookmarkStart w:id="88" w:name="_Toc6538"/>
      <w:r>
        <w:rPr>
          <w:rFonts w:hint="eastAsia" w:ascii="仿宋" w:hAnsi="仿宋" w:eastAsia="仿宋" w:cs="仿宋"/>
          <w:b w:val="0"/>
          <w:bCs/>
          <w:color w:val="000000"/>
        </w:rPr>
        <w:t>十一、国有资本经营预算财政拨款收入支出决算表</w:t>
      </w:r>
      <w:bookmarkEnd w:id="88"/>
    </w:p>
    <w:p w14:paraId="124CF2DF">
      <w:pPr>
        <w:pStyle w:val="4"/>
        <w:ind w:firstLine="640" w:firstLineChars="200"/>
        <w:rPr>
          <w:rFonts w:hint="eastAsia" w:ascii="仿宋" w:hAnsi="仿宋" w:eastAsia="仿宋" w:cs="仿宋"/>
          <w:b w:val="0"/>
          <w:bCs/>
          <w:color w:val="000000"/>
        </w:rPr>
      </w:pPr>
      <w:bookmarkStart w:id="89" w:name="_Toc10625"/>
      <w:r>
        <w:rPr>
          <w:rFonts w:hint="eastAsia" w:ascii="仿宋" w:hAnsi="仿宋" w:eastAsia="仿宋" w:cs="仿宋"/>
          <w:b w:val="0"/>
          <w:bCs/>
          <w:color w:val="000000"/>
        </w:rPr>
        <w:t>十二、国有资本经营预算财政拨款支出决算表</w:t>
      </w:r>
      <w:bookmarkEnd w:id="89"/>
    </w:p>
    <w:p w14:paraId="39A925A5">
      <w:pPr>
        <w:pStyle w:val="4"/>
        <w:ind w:firstLine="640" w:firstLineChars="200"/>
        <w:rPr>
          <w:rFonts w:hint="eastAsia" w:ascii="仿宋" w:hAnsi="仿宋" w:eastAsia="仿宋" w:cs="仿宋"/>
          <w:b w:val="0"/>
          <w:bCs/>
          <w:color w:val="000000"/>
        </w:rPr>
      </w:pPr>
      <w:bookmarkStart w:id="90" w:name="_Toc28356"/>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AF8ED4-9B74-4C25-B25F-DBEB9E5864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2876E2C-A9FC-4E0D-92E5-3B44BCC8C3AC}"/>
  </w:font>
  <w:font w:name="仿宋">
    <w:panose1 w:val="02010609060101010101"/>
    <w:charset w:val="86"/>
    <w:family w:val="modern"/>
    <w:pitch w:val="default"/>
    <w:sig w:usb0="800002BF" w:usb1="38CF7CFA" w:usb2="00000016" w:usb3="00000000" w:csb0="00040001" w:csb1="00000000"/>
    <w:embedRegular r:id="rId3" w:fontKey="{B7314033-31E0-4261-9DBD-3185C4E66D76}"/>
  </w:font>
  <w:font w:name="思源黑体 CN Normal">
    <w:altName w:val="黑体"/>
    <w:panose1 w:val="020B0400000000000000"/>
    <w:charset w:val="86"/>
    <w:family w:val="auto"/>
    <w:pitch w:val="default"/>
    <w:sig w:usb0="00000000" w:usb1="00000000" w:usb2="00000016" w:usb3="00000000" w:csb0="60060107" w:csb1="00000000"/>
    <w:embedRegular r:id="rId4" w:fontKey="{F720C536-4BCD-495C-A9E8-969BE1614231}"/>
  </w:font>
  <w:font w:name="方正小标宋简体">
    <w:panose1 w:val="03000509000000000000"/>
    <w:charset w:val="86"/>
    <w:family w:val="auto"/>
    <w:pitch w:val="default"/>
    <w:sig w:usb0="00000001" w:usb1="080E0000" w:usb2="00000000" w:usb3="00000000" w:csb0="00040000" w:csb1="00000000"/>
    <w:embedRegular r:id="rId5" w:fontKey="{4FA1441F-3D0C-4970-B180-8AEBFE3514F1}"/>
  </w:font>
  <w:font w:name="楷体">
    <w:panose1 w:val="02010609060101010101"/>
    <w:charset w:val="86"/>
    <w:family w:val="auto"/>
    <w:pitch w:val="default"/>
    <w:sig w:usb0="800002BF" w:usb1="38CF7CFA" w:usb2="00000016" w:usb3="00000000" w:csb0="00040001" w:csb1="00000000"/>
    <w:embedRegular r:id="rId6" w:fontKey="{DD15778E-113E-47C1-B867-AB14A972010C}"/>
  </w:font>
  <w:font w:name="微软雅黑">
    <w:panose1 w:val="020B0503020204020204"/>
    <w:charset w:val="86"/>
    <w:family w:val="auto"/>
    <w:pitch w:val="default"/>
    <w:sig w:usb0="80000287" w:usb1="280F3C52" w:usb2="00000016" w:usb3="00000000" w:csb0="0004001F" w:csb1="00000000"/>
    <w:embedRegular r:id="rId7" w:fontKey="{94C2CB4C-2559-47B1-A9D4-A91BFF98BC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3"/>
      <w:jc w:val="center"/>
    </w:pPr>
  </w:p>
  <w:p w14:paraId="400921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v:textbox>
            </v:shape>
          </w:pict>
        </mc:Fallback>
      </mc:AlternateContent>
    </w:r>
  </w:p>
  <w:p w14:paraId="6AA3FF4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FE497"/>
    <w:multiLevelType w:val="singleLevel"/>
    <w:tmpl w:val="B36FE49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C8E"/>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4F97310"/>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C072FD8"/>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6F35F2E"/>
    <w:rsid w:val="271C5A93"/>
    <w:rsid w:val="276F1834"/>
    <w:rsid w:val="27B459F9"/>
    <w:rsid w:val="27C51E91"/>
    <w:rsid w:val="27F12888"/>
    <w:rsid w:val="280173B2"/>
    <w:rsid w:val="28513369"/>
    <w:rsid w:val="28BF6D42"/>
    <w:rsid w:val="28C822A0"/>
    <w:rsid w:val="292E058E"/>
    <w:rsid w:val="29FD04D3"/>
    <w:rsid w:val="2C1E1BB4"/>
    <w:rsid w:val="2CAE1BBE"/>
    <w:rsid w:val="2CCF04B2"/>
    <w:rsid w:val="2DF079DB"/>
    <w:rsid w:val="2E4C04E0"/>
    <w:rsid w:val="2E67588F"/>
    <w:rsid w:val="2F803D16"/>
    <w:rsid w:val="2FF22B1D"/>
    <w:rsid w:val="3007473F"/>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315173"/>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DCD154A"/>
    <w:rsid w:val="3E03620E"/>
    <w:rsid w:val="3E343C22"/>
    <w:rsid w:val="3F512FA9"/>
    <w:rsid w:val="3F7C601F"/>
    <w:rsid w:val="3FAC4683"/>
    <w:rsid w:val="3FEA5DFB"/>
    <w:rsid w:val="40035B02"/>
    <w:rsid w:val="401C35B7"/>
    <w:rsid w:val="40EA7211"/>
    <w:rsid w:val="4119235A"/>
    <w:rsid w:val="41677310"/>
    <w:rsid w:val="41CE408C"/>
    <w:rsid w:val="422C2C46"/>
    <w:rsid w:val="4251506E"/>
    <w:rsid w:val="42B75819"/>
    <w:rsid w:val="43684120"/>
    <w:rsid w:val="444F07DA"/>
    <w:rsid w:val="44601E28"/>
    <w:rsid w:val="46C07A31"/>
    <w:rsid w:val="472E4611"/>
    <w:rsid w:val="475E72DC"/>
    <w:rsid w:val="47F514AF"/>
    <w:rsid w:val="4839282C"/>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7A8685A"/>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3"/>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8"/>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autoRedefine/>
    <w:semiHidden/>
    <w:qFormat/>
    <w:uiPriority w:val="99"/>
    <w:rPr>
      <w:rFonts w:ascii="Times New Roman" w:hAnsi="Times New Roman"/>
      <w:kern w:val="2"/>
      <w:sz w:val="18"/>
      <w:szCs w:val="18"/>
    </w:rPr>
  </w:style>
  <w:style w:type="character" w:customStyle="1" w:styleId="36">
    <w:name w:val="标题 3 字符"/>
    <w:basedOn w:val="20"/>
    <w:link w:val="5"/>
    <w:autoRedefine/>
    <w:qFormat/>
    <w:uiPriority w:val="9"/>
    <w:rPr>
      <w:rFonts w:ascii="Times New Roman" w:hAnsi="Times New Roman"/>
      <w:b/>
      <w:bCs/>
      <w:kern w:val="2"/>
      <w:sz w:val="32"/>
      <w:szCs w:val="32"/>
    </w:rPr>
  </w:style>
  <w:style w:type="character" w:customStyle="1" w:styleId="37">
    <w:name w:val="标题 1 Char"/>
    <w:basedOn w:val="20"/>
    <w:link w:val="3"/>
    <w:qFormat/>
    <w:uiPriority w:val="9"/>
    <w:rPr>
      <w:b/>
      <w:bCs/>
      <w:kern w:val="44"/>
      <w:sz w:val="44"/>
      <w:szCs w:val="44"/>
    </w:rPr>
  </w:style>
  <w:style w:type="character" w:customStyle="1" w:styleId="38">
    <w:name w:val="font51"/>
    <w:basedOn w:val="20"/>
    <w:qFormat/>
    <w:uiPriority w:val="0"/>
    <w:rPr>
      <w:rFonts w:ascii="宋体" w:hAnsi="宋体" w:eastAsia="宋体" w:cs="宋体"/>
      <w:b/>
      <w:bCs/>
      <w:color w:val="000000"/>
      <w:sz w:val="22"/>
      <w:szCs w:val="22"/>
      <w:u w:val="none"/>
    </w:rPr>
  </w:style>
  <w:style w:type="character" w:customStyle="1" w:styleId="39">
    <w:name w:val="font31"/>
    <w:basedOn w:val="20"/>
    <w:qFormat/>
    <w:uiPriority w:val="0"/>
    <w:rPr>
      <w:rFonts w:ascii="宋体" w:hAnsi="宋体" w:eastAsia="宋体" w:cs="宋体"/>
      <w:color w:val="000000"/>
      <w:sz w:val="12"/>
      <w:szCs w:val="12"/>
      <w:u w:val="none"/>
    </w:rPr>
  </w:style>
  <w:style w:type="character" w:customStyle="1" w:styleId="40">
    <w:name w:val="font61"/>
    <w:basedOn w:val="20"/>
    <w:qFormat/>
    <w:uiPriority w:val="0"/>
    <w:rPr>
      <w:rFonts w:ascii="宋体" w:hAnsi="宋体" w:eastAsia="宋体" w:cs="宋体"/>
      <w:color w:val="000000"/>
      <w:sz w:val="10"/>
      <w:szCs w:val="10"/>
      <w:u w:val="none"/>
    </w:rPr>
  </w:style>
  <w:style w:type="character" w:customStyle="1" w:styleId="41">
    <w:name w:val="font71"/>
    <w:basedOn w:val="20"/>
    <w:qFormat/>
    <w:uiPriority w:val="0"/>
    <w:rPr>
      <w:rFonts w:ascii="宋体" w:hAnsi="宋体" w:eastAsia="宋体" w:cs="宋体"/>
      <w:color w:val="40403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收、支决算总计变动情况图</a:t>
            </a:r>
            <a:endParaRPr lang="en-US" sz="126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{519.13,137.87}</c:f>
              <c:numCache>
                <c:formatCode>General</c:formatCode>
                <c:ptCount val="2"/>
                <c:pt idx="0">
                  <c:v>519.13</c:v>
                </c:pt>
                <c:pt idx="1">
                  <c:v>137.87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单位：万元</a:t>
                </a:r>
                <a:endParaRPr lang="en-US" sz="105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105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 </a:t>
                </a:r>
                <a:endParaRPr lang="en-US" sz="105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1050" b="0" i="0" u="none" strike="noStrike" kern="1200" baseline="0">
                <a:solidFill>
                  <a:schemeClr val="dk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sz="105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收入决算结构图</a:t>
            </a:r>
            <a:endParaRPr lang="en-US" sz="1260"/>
          </a:p>
        </c:rich>
      </c:tx>
      <c:layout/>
      <c:overlay val="0"/>
    </c:title>
    <c:autoTitleDeleted val="0"/>
    <c:plotArea>
      <c:layout/>
      <c:pieChart>
        <c:varyColors val="1"/>
        <c:ser>
          <c:idx val="1"/>
          <c:order val="0"/>
          <c:explosion val="0"/>
          <c:dPt>
            <c:idx val="0"/>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{137.87}</c:f>
              <c:numCache>
                <c:formatCode>General</c:formatCode>
                <c:ptCount val="1"/>
                <c:pt idx="0">
                  <c:v>137.87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50" b="0" i="0" u="none" strike="noStrike" kern="1200" baseline="0">
                <a:solidFill>
                  <a:schemeClr val="dk1">
                    <a:lumMod val="75000"/>
                    <a:lumOff val="25000"/>
                  </a:schemeClr>
                </a:solidFill>
                <a:latin typeface="+mn-lt"/>
                <a:ea typeface="+mn-ea"/>
                <a:cs typeface="+mn-cs"/>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05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sz="105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{114.84,23.02}</c:f>
              <c:numCache>
                <c:formatCode>General</c:formatCode>
                <c:ptCount val="2"/>
                <c:pt idx="0">
                  <c:v>114.84</c:v>
                </c:pt>
                <c:pt idx="1">
                  <c:v>23.02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60" b="1" i="0" u="none" strike="noStrike" kern="1200" baseline="0">
                <a:solidFill>
                  <a:schemeClr val="tx2"/>
                </a:solidFill>
                <a:latin typeface="+mn-lt"/>
                <a:ea typeface="+mn-ea"/>
                <a:cs typeface="+mn-cs"/>
              </a:defRPr>
            </a:pPr>
            <a:r>
              <a:rPr lang="en-US" altLang="zh-CN" sz="1260"/>
              <a:t>财政拨款收、支决算总计变动情况</a:t>
            </a:r>
            <a:endParaRPr lang="en-US" altLang="zh-CN" sz="1260"/>
          </a:p>
        </c:rich>
      </c:tx>
      <c:layout>
        <c:manualLayout>
          <c:xMode val="edge"/>
          <c:yMode val="edge"/>
          <c:x val="0.18502230720204"/>
          <c:y val="0.0192192192192192"/>
        </c:manualLayout>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{519.13,137.87}</c:f>
              <c:numCache>
                <c:formatCode>General</c:formatCode>
                <c:ptCount val="2"/>
                <c:pt idx="0">
                  <c:v>519.13</c:v>
                </c:pt>
                <c:pt idx="1">
                  <c:v>137.87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单位：万元</a:t>
                </a:r>
                <a:endParaRPr lang="en-US" sz="105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 </a:t>
                </a:r>
                <a:endParaRPr lang="en-US" sz="105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{519.13}</c:f>
              <c:numCache>
                <c:formatCode>General</c:formatCode>
                <c:ptCount val="1"/>
                <c:pt idx="0">
                  <c:v>519.13</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{137.87}</c:f>
              <c:numCache>
                <c:formatCode>General</c:formatCode>
                <c:ptCount val="1"/>
                <c:pt idx="0">
                  <c:v>137.87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一般公共预算财政拨款支出</a:t>
            </a:r>
            <a:endParaRPr lang="en-US" sz="126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{"社会保障和就业支出","卫生健康支出","农林水支出","交通运输支出","住房保障支出"}</c:f>
              <c:strCache>
                <c:ptCount val="5"/>
                <c:pt idx="0">
                  <c:v>社会保障和就业支出</c:v>
                </c:pt>
                <c:pt idx="1">
                  <c:v>卫生健康支出</c:v>
                </c:pt>
                <c:pt idx="2">
                  <c:v>农林水支出</c:v>
                </c:pt>
                <c:pt idx="3">
                  <c:v>交通运输支出</c:v>
                </c:pt>
                <c:pt idx="4">
                  <c:v>住房保障支出</c:v>
                </c:pt>
              </c:strCache>
            </c:strRef>
          </c:cat>
          <c:val>
            <c:numRef>
              <c:f>{13.42,6.9,23.02,85.27,9.25}</c:f>
              <c:numCache>
                <c:formatCode>General</c:formatCode>
                <c:ptCount val="5"/>
                <c:pt idx="0">
                  <c:v>13.42</c:v>
                </c:pt>
                <c:pt idx="1">
                  <c:v>6.9</c:v>
                </c:pt>
                <c:pt idx="2">
                  <c:v>23.02</c:v>
                </c:pt>
                <c:pt idx="3">
                  <c:v>85.27</c:v>
                </c:pt>
                <c:pt idx="4">
                  <c:v>9.25</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0552e2-769c-4caa-9419-c8327308f8d9}"/>
      </c:ext>
    </c:extLst>
  </c:chart>
  <c:txPr>
    <a:bodyPr/>
    <a:lstStyle/>
    <a:p>
      <a:pPr>
        <a:defRPr lang="zh-CN" sz="105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050"/>
              <a:t>"三公"经费</a:t>
            </a:r>
            <a:endParaRPr lang="en-US" sz="105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{0,4,0}</c:f>
              <c:numCache>
                <c:formatCode>General</c:formatCode>
                <c:ptCount val="3"/>
                <c:pt idx="0">
                  <c:v>0</c:v>
                </c:pt>
                <c:pt idx="1">
                  <c:v>4</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c7f3fb-64f9-4c45-9ac8-a841c7b3b8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5920</Words>
  <Characters>6634</Characters>
  <Lines>48</Lines>
  <Paragraphs>13</Paragraphs>
  <TotalTime>13</TotalTime>
  <ScaleCrop>false</ScaleCrop>
  <LinksUpToDate>false</LinksUpToDate>
  <CharactersWithSpaces>6760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sugar</cp:lastModifiedBy>
  <cp:lastPrinted>2021-09-26T08:39:00Z</cp:lastPrinted>
  <dcterms:modified xsi:type="dcterms:W3CDTF">2025-10-13T06:24:29Z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1EAE27AA5CFB42E8BC9DED821D315108_13</vt:lpwstr>
  </property>
  <property fmtid="{D5CDD505-2E9C-101B-9397-08002B2CF9AE}" pid="4" name="KSOTemplateDocerSaveRecord">
    <vt:lpwstr>eyJoZGlkIjoiMjMzYjE2ODUyNmI5NmZlZDY4NmZhZjBkYzExMmZmNzYiLCJ1c2VySWQiOiI3OTkzMjg5MDQifQ==</vt:lpwstr>
  </property>
</Properties>
</file>