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193"/>
      <w:bookmarkStart w:id="1" w:name="_Toc15378441"/>
      <w:bookmarkStart w:id="2" w:name="_Toc15377425"/>
      <w:bookmarkStart w:id="3" w:name="_Toc15396475"/>
      <w:bookmarkStart w:id="4" w:name="_Toc15396597"/>
      <w:bookmarkStart w:id="5" w:name="_Toc15306267"/>
    </w:p>
    <w:p>
      <w:pPr>
        <w:pStyle w:val="6"/>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center"/>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2024</w:t>
      </w:r>
      <w:r>
        <w:rPr>
          <w:rFonts w:ascii="黑体" w:hAnsi="黑体" w:eastAsia="黑体" w:cs="黑体"/>
          <w:color w:val="000000"/>
          <w:sz w:val="44"/>
          <w:u w:color="auto"/>
        </w:rPr>
        <w:t>年度</w:t>
      </w:r>
      <w:bookmarkEnd w:id="0"/>
      <w:bookmarkEnd w:id="1"/>
      <w:bookmarkEnd w:id="2"/>
      <w:bookmarkEnd w:id="3"/>
      <w:bookmarkEnd w:id="4"/>
    </w:p>
    <w:bookmarkEnd w:id="5"/>
    <w:p>
      <w:pPr>
        <w:jc w:val="center"/>
        <w:rPr>
          <w:rFonts w:hint="eastAsia" w:ascii="黑体" w:hAnsi="黑体" w:eastAsia="黑体" w:cs="黑体"/>
          <w:b w:val="0"/>
          <w:bCs/>
          <w:color w:val="000000" w:themeColor="text1"/>
          <w:sz w:val="44"/>
          <w:szCs w:val="44"/>
          <w14:textFill>
            <w14:solidFill>
              <w14:schemeClr w14:val="tx1"/>
            </w14:solidFill>
          </w14:textFill>
        </w:rPr>
      </w:pPr>
      <w:bookmarkStart w:id="6" w:name="_Toc15396598"/>
      <w:bookmarkStart w:id="7" w:name="_Toc15377194"/>
      <w:bookmarkStart w:id="8" w:name="_Toc15377426"/>
      <w:bookmarkStart w:id="9" w:name="_Toc15396476"/>
      <w:bookmarkStart w:id="10" w:name="_Toc15378442"/>
      <w:bookmarkStart w:id="11" w:name="_Toc15306268"/>
      <w:r>
        <w:rPr>
          <w:rFonts w:hint="eastAsia" w:ascii="黑体" w:hAnsi="黑体" w:eastAsia="黑体" w:cs="黑体"/>
          <w:b w:val="0"/>
          <w:bCs/>
          <w:color w:val="000000" w:themeColor="text1"/>
          <w:sz w:val="44"/>
          <w:szCs w:val="44"/>
          <w14:textFill>
            <w14:solidFill>
              <w14:schemeClr w14:val="tx1"/>
            </w14:solidFill>
          </w14:textFill>
        </w:rPr>
        <w:t>茂县交通运输综合服务中心</w:t>
      </w:r>
      <w:r>
        <w:rPr>
          <w:rFonts w:hint="eastAsia" w:ascii="黑体" w:hAnsi="黑体" w:eastAsia="黑体" w:cs="黑体"/>
          <w:b w:val="0"/>
          <w:bCs/>
          <w:color w:val="000000" w:themeColor="text1"/>
          <w:sz w:val="44"/>
          <w:szCs w:val="44"/>
          <w:lang w:val="en-US" w:eastAsia="zh-CN"/>
          <w14:textFill>
            <w14:solidFill>
              <w14:schemeClr w14:val="tx1"/>
            </w14:solidFill>
          </w14:textFill>
        </w:rPr>
        <w:t>部门</w:t>
      </w:r>
      <w:r>
        <w:rPr>
          <w:rFonts w:ascii="黑体" w:hAnsi="黑体" w:eastAsia="黑体" w:cs="黑体"/>
          <w:color w:val="000000"/>
          <w:sz w:val="44"/>
          <w:u w:color="auto"/>
        </w:rPr>
        <w:t>决算</w:t>
      </w:r>
      <w:bookmarkEnd w:id="6"/>
      <w:bookmarkEnd w:id="7"/>
      <w:bookmarkEnd w:id="8"/>
      <w:bookmarkEnd w:id="9"/>
      <w:bookmarkEnd w:id="10"/>
      <w:bookmarkEnd w:id="11"/>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6"/>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6"/>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color w:val="000000" w:themeColor="text1"/>
          <w:sz w:val="32"/>
          <w:szCs w:val="32"/>
          <w:lang w:val="en-US" w:eastAsia="zh-CN"/>
          <w14:textFill>
            <w14:solidFill>
              <w14:schemeClr w14:val="tx1"/>
            </w14:solidFill>
          </w14:textFill>
        </w:rPr>
        <w:t>部门</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部门职责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sz w:val="32"/>
          <w:u w:color="auto"/>
          <w:lang w:val="en-US" w:eastAsia="zh-CN"/>
        </w:rPr>
        <w:t>部门</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_Toc28283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_Toc14368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_Toc31578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_Toc6614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_Toc20439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_Toc23467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_Toc18455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_Toc18122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_Toc25539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14</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_Toc21200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23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_Toc16431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_Toc25389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_Toc10450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_Toc15415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_Toc17530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_Toc22032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_Toc3364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_Toc28582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_Toc6538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_Toc10625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_Toc28356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pPr>
        <w:pStyle w:val="6"/>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3"/>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bookmarkStart w:id="14" w:name="_Toc9016"/>
    </w:p>
    <w:p>
      <w:pPr>
        <w:pStyle w:val="3"/>
        <w:jc w:val="center"/>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部门</w:t>
      </w:r>
      <w:r>
        <w:rPr>
          <w:rStyle w:val="34"/>
          <w:rFonts w:ascii="黑体" w:hAnsi="黑体" w:eastAsia="黑体" w:cs="黑体"/>
          <w:b w:val="0"/>
          <w:bCs w:val="0"/>
          <w:u w:color="auto"/>
        </w:rPr>
        <w:t>概况</w:t>
      </w:r>
      <w:bookmarkEnd w:id="12"/>
      <w:bookmarkEnd w:id="13"/>
      <w:bookmarkEnd w:id="14"/>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lang w:val="en-US" w:eastAsia="zh-CN"/>
        </w:rPr>
      </w:pPr>
      <w:bookmarkStart w:id="15" w:name="_Toc28564"/>
      <w:bookmarkStart w:id="16" w:name="_Toc15377197"/>
      <w:bookmarkStart w:id="17" w:name="_Toc113981010"/>
      <w:bookmarkStart w:id="18" w:name="_Toc111208496"/>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lang w:val="en-US" w:eastAsia="zh-CN"/>
        </w:rPr>
        <w:t>部门职责</w:t>
      </w:r>
    </w:p>
    <w:bookmarkEnd w:id="20"/>
    <w:bookmarkEnd w:id="21"/>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1、贯彻执行国家及省、州有关道路运输的方针、政策和法规，执行上级道路运输管理部门制定的有关规章、规范、标准和细则。</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2、负责县道路客货运输、城市公交、出租汽车、车辆维修和检测、运输服务行业的管理及监督、指导和协调。</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3、根据管理权限</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指导、督促各镇落实农村客运源头管理责任。</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4、具体负责执行对道路运输市场的运输质量、经营行为、价格执行及使用的证、照、牌、单、票据等进行日常性监督检查，调解日常性运输纠纷。</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5、具体组织实施重点物资、大宗物资的运输，具体组织实施指令性的抢险救灾，战备物资的运输。</w:t>
      </w: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22" w:name="_Toc111208497"/>
      <w:bookmarkStart w:id="23" w:name="_Toc15377200"/>
      <w:bookmarkStart w:id="24" w:name="_Toc22056"/>
      <w:bookmarkStart w:id="25" w:name="_Toc113981011"/>
      <w:r>
        <w:rPr>
          <w:rFonts w:hint="eastAsia" w:ascii="黑体" w:hAnsi="黑体" w:eastAsia="黑体" w:cs="黑体"/>
          <w:b w:val="0"/>
          <w:bCs/>
          <w:color w:val="000000"/>
        </w:rPr>
        <w:t>二、机构设置</w:t>
      </w:r>
      <w:bookmarkEnd w:id="22"/>
      <w:bookmarkEnd w:id="23"/>
      <w:bookmarkEnd w:id="24"/>
      <w:bookmarkEnd w:id="25"/>
    </w:p>
    <w:p>
      <w:pPr>
        <w:widowControl/>
        <w:ind w:firstLine="640" w:firstLineChars="200"/>
        <w:jc w:val="left"/>
        <w:rPr>
          <w:rFonts w:hint="eastAsia" w:ascii="思源黑体 CN Normal" w:hAnsi="思源黑体 CN Normal" w:eastAsia="思源黑体 CN Normal" w:cs="思源黑体 CN Normal"/>
          <w:b/>
          <w:bCs/>
          <w:color w:val="000000"/>
          <w:kern w:val="44"/>
          <w:sz w:val="44"/>
          <w:szCs w:val="44"/>
        </w:rPr>
      </w:pPr>
      <w:r>
        <w:rPr>
          <w:rFonts w:hint="eastAsia" w:ascii="仿宋_GB2312" w:hAnsi="仿宋_GB2312" w:eastAsia="仿宋_GB2312" w:cs="仿宋_GB2312"/>
          <w:color w:val="000000"/>
          <w:sz w:val="32"/>
          <w:szCs w:val="32"/>
          <w:lang w:eastAsia="zh-CN"/>
        </w:rPr>
        <w:t>茂县交通运输综合服务中心</w:t>
      </w:r>
      <w:bookmarkStart w:id="92" w:name="_GoBack"/>
      <w:bookmarkEnd w:id="92"/>
      <w:r>
        <w:rPr>
          <w:rFonts w:hint="eastAsia" w:ascii="仿宋_GB2312" w:hAnsi="仿宋_GB2312" w:eastAsia="仿宋_GB2312" w:cs="仿宋_GB2312"/>
          <w:color w:val="000000"/>
          <w:sz w:val="32"/>
          <w:szCs w:val="32"/>
          <w:lang w:eastAsia="zh-CN"/>
        </w:rPr>
        <w:t>下属二级预算单位</w:t>
      </w:r>
      <w:r>
        <w:rPr>
          <w:rFonts w:hint="eastAsia" w:ascii="仿宋_GB2312" w:hAnsi="仿宋_GB2312" w:eastAsia="仿宋_GB2312" w:cs="仿宋_GB2312"/>
          <w:color w:val="000000"/>
          <w:sz w:val="32"/>
          <w:szCs w:val="32"/>
          <w:lang w:val="en-US" w:eastAsia="zh-CN"/>
        </w:rPr>
        <w:t>0个，其中行政单位0个，参照公务员法管理的事业单位0个，其他事业单位0个。</w:t>
      </w:r>
      <w:r>
        <w:rPr>
          <w:rFonts w:hint="eastAsia" w:ascii="思源黑体 CN Normal" w:hAnsi="思源黑体 CN Normal" w:eastAsia="思源黑体 CN Normal" w:cs="思源黑体 CN Normal"/>
          <w:color w:val="000000"/>
        </w:rPr>
        <w:br w:type="page"/>
      </w:r>
    </w:p>
    <w:p>
      <w:pPr>
        <w:pStyle w:val="3"/>
        <w:jc w:val="center"/>
        <w:rPr>
          <w:rFonts w:hint="eastAsia" w:ascii="黑体" w:hAnsi="黑体" w:eastAsia="黑体" w:cs="黑体"/>
          <w:b w:val="0"/>
          <w:bCs w:val="0"/>
        </w:rPr>
      </w:pPr>
      <w:bookmarkStart w:id="26" w:name="_Toc111208498"/>
      <w:bookmarkStart w:id="27" w:name="_Toc9058"/>
      <w:r>
        <w:rPr>
          <w:rFonts w:hint="eastAsia" w:ascii="黑体" w:hAnsi="黑体" w:eastAsia="黑体" w:cs="黑体"/>
          <w:b w:val="0"/>
          <w:bCs w:val="0"/>
        </w:rPr>
        <w:t xml:space="preserve">第二部分 </w:t>
      </w:r>
      <w:r>
        <w:rPr>
          <w:rFonts w:ascii="黑体" w:hAnsi="黑体" w:eastAsia="黑体" w:cs="黑体"/>
          <w:u w:color="auto"/>
        </w:rPr>
        <w:t>2024年度</w:t>
      </w:r>
      <w:r>
        <w:rPr>
          <w:rFonts w:hint="eastAsia" w:ascii="黑体" w:hAnsi="黑体" w:eastAsia="黑体" w:cs="黑体"/>
          <w:u w:color="auto"/>
          <w:lang w:val="en-US" w:eastAsia="zh-CN"/>
        </w:rPr>
        <w:t>部门</w:t>
      </w:r>
      <w:r>
        <w:rPr>
          <w:rFonts w:hint="eastAsia" w:ascii="黑体" w:hAnsi="黑体" w:eastAsia="黑体" w:cs="黑体"/>
          <w:b w:val="0"/>
          <w:bCs w:val="0"/>
        </w:rPr>
        <w:t>决算情况说明</w:t>
      </w:r>
      <w:bookmarkEnd w:id="19"/>
      <w:bookmarkEnd w:id="26"/>
      <w:bookmarkEnd w:id="27"/>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28" w:name="_Toc15377205"/>
      <w:bookmarkStart w:id="29" w:name="_Toc19710"/>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u w:color="auto"/>
        </w:rPr>
        <w:t>年度收入、支出总计均为137.87</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u w:color="auto"/>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相比，收入、支出总计各</w:t>
      </w:r>
      <w:r>
        <w:rPr>
          <w:rFonts w:hint="eastAsia" w:ascii="仿宋_GB2312" w:hAnsi="仿宋_GB2312" w:eastAsia="仿宋_GB2312" w:cs="仿宋_GB2312"/>
          <w:color w:val="000000"/>
          <w:sz w:val="32"/>
          <w:u w:color="auto"/>
        </w:rPr>
        <w:t>减少381.26万元，下降73.4%。主要变动原因是</w:t>
      </w:r>
      <w:r>
        <w:rPr>
          <w:rFonts w:hint="eastAsia" w:ascii="仿宋_GB2312" w:hAnsi="仿宋_GB2312" w:eastAsia="仿宋_GB2312" w:cs="仿宋_GB2312"/>
          <w:color w:val="000000"/>
          <w:sz w:val="32"/>
          <w:u w:color="auto"/>
          <w:lang w:val="en-US" w:eastAsia="zh-CN"/>
        </w:rPr>
        <w:t>:</w:t>
      </w:r>
      <w:r>
        <w:rPr>
          <w:rFonts w:hint="eastAsia" w:ascii="仿宋_GB2312" w:hAnsi="仿宋_GB2312" w:eastAsia="仿宋_GB2312" w:cs="仿宋_GB2312"/>
          <w:color w:val="000000"/>
          <w:sz w:val="32"/>
          <w:u w:color="auto"/>
        </w:rPr>
        <w:t xml:space="preserve">项目资金减少。 </w:t>
      </w:r>
    </w:p>
    <w:p>
      <w:pPr>
        <w:pStyle w:val="6"/>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7"/>
        <w:rPr>
          <w:rFonts w:hint="eastAsia"/>
        </w:rPr>
      </w:pP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Cs w:val="0"/>
          <w:color w:val="000000"/>
        </w:rPr>
      </w:pPr>
      <w:bookmarkStart w:id="31" w:name="_Toc15377206"/>
      <w:bookmarkStart w:id="32" w:name="_Toc111208500"/>
      <w:bookmarkStart w:id="33" w:name="_Toc8125"/>
      <w:r>
        <w:rPr>
          <w:rFonts w:hint="eastAsia" w:ascii="黑体" w:hAnsi="黑体" w:eastAsia="黑体" w:cs="黑体"/>
          <w:b w:val="0"/>
          <w:bCs/>
          <w:color w:val="000000"/>
        </w:rPr>
        <w:t>二、收入决算情况说明</w:t>
      </w:r>
      <w:bookmarkEnd w:id="31"/>
      <w:bookmarkEnd w:id="32"/>
      <w:bookmarkEnd w:id="33"/>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rPr>
        <w:t>137.87万元</w:t>
      </w:r>
      <w:r>
        <w:rPr>
          <w:rFonts w:hint="eastAsia" w:ascii="仿宋_GB2312" w:hAnsi="仿宋_GB2312" w:eastAsia="仿宋_GB2312" w:cs="仿宋_GB2312"/>
          <w:color w:val="000000"/>
          <w:sz w:val="32"/>
          <w:szCs w:val="32"/>
          <w:lang w:val="en-US" w:eastAsia="zh-CN"/>
        </w:rPr>
        <w:t>，其中:一般公共预算财政拨款收入137.87万元，占100%；政府性基金预算财政拨款收入0.00万元，占0%。</w:t>
      </w:r>
    </w:p>
    <w:p>
      <w:pPr>
        <w:pStyle w:val="2"/>
        <w:ind w:left="1060" w:hanging="640"/>
        <w:jc w:val="center"/>
        <w:rPr>
          <w:rFonts w:hint="eastAsia" w:ascii="仿宋" w:hAnsi="仿宋" w:eastAsia="仿宋" w:cs="仿宋"/>
          <w:color w:val="00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7"/>
        <w:rPr>
          <w:rFonts w:hint="eastAsia"/>
        </w:rPr>
      </w:pP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34" w:name="_Toc15377207"/>
      <w:bookmarkStart w:id="35" w:name="_Toc28283"/>
      <w:bookmarkStart w:id="36" w:name="_Toc111208501"/>
      <w:r>
        <w:rPr>
          <w:rFonts w:hint="eastAsia" w:ascii="黑体" w:hAnsi="黑体" w:eastAsia="黑体" w:cs="黑体"/>
          <w:b w:val="0"/>
          <w:bCs/>
          <w:color w:val="000000"/>
        </w:rPr>
        <w:t>三、支出决算情况说明</w:t>
      </w:r>
      <w:bookmarkEnd w:id="34"/>
      <w:bookmarkEnd w:id="35"/>
      <w:bookmarkEnd w:id="36"/>
    </w:p>
    <w:p>
      <w:pPr>
        <w:pStyle w:val="6"/>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rPr>
        <w:t>137.87万元</w:t>
      </w:r>
      <w:r>
        <w:rPr>
          <w:rFonts w:hint="eastAsia" w:ascii="仿宋_GB2312" w:hAnsi="仿宋_GB2312" w:eastAsia="仿宋_GB2312" w:cs="仿宋_GB2312"/>
          <w:color w:val="000000"/>
          <w:sz w:val="32"/>
          <w:szCs w:val="32"/>
          <w:lang w:val="en-US" w:eastAsia="zh-CN"/>
        </w:rPr>
        <w:t>，其中:基本支出114.84万元，占83.3%；项目支出23.02万元，占16.7%</w:t>
      </w:r>
      <w:r>
        <w:rPr>
          <w:rFonts w:hint="eastAsia" w:ascii="仿宋_GB2312" w:hAnsi="仿宋_GB2312" w:eastAsia="仿宋_GB2312" w:cs="仿宋_GB2312"/>
          <w:color w:val="000000"/>
          <w:sz w:val="32"/>
          <w:szCs w:val="32"/>
        </w:rPr>
        <w:t>。</w:t>
      </w:r>
    </w:p>
    <w:p>
      <w:pPr>
        <w:jc w:val="center"/>
        <w:rPr>
          <w:rFonts w:hint="eastAsia" w:ascii="仿宋" w:hAnsi="仿宋" w:eastAsia="仿宋" w:cs="仿宋"/>
          <w:color w:val="00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4445" t="4445" r="1016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7"/>
        <w:rPr>
          <w:rFonts w:hint="eastAsia"/>
        </w:rPr>
      </w:pP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37" w:name="_Toc15377208"/>
      <w:bookmarkStart w:id="38" w:name="_Toc111208502"/>
      <w:bookmarkStart w:id="39" w:name="_Toc19521"/>
      <w:r>
        <w:rPr>
          <w:rFonts w:hint="eastAsia" w:ascii="黑体" w:hAnsi="黑体" w:eastAsia="黑体" w:cs="黑体"/>
          <w:b w:val="0"/>
          <w:bCs/>
          <w:color w:val="000000"/>
        </w:rPr>
        <w:t>四、财政拨款收入支出决算总体情况说明</w:t>
      </w:r>
      <w:bookmarkEnd w:id="37"/>
      <w:bookmarkEnd w:id="38"/>
      <w:bookmarkEnd w:id="39"/>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财政拨款收</w:t>
      </w:r>
      <w:r>
        <w:rPr>
          <w:rFonts w:hint="eastAsia" w:ascii="仿宋_GB2312" w:hAnsi="仿宋_GB2312" w:eastAsia="仿宋_GB2312" w:cs="仿宋_GB2312"/>
          <w:color w:val="000000"/>
          <w:sz w:val="32"/>
          <w:szCs w:val="32"/>
          <w:lang w:val="en-US"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val="en-US" w:eastAsia="zh-CN"/>
        </w:rPr>
        <w:t>出</w:t>
      </w:r>
      <w:r>
        <w:rPr>
          <w:rFonts w:hint="eastAsia" w:ascii="仿宋_GB2312" w:hAnsi="仿宋_GB2312" w:eastAsia="仿宋_GB2312" w:cs="仿宋_GB2312"/>
          <w:color w:val="000000"/>
          <w:sz w:val="32"/>
          <w:szCs w:val="32"/>
        </w:rPr>
        <w:t>总计均为</w:t>
      </w:r>
      <w:r>
        <w:rPr>
          <w:rFonts w:hint="eastAsia" w:ascii="仿宋_GB2312" w:hAnsi="仿宋_GB2312" w:eastAsia="仿宋_GB2312" w:cs="仿宋_GB2312"/>
          <w:color w:val="000000"/>
          <w:sz w:val="32"/>
          <w:u w:color="auto"/>
        </w:rPr>
        <w:t>137.87万元。与2023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w:t>
      </w:r>
      <w:r>
        <w:rPr>
          <w:rFonts w:hint="eastAsia" w:ascii="仿宋_GB2312" w:hAnsi="仿宋_GB2312" w:eastAsia="仿宋_GB2312" w:cs="仿宋_GB2312"/>
          <w:color w:val="000000"/>
          <w:sz w:val="32"/>
          <w:szCs w:val="32"/>
          <w:lang w:val="en-US"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val="en-US" w:eastAsia="zh-CN"/>
        </w:rPr>
        <w:t>出</w:t>
      </w:r>
      <w:r>
        <w:rPr>
          <w:rFonts w:hint="eastAsia" w:ascii="仿宋_GB2312" w:hAnsi="仿宋_GB2312" w:eastAsia="仿宋_GB2312" w:cs="仿宋_GB2312"/>
          <w:color w:val="000000"/>
          <w:sz w:val="32"/>
          <w:szCs w:val="32"/>
        </w:rPr>
        <w:t>总计各</w:t>
      </w:r>
      <w:r>
        <w:rPr>
          <w:rFonts w:hint="eastAsia" w:ascii="仿宋_GB2312" w:hAnsi="仿宋_GB2312" w:eastAsia="仿宋_GB2312" w:cs="仿宋_GB2312"/>
          <w:color w:val="000000"/>
          <w:sz w:val="32"/>
          <w:u w:color="auto"/>
        </w:rPr>
        <w:t>减少381.26万元，下降73.4%。主要变动原因是</w:t>
      </w:r>
      <w:r>
        <w:rPr>
          <w:rFonts w:hint="eastAsia" w:ascii="仿宋_GB2312" w:hAnsi="仿宋_GB2312" w:eastAsia="仿宋_GB2312" w:cs="仿宋_GB2312"/>
          <w:color w:val="000000"/>
          <w:sz w:val="32"/>
          <w:u w:color="auto"/>
          <w:lang w:val="en-US" w:eastAsia="zh-CN"/>
        </w:rPr>
        <w:t>:</w:t>
      </w:r>
      <w:r>
        <w:rPr>
          <w:rFonts w:hint="eastAsia" w:ascii="仿宋_GB2312" w:hAnsi="仿宋_GB2312" w:eastAsia="仿宋_GB2312" w:cs="仿宋_GB2312"/>
          <w:color w:val="000000"/>
          <w:sz w:val="32"/>
          <w:u w:color="auto"/>
        </w:rPr>
        <w:t xml:space="preserve">项目资金减少。 </w:t>
      </w:r>
    </w:p>
    <w:p>
      <w:pPr>
        <w:rPr>
          <w:rFonts w:hint="eastAsia"/>
        </w:rPr>
      </w:pPr>
    </w:p>
    <w:p>
      <w:pPr>
        <w:pStyle w:val="6"/>
        <w:ind w:left="0" w:leftChars="0" w:firstLine="0" w:firstLineChars="0"/>
        <w:jc w:val="left"/>
        <w:rPr>
          <w:rFonts w:hint="eastAsia"/>
        </w:rPr>
      </w:pP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40" w:name="_Toc15377209"/>
      <w:bookmarkStart w:id="41" w:name="_Toc111208503"/>
      <w:bookmarkStart w:id="42" w:name="_Toc14368"/>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pPr>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 w:hAnsi="楷体" w:eastAsia="楷体" w:cs="楷体"/>
          <w:b/>
          <w:color w:val="000000"/>
          <w:sz w:val="32"/>
          <w:szCs w:val="32"/>
        </w:rPr>
      </w:pPr>
      <w:bookmarkStart w:id="43" w:name="_Toc15377210"/>
      <w:r>
        <w:rPr>
          <w:rFonts w:hint="eastAsia" w:ascii="楷体" w:hAnsi="楷体" w:eastAsia="楷体" w:cs="楷体"/>
          <w:b/>
          <w:color w:val="000000"/>
          <w:sz w:val="32"/>
          <w:szCs w:val="32"/>
        </w:rPr>
        <w:t>（一）一般公共预算财政拨款支出决算总体情况</w:t>
      </w:r>
      <w:bookmarkEnd w:id="43"/>
    </w:p>
    <w:p>
      <w:pPr>
        <w:spacing w:line="600" w:lineRule="exact"/>
        <w:ind w:firstLine="640" w:firstLineChars="200"/>
        <w:rPr>
          <w:rFonts w:hint="eastAsia" w:ascii="仿宋_GB2312" w:hAnsi="仿宋_GB2312" w:eastAsia="仿宋_GB2312" w:cs="仿宋_GB2312"/>
          <w:b/>
          <w:color w:val="000000"/>
          <w:sz w:val="32"/>
          <w:szCs w:val="32"/>
          <w:lang w:val="en-US" w:eastAsia="zh-CN"/>
        </w:rPr>
      </w:pPr>
      <w:bookmarkStart w:id="44" w:name="_Toc15377211"/>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rPr>
        <w:t>137.87万元，占本年支出合计的100%。与2023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u w:color="auto"/>
        </w:rPr>
        <w:t>减少381.26万元，下降73.4%。主要变动原因是</w:t>
      </w:r>
      <w:r>
        <w:rPr>
          <w:rFonts w:hint="eastAsia" w:ascii="仿宋_GB2312" w:hAnsi="仿宋_GB2312" w:eastAsia="仿宋_GB2312" w:cs="仿宋_GB2312"/>
          <w:color w:val="000000"/>
          <w:sz w:val="32"/>
          <w:u w:color="auto"/>
          <w:lang w:val="en-US" w:eastAsia="zh-CN"/>
        </w:rPr>
        <w:t>:</w:t>
      </w:r>
      <w:r>
        <w:rPr>
          <w:rFonts w:hint="eastAsia" w:ascii="仿宋_GB2312" w:hAnsi="仿宋_GB2312" w:eastAsia="仿宋_GB2312" w:cs="仿宋_GB2312"/>
          <w:color w:val="000000"/>
          <w:sz w:val="32"/>
          <w:u w:color="auto"/>
        </w:rPr>
        <w:t xml:space="preserve">项目资金减少。 </w:t>
      </w:r>
    </w:p>
    <w:p>
      <w:pPr>
        <w:pStyle w:val="6"/>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321" w:firstLineChars="1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44"/>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rPr>
        <w:t>137.87万元，主要用于以下方面: 社会保障和就业支出13.42万元，占9.7%；卫生健康支出6.9</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万元，占5%；农林水支出23.02万元，占16.7%；交通运输支出85.27万元，占61.8%；住房保障支出9.25万元，占6.7%。</w:t>
      </w:r>
    </w:p>
    <w:p>
      <w:pPr>
        <w:pStyle w:val="6"/>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649220"/>
            <wp:effectExtent l="4445" t="4445" r="5715"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321" w:firstLineChars="1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45"/>
    </w:p>
    <w:p>
      <w:pPr>
        <w:spacing w:line="600" w:lineRule="exact"/>
        <w:ind w:firstLine="640"/>
        <w:rPr>
          <w:rFonts w:hint="eastAsia" w:ascii="仿宋_GB2312" w:hAnsi="仿宋_GB2312" w:eastAsia="仿宋_GB2312" w:cs="仿宋_GB2312"/>
          <w:color w:val="000000"/>
          <w:sz w:val="32"/>
          <w:szCs w:val="32"/>
        </w:rPr>
      </w:pPr>
      <w:bookmarkStart w:id="46" w:name="_Toc15377444"/>
      <w:bookmarkStart w:id="47" w:name="_Toc15378460"/>
      <w:bookmarkStart w:id="48" w:name="_Toc15377213"/>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rPr>
        <w:t>137.87万元，完成预算100%。其中：</w:t>
      </w:r>
      <w:bookmarkEnd w:id="46"/>
      <w:bookmarkEnd w:id="47"/>
      <w:bookmarkEnd w:id="48"/>
    </w:p>
    <w:p>
      <w:pPr>
        <w:numPr>
          <w:ilvl w:val="0"/>
          <w:numId w:val="0"/>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社会保障和就业支出（208）行政事业单位养老支出（05）机关事业单位基本养老保险缴费支出（05）:支出决算8.94万元，完成预算100%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auto"/>
          <w:sz w:val="32"/>
          <w:szCs w:val="32"/>
        </w:rPr>
        <w:t xml:space="preserve"> 2.社会保障和就业支出（208）行政事业单位养老支出（05）机关事业单位职业年金缴费支出（06）:支出决算4.48万元，完成预算100%</w:t>
      </w:r>
      <w:r>
        <w:rPr>
          <w:rFonts w:hint="eastAsia" w:ascii="仿宋_GB2312" w:hAnsi="仿宋_GB2312" w:eastAsia="仿宋_GB2312" w:cs="仿宋_GB2312"/>
          <w:color w:val="auto"/>
          <w:sz w:val="32"/>
          <w:szCs w:val="32"/>
          <w:lang w:eastAsia="zh-CN"/>
        </w:rPr>
        <w:t>，决算数与预算数持平。</w:t>
      </w:r>
      <w:r>
        <w:rPr>
          <w:rFonts w:hint="eastAsia" w:ascii="仿宋_GB2312" w:hAnsi="仿宋_GB2312" w:eastAsia="仿宋_GB2312" w:cs="仿宋_GB2312"/>
          <w:color w:val="auto"/>
          <w:sz w:val="32"/>
          <w:szCs w:val="32"/>
        </w:rPr>
        <w:cr/>
      </w:r>
      <w:r>
        <w:rPr>
          <w:rFonts w:hint="eastAsia" w:ascii="仿宋_GB2312" w:hAnsi="仿宋_GB2312" w:eastAsia="仿宋_GB2312" w:cs="仿宋_GB2312"/>
          <w:color w:val="auto"/>
          <w:sz w:val="32"/>
          <w:szCs w:val="32"/>
        </w:rPr>
        <w:t xml:space="preserve">    3.卫生健康支出（210）行政事业单位医疗（11）行政单位医疗（01）:支出决算6.47万元，完成预算100%</w:t>
      </w:r>
      <w:r>
        <w:rPr>
          <w:rFonts w:hint="eastAsia" w:ascii="仿宋_GB2312" w:hAnsi="仿宋_GB2312" w:eastAsia="仿宋_GB2312" w:cs="仿宋_GB2312"/>
          <w:color w:val="auto"/>
          <w:sz w:val="32"/>
          <w:szCs w:val="32"/>
          <w:lang w:eastAsia="zh-CN"/>
        </w:rPr>
        <w:t>，决算数与预算数持平。</w:t>
      </w:r>
      <w:r>
        <w:rPr>
          <w:rFonts w:hint="eastAsia" w:ascii="仿宋_GB2312" w:hAnsi="仿宋_GB2312" w:eastAsia="仿宋_GB2312" w:cs="仿宋_GB2312"/>
          <w:color w:val="auto"/>
          <w:sz w:val="32"/>
          <w:szCs w:val="32"/>
        </w:rPr>
        <w:cr/>
      </w:r>
      <w:r>
        <w:rPr>
          <w:rFonts w:hint="eastAsia" w:ascii="仿宋_GB2312" w:hAnsi="仿宋_GB2312" w:eastAsia="仿宋_GB2312" w:cs="仿宋_GB2312"/>
          <w:color w:val="auto"/>
          <w:sz w:val="32"/>
          <w:szCs w:val="32"/>
        </w:rPr>
        <w:t xml:space="preserve">    4.卫生健康支出（210）行政事业单位医疗（11）事业单位医疗（02）:支出决算0.43万元，完成预算100%</w:t>
      </w:r>
      <w:r>
        <w:rPr>
          <w:rFonts w:hint="eastAsia" w:ascii="仿宋_GB2312" w:hAnsi="仿宋_GB2312" w:eastAsia="仿宋_GB2312" w:cs="仿宋_GB2312"/>
          <w:color w:val="auto"/>
          <w:sz w:val="32"/>
          <w:szCs w:val="32"/>
          <w:lang w:eastAsia="zh-CN"/>
        </w:rPr>
        <w:t>，决算数与预算数持平。</w:t>
      </w:r>
      <w:r>
        <w:rPr>
          <w:rFonts w:hint="eastAsia" w:ascii="仿宋_GB2312" w:hAnsi="仿宋_GB2312" w:eastAsia="仿宋_GB2312" w:cs="仿宋_GB2312"/>
          <w:color w:val="auto"/>
          <w:sz w:val="32"/>
          <w:szCs w:val="32"/>
        </w:rPr>
        <w:cr/>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auto"/>
          <w:sz w:val="32"/>
          <w:szCs w:val="32"/>
        </w:rPr>
        <w:t xml:space="preserve"> 5.农林水支出（213）巩固脱贫攻坚成果衔接乡村振兴（05）农村基础设施建设（04）:支出决算23.02万元，完成预算100%</w:t>
      </w:r>
      <w:r>
        <w:rPr>
          <w:rFonts w:hint="eastAsia" w:ascii="仿宋_GB2312" w:hAnsi="仿宋_GB2312" w:eastAsia="仿宋_GB2312" w:cs="仿宋_GB2312"/>
          <w:color w:val="auto"/>
          <w:sz w:val="32"/>
          <w:szCs w:val="32"/>
          <w:lang w:eastAsia="zh-CN"/>
        </w:rPr>
        <w:t>，决算数与预算数持平。</w:t>
      </w:r>
      <w:r>
        <w:rPr>
          <w:rFonts w:hint="eastAsia" w:ascii="仿宋_GB2312" w:hAnsi="仿宋_GB2312" w:eastAsia="仿宋_GB2312" w:cs="仿宋_GB2312"/>
          <w:color w:val="auto"/>
          <w:sz w:val="32"/>
          <w:szCs w:val="32"/>
        </w:rPr>
        <w:cr/>
      </w:r>
      <w:r>
        <w:rPr>
          <w:rFonts w:hint="eastAsia" w:ascii="仿宋_GB2312" w:hAnsi="仿宋_GB2312" w:eastAsia="仿宋_GB2312" w:cs="仿宋_GB2312"/>
          <w:color w:val="auto"/>
          <w:sz w:val="32"/>
          <w:szCs w:val="32"/>
        </w:rPr>
        <w:t xml:space="preserve">    6.交通运输支出（214）公路水路运输（01）行政运行（01）:支出决算85.27万元，完成预算100%</w:t>
      </w:r>
      <w:r>
        <w:rPr>
          <w:rFonts w:hint="eastAsia" w:ascii="仿宋_GB2312" w:hAnsi="仿宋_GB2312" w:eastAsia="仿宋_GB2312" w:cs="仿宋_GB2312"/>
          <w:color w:val="auto"/>
          <w:sz w:val="32"/>
          <w:szCs w:val="32"/>
          <w:lang w:eastAsia="zh-CN"/>
        </w:rPr>
        <w:t>，决算数与预算数持平。</w:t>
      </w:r>
      <w:r>
        <w:rPr>
          <w:rFonts w:hint="eastAsia" w:ascii="仿宋_GB2312" w:hAnsi="仿宋_GB2312" w:eastAsia="仿宋_GB2312" w:cs="仿宋_GB2312"/>
          <w:color w:val="auto"/>
          <w:sz w:val="32"/>
          <w:szCs w:val="32"/>
        </w:rPr>
        <w:cr/>
      </w:r>
      <w:r>
        <w:rPr>
          <w:rFonts w:hint="eastAsia" w:ascii="仿宋_GB2312" w:hAnsi="仿宋_GB2312" w:eastAsia="仿宋_GB2312" w:cs="仿宋_GB2312"/>
          <w:color w:val="auto"/>
          <w:sz w:val="32"/>
          <w:szCs w:val="32"/>
        </w:rPr>
        <w:t xml:space="preserve">    7.住房保障支出（221）住房改革支出（02）住房公积金（01）:支出决算7.24万元，完成预算100%</w:t>
      </w:r>
      <w:r>
        <w:rPr>
          <w:rFonts w:hint="eastAsia" w:ascii="仿宋_GB2312" w:hAnsi="仿宋_GB2312" w:eastAsia="仿宋_GB2312" w:cs="仿宋_GB2312"/>
          <w:color w:val="auto"/>
          <w:sz w:val="32"/>
          <w:szCs w:val="32"/>
          <w:lang w:eastAsia="zh-CN"/>
        </w:rPr>
        <w:t>，决算数与预算数持平。</w:t>
      </w:r>
    </w:p>
    <w:p>
      <w:pPr>
        <w:numPr>
          <w:ilvl w:val="0"/>
          <w:numId w:val="0"/>
        </w:num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 xml:space="preserve">    8.住房保障支出（221）住房改革支出（02）购房补贴（03）:支出决算2.02万元，完成预算100%</w:t>
      </w:r>
      <w:r>
        <w:rPr>
          <w:rFonts w:hint="eastAsia" w:ascii="仿宋_GB2312" w:hAnsi="仿宋_GB2312" w:eastAsia="仿宋_GB2312" w:cs="仿宋_GB2312"/>
          <w:color w:val="auto"/>
          <w:sz w:val="32"/>
          <w:szCs w:val="32"/>
          <w:lang w:eastAsia="zh-CN"/>
        </w:rPr>
        <w:t>，决算数与预算数持平。</w:t>
      </w: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color w:val="000000"/>
        </w:rPr>
      </w:pPr>
      <w:bookmarkStart w:id="49" w:name="_Toc15377214"/>
      <w:bookmarkStart w:id="50" w:name="_Toc111208504"/>
      <w:bookmarkStart w:id="51" w:name="_Toc31578"/>
      <w:r>
        <w:rPr>
          <w:rFonts w:hint="eastAsia" w:ascii="黑体" w:hAnsi="黑体" w:eastAsia="黑体" w:cs="黑体"/>
          <w:b w:val="0"/>
          <w:bCs/>
          <w:color w:val="auto"/>
        </w:rPr>
        <w:t>六、一般公共预</w:t>
      </w:r>
      <w:r>
        <w:rPr>
          <w:rFonts w:hint="eastAsia" w:ascii="黑体" w:hAnsi="黑体" w:eastAsia="黑体" w:cs="黑体"/>
          <w:b w:val="0"/>
          <w:bCs/>
          <w:color w:val="000000"/>
        </w:rPr>
        <w:t>算财政拨款基本支出决算情况说</w:t>
      </w:r>
      <w:bookmarkEnd w:id="49"/>
      <w:r>
        <w:rPr>
          <w:rFonts w:hint="eastAsia" w:ascii="黑体" w:hAnsi="黑体" w:eastAsia="黑体" w:cs="黑体"/>
          <w:b w:val="0"/>
          <w:bCs/>
          <w:color w:val="000000"/>
        </w:rPr>
        <w:t>明</w:t>
      </w:r>
      <w:bookmarkEnd w:id="50"/>
      <w:bookmarkEnd w:id="51"/>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u w:color="auto"/>
        </w:rPr>
        <w:t>114.84万元，其中：</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u w:color="auto"/>
        </w:rPr>
        <w:t>107.69万元，主要包括：基本工资21.75万元、津贴补贴20.15万元、奖金24.45万元、机关事业单位基本养老保险缴费8.94万元、职业年金缴费4.48万元、职工基本医疗保险缴费6.9</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万元、其他社会保障缴费1.31万元、住房公积金7.24万元、医疗费1.4</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万元、生活补助11.07万元、奖励金0.01万元。</w:t>
      </w:r>
    </w:p>
    <w:p>
      <w:pPr>
        <w:spacing w:line="600" w:lineRule="exact"/>
        <w:ind w:firstLine="640"/>
        <w:rPr>
          <w:rFonts w:hint="eastAsia" w:ascii="仿宋_GB2312" w:hAnsi="仿宋_GB2312" w:eastAsia="仿宋_GB2312" w:cs="仿宋_GB2312"/>
          <w:color w:val="000000"/>
          <w:sz w:val="32"/>
          <w:u w:color="auto"/>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u w:color="auto"/>
        </w:rPr>
        <w:t>7.15万元，主要包括：办公费0.24万元、电费0.61万元、邮电费1.32万元、差旅费0.99万元、公务用车运行维护费4</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w:t>
      </w: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52" w:name="_Toc15377215"/>
      <w:bookmarkStart w:id="53" w:name="_Toc6614"/>
      <w:bookmarkStart w:id="54" w:name="_Toc111208505"/>
      <w:r>
        <w:rPr>
          <w:rFonts w:hint="eastAsia" w:ascii="黑体" w:hAnsi="黑体" w:eastAsia="黑体" w:cs="黑体"/>
          <w:b w:val="0"/>
          <w:bCs/>
          <w:color w:val="000000"/>
        </w:rPr>
        <w:t>七、“三公”经费财政拨款支出决算情况说明</w:t>
      </w:r>
      <w:bookmarkEnd w:id="52"/>
      <w:bookmarkEnd w:id="53"/>
      <w:bookmarkEnd w:id="54"/>
    </w:p>
    <w:p>
      <w:pPr>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rPr>
        <w:t>4</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万元，完成预算100%，</w:t>
      </w:r>
      <w:r>
        <w:rPr>
          <w:rFonts w:hint="eastAsia" w:ascii="仿宋_GB2312" w:hAnsi="仿宋_GB2312" w:eastAsia="仿宋_GB2312" w:cs="仿宋_GB2312"/>
          <w:color w:val="000000"/>
          <w:sz w:val="32"/>
          <w:u w:color="auto"/>
          <w:lang w:eastAsia="zh-CN"/>
        </w:rPr>
        <w:t>与</w:t>
      </w:r>
      <w:r>
        <w:rPr>
          <w:rFonts w:hint="eastAsia" w:ascii="仿宋_GB2312" w:hAnsi="仿宋_GB2312" w:eastAsia="仿宋_GB2312" w:cs="仿宋_GB2312"/>
          <w:color w:val="000000"/>
          <w:sz w:val="32"/>
          <w:u w:color="auto"/>
          <w:lang w:val="en-US" w:eastAsia="zh-CN"/>
        </w:rPr>
        <w:t>2023年相比无变化</w:t>
      </w:r>
      <w:r>
        <w:rPr>
          <w:rFonts w:hint="eastAsia" w:ascii="仿宋_GB2312" w:hAnsi="仿宋_GB2312" w:eastAsia="仿宋_GB2312" w:cs="仿宋_GB2312"/>
          <w:color w:val="000000"/>
          <w:sz w:val="32"/>
          <w:u w:color="auto"/>
        </w:rPr>
        <w:t>。</w:t>
      </w:r>
      <w:bookmarkStart w:id="56" w:name="_Toc15377217"/>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rPr>
        <w:t>4</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万元，因公出国（境）费支出决算0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万元，占0%；公务用车购置及运行维护费支出决算4</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万元，占100%；公务接待费支出决算0万元，占0%。具体情况如下：</w:t>
      </w:r>
    </w:p>
    <w:p>
      <w:pPr>
        <w:pStyle w:val="6"/>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1.因公出国（境）经费支出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u w:color="auto"/>
        </w:rPr>
        <w:t>万元,完成预算100%</w:t>
      </w:r>
      <w:r>
        <w:rPr>
          <w:rFonts w:hint="eastAsia" w:ascii="仿宋_GB2312" w:hAnsi="仿宋_GB2312" w:eastAsia="仿宋_GB2312" w:cs="仿宋_GB2312"/>
          <w:color w:val="000000"/>
          <w:sz w:val="32"/>
          <w:u w:color="auto"/>
          <w:lang w:eastAsia="zh-CN"/>
        </w:rPr>
        <w:t>，与</w:t>
      </w:r>
      <w:r>
        <w:rPr>
          <w:rFonts w:hint="eastAsia" w:ascii="仿宋_GB2312" w:hAnsi="仿宋_GB2312" w:eastAsia="仿宋_GB2312" w:cs="仿宋_GB2312"/>
          <w:color w:val="000000"/>
          <w:sz w:val="32"/>
          <w:u w:color="auto"/>
          <w:lang w:val="en-US" w:eastAsia="zh-CN"/>
        </w:rPr>
        <w:t>2023年相比无变化。</w:t>
      </w:r>
      <w:r>
        <w:rPr>
          <w:rFonts w:hint="eastAsia" w:ascii="仿宋_GB2312" w:hAnsi="仿宋_GB2312" w:eastAsia="仿宋_GB2312" w:cs="仿宋_GB2312"/>
          <w:color w:val="000000"/>
          <w:sz w:val="32"/>
          <w:u w:color="auto"/>
        </w:rPr>
        <w:t xml:space="preserve"> </w:t>
      </w:r>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z w:val="32"/>
          <w:szCs w:val="32"/>
        </w:rPr>
        <w:t>2.公务用车购置及运行维护费支出</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u w:color="auto"/>
        </w:rPr>
        <w:t>万元,完成预算100%</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公务用车购置及运行维护费支出</w:t>
      </w:r>
      <w:r>
        <w:rPr>
          <w:rFonts w:hint="eastAsia" w:ascii="仿宋_GB2312" w:hAnsi="仿宋_GB2312" w:eastAsia="仿宋_GB2312" w:cs="仿宋_GB2312"/>
          <w:color w:val="000000"/>
          <w:sz w:val="32"/>
          <w:u w:color="auto"/>
          <w:lang w:eastAsia="zh-CN"/>
        </w:rPr>
        <w:t>与</w:t>
      </w:r>
      <w:r>
        <w:rPr>
          <w:rFonts w:hint="eastAsia" w:ascii="仿宋_GB2312" w:hAnsi="仿宋_GB2312" w:eastAsia="仿宋_GB2312" w:cs="仿宋_GB2312"/>
          <w:color w:val="000000"/>
          <w:sz w:val="32"/>
          <w:u w:color="auto"/>
          <w:lang w:val="en-US" w:eastAsia="zh-CN"/>
        </w:rPr>
        <w:t>2023年相比无变化。</w:t>
      </w:r>
    </w:p>
    <w:p>
      <w:pPr>
        <w:spacing w:line="60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 w:hAnsi="仿宋" w:eastAsia="仿宋" w:cs="仿宋"/>
          <w:color w:val="000000"/>
          <w:sz w:val="32"/>
          <w:szCs w:val="32"/>
          <w:highlight w:val="none"/>
        </w:rPr>
        <w:t>其中：</w:t>
      </w:r>
      <w:r>
        <w:rPr>
          <w:rFonts w:hint="eastAsia" w:ascii="仿宋" w:hAnsi="仿宋" w:eastAsia="仿宋" w:cs="仿宋"/>
          <w:b/>
          <w:bCs/>
          <w:color w:val="000000"/>
          <w:sz w:val="32"/>
          <w:szCs w:val="32"/>
          <w:highlight w:val="none"/>
        </w:rPr>
        <w:t>公务用车购置支出</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lang w:val="en-US" w:eastAsia="zh-CN"/>
        </w:rPr>
        <w:t>.00</w:t>
      </w:r>
      <w:r>
        <w:rPr>
          <w:rFonts w:hint="eastAsia" w:ascii="仿宋_GB2312" w:hAnsi="仿宋_GB2312" w:eastAsia="仿宋_GB2312" w:cs="仿宋_GB2312"/>
          <w:color w:val="000000"/>
          <w:sz w:val="32"/>
          <w:highlight w:val="none"/>
          <w:u w:color="auto"/>
        </w:rPr>
        <w:t>万元。全年按规定更新购置公务用车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辆，其中：轿车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辆、金额</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万元，越野车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辆、金额</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万元，载客汽车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辆、金额</w:t>
      </w:r>
      <w:r>
        <w:rPr>
          <w:rFonts w:hint="eastAsia" w:ascii="仿宋_GB2312" w:hAnsi="仿宋_GB2312" w:eastAsia="仿宋_GB2312" w:cs="仿宋_GB2312"/>
          <w:color w:val="000000"/>
          <w:sz w:val="32"/>
          <w:szCs w:val="32"/>
          <w:highlight w:val="none"/>
          <w:lang w:val="en-US" w:eastAsia="zh-CN"/>
        </w:rPr>
        <w:t>0.00</w:t>
      </w:r>
      <w:r>
        <w:rPr>
          <w:rFonts w:hint="eastAsia" w:ascii="仿宋_GB2312" w:hAnsi="仿宋_GB2312" w:eastAsia="仿宋_GB2312" w:cs="仿宋_GB2312"/>
          <w:color w:val="000000"/>
          <w:sz w:val="32"/>
          <w:szCs w:val="32"/>
          <w:highlight w:val="none"/>
        </w:rPr>
        <w:t>万元。截至</w:t>
      </w:r>
      <w:r>
        <w:rPr>
          <w:rFonts w:hint="eastAsia" w:ascii="仿宋_GB2312" w:hAnsi="仿宋_GB2312" w:eastAsia="仿宋_GB2312" w:cs="仿宋_GB2312"/>
          <w:color w:val="000000"/>
          <w:sz w:val="32"/>
          <w:highlight w:val="none"/>
          <w:u w:color="auto"/>
        </w:rPr>
        <w:t>2024年12月</w:t>
      </w:r>
      <w:r>
        <w:rPr>
          <w:rFonts w:hint="eastAsia" w:ascii="仿宋_GB2312" w:hAnsi="仿宋_GB2312" w:eastAsia="仿宋_GB2312" w:cs="仿宋_GB2312"/>
          <w:color w:val="000000"/>
          <w:sz w:val="32"/>
          <w:szCs w:val="32"/>
          <w:highlight w:val="none"/>
          <w:lang w:val="en-US" w:eastAsia="zh-CN"/>
        </w:rPr>
        <w:t>31日</w:t>
      </w:r>
      <w:r>
        <w:rPr>
          <w:rFonts w:hint="eastAsia" w:ascii="仿宋_GB2312" w:hAnsi="仿宋_GB2312" w:eastAsia="仿宋_GB2312" w:cs="仿宋_GB2312"/>
          <w:color w:val="000000"/>
          <w:sz w:val="32"/>
          <w:szCs w:val="32"/>
          <w:highlight w:val="none"/>
        </w:rPr>
        <w:t>，单位共有公务用车</w:t>
      </w:r>
      <w:r>
        <w:rPr>
          <w:rFonts w:hint="eastAsia" w:ascii="仿宋_GB2312" w:hAnsi="仿宋_GB2312" w:eastAsia="仿宋_GB2312" w:cs="仿宋_GB2312"/>
          <w:color w:val="000000"/>
          <w:sz w:val="32"/>
          <w:highlight w:val="none"/>
          <w:u w:color="auto"/>
        </w:rPr>
        <w:t>4辆，其中：轿车</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辆、越野车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辆、载客汽车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w:t>
      </w:r>
      <w:r>
        <w:rPr>
          <w:rFonts w:hint="eastAsia" w:ascii="仿宋_GB2312" w:hAnsi="仿宋_GB2312" w:eastAsia="仿宋_GB2312" w:cs="仿宋_GB2312"/>
          <w:color w:val="000000"/>
          <w:sz w:val="32"/>
          <w:szCs w:val="32"/>
          <w:highlight w:val="none"/>
          <w:lang w:val="en-US" w:eastAsia="zh-CN"/>
        </w:rPr>
        <w:t>。</w:t>
      </w:r>
    </w:p>
    <w:p>
      <w:pPr>
        <w:spacing w:line="600" w:lineRule="exact"/>
        <w:ind w:firstLine="64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公务用车运行维护费支出</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u w:color="auto"/>
        </w:rPr>
        <w:t xml:space="preserve">万元。 </w:t>
      </w:r>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u w:color="auto"/>
        </w:rPr>
        <w:t>万元，完成预算</w:t>
      </w:r>
      <w:r>
        <w:rPr>
          <w:rFonts w:hint="eastAsia" w:ascii="仿宋_GB2312" w:hAnsi="仿宋_GB2312" w:eastAsia="仿宋_GB2312" w:cs="仿宋_GB2312"/>
          <w:color w:val="000000"/>
          <w:sz w:val="32"/>
          <w:u w:color="auto"/>
          <w:lang w:val="en-US" w:eastAsia="zh-CN"/>
        </w:rPr>
        <w:t>100</w:t>
      </w:r>
      <w:r>
        <w:rPr>
          <w:rFonts w:hint="eastAsia" w:ascii="仿宋_GB2312" w:hAnsi="仿宋_GB2312" w:eastAsia="仿宋_GB2312" w:cs="仿宋_GB2312"/>
          <w:color w:val="000000"/>
          <w:sz w:val="32"/>
          <w:u w:color="auto"/>
        </w:rPr>
        <w:t>%。公务接待费</w:t>
      </w:r>
      <w:r>
        <w:rPr>
          <w:rFonts w:hint="eastAsia" w:ascii="仿宋_GB2312" w:hAnsi="仿宋_GB2312" w:eastAsia="仿宋_GB2312" w:cs="仿宋_GB2312"/>
          <w:color w:val="auto"/>
          <w:sz w:val="32"/>
          <w:u w:color="auto"/>
        </w:rPr>
        <w:t>支出</w:t>
      </w:r>
      <w:r>
        <w:rPr>
          <w:rFonts w:hint="eastAsia" w:ascii="仿宋_GB2312" w:hAnsi="仿宋_GB2312" w:eastAsia="仿宋_GB2312" w:cs="仿宋_GB2312"/>
          <w:color w:val="auto"/>
          <w:sz w:val="32"/>
          <w:u w:color="auto"/>
          <w:lang w:eastAsia="zh-CN"/>
        </w:rPr>
        <w:t>与</w:t>
      </w:r>
      <w:r>
        <w:rPr>
          <w:rFonts w:hint="eastAsia" w:ascii="仿宋_GB2312" w:hAnsi="仿宋_GB2312" w:eastAsia="仿宋_GB2312" w:cs="仿宋_GB2312"/>
          <w:color w:val="auto"/>
          <w:sz w:val="32"/>
          <w:u w:color="auto"/>
        </w:rPr>
        <w:t>2023</w:t>
      </w:r>
      <w:r>
        <w:rPr>
          <w:rFonts w:hint="eastAsia" w:ascii="仿宋_GB2312" w:hAnsi="仿宋_GB2312" w:eastAsia="仿宋_GB2312" w:cs="仿宋_GB2312"/>
          <w:color w:val="auto"/>
          <w:sz w:val="32"/>
          <w:szCs w:val="32"/>
          <w:lang w:val="en-US" w:eastAsia="zh-CN"/>
        </w:rPr>
        <w:t>年</w:t>
      </w:r>
      <w:bookmarkStart w:id="57" w:name="_Toc15377218"/>
      <w:r>
        <w:rPr>
          <w:rFonts w:hint="eastAsia" w:ascii="仿宋_GB2312" w:hAnsi="仿宋_GB2312" w:eastAsia="仿宋_GB2312" w:cs="仿宋_GB2312"/>
          <w:color w:val="auto"/>
          <w:sz w:val="32"/>
          <w:szCs w:val="32"/>
          <w:lang w:val="en-US" w:eastAsia="zh-CN"/>
        </w:rPr>
        <w:t>相比无变化。</w:t>
      </w:r>
    </w:p>
    <w:p>
      <w:pPr>
        <w:spacing w:line="600" w:lineRule="exact"/>
        <w:ind w:firstLine="64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国内公务接待支出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u w:color="auto"/>
        </w:rPr>
        <w:t>万元。国内公务接待0批次，0人次（不包括陪同人员），共计支出0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w:t>
      </w:r>
    </w:p>
    <w:p>
      <w:pPr>
        <w:pStyle w:val="6"/>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外事接待支出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u w:color="auto"/>
        </w:rPr>
        <w:t>万元。外事接待0批次，0人次（不包括陪同人员），共计支出0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w:t>
      </w: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58" w:name="_Toc20439"/>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政府性基金预算拨款支出</w:t>
      </w:r>
      <w:r>
        <w:rPr>
          <w:rFonts w:hint="eastAsia" w:ascii="仿宋_GB2312" w:hAnsi="仿宋_GB2312" w:eastAsia="仿宋_GB2312" w:cs="仿宋_GB2312"/>
          <w:color w:val="000000"/>
          <w:sz w:val="32"/>
          <w:u w:color="auto"/>
        </w:rPr>
        <w:t>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w:t>
      </w:r>
      <w:bookmarkStart w:id="60" w:name="_Toc15377219"/>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auto"/>
          <w:kern w:val="2"/>
          <w:sz w:val="32"/>
          <w:szCs w:val="32"/>
          <w:highlight w:val="none"/>
          <w:lang w:val="en-US" w:eastAsia="zh-CN" w:bidi="ar-SA"/>
        </w:rPr>
        <w:t>。与</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auto"/>
          <w:kern w:val="2"/>
          <w:sz w:val="32"/>
          <w:szCs w:val="32"/>
          <w:highlight w:val="none"/>
          <w:lang w:val="en-US" w:eastAsia="zh-CN" w:bidi="ar-SA"/>
        </w:rPr>
        <w:t>年度相比，无变化。</w:t>
      </w: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61" w:name="_Toc23467"/>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auto"/>
          <w:kern w:val="2"/>
          <w:sz w:val="32"/>
          <w:szCs w:val="32"/>
          <w:highlight w:val="none"/>
          <w:lang w:val="en-US" w:eastAsia="zh-CN" w:bidi="ar-SA"/>
        </w:rPr>
        <w:t>。与</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auto"/>
          <w:kern w:val="2"/>
          <w:sz w:val="32"/>
          <w:szCs w:val="32"/>
          <w:highlight w:val="none"/>
          <w:lang w:val="en-US" w:eastAsia="zh-CN" w:bidi="ar-SA"/>
        </w:rPr>
        <w:t>年度相比，无变化。</w:t>
      </w: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黑体" w:hAnsi="黑体" w:eastAsia="黑体" w:cs="黑体"/>
          <w:b w:val="0"/>
          <w:bCs/>
          <w:color w:val="000000"/>
        </w:rPr>
      </w:pPr>
      <w:bookmarkStart w:id="63" w:name="_Toc111208508"/>
      <w:bookmarkStart w:id="64" w:name="_Toc15377221"/>
      <w:bookmarkStart w:id="65" w:name="_Toc18455"/>
      <w:r>
        <w:rPr>
          <w:rFonts w:hint="eastAsia" w:ascii="黑体" w:hAnsi="黑体" w:eastAsia="黑体" w:cs="黑体"/>
          <w:b w:val="0"/>
          <w:bCs/>
          <w:color w:val="000000"/>
        </w:rPr>
        <w:t>十、其他重要事项的情况说明</w:t>
      </w:r>
      <w:bookmarkEnd w:id="63"/>
      <w:bookmarkEnd w:id="64"/>
      <w:bookmarkEnd w:id="65"/>
    </w:p>
    <w:p>
      <w:pPr>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 w:hAnsi="楷体" w:eastAsia="楷体" w:cs="楷体"/>
          <w:b/>
          <w:color w:val="000000"/>
          <w:sz w:val="32"/>
          <w:szCs w:val="32"/>
        </w:rPr>
      </w:pPr>
      <w:bookmarkStart w:id="66" w:name="_Toc15377222"/>
      <w:r>
        <w:rPr>
          <w:rFonts w:hint="eastAsia" w:ascii="楷体" w:hAnsi="楷体" w:eastAsia="楷体" w:cs="楷体"/>
          <w:b/>
          <w:color w:val="000000"/>
          <w:sz w:val="32"/>
          <w:szCs w:val="32"/>
        </w:rPr>
        <w:t>（一）机关运行经费支出情况</w:t>
      </w:r>
      <w:bookmarkEnd w:id="66"/>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茂县交通运输综合服务中心机关运行经费支出7.15万元，比2023年减少2.22万元，下降31.1%。主要原因是</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厉行节俭，过紧日子。</w:t>
      </w:r>
    </w:p>
    <w:p>
      <w:pPr>
        <w:spacing w:line="600" w:lineRule="exact"/>
        <w:ind w:firstLine="642" w:firstLineChars="200"/>
        <w:outlineLvl w:val="2"/>
        <w:rPr>
          <w:rFonts w:hint="eastAsia" w:ascii="楷体" w:hAnsi="楷体" w:eastAsia="楷体" w:cs="楷体"/>
          <w:b/>
          <w:color w:val="000000"/>
          <w:sz w:val="32"/>
          <w:szCs w:val="32"/>
        </w:rPr>
      </w:pPr>
      <w:bookmarkStart w:id="67" w:name="_Toc15377223"/>
      <w:r>
        <w:rPr>
          <w:rFonts w:hint="eastAsia" w:ascii="楷体" w:hAnsi="楷体" w:eastAsia="楷体" w:cs="楷体"/>
          <w:b/>
          <w:color w:val="000000"/>
          <w:sz w:val="32"/>
          <w:szCs w:val="32"/>
        </w:rPr>
        <w:t>（二）政府采购支出情况</w:t>
      </w:r>
      <w:bookmarkEnd w:id="6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茂县交通运输综合服务中心政府采购支出总额0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万元，其中：政府采购货物支出0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万元、政府采购工程支出0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万元、政府采购服务支出0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万元。授予中小企业合同金额0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占政府采购支出总额的</w:t>
      </w:r>
      <w:r>
        <w:rPr>
          <w:rFonts w:hint="eastAsia" w:ascii="仿宋_GB2312" w:hAnsi="仿宋_GB2312" w:eastAsia="仿宋_GB2312" w:cs="仿宋_GB2312"/>
          <w:color w:val="000000"/>
          <w:sz w:val="32"/>
          <w:u w:color="auto"/>
        </w:rPr>
        <w:t>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u w:color="auto"/>
        </w:rPr>
        <w:t>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u w:color="auto"/>
        </w:rPr>
        <w:t>0%。</w:t>
      </w:r>
    </w:p>
    <w:p>
      <w:pPr>
        <w:spacing w:line="600" w:lineRule="exact"/>
        <w:ind w:firstLine="642" w:firstLineChars="200"/>
        <w:outlineLvl w:val="2"/>
        <w:rPr>
          <w:rFonts w:hint="eastAsia" w:ascii="楷体" w:hAnsi="楷体" w:eastAsia="楷体" w:cs="楷体"/>
          <w:b/>
          <w:color w:val="000000"/>
          <w:sz w:val="32"/>
          <w:szCs w:val="32"/>
        </w:rPr>
      </w:pPr>
      <w:bookmarkStart w:id="68" w:name="_Toc15377224"/>
      <w:r>
        <w:rPr>
          <w:rFonts w:hint="eastAsia" w:ascii="楷体" w:hAnsi="楷体" w:eastAsia="楷体" w:cs="楷体"/>
          <w:b/>
          <w:color w:val="000000"/>
          <w:sz w:val="32"/>
          <w:szCs w:val="32"/>
        </w:rPr>
        <w:t>（三）国有资产占有使用情况</w:t>
      </w:r>
      <w:bookmarkEnd w:id="68"/>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2024年12月31日，茂县交通运输综合服务中心共有车辆4辆，其中：主要领导干部用车0辆、机要通信用车0辆、应急保障用车4辆、其他用车0辆。单价100</w:t>
      </w:r>
      <w:r>
        <w:rPr>
          <w:rFonts w:hint="eastAsia" w:ascii="仿宋_GB2312" w:hAnsi="仿宋_GB2312" w:eastAsia="仿宋_GB2312" w:cs="仿宋_GB2312"/>
          <w:color w:val="000000"/>
          <w:sz w:val="32"/>
          <w:u w:color="auto"/>
          <w:lang w:val="en-US" w:eastAsia="zh-CN"/>
        </w:rPr>
        <w:t>.00</w:t>
      </w:r>
      <w:r>
        <w:rPr>
          <w:rFonts w:hint="eastAsia" w:ascii="仿宋_GB2312" w:hAnsi="仿宋_GB2312" w:eastAsia="仿宋_GB2312" w:cs="仿宋_GB2312"/>
          <w:color w:val="000000"/>
          <w:sz w:val="32"/>
          <w:u w:color="auto"/>
        </w:rPr>
        <w:t>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highlight w:val="none"/>
          <w:lang w:eastAsia="zh-CN"/>
        </w:rPr>
        <w:t>根据预算绩效管理要求，本单位在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lang w:eastAsia="zh-CN"/>
        </w:rPr>
        <w:t>预算编制阶段，组织对农村客运车辆座位险补助</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lang w:eastAsia="zh-CN"/>
        </w:rPr>
        <w:t>开展了预算事前绩效评估，对</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个项目编制了绩效目标，预算执行过程中，选取</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个项目开展绩效监控，组织对</w:t>
      </w:r>
      <w:r>
        <w:rPr>
          <w:rFonts w:hint="eastAsia" w:ascii="仿宋_GB2312" w:hAnsi="仿宋_GB2312" w:eastAsia="仿宋_GB2312" w:cs="仿宋_GB2312"/>
          <w:color w:val="auto"/>
          <w:sz w:val="32"/>
          <w:szCs w:val="32"/>
          <w:highlight w:val="none"/>
          <w:lang w:val="en-US" w:eastAsia="zh-CN"/>
        </w:rPr>
        <w:t>1个项目开展绩效自评，绩效自评表详见第四部分附件。</w:t>
      </w:r>
    </w:p>
    <w:p>
      <w:pPr>
        <w:pStyle w:val="6"/>
        <w:rPr>
          <w:rFonts w:hint="eastAsia" w:ascii="仿宋" w:hAnsi="仿宋" w:eastAsia="仿宋" w:cs="仿宋"/>
          <w:sz w:val="32"/>
          <w:szCs w:val="32"/>
        </w:rPr>
      </w:pPr>
    </w:p>
    <w:p>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pPr>
        <w:pStyle w:val="3"/>
        <w:jc w:val="center"/>
        <w:rPr>
          <w:rFonts w:hint="eastAsia" w:ascii="黑体" w:hAnsi="黑体" w:eastAsia="黑体" w:cs="黑体"/>
          <w:b w:val="0"/>
          <w:bCs w:val="0"/>
        </w:rPr>
      </w:pPr>
      <w:bookmarkStart w:id="69" w:name="_Toc18122"/>
      <w:bookmarkStart w:id="70" w:name="_Toc15377225"/>
      <w:bookmarkStart w:id="71" w:name="_Toc111208509"/>
      <w:r>
        <w:rPr>
          <w:rFonts w:hint="eastAsia" w:ascii="黑体" w:hAnsi="黑体" w:eastAsia="黑体" w:cs="黑体"/>
          <w:b w:val="0"/>
          <w:bCs w:val="0"/>
        </w:rPr>
        <w:t>第三部分 名词解释</w:t>
      </w:r>
      <w:bookmarkEnd w:id="69"/>
      <w:bookmarkEnd w:id="70"/>
      <w:bookmarkEnd w:id="7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14.交通运输支出（类）公路水路运输（款）行政运行（项）:反映行政单位（包括实行公务员管理的事业单位）的基本支出。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15.住房保障支出（类）住房改革支出（款）住房公积金（项）:反映行政事业单位按人力资源和社会保障部、财政部规定的基本工资和津贴补贴以及规定比例为职工缴纳的住房公积金。</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16.住房保障支出（类）住房改革支出（款）购房补贴（项）:反映按房改政策规定，行政事业单位向符合条件职工（含离退休人员）、军队（含武警）向转役复员离退休人员发放的用于购买住房的补贴。</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jc w:val="center"/>
        <w:rPr>
          <w:rFonts w:hint="eastAsia" w:ascii="黑体" w:hAnsi="黑体" w:eastAsia="黑体" w:cs="黑体"/>
          <w:b w:val="0"/>
          <w:bCs w:val="0"/>
        </w:rPr>
      </w:pPr>
      <w:bookmarkStart w:id="72" w:name="_Toc111208510"/>
      <w:bookmarkStart w:id="73" w:name="_Toc25539"/>
      <w:r>
        <w:rPr>
          <w:rFonts w:hint="eastAsia" w:ascii="黑体" w:hAnsi="黑体" w:eastAsia="黑体" w:cs="黑体"/>
          <w:b w:val="0"/>
          <w:bCs w:val="0"/>
        </w:rPr>
        <w:t>第四部分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jc w:val="center"/>
        <w:rPr>
          <w:rFonts w:hint="eastAsia" w:ascii="宋体" w:hAnsi="宋体" w:eastAsia="宋体" w:cs="宋体"/>
          <w:b/>
          <w:bCs/>
          <w:sz w:val="44"/>
          <w:szCs w:val="44"/>
        </w:rPr>
      </w:pPr>
      <w:r>
        <w:rPr>
          <w:rFonts w:hint="eastAsia" w:ascii="宋体" w:hAnsi="宋体" w:eastAsia="宋体" w:cs="宋体"/>
          <w:b/>
          <w:bCs/>
          <w:sz w:val="44"/>
          <w:szCs w:val="44"/>
        </w:rPr>
        <w:t>茂县交通运输综合服务中心</w:t>
      </w: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2024</w:t>
      </w:r>
      <w:r>
        <w:rPr>
          <w:rFonts w:hint="eastAsia" w:ascii="宋体" w:hAnsi="宋体" w:eastAsia="宋体" w:cs="宋体"/>
          <w:b/>
          <w:bCs/>
          <w:sz w:val="44"/>
          <w:szCs w:val="44"/>
        </w:rPr>
        <w:t>年部门整体支出绩效评价报告</w:t>
      </w:r>
    </w:p>
    <w:p>
      <w:pPr>
        <w:jc w:val="center"/>
        <w:rPr>
          <w:rFonts w:hint="eastAsia" w:ascii="宋体" w:hAnsi="宋体" w:eastAsia="宋体" w:cs="宋体"/>
          <w:sz w:val="44"/>
          <w:szCs w:val="44"/>
        </w:rPr>
      </w:pPr>
    </w:p>
    <w:p>
      <w:pPr>
        <w:numPr>
          <w:ilvl w:val="0"/>
          <w:numId w:val="1"/>
        </w:num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部门(单位)</w:t>
      </w:r>
      <w:r>
        <w:rPr>
          <w:rFonts w:hint="eastAsia" w:ascii="仿宋_GB2312" w:hAnsi="仿宋_GB2312" w:eastAsia="仿宋_GB2312" w:cs="仿宋_GB2312"/>
          <w:b/>
          <w:bCs/>
          <w:sz w:val="32"/>
          <w:szCs w:val="32"/>
          <w:lang w:eastAsia="zh-CN"/>
        </w:rPr>
        <w:t>基本情况</w:t>
      </w:r>
    </w:p>
    <w:p>
      <w:pPr>
        <w:numPr>
          <w:ilvl w:val="0"/>
          <w:numId w:val="0"/>
        </w:numPr>
        <w:ind w:firstLine="321" w:firstLine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机构组成</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茂</w:t>
      </w:r>
      <w:r>
        <w:rPr>
          <w:rFonts w:hint="eastAsia" w:ascii="仿宋_GB2312" w:hAnsi="仿宋_GB2312" w:eastAsia="仿宋_GB2312" w:cs="仿宋_GB2312"/>
          <w:sz w:val="32"/>
          <w:szCs w:val="32"/>
        </w:rPr>
        <w:t>县交通运输综合服务中心是县政府管理全县交通运输工作的职能部门，承担政府职能的管理机构，为县交通运输局所属事业单位。中心内设“一股一室”，即综合办公室、业务安全股。</w:t>
      </w:r>
    </w:p>
    <w:p>
      <w:pPr>
        <w:numPr>
          <w:ilvl w:val="0"/>
          <w:numId w:val="0"/>
        </w:numPr>
        <w:ind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机构职能</w:t>
      </w:r>
    </w:p>
    <w:p>
      <w:pPr>
        <w:numPr>
          <w:ilvl w:val="0"/>
          <w:numId w:val="0"/>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办公室:负责本单位文电、会务、信息、档案、机要等日常运转工作。承担本单位保密、党建、党风廉政、应急、综治、维稳、信访、史志编纂及目标绩效等工作。做好本单位安全生产节能减排和意识形态工作。负责本单位机构编制、</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部人事、教育培训、退休人员和内部审计工作。负责本县行业宣传、政务信息及精神文明工作。综合协调本单位业务工作，督促重大事项落实。负责客运投诉电话的受理、转交工作;负责办理出租汽车管理有关事项，做好出租汽车行业的协调、监督和服务工作、受理举报投诉，依法转交出租汽车各种违规营运行为。组织办理人大代表建议、政协委员提案。负责本单位预决算和相关财政资金管理与绩效评估工作。负责本单位财务、政府采购和资产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统筹协调其他综合性、临时性工作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安全股:负责承办客运、货运、搬运装卸、运输服务、出租汽车管理、交通战备及物流的各项管理业务;负责整理、管理相关业务档案的保管工作;参与客、货运输站场和服务设施的规划及参与道路客运、货运价格调整工作;负责调解道路货运经营的运输纠纷;负责办理营运车辆的技术管理和汽车维修经营的行业管理业务工作;负责开展汽车维修经营的指导、服务、监督、审验工作;监督、仲裁维修质量纠纷。贯彻执行国家、省有关驾驶员培训的法规规章和政策，指导汽车驾驶员培训行业管理的业务工作;对汽车驾驶员培训学校、营运汽车驾驶员培训质量进行监督检查;负责管理汽车驾驶培训相关证照;负责做好各运输企业、客运站的日常动态、监测:负责加强客运站和客运企业的源头安全管理;认真执行上级部门的道路运输安全的法律、法规和有关规章，并制定企业加强道路运输安全管理的措施;督促各运输企业、客运站落实安全管理措施，并组织各运输企业加强安全学习、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召开系列安全会议，传达相关文件精神;加强客运站安全隐患排查工作，发现安全隐患及时上报，提出整改意见，并督促车站完成相关安全隐患的整改;参与道路运输事故的调查处理，并负责道路交通事故的统计、报告工作;负责对客运安全管理工作提出合理化建议;参与制定行业维稳工作计划并提出合理化建议;完成领导交办的其他工作任务。</w:t>
      </w:r>
    </w:p>
    <w:p>
      <w:pPr>
        <w:numPr>
          <w:ilvl w:val="0"/>
          <w:numId w:val="0"/>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人员概况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我中心为财政全额拨款的一级预算正科级参公事业单位。核定参公编制7人。单位内设1名中心主任，1名中心副主任;202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年末在职人员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人(其中参公</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工勤</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二、部门资金收支情况</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年单位财政资金收入:财政拨款</w:t>
      </w:r>
      <w:r>
        <w:rPr>
          <w:rFonts w:hint="eastAsia" w:ascii="仿宋_GB2312" w:hAnsi="仿宋_GB2312" w:eastAsia="仿宋_GB2312" w:cs="仿宋_GB2312"/>
          <w:sz w:val="32"/>
          <w:szCs w:val="32"/>
          <w:lang w:val="en-US" w:eastAsia="zh-CN"/>
        </w:rPr>
        <w:t>137.87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均为一般公共预算财政拨款收入。</w:t>
      </w:r>
    </w:p>
    <w:p>
      <w:pPr>
        <w:numPr>
          <w:ilvl w:val="0"/>
          <w:numId w:val="0"/>
        </w:numPr>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支出情况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年本部门</w:t>
      </w:r>
      <w:r>
        <w:rPr>
          <w:rFonts w:hint="eastAsia" w:ascii="仿宋_GB2312" w:hAnsi="仿宋_GB2312" w:eastAsia="仿宋_GB2312" w:cs="仿宋_GB2312"/>
          <w:color w:val="auto"/>
          <w:sz w:val="32"/>
          <w:szCs w:val="32"/>
        </w:rPr>
        <w:t>财政拨款支出决算总额</w:t>
      </w:r>
      <w:r>
        <w:rPr>
          <w:rFonts w:hint="eastAsia" w:ascii="仿宋_GB2312" w:hAnsi="仿宋_GB2312" w:eastAsia="仿宋_GB2312" w:cs="仿宋_GB2312"/>
          <w:color w:val="auto"/>
          <w:sz w:val="32"/>
          <w:szCs w:val="32"/>
          <w:lang w:val="en-US" w:eastAsia="zh-CN"/>
        </w:rPr>
        <w:t>137.87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其中按功能分类，交通运输支出</w:t>
      </w:r>
      <w:r>
        <w:rPr>
          <w:rFonts w:hint="eastAsia" w:ascii="仿宋_GB2312" w:hAnsi="仿宋_GB2312" w:eastAsia="仿宋_GB2312" w:cs="仿宋_GB2312"/>
          <w:color w:val="auto"/>
          <w:sz w:val="32"/>
          <w:szCs w:val="32"/>
          <w:lang w:val="en-US" w:eastAsia="zh-CN"/>
        </w:rPr>
        <w:t>87.34</w:t>
      </w:r>
      <w:r>
        <w:rPr>
          <w:rFonts w:hint="eastAsia" w:ascii="仿宋_GB2312" w:hAnsi="仿宋_GB2312" w:eastAsia="仿宋_GB2312" w:cs="仿宋_GB2312"/>
          <w:color w:val="auto"/>
          <w:sz w:val="32"/>
          <w:szCs w:val="32"/>
        </w:rPr>
        <w:t>万元、社会保障和就业支出</w:t>
      </w:r>
      <w:r>
        <w:rPr>
          <w:rFonts w:hint="eastAsia" w:ascii="仿宋_GB2312" w:hAnsi="仿宋_GB2312" w:eastAsia="仿宋_GB2312" w:cs="仿宋_GB2312"/>
          <w:color w:val="auto"/>
          <w:sz w:val="32"/>
          <w:szCs w:val="32"/>
          <w:lang w:val="en-US" w:eastAsia="zh-CN"/>
        </w:rPr>
        <w:t>12.44</w:t>
      </w:r>
      <w:r>
        <w:rPr>
          <w:rFonts w:hint="eastAsia" w:ascii="仿宋_GB2312" w:hAnsi="仿宋_GB2312" w:eastAsia="仿宋_GB2312" w:cs="仿宋_GB2312"/>
          <w:color w:val="auto"/>
          <w:sz w:val="32"/>
          <w:szCs w:val="32"/>
        </w:rPr>
        <w:t>万元、卫生健康支出</w:t>
      </w:r>
      <w:r>
        <w:rPr>
          <w:rFonts w:hint="eastAsia" w:ascii="仿宋_GB2312" w:hAnsi="仿宋_GB2312" w:eastAsia="仿宋_GB2312" w:cs="仿宋_GB2312"/>
          <w:color w:val="auto"/>
          <w:sz w:val="32"/>
          <w:szCs w:val="32"/>
          <w:lang w:val="en-US" w:eastAsia="zh-CN"/>
        </w:rPr>
        <w:t>7.65</w:t>
      </w:r>
      <w:r>
        <w:rPr>
          <w:rFonts w:hint="eastAsia" w:ascii="仿宋_GB2312" w:hAnsi="仿宋_GB2312" w:eastAsia="仿宋_GB2312" w:cs="仿宋_GB2312"/>
          <w:color w:val="auto"/>
          <w:sz w:val="32"/>
          <w:szCs w:val="32"/>
        </w:rPr>
        <w:t>万元、住房保障支出</w:t>
      </w:r>
      <w:r>
        <w:rPr>
          <w:rFonts w:hint="eastAsia" w:ascii="仿宋_GB2312" w:hAnsi="仿宋_GB2312" w:eastAsia="仿宋_GB2312" w:cs="仿宋_GB2312"/>
          <w:color w:val="auto"/>
          <w:sz w:val="32"/>
          <w:szCs w:val="32"/>
          <w:lang w:val="en-US" w:eastAsia="zh-CN"/>
        </w:rPr>
        <w:t>9.03</w:t>
      </w:r>
      <w:r>
        <w:rPr>
          <w:rFonts w:hint="eastAsia" w:ascii="仿宋_GB2312" w:hAnsi="仿宋_GB2312" w:eastAsia="仿宋_GB2312" w:cs="仿宋_GB2312"/>
          <w:color w:val="auto"/>
          <w:sz w:val="32"/>
          <w:szCs w:val="32"/>
        </w:rPr>
        <w:t>万元。按支出性质分类，基本支出</w:t>
      </w:r>
      <w:r>
        <w:rPr>
          <w:rFonts w:hint="eastAsia" w:ascii="仿宋_GB2312" w:hAnsi="仿宋_GB2312" w:eastAsia="仿宋_GB2312" w:cs="仿宋_GB2312"/>
          <w:color w:val="auto"/>
          <w:sz w:val="32"/>
          <w:szCs w:val="32"/>
          <w:lang w:val="en-US" w:eastAsia="zh-CN"/>
        </w:rPr>
        <w:t>114.84</w:t>
      </w:r>
      <w:r>
        <w:rPr>
          <w:rFonts w:hint="eastAsia" w:ascii="仿宋_GB2312" w:hAnsi="仿宋_GB2312" w:eastAsia="仿宋_GB2312" w:cs="仿宋_GB2312"/>
          <w:color w:val="auto"/>
          <w:sz w:val="32"/>
          <w:szCs w:val="32"/>
        </w:rPr>
        <w:t>万元，项目支出</w:t>
      </w:r>
      <w:r>
        <w:rPr>
          <w:rFonts w:hint="eastAsia" w:ascii="仿宋_GB2312" w:hAnsi="仿宋_GB2312" w:eastAsia="仿宋_GB2312" w:cs="仿宋_GB2312"/>
          <w:color w:val="auto"/>
          <w:sz w:val="32"/>
          <w:szCs w:val="32"/>
          <w:lang w:val="en-US" w:eastAsia="zh-CN"/>
        </w:rPr>
        <w:t>23.02</w:t>
      </w:r>
      <w:r>
        <w:rPr>
          <w:rFonts w:hint="eastAsia" w:ascii="仿宋_GB2312" w:hAnsi="仿宋_GB2312" w:eastAsia="仿宋_GB2312" w:cs="仿宋_GB2312"/>
          <w:color w:val="auto"/>
          <w:sz w:val="32"/>
          <w:szCs w:val="32"/>
        </w:rPr>
        <w:t>万元;按经济分类，工资福利支出</w:t>
      </w:r>
      <w:r>
        <w:rPr>
          <w:rFonts w:hint="eastAsia" w:ascii="仿宋_GB2312" w:hAnsi="仿宋_GB2312" w:eastAsia="仿宋_GB2312" w:cs="仿宋_GB2312"/>
          <w:color w:val="auto"/>
          <w:sz w:val="32"/>
          <w:szCs w:val="32"/>
          <w:lang w:val="en-US" w:eastAsia="zh-CN"/>
        </w:rPr>
        <w:t>96.61</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sz w:val="32"/>
          <w:szCs w:val="32"/>
        </w:rPr>
        <w:t>元，商品服务支出</w:t>
      </w:r>
      <w:r>
        <w:rPr>
          <w:rFonts w:hint="eastAsia" w:ascii="仿宋_GB2312" w:hAnsi="仿宋_GB2312" w:eastAsia="仿宋_GB2312" w:cs="仿宋_GB2312"/>
          <w:sz w:val="32"/>
          <w:szCs w:val="32"/>
          <w:lang w:val="en-US" w:eastAsia="zh-CN"/>
        </w:rPr>
        <w:t>7.15</w:t>
      </w:r>
      <w:r>
        <w:rPr>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sz w:val="32"/>
          <w:szCs w:val="32"/>
          <w:lang w:val="en-US" w:eastAsia="zh-CN"/>
        </w:rPr>
        <w:t>11.08</w:t>
      </w:r>
      <w:r>
        <w:rPr>
          <w:rFonts w:hint="eastAsia" w:ascii="仿宋_GB2312" w:hAnsi="仿宋_GB2312" w:eastAsia="仿宋_GB2312" w:cs="仿宋_GB2312"/>
          <w:sz w:val="32"/>
          <w:szCs w:val="32"/>
        </w:rPr>
        <w:t>万元，对企业补助</w:t>
      </w:r>
      <w:r>
        <w:rPr>
          <w:rFonts w:hint="eastAsia" w:ascii="仿宋_GB2312" w:hAnsi="仿宋_GB2312" w:eastAsia="仿宋_GB2312" w:cs="仿宋_GB2312"/>
          <w:sz w:val="32"/>
          <w:szCs w:val="32"/>
          <w:lang w:val="en-US" w:eastAsia="zh-CN"/>
        </w:rPr>
        <w:t>23.02</w:t>
      </w:r>
      <w:r>
        <w:rPr>
          <w:rFonts w:hint="eastAsia" w:ascii="仿宋_GB2312" w:hAnsi="仿宋_GB2312" w:eastAsia="仿宋_GB2312" w:cs="仿宋_GB2312"/>
          <w:sz w:val="32"/>
          <w:szCs w:val="32"/>
        </w:rPr>
        <w:t>万元。</w:t>
      </w:r>
    </w:p>
    <w:p>
      <w:pPr>
        <w:numPr>
          <w:ilvl w:val="0"/>
          <w:numId w:val="0"/>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结余分配和结转结余情况。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年结转结余为0</w:t>
      </w:r>
      <w:r>
        <w:rPr>
          <w:rFonts w:hint="eastAsia" w:ascii="仿宋_GB2312" w:hAnsi="仿宋_GB2312" w:eastAsia="仿宋_GB2312" w:cs="仿宋_GB2312"/>
          <w:sz w:val="32"/>
          <w:szCs w:val="32"/>
          <w:lang w:val="en-US" w:eastAsia="zh-CN"/>
        </w:rPr>
        <w:t>.00万元</w:t>
      </w:r>
      <w:r>
        <w:rPr>
          <w:rFonts w:hint="eastAsia" w:ascii="仿宋_GB2312" w:hAnsi="仿宋_GB2312" w:eastAsia="仿宋_GB2312" w:cs="仿宋_GB2312"/>
          <w:sz w:val="32"/>
          <w:szCs w:val="32"/>
        </w:rPr>
        <w:t>。</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三、部门预算绩效分析</w:t>
      </w:r>
    </w:p>
    <w:p>
      <w:p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(一)部门预算总体绩效分析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我中心自觉践行新发展理念，根据职能职责积极谋划，确定目标任务。按照</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年部门预算编审要求，根据我中心职能职责，结合中长期规划和年度工作计划，明确了年度主要工作任务及年度内履职所要达到的总体产出和效果，认真填报了我中心整体支出绩效目标及农村客运</w:t>
      </w:r>
      <w:r>
        <w:rPr>
          <w:rFonts w:hint="eastAsia" w:ascii="仿宋_GB2312" w:hAnsi="仿宋_GB2312" w:eastAsia="仿宋_GB2312" w:cs="仿宋_GB2312"/>
          <w:sz w:val="32"/>
          <w:szCs w:val="32"/>
          <w:lang w:eastAsia="zh-CN"/>
        </w:rPr>
        <w:t>车辆座位险补助</w:t>
      </w:r>
      <w:r>
        <w:rPr>
          <w:rFonts w:hint="eastAsia" w:ascii="仿宋_GB2312" w:hAnsi="仿宋_GB2312" w:eastAsia="仿宋_GB2312" w:cs="仿宋_GB2312"/>
          <w:sz w:val="32"/>
          <w:szCs w:val="32"/>
        </w:rPr>
        <w:t>等项目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具体说明了项目概况，设定了年度绩效数量指标、成本指标、效益指标等，详细反映了相应项目工作任务、达成的效果。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1.履职效能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年度茂县交运中心基本全面完成了年初确定的整体支出绩效任务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从工作任务完成数量上分析完成率为100%、完成质量达标率为100%、产出时效完成率达90%以上。</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年度主要计划任务全面完成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基本达到了预期的绩效目标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经济效益、指标完成率都为100%，实现了预期的履职和绩效目标。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根据年度工作计划和目标任务制定预算，确保资金分配合理。实施事前绩效评估，确保预算绩效目标的科学性和合理性。进行绩效运行监控，及时调整预算执行，确保资金使用符合预期目标。通过绩效自评,我中心能够自我监督预算执行情况,提高预算管理的透明度和规范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财务管理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我中心严格遵循财务管理制度，确保资金安全和合规使用。并且定期进行内部审计，确保财务活动的透明和规范，防止财务风险。通过财务管理培训,提升财务人员的专业能力和责任意识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提高财务管理效率。采用现代化财务管理系统，提高数据处理速度和准确性，优化财务决策。</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资产管理</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国有资产日常管理情况:按照《茂县行政事业单位国有资产管理暂行办法》要求，严格落实国有资产清查、登记、上报制度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设置固定资产卡片、总</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及明细账簿，并定期进行了清查盘点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及时更新国有资产管理信息系统，做到账账相符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账实相符，明确责任并履行好职责。截至</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年12月31日，我单位自用固定资产350.73万元，占账面固定资产总额的100%，其中:在用 350.73万元，占账面固定资产总额的100%;无出租出借、对外投资、闲置情况。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制度建立情况:建立</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全资产管理的各项规章制度，有购置、申领、使用、报废处置等内部控制制度</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资产处置情况:按照规定履行审批或备案手续，并及时做好账务处理，处置收益或残值按照“收支两条线”管理原则，纳入了财政预算或残值管理，无擅自处置国有资产现象。</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资产动态管理情况:及时登记资产卡片，并向财政管理部门上传有关资产数据，实现了动态管理及时核对账簿</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资产出租出借情况:单位无出租出借国有资产情况。</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罚没资产管理情况:无罚没资产情况</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5.采购管理</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制定明确的采购需求，按照相关规定选择合适的采购方式确保采购活动的合法性和效率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实施采购合同管理，确保合同的履行和监督，避免合同风险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对采购过程进行透明公开，接受社会监督，提高采购活动的公信力。</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年，我单位无采购业务。</w:t>
      </w:r>
    </w:p>
    <w:p>
      <w:pPr>
        <w:numPr>
          <w:ilvl w:val="0"/>
          <w:numId w:val="0"/>
        </w:numPr>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部门预算项目绩效分析</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常年项目绩效分析。该类项目总数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个，涉及预算总金额</w:t>
      </w:r>
      <w:r>
        <w:rPr>
          <w:rFonts w:hint="eastAsia" w:ascii="仿宋_GB2312" w:hAnsi="仿宋_GB2312" w:eastAsia="仿宋_GB2312" w:cs="仿宋_GB2312"/>
          <w:sz w:val="32"/>
          <w:szCs w:val="32"/>
          <w:lang w:val="en-US" w:eastAsia="zh-CN"/>
        </w:rPr>
        <w:t>23.02</w:t>
      </w:r>
      <w:r>
        <w:rPr>
          <w:rFonts w:hint="eastAsia" w:ascii="仿宋_GB2312" w:hAnsi="仿宋_GB2312" w:eastAsia="仿宋_GB2312" w:cs="仿宋_GB2312"/>
          <w:sz w:val="32"/>
          <w:szCs w:val="32"/>
        </w:rPr>
        <w:t>万元，1-12月预算执行总体进度为100%，其中:预算结余率大于10%的项目共计0个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阶段(一次性)项目绩效分析。该类项目总数0个，涉及预算总金额0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万元，1-12月预算执行总体进度为0%，其中:预算结余率大于10%的项目共计0个。</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项目决策</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所有项目均经过严格的评审和批准程序，确保决策的透明性和合理性。目标设置方面，我们基于深入研究和实际需求制定，确保目标的实际性和挑战性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项目入库过程严格遵循了政策和程序要求。</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项目执行</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在项目执行方面，我们关注资金执行同向、项目调整的必要性和执行结果的有效性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资金使用严格按照预算计划，优化资金配置，确保资金效益最大化。项目调整均基于实际情况和效果反馈，确保调整的及时性和适宜性。执行结果方面，项目达到预期目标。</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目标实现</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成功完成了设定目标,项目实施对提升服务效率和质量产生了积极影响。经过对项目决策、执行及目标实现的全面绩效分析，我们认识到在项目决策的前瞻性、项目执行的透明度以及目标实现的可持续性方面仍有待提高。未来，我们将继续优化预算编制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强化财务管理与监督，提升预算透明度与公众参与度，以进一步提高预算资金的使用效率和项目的综合绩效。</w:t>
      </w:r>
    </w:p>
    <w:p>
      <w:pPr>
        <w:numPr>
          <w:ilvl w:val="0"/>
          <w:numId w:val="0"/>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绩效结果应用情况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绩效结果为管理层提供了重要的决策支持信息。根据绩效数据，单位能够评估项目的效率、效果以及资源利用情况，从而对策略进行调整和优化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基于绩效结果，我中心可以更精准地进行资源分配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将资源投向表现好、影响大的项目或区域，减少对表现不佳项目的投入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结果可以用于识别职工培训和发展的需要，帮助我中心制定针对性的培训计划，提升职工的专业技能和工作表现。交运中心通常会对外信息公开，这有助于增加工作的透明度，让广大营运车辆驾驶员能够了解交运中心的工作成效和资源使用情况;能够增强广大营运车辆驾驶员对我中心的信任与支持，推动道路运输事业高质量发展。绩效结果帮助我中心识别运行中存在的问题和挑战，一旦识别出具体问题，我中心会制定相应的改进措施，例如优化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调整资源配置、加强员工培训等;实施改进措施后，持续跟踪其效果，并再次评估，确保问题得到实际解决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我单位通常会将绩效管理视为一个持续的过程，通过不断的评估和反馈循环来追求卓越和效率的提高。</w:t>
      </w:r>
    </w:p>
    <w:p>
      <w:pPr>
        <w:numPr>
          <w:ilvl w:val="0"/>
          <w:numId w:val="0"/>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评价结论及建议</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年我中心部门整体支出绩效评价自查100分，自评结果良好，全年基本支出保证了部门的正常运行和日常工作的正常开展，项目支出保障了重点工作的开展，达到预期绩效目标。</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(二)存在问题。</w:t>
      </w:r>
      <w:r>
        <w:rPr>
          <w:rFonts w:hint="eastAsia" w:ascii="仿宋_GB2312" w:hAnsi="仿宋_GB2312" w:eastAsia="仿宋_GB2312" w:cs="仿宋_GB2312"/>
          <w:sz w:val="32"/>
          <w:szCs w:val="32"/>
          <w:lang w:eastAsia="zh-CN"/>
        </w:rPr>
        <w:t>专项预算项目绩效自评未发现主要问题</w:t>
      </w:r>
      <w:r>
        <w:rPr>
          <w:rFonts w:hint="eastAsia" w:ascii="仿宋_GB2312" w:hAnsi="仿宋_GB2312" w:eastAsia="仿宋_GB2312" w:cs="仿宋_GB2312"/>
          <w:sz w:val="32"/>
          <w:szCs w:val="32"/>
        </w:rPr>
        <w:t>。</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rPr>
        <w:t>(三)改进建议。</w:t>
      </w:r>
      <w:r>
        <w:rPr>
          <w:rFonts w:hint="eastAsia" w:ascii="仿宋_GB2312" w:hAnsi="仿宋_GB2312" w:eastAsia="仿宋_GB2312" w:cs="仿宋_GB2312"/>
          <w:sz w:val="32"/>
          <w:szCs w:val="32"/>
          <w:lang w:eastAsia="zh-CN"/>
        </w:rPr>
        <w:t>无专项预算项目在预算安排完善政策，改进管理等方面的措施建议</w:t>
      </w:r>
      <w:r>
        <w:rPr>
          <w:rFonts w:hint="eastAsia" w:ascii="仿宋_GB2312" w:hAnsi="仿宋_GB2312" w:eastAsia="仿宋_GB2312" w:cs="仿宋_GB2312"/>
          <w:sz w:val="32"/>
          <w:szCs w:val="32"/>
        </w:rPr>
        <w:t>。</w:t>
      </w:r>
    </w:p>
    <w:tbl>
      <w:tblPr>
        <w:tblStyle w:val="20"/>
        <w:tblpPr w:leftFromText="180" w:rightFromText="180" w:vertAnchor="text" w:horzAnchor="page" w:tblpX="377" w:tblpY="735"/>
        <w:tblOverlap w:val="never"/>
        <w:tblW w:w="13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819"/>
        <w:gridCol w:w="2952"/>
        <w:gridCol w:w="1653"/>
        <w:gridCol w:w="1095"/>
        <w:gridCol w:w="1110"/>
        <w:gridCol w:w="810"/>
        <w:gridCol w:w="1338"/>
        <w:gridCol w:w="505"/>
        <w:gridCol w:w="455"/>
        <w:gridCol w:w="2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38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51322323T000008012722-农村客运车辆座位险补助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茂县交通运输综合服务中心本级</w:t>
            </w:r>
          </w:p>
        </w:tc>
        <w:tc>
          <w:tcPr>
            <w:tcW w:w="133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茂县交通运输综合服务中心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统筹城乡公共交通发展，大力扶持和发展农村道路客运，科学合理规划农村客运班线，落实农村客运优惠政策，实施农村客运车辆保险保费补助政策，降低营运成本，解决农村群众安全、方便出行问题。</w:t>
            </w:r>
          </w:p>
        </w:tc>
        <w:tc>
          <w:tcPr>
            <w:tcW w:w="4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为2023年农村客运承运险补贴资金23.02万元，根全县农村客运车辆实际保险费的70%予以支付。阿坝九寨黄龙运业集团有限责任公司、茂县古羌农村客运有限责任公司提供资料，分别分配给九黄运业15辆、古羌农客86辆农客车辆。我中心将资金转至公司账户后，要求各公司及时进行兑付，并根据2家公司提供的资料，核对补贴发放表、银行代收付汇总清单、银行回单等资料。九黄运业公司于2024年11月14日前将5.66万元补助发放至该公司15辆农村客运车辆；古羌农村客运公司于2024年10月25日前将17.36万元补助发放至该公司86辆农村客运车辆。电话随机调查5位农客司机，现场随机调查4位客运司机，回复均收到补贴资金，金额与标准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农村客运车辆数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行政村通车率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保障农村客运车辆正常运行，满足群众出行需求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乡镇通车率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农客驾驶员及群众满意度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各农客企业满意度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我中心认真开展自评工作，通过自评，我中心2023年农村客运车辆承运险补贴项目自评得分100分，自评结果良好，保证农村客运的正常运行。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项目负责人：田发义</w:t>
            </w: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财务负责人：唐雪梅</w:t>
            </w:r>
          </w:p>
        </w:tc>
      </w:tr>
    </w:tbl>
    <w:p>
      <w:pPr>
        <w:pStyle w:val="8"/>
        <w:keepNext w:val="0"/>
        <w:keepLines w:val="0"/>
        <w:pageBreakBefore w:val="0"/>
        <w:kinsoku/>
        <w:wordWrap/>
        <w:overflowPunct/>
        <w:topLinePunct w:val="0"/>
        <w:bidi w:val="0"/>
        <w:spacing w:beforeLines="0" w:line="240" w:lineRule="auto"/>
        <w:textAlignment w:val="auto"/>
        <w:rPr>
          <w:rFonts w:hint="eastAsia" w:ascii="Times New Roman" w:hAnsi="Times New Roman" w:eastAsia="黑体" w:cs="黑体"/>
          <w:color w:val="auto"/>
          <w:sz w:val="32"/>
          <w:szCs w:val="32"/>
          <w:highlight w:val="none"/>
          <w:lang w:val="en-US" w:eastAsia="zh-CN"/>
        </w:rPr>
      </w:pPr>
      <w:bookmarkStart w:id="74" w:name="_Toc111208512"/>
      <w:bookmarkStart w:id="75" w:name="_Toc79163635"/>
      <w:bookmarkStart w:id="76" w:name="_Toc79163885"/>
      <w:bookmarkStart w:id="77" w:name="_Toc21200"/>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44"/>
        <w:keepNext w:val="0"/>
        <w:keepLines w:val="0"/>
        <w:pageBreakBefore w:val="0"/>
        <w:kinsoku/>
        <w:wordWrap/>
        <w:overflowPunct/>
        <w:topLinePunct w:val="0"/>
        <w:bidi w:val="0"/>
        <w:spacing w:line="600" w:lineRule="exact"/>
        <w:ind w:firstLine="640"/>
        <w:jc w:val="center"/>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2023年农村客运车辆承运险补助</w:t>
      </w:r>
    </w:p>
    <w:p>
      <w:pPr>
        <w:pStyle w:val="44"/>
        <w:keepNext w:val="0"/>
        <w:keepLines w:val="0"/>
        <w:pageBreakBefore w:val="0"/>
        <w:kinsoku/>
        <w:wordWrap/>
        <w:overflowPunct/>
        <w:topLinePunct w:val="0"/>
        <w:bidi w:val="0"/>
        <w:spacing w:line="600" w:lineRule="exact"/>
        <w:ind w:firstLine="640"/>
        <w:jc w:val="center"/>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绩效评价报告</w:t>
      </w:r>
    </w:p>
    <w:p>
      <w:pPr>
        <w:pStyle w:val="44"/>
        <w:keepNext w:val="0"/>
        <w:keepLines w:val="0"/>
        <w:pageBreakBefore w:val="0"/>
        <w:kinsoku/>
        <w:wordWrap/>
        <w:overflowPunct/>
        <w:topLinePunct w:val="0"/>
        <w:bidi w:val="0"/>
        <w:spacing w:line="600" w:lineRule="exact"/>
        <w:ind w:firstLine="640"/>
        <w:jc w:val="center"/>
        <w:textAlignment w:val="auto"/>
        <w:rPr>
          <w:rFonts w:hint="default" w:ascii="宋体" w:hAnsi="宋体"/>
          <w:color w:val="auto"/>
          <w:kern w:val="2"/>
          <w:sz w:val="32"/>
          <w:szCs w:val="32"/>
          <w:lang w:val="en-US" w:eastAsia="zh-CN"/>
        </w:rPr>
      </w:pPr>
    </w:p>
    <w:p>
      <w:pPr>
        <w:keepNext w:val="0"/>
        <w:keepLines w:val="0"/>
        <w:pageBreakBefore w:val="0"/>
        <w:tabs>
          <w:tab w:val="left" w:pos="5874"/>
        </w:tabs>
        <w:kinsoku/>
        <w:wordWrap/>
        <w:overflowPunct/>
        <w:topLinePunct w:val="0"/>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r>
        <w:rPr>
          <w:rFonts w:hint="eastAsia" w:ascii="仿宋_GB2312" w:hAnsi="仿宋_GB2312" w:eastAsia="仿宋_GB2312" w:cs="仿宋_GB2312"/>
          <w:sz w:val="32"/>
          <w:szCs w:val="32"/>
          <w:lang w:val="zh-CN"/>
        </w:rPr>
        <w:tab/>
      </w:r>
    </w:p>
    <w:p>
      <w:pPr>
        <w:keepNext w:val="0"/>
        <w:keepLines w:val="0"/>
        <w:pageBreakBefore w:val="0"/>
        <w:kinsoku/>
        <w:wordWrap/>
        <w:overflowPunct/>
        <w:topLinePunct w:val="0"/>
        <w:bidi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根据《四川省人民政府关于进一步加强道路交通安全工作的实施意见》（川府发〔2013〕8号）和《茂县人民政府办公室关于进一步加强农村客运安全管理工作的通知》（茂府办发〔2015〕29号）文件精神，我县农村客运“承运人责任险每座不低于50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万元，政府按保险费的70%予以补助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2024年拨付2023年农客座位险补助资金23.02万元，较上年基本持平。</w:t>
      </w:r>
    </w:p>
    <w:p>
      <w:pPr>
        <w:keepNext w:val="0"/>
        <w:keepLines w:val="0"/>
        <w:pageBreakBefore w:val="0"/>
        <w:numPr>
          <w:ilvl w:val="0"/>
          <w:numId w:val="2"/>
        </w:numPr>
        <w:kinsoku/>
        <w:wordWrap/>
        <w:overflowPunct/>
        <w:topLinePunct w:val="0"/>
        <w:bidi w:val="0"/>
        <w:spacing w:line="60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实施目的及支持方向</w:t>
      </w:r>
    </w:p>
    <w:p>
      <w:pPr>
        <w:keepNext w:val="0"/>
        <w:keepLines w:val="0"/>
        <w:pageBreakBefore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rPr>
        <w:t>根据《四川省人民政府关于进一步加强道路交通安全工作的实施意见》（川府发〔2013〕8号）和《茂县人民政府办公室关于进一步加强农村客运安全管理工作的通知》（茂府办发〔2015〕29号）文件精神，我县农村客运“承运人责任险每座不低于50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万元，政府按保险费的70%予以补助”。</w:t>
      </w:r>
      <w:r>
        <w:rPr>
          <w:rFonts w:hint="eastAsia" w:ascii="仿宋_GB2312" w:hAnsi="仿宋_GB2312" w:eastAsia="仿宋_GB2312" w:cs="仿宋_GB2312"/>
          <w:sz w:val="32"/>
          <w:szCs w:val="32"/>
          <w:lang w:eastAsia="zh-CN"/>
        </w:rPr>
        <w:t>对农村客运车辆座位险进行补助，有利于降低运行成本</w:t>
      </w:r>
      <w:r>
        <w:rPr>
          <w:rFonts w:hint="eastAsia" w:ascii="仿宋_GB2312" w:hAnsi="仿宋_GB2312" w:eastAsia="仿宋_GB2312" w:cs="仿宋_GB2312"/>
          <w:color w:val="000000"/>
          <w:sz w:val="32"/>
          <w:szCs w:val="32"/>
          <w:lang w:val="zh-CN"/>
        </w:rPr>
        <w:t xml:space="preserve"> ，保障农客车辆正常运行，充分满足群众出行需求。</w:t>
      </w:r>
    </w:p>
    <w:p>
      <w:pPr>
        <w:keepNext w:val="0"/>
        <w:keepLines w:val="0"/>
        <w:pageBreakBefore w:val="0"/>
        <w:widowControl/>
        <w:numPr>
          <w:ilvl w:val="0"/>
          <w:numId w:val="2"/>
        </w:numPr>
        <w:kinsoku/>
        <w:wordWrap/>
        <w:overflowPunct/>
        <w:topLinePunct w:val="0"/>
        <w:bidi w:val="0"/>
        <w:adjustRightInd w:val="0"/>
        <w:snapToGrid w:val="0"/>
        <w:spacing w:line="600" w:lineRule="exact"/>
        <w:ind w:left="0" w:leftChars="0" w:firstLine="642" w:firstLineChars="200"/>
        <w:contextualSpacing/>
        <w:jc w:val="lef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预算安排及分配管理</w:t>
      </w:r>
    </w:p>
    <w:p>
      <w:pPr>
        <w:keepNext w:val="0"/>
        <w:keepLines w:val="0"/>
        <w:pageBreakBefore w:val="0"/>
        <w:widowControl/>
        <w:numPr>
          <w:ilvl w:val="0"/>
          <w:numId w:val="0"/>
        </w:numPr>
        <w:kinsoku/>
        <w:wordWrap/>
        <w:overflowPunct/>
        <w:topLinePunct w:val="0"/>
        <w:bidi w:val="0"/>
        <w:adjustRightInd w:val="0"/>
        <w:snapToGrid w:val="0"/>
        <w:spacing w:line="600" w:lineRule="exact"/>
        <w:ind w:leftChars="200" w:firstLine="320" w:firstLineChars="100"/>
        <w:contextualSpacing/>
        <w:jc w:val="left"/>
        <w:textAlignment w:val="auto"/>
        <w:rPr>
          <w:rFonts w:hint="eastAsia" w:ascii="仿宋_GB2312" w:hAnsi="仿宋_GB2312" w:eastAsia="仿宋_GB2312" w:cs="仿宋_GB2312"/>
          <w:b w:val="0"/>
          <w:bCs/>
          <w:kern w:val="0"/>
          <w:sz w:val="32"/>
          <w:szCs w:val="32"/>
          <w:shd w:val="clear" w:color="auto" w:fill="FFFFFF"/>
          <w:lang w:val="en-US"/>
        </w:rPr>
      </w:pPr>
      <w:r>
        <w:rPr>
          <w:rFonts w:hint="eastAsia" w:ascii="仿宋_GB2312" w:hAnsi="仿宋_GB2312" w:eastAsia="仿宋_GB2312" w:cs="仿宋_GB2312"/>
          <w:b w:val="0"/>
          <w:bCs/>
          <w:sz w:val="32"/>
          <w:szCs w:val="32"/>
          <w:lang w:val="zh-CN"/>
        </w:rPr>
        <w:t>项目资金为</w:t>
      </w:r>
      <w:r>
        <w:rPr>
          <w:rFonts w:hint="eastAsia" w:ascii="仿宋_GB2312" w:hAnsi="仿宋_GB2312" w:eastAsia="仿宋_GB2312" w:cs="仿宋_GB2312"/>
          <w:b w:val="0"/>
          <w:bCs/>
          <w:sz w:val="32"/>
          <w:szCs w:val="32"/>
          <w:lang w:val="en-US" w:eastAsia="zh-CN"/>
        </w:rPr>
        <w:t>2023年农村客运车辆承运险补贴资金23.02万元，根据全县农村客运车辆实际保险费的70%予以支付。根据阿坝九寨黄龙运业集团有限责任公司茂县分公司、茂县古羌农村客运有限责任公司提供资料，分别分配给九黄运业</w:t>
      </w:r>
      <w:r>
        <w:rPr>
          <w:rFonts w:hint="eastAsia" w:ascii="仿宋_GB2312" w:hAnsi="仿宋_GB2312" w:eastAsia="仿宋_GB2312" w:cs="仿宋_GB2312"/>
          <w:b w:val="0"/>
          <w:bCs/>
          <w:color w:val="auto"/>
          <w:sz w:val="32"/>
          <w:szCs w:val="32"/>
          <w:lang w:val="en-US" w:eastAsia="zh-CN"/>
        </w:rPr>
        <w:t>15辆、古羌农客86辆</w:t>
      </w:r>
      <w:r>
        <w:rPr>
          <w:rFonts w:hint="eastAsia" w:ascii="仿宋_GB2312" w:hAnsi="仿宋_GB2312" w:eastAsia="仿宋_GB2312" w:cs="仿宋_GB2312"/>
          <w:b w:val="0"/>
          <w:bCs/>
          <w:sz w:val="32"/>
          <w:szCs w:val="32"/>
          <w:lang w:val="en-US" w:eastAsia="zh-CN"/>
        </w:rPr>
        <w:t>农客车辆。</w:t>
      </w:r>
    </w:p>
    <w:p>
      <w:pPr>
        <w:keepNext w:val="0"/>
        <w:keepLines w:val="0"/>
        <w:pageBreakBefore w:val="0"/>
        <w:numPr>
          <w:ilvl w:val="0"/>
          <w:numId w:val="0"/>
        </w:numPr>
        <w:kinsoku/>
        <w:wordWrap/>
        <w:overflowPunct/>
        <w:topLinePunct w:val="0"/>
        <w:bidi w:val="0"/>
        <w:adjustRightInd w:val="0"/>
        <w:snapToGrid w:val="0"/>
        <w:spacing w:line="600" w:lineRule="exact"/>
        <w:ind w:firstLine="963" w:firstLineChars="3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keepNext w:val="0"/>
        <w:keepLines w:val="0"/>
        <w:pageBreakBefore w:val="0"/>
        <w:numPr>
          <w:ilvl w:val="0"/>
          <w:numId w:val="0"/>
        </w:numPr>
        <w:kinsoku/>
        <w:wordWrap/>
        <w:overflowPunct/>
        <w:topLinePunct w:val="0"/>
        <w:bidi w:val="0"/>
        <w:adjustRightInd w:val="0"/>
        <w:snapToGrid w:val="0"/>
        <w:spacing w:line="600" w:lineRule="exact"/>
        <w:ind w:leftChars="20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本项目结合专项预算项目绩效评价指标体系，其中通用指标全覆盖，专用指标只涉及民生保障类，个性指标和扣分项依据实际情况设定。通过项目自评，自评得分</w:t>
      </w:r>
      <w:r>
        <w:rPr>
          <w:rFonts w:hint="eastAsia" w:ascii="仿宋_GB2312" w:hAnsi="仿宋_GB2312" w:eastAsia="仿宋_GB2312" w:cs="仿宋_GB2312"/>
          <w:kern w:val="0"/>
          <w:sz w:val="32"/>
          <w:szCs w:val="32"/>
          <w:shd w:val="clear" w:color="auto" w:fill="FFFFFF"/>
          <w:lang w:val="en-US" w:eastAsia="zh-CN"/>
        </w:rPr>
        <w:t>100分。</w:t>
      </w:r>
    </w:p>
    <w:p>
      <w:pPr>
        <w:keepNext w:val="0"/>
        <w:keepLines w:val="0"/>
        <w:pageBreakBefore w:val="0"/>
        <w:kinsoku/>
        <w:wordWrap/>
        <w:overflowPunct/>
        <w:topLinePunct w:val="0"/>
        <w:bidi w:val="0"/>
        <w:adjustRightInd w:val="0"/>
        <w:snapToGrid w:val="0"/>
        <w:spacing w:line="600" w:lineRule="exact"/>
        <w:ind w:firstLine="963" w:firstLineChars="3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二、评价实施</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年度农村客运车辆承运险补助资金进行绩效自评，能够及时发现问题并整改，汲取项目实施中好的做法和经验，确保项目资金用到刀刃上。</w:t>
      </w:r>
    </w:p>
    <w:p>
      <w:pPr>
        <w:keepNext w:val="0"/>
        <w:keepLines w:val="0"/>
        <w:pageBreakBefore w:val="0"/>
        <w:numPr>
          <w:ilvl w:val="0"/>
          <w:numId w:val="3"/>
        </w:numPr>
        <w:kinsoku/>
        <w:wordWrap/>
        <w:overflowPunct/>
        <w:topLinePunct w:val="0"/>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预设问题及评价重点</w:t>
      </w:r>
    </w:p>
    <w:p>
      <w:pPr>
        <w:keepNext w:val="0"/>
        <w:keepLines w:val="0"/>
        <w:pageBreakBefore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w:t>
      </w:r>
      <w:r>
        <w:rPr>
          <w:rFonts w:hint="eastAsia" w:ascii="仿宋_GB2312" w:hAnsi="仿宋_GB2312" w:eastAsia="仿宋_GB2312" w:cs="仿宋_GB2312"/>
          <w:sz w:val="32"/>
          <w:szCs w:val="32"/>
          <w:lang w:eastAsia="zh-CN"/>
        </w:rPr>
        <w:t>本次自评重点对项目管理、项目实施、项目结果中</w:t>
      </w:r>
      <w:r>
        <w:rPr>
          <w:rFonts w:hint="eastAsia" w:ascii="仿宋_GB2312" w:hAnsi="仿宋_GB2312" w:eastAsia="仿宋_GB2312" w:cs="仿宋_GB2312"/>
          <w:sz w:val="32"/>
          <w:szCs w:val="32"/>
        </w:rPr>
        <w:t>资金支出使用全过程及其实施效果进行综合评价和判断。</w:t>
      </w:r>
    </w:p>
    <w:p>
      <w:pPr>
        <w:keepNext w:val="0"/>
        <w:keepLines w:val="0"/>
        <w:pageBreakBefore w:val="0"/>
        <w:numPr>
          <w:ilvl w:val="0"/>
          <w:numId w:val="3"/>
        </w:numPr>
        <w:kinsoku/>
        <w:wordWrap/>
        <w:overflowPunct/>
        <w:topLinePunct w:val="0"/>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评价选点。</w:t>
      </w:r>
    </w:p>
    <w:p>
      <w:pPr>
        <w:keepNext w:val="0"/>
        <w:keepLines w:val="0"/>
        <w:pageBreakBefore w:val="0"/>
        <w:numPr>
          <w:ilvl w:val="0"/>
          <w:numId w:val="0"/>
        </w:numPr>
        <w:kinsoku/>
        <w:wordWrap/>
        <w:overflowPunct/>
        <w:topLinePunct w:val="0"/>
        <w:bidi w:val="0"/>
        <w:adjustRightInd w:val="0"/>
        <w:snapToGrid w:val="0"/>
        <w:spacing w:line="600" w:lineRule="exact"/>
        <w:ind w:leftChars="200"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项目绩效自评所抽样点位是茂县交通运输综合服务中心。</w:t>
      </w:r>
    </w:p>
    <w:p>
      <w:pPr>
        <w:keepNext w:val="0"/>
        <w:keepLines w:val="0"/>
        <w:pageBreakBefore w:val="0"/>
        <w:numPr>
          <w:ilvl w:val="0"/>
          <w:numId w:val="3"/>
        </w:numPr>
        <w:kinsoku/>
        <w:wordWrap/>
        <w:overflowPunct/>
        <w:topLinePunct w:val="0"/>
        <w:bidi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评价方法</w:t>
      </w:r>
    </w:p>
    <w:p>
      <w:pPr>
        <w:keepNext w:val="0"/>
        <w:keepLines w:val="0"/>
        <w:pageBreakBefore w:val="0"/>
        <w:numPr>
          <w:ilvl w:val="0"/>
          <w:numId w:val="0"/>
        </w:numPr>
        <w:kinsoku/>
        <w:wordWrap/>
        <w:overflowPunct/>
        <w:topLinePunct w:val="0"/>
        <w:bidi w:val="0"/>
        <w:spacing w:line="60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根据项目情况和评价重点，</w:t>
      </w:r>
      <w:r>
        <w:rPr>
          <w:rFonts w:hint="eastAsia" w:ascii="仿宋_GB2312" w:hAnsi="仿宋_GB2312" w:eastAsia="仿宋_GB2312" w:cs="仿宋_GB2312"/>
          <w:sz w:val="32"/>
          <w:szCs w:val="32"/>
          <w:lang w:eastAsia="zh-CN"/>
        </w:rPr>
        <w:t>我单位采用</w:t>
      </w:r>
      <w:r>
        <w:rPr>
          <w:rFonts w:hint="eastAsia" w:ascii="仿宋_GB2312" w:hAnsi="仿宋_GB2312" w:eastAsia="仿宋_GB2312" w:cs="仿宋_GB2312"/>
          <w:sz w:val="32"/>
          <w:szCs w:val="32"/>
        </w:rPr>
        <w:t>单位自评法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案卷研究法、实地勘察法、问卷调查法、座谈调研法等多种方法。</w:t>
      </w:r>
    </w:p>
    <w:p>
      <w:pPr>
        <w:keepNext w:val="0"/>
        <w:keepLines w:val="0"/>
        <w:pageBreakBefore w:val="0"/>
        <w:numPr>
          <w:ilvl w:val="0"/>
          <w:numId w:val="3"/>
        </w:numPr>
        <w:kinsoku/>
        <w:wordWrap/>
        <w:overflowPunct/>
        <w:topLinePunct w:val="0"/>
        <w:bidi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评价组织</w:t>
      </w:r>
    </w:p>
    <w:p>
      <w:pPr>
        <w:keepNext w:val="0"/>
        <w:keepLines w:val="0"/>
        <w:pageBreakBefore w:val="0"/>
        <w:numPr>
          <w:ilvl w:val="0"/>
          <w:numId w:val="0"/>
        </w:numPr>
        <w:kinsoku/>
        <w:wordWrap/>
        <w:overflowPunct/>
        <w:topLinePunct w:val="0"/>
        <w:bidi w:val="0"/>
        <w:spacing w:line="600" w:lineRule="exact"/>
        <w:ind w:leftChars="200" w:firstLine="320" w:firstLineChars="1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评价组</w:t>
      </w:r>
      <w:r>
        <w:rPr>
          <w:rFonts w:hint="eastAsia" w:ascii="仿宋_GB2312" w:hAnsi="仿宋_GB2312" w:eastAsia="仿宋_GB2312" w:cs="仿宋_GB2312"/>
          <w:sz w:val="32"/>
          <w:szCs w:val="32"/>
          <w:lang w:eastAsia="zh-CN"/>
        </w:rPr>
        <w:t>由中心主任担任组长、副主任担任副组长，财务人员为成员，具体评价工作由财务人员负责</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三、绩效分析</w:t>
      </w:r>
      <w:r>
        <w:rPr>
          <w:rFonts w:hint="eastAsia" w:ascii="仿宋_GB2312" w:hAnsi="仿宋_GB2312" w:eastAsia="仿宋_GB2312" w:cs="仿宋_GB2312"/>
          <w:sz w:val="32"/>
          <w:szCs w:val="32"/>
          <w:lang w:val="zh-CN"/>
        </w:rPr>
        <w:tab/>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rPr>
        <w:t>属于政府支持范围，且符合财政事权支出责任划分规定，项目设立、调整延续等方面符合资金管理基本规范和决策程序要求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项目规划符合中央</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省委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政府有关决策部署安排；充分评估论证项目立项必要性、前瞻性、合理性和可行性。项目总体绩效目标设置合理性的偏离度≤15%。绩效目标科学合理、规范完整、量化细化、预算匹配。总体绩效目标设置合理性为绩效目标设置合理的数量与绩效目标总数的比例；资金投向与项目总体规划、相关行业事业发展相匹配；聚焦重大任务、重点领域、重点环节和重点项目，体现</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“集中财力办大事”原则，避免“撒胡椒面”；未与其他同类项目或部门内部相关项目交叉重复。</w:t>
      </w:r>
    </w:p>
    <w:p>
      <w:pPr>
        <w:keepNext w:val="0"/>
        <w:keepLines w:val="0"/>
        <w:pageBreakBefore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项目管理</w:t>
      </w:r>
    </w:p>
    <w:p>
      <w:pPr>
        <w:keepNext w:val="0"/>
        <w:keepLines w:val="0"/>
        <w:pageBreakBefore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资金管理办法等管理制度体系健全完善，不存在管理制度缺失、管理办法过期情况</w:t>
      </w:r>
      <w:r>
        <w:rPr>
          <w:rFonts w:hint="eastAsia" w:ascii="仿宋_GB2312" w:hAnsi="仿宋_GB2312" w:eastAsia="仿宋_GB2312" w:cs="仿宋_GB2312"/>
          <w:sz w:val="32"/>
          <w:szCs w:val="32"/>
          <w:lang w:eastAsia="zh-CN"/>
        </w:rPr>
        <w:t>。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项目按中央、省要求全面完成绩效目标（含事前评估）、绩效评价、以前年度问题整改等预算绩效管理工作。资金分配严格按管理办法执行，决策程序符合管理要求，及时高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（1）分配科学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四川省人民政府关于进一步加强道路交通安全工作的实施意见》（川府发〔2013〕8号）和《茂县人民政府办公室关于进一步加强农村客运安全管理工作的通知》（茂府办发〔2015〕29号）文件精神，我县农村客运“承运人责任险每座不低于50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万元，政府按保险费的70%予以补助”。</w:t>
      </w:r>
      <w:r>
        <w:rPr>
          <w:rFonts w:hint="eastAsia" w:ascii="仿宋_GB2312" w:hAnsi="仿宋_GB2312" w:eastAsia="仿宋_GB2312" w:cs="仿宋_GB2312"/>
          <w:b w:val="0"/>
          <w:bCs w:val="0"/>
          <w:sz w:val="32"/>
          <w:szCs w:val="32"/>
          <w:lang w:val="en-US" w:eastAsia="zh-CN"/>
        </w:rPr>
        <w:t>发展奖补资金按项目法分配。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该项目是由管理全</w:t>
      </w:r>
      <w:r>
        <w:rPr>
          <w:rFonts w:hint="eastAsia" w:ascii="仿宋_GB2312" w:hAnsi="仿宋_GB2312" w:eastAsia="仿宋_GB2312" w:cs="仿宋_GB2312"/>
          <w:sz w:val="32"/>
          <w:szCs w:val="32"/>
          <w:lang w:val="en-US" w:eastAsia="zh-CN"/>
        </w:rPr>
        <w:t>县农村客运的</w:t>
      </w:r>
      <w:r>
        <w:rPr>
          <w:rFonts w:hint="eastAsia" w:ascii="仿宋_GB2312" w:hAnsi="仿宋_GB2312" w:eastAsia="仿宋_GB2312" w:cs="仿宋_GB2312"/>
          <w:b w:val="0"/>
          <w:bCs w:val="0"/>
          <w:sz w:val="32"/>
          <w:szCs w:val="32"/>
          <w:lang w:val="en-US" w:eastAsia="zh-CN"/>
        </w:rPr>
        <w:t>阿坝九寨黄龙运业集团有限责任公司茂县分公司、</w:t>
      </w:r>
      <w:r>
        <w:rPr>
          <w:rFonts w:hint="eastAsia" w:ascii="仿宋_GB2312" w:hAnsi="仿宋_GB2312" w:eastAsia="仿宋_GB2312" w:cs="仿宋_GB2312"/>
          <w:sz w:val="32"/>
          <w:szCs w:val="32"/>
          <w:lang w:val="en-US" w:eastAsia="zh-CN"/>
        </w:rPr>
        <w:t>茂县古羌农村客运有限责任公司根据2023年农村客运车辆实际购买保险情况，经交通运输部门核定后，再测算、分配下达。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（2）使用合规</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项目资金使用、拨付符合国家财经法规、财务管理制度及有关专项资金管理制度办法规定和审批程序，</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存在超范围、超标准、超进度使用专项资金，</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存在资金损失浪费、长期沉淀、截留、挤占、挪用、虚列支出等情况，项目实施遵守相关法律法规。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（3）执行有效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我中心将资金转至公司账户后，要求各公司及时进行兑付，并根据2家公司提供的资料，核对</w:t>
      </w:r>
      <w:r>
        <w:rPr>
          <w:rFonts w:hint="eastAsia" w:ascii="仿宋_GB2312" w:hAnsi="仿宋_GB2312" w:eastAsia="仿宋_GB2312" w:cs="仿宋_GB2312"/>
          <w:b w:val="0"/>
          <w:bCs w:val="0"/>
          <w:color w:val="auto"/>
          <w:sz w:val="32"/>
          <w:szCs w:val="32"/>
          <w:lang w:val="en-US" w:eastAsia="zh-CN"/>
        </w:rPr>
        <w:t>补贴发放表、银行代收付汇总清单、银行回单等资料。</w:t>
      </w:r>
      <w:r>
        <w:rPr>
          <w:rFonts w:hint="eastAsia" w:ascii="仿宋_GB2312" w:hAnsi="仿宋_GB2312" w:eastAsia="仿宋_GB2312" w:cs="仿宋_GB2312"/>
          <w:color w:val="auto"/>
          <w:sz w:val="32"/>
          <w:szCs w:val="32"/>
          <w:lang w:val="en-US" w:eastAsia="zh-CN"/>
        </w:rPr>
        <w:t>九黄运业公司于2024年11月14日前将5.66万元补助发放至该公司15辆农村客运车辆；古羌农村客运公司于2024年10月25日前将17.36万元补助发放至该公司86辆农村客运车辆。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评价人员电话随机调查5位农客司机，现场随机调查4位客运司机，回复均收到补贴资金，金额与标准一致。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（1）目标完成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截至评价日，农村</w:t>
      </w:r>
      <w:r>
        <w:rPr>
          <w:rFonts w:hint="eastAsia" w:ascii="仿宋_GB2312" w:hAnsi="仿宋_GB2312" w:eastAsia="仿宋_GB2312" w:cs="仿宋_GB2312"/>
          <w:b w:val="0"/>
          <w:bCs w:val="0"/>
          <w:color w:val="auto"/>
          <w:sz w:val="32"/>
          <w:szCs w:val="32"/>
          <w:lang w:val="en-US" w:eastAsia="zh-CN"/>
        </w:rPr>
        <w:t>客运车辆应发承运险补助101辆，实发101辆</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预算完成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茂县财政局2024年9月26日下达了2023年承运险补助项目资金23.02万元，实际到位资金23.02万元。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截至评价日，发放2023年度农村客运承运险补贴23.02万元。</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完成及时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九黄运业公司于2024年11月14日前将5.66万元补助发放至该公司15辆农村客运车辆；古羌农村客运公司于2024年10月25日前将17.36万元补助发放至该公司86辆农村客运车辆。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（4）资金结余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截至2024年10月底，实际使用23.02万元，无资金结余。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2"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专用指标</w:t>
      </w:r>
      <w:r>
        <w:rPr>
          <w:rFonts w:hint="eastAsia" w:ascii="仿宋_GB2312" w:hAnsi="仿宋_GB2312" w:eastAsia="仿宋_GB2312" w:cs="仿宋_GB2312"/>
          <w:b/>
          <w:bCs/>
          <w:color w:val="000000"/>
          <w:kern w:val="0"/>
          <w:sz w:val="32"/>
          <w:szCs w:val="32"/>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1.区域均衡性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是由管理全县农村客运的阿坝九寨黄龙运业集团有限责任公司和茂县古羌农村客运有限责任公司根据要求收集全县101辆农村客运车辆2023年度车辆保险资料，按照70%予以测算，经交通运输部门核定后，再分配下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2.对象精准性</w:t>
      </w:r>
    </w:p>
    <w:p>
      <w:pPr>
        <w:keepNext w:val="0"/>
        <w:keepLines w:val="0"/>
        <w:pageBreakBefore w:val="0"/>
        <w:kinsoku/>
        <w:wordWrap/>
        <w:overflowPunct/>
        <w:topLinePunct w:val="0"/>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该项目覆盖全县所有农村客运车车辆，据实补助。</w:t>
      </w:r>
    </w:p>
    <w:p>
      <w:pPr>
        <w:keepNext w:val="0"/>
        <w:keepLines w:val="0"/>
        <w:pageBreakBefore w:val="0"/>
        <w:kinsoku/>
        <w:wordWrap/>
        <w:overflowPunct/>
        <w:topLinePunct w:val="0"/>
        <w:autoSpaceDE w:val="0"/>
        <w:autoSpaceDN w:val="0"/>
        <w:bidi w:val="0"/>
        <w:adjustRightInd w:val="0"/>
        <w:snapToGrid w:val="0"/>
        <w:spacing w:line="600" w:lineRule="exact"/>
        <w:ind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3.标准合理性</w:t>
      </w:r>
    </w:p>
    <w:p>
      <w:pPr>
        <w:keepNext w:val="0"/>
        <w:keepLines w:val="0"/>
        <w:pageBreakBefore w:val="0"/>
        <w:kinsoku/>
        <w:wordWrap/>
        <w:overflowPunct/>
        <w:topLinePunct w:val="0"/>
        <w:autoSpaceDE w:val="0"/>
        <w:autoSpaceDN w:val="0"/>
        <w:bidi w:val="0"/>
        <w:adjustRightInd w:val="0"/>
        <w:snapToGrid w:val="0"/>
        <w:spacing w:line="600" w:lineRule="exact"/>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该补贴项目按照政策执行标准，合理。</w:t>
      </w:r>
    </w:p>
    <w:p>
      <w:pPr>
        <w:keepNext w:val="0"/>
        <w:keepLines w:val="0"/>
        <w:pageBreakBefore w:val="0"/>
        <w:kinsoku/>
        <w:wordWrap/>
        <w:overflowPunct/>
        <w:topLinePunct w:val="0"/>
        <w:autoSpaceDE w:val="0"/>
        <w:autoSpaceDN w:val="0"/>
        <w:bidi w:val="0"/>
        <w:adjustRightInd w:val="0"/>
        <w:snapToGrid w:val="0"/>
        <w:spacing w:line="600" w:lineRule="exact"/>
        <w:ind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4.群众</w:t>
      </w:r>
      <w:r>
        <w:rPr>
          <w:rFonts w:hint="eastAsia" w:ascii="仿宋_GB2312" w:hAnsi="仿宋_GB2312" w:eastAsia="仿宋_GB2312" w:cs="仿宋_GB2312"/>
          <w:color w:val="000000"/>
          <w:sz w:val="32"/>
          <w:szCs w:val="32"/>
          <w:lang w:val="zh-CN"/>
        </w:rPr>
        <w:t>满意度</w:t>
      </w:r>
    </w:p>
    <w:p>
      <w:pPr>
        <w:keepNext w:val="0"/>
        <w:keepLines w:val="0"/>
        <w:pageBreakBefore w:val="0"/>
        <w:kinsoku/>
        <w:wordWrap/>
        <w:overflowPunct/>
        <w:topLinePunct w:val="0"/>
        <w:autoSpaceDE w:val="0"/>
        <w:autoSpaceDN w:val="0"/>
        <w:bidi w:val="0"/>
        <w:adjustRightInd w:val="0"/>
        <w:snapToGrid w:val="0"/>
        <w:spacing w:line="600" w:lineRule="exact"/>
        <w:ind w:left="0" w:leftChars="0" w:firstLine="0" w:firstLineChars="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rPr>
        <w:t>通过乘客满意度调查，群众对我县农村客运基本满意。</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kern w:val="0"/>
          <w:sz w:val="32"/>
          <w:szCs w:val="32"/>
          <w:shd w:val="clear" w:color="auto" w:fill="FFFFFF"/>
          <w:lang w:val="zh-CN"/>
        </w:rPr>
        <w:t>绩效分析</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“两改”后，全县104个建制村、4个社区，建制村通客车覆盖率均为100%。</w:t>
      </w:r>
    </w:p>
    <w:p>
      <w:pPr>
        <w:keepNext w:val="0"/>
        <w:keepLines w:val="0"/>
        <w:pageBreakBefore w:val="0"/>
        <w:kinsoku/>
        <w:wordWrap/>
        <w:overflowPunct/>
        <w:topLinePunct w:val="0"/>
        <w:autoSpaceDE w:val="0"/>
        <w:autoSpaceDN w:val="0"/>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2024年安全运营情况：茂县自开展建制村通客车以来，全县101辆农村客运车辆均为安全运营，未发生交通事故。</w:t>
      </w:r>
    </w:p>
    <w:p>
      <w:pPr>
        <w:pStyle w:val="8"/>
        <w:keepNext w:val="0"/>
        <w:keepLines w:val="0"/>
        <w:pageBreakBefore w:val="0"/>
        <w:tabs>
          <w:tab w:val="left" w:pos="2160"/>
        </w:tabs>
        <w:kinsoku/>
        <w:wordWrap/>
        <w:overflowPunct/>
        <w:topLinePunct w:val="0"/>
        <w:bidi w:val="0"/>
        <w:spacing w:beforeLines="0" w:line="600" w:lineRule="exact"/>
        <w:ind w:leftChars="0"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四、评价结论</w:t>
      </w:r>
    </w:p>
    <w:p>
      <w:pPr>
        <w:keepNext w:val="0"/>
        <w:keepLines w:val="0"/>
        <w:pageBreakBefore w:val="0"/>
        <w:kinsoku/>
        <w:wordWrap/>
        <w:overflowPunct/>
        <w:topLinePunct w:val="0"/>
        <w:bidi w:val="0"/>
        <w:adjustRightInd w:val="0"/>
        <w:snapToGrid w:val="0"/>
        <w:spacing w:line="600" w:lineRule="exact"/>
        <w:ind w:leftChars="0" w:firstLine="640" w:firstLineChars="200"/>
        <w:textAlignment w:val="auto"/>
        <w:rPr>
          <w:rFonts w:hint="eastAsia" w:ascii="仿宋_GB2312" w:hAnsi="仿宋_GB2312" w:eastAsia="仿宋_GB2312" w:cs="仿宋_GB2312"/>
          <w:color w:val="000000"/>
          <w:sz w:val="32"/>
          <w:szCs w:val="32"/>
          <w:bdr w:val="single" w:color="auto" w:sz="4" w:space="0"/>
          <w:lang w:val="zh-CN"/>
        </w:rPr>
      </w:pPr>
      <w:r>
        <w:rPr>
          <w:rFonts w:hint="eastAsia" w:ascii="仿宋_GB2312" w:hAnsi="仿宋_GB2312" w:eastAsia="仿宋_GB2312" w:cs="仿宋_GB2312"/>
          <w:color w:val="000000"/>
          <w:sz w:val="32"/>
          <w:szCs w:val="32"/>
          <w:lang w:val="zh-CN"/>
        </w:rPr>
        <w:t>我中心认真开展自评工作，通过自评，我中心</w:t>
      </w:r>
      <w:r>
        <w:rPr>
          <w:rFonts w:hint="eastAsia"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lang w:val="zh-CN"/>
        </w:rPr>
        <w:t>农村客运承运险补贴项目自评得分</w:t>
      </w:r>
      <w:r>
        <w:rPr>
          <w:rFonts w:hint="eastAsia" w:ascii="仿宋_GB2312" w:hAnsi="仿宋_GB2312" w:eastAsia="仿宋_GB2312" w:cs="仿宋_GB2312"/>
          <w:color w:val="000000"/>
          <w:sz w:val="32"/>
          <w:szCs w:val="32"/>
          <w:lang w:val="en-US" w:eastAsia="zh-CN"/>
        </w:rPr>
        <w:t>100分，</w:t>
      </w:r>
      <w:r>
        <w:rPr>
          <w:rFonts w:hint="eastAsia" w:ascii="仿宋_GB2312" w:hAnsi="仿宋_GB2312" w:eastAsia="仿宋_GB2312" w:cs="仿宋_GB2312"/>
          <w:color w:val="000000"/>
          <w:sz w:val="32"/>
          <w:szCs w:val="32"/>
          <w:lang w:val="zh-CN"/>
        </w:rPr>
        <w:t>自评结果良好，保证了农村客运的正常运行。</w:t>
      </w:r>
    </w:p>
    <w:p>
      <w:pPr>
        <w:pStyle w:val="8"/>
        <w:keepNext w:val="0"/>
        <w:keepLines w:val="0"/>
        <w:pageBreakBefore w:val="0"/>
        <w:tabs>
          <w:tab w:val="left" w:pos="2160"/>
        </w:tabs>
        <w:kinsoku/>
        <w:wordWrap/>
        <w:overflowPunct/>
        <w:topLinePunct w:val="0"/>
        <w:bidi w:val="0"/>
        <w:spacing w:beforeLines="0" w:line="600" w:lineRule="exact"/>
        <w:ind w:leftChars="0"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五、存在主要问题</w:t>
      </w:r>
    </w:p>
    <w:p>
      <w:pPr>
        <w:keepNext w:val="0"/>
        <w:keepLines w:val="0"/>
        <w:pageBreakBefore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专项预算项目绩效自评未发现主要问题</w:t>
      </w:r>
      <w:r>
        <w:rPr>
          <w:rFonts w:hint="eastAsia" w:ascii="仿宋_GB2312" w:hAnsi="仿宋_GB2312" w:eastAsia="仿宋_GB2312" w:cs="仿宋_GB2312"/>
          <w:sz w:val="32"/>
          <w:szCs w:val="32"/>
        </w:rPr>
        <w:t>。</w:t>
      </w:r>
    </w:p>
    <w:p>
      <w:pPr>
        <w:pStyle w:val="8"/>
        <w:keepNext w:val="0"/>
        <w:keepLines w:val="0"/>
        <w:pageBreakBefore w:val="0"/>
        <w:tabs>
          <w:tab w:val="left" w:pos="2160"/>
        </w:tabs>
        <w:kinsoku/>
        <w:wordWrap/>
        <w:overflowPunct/>
        <w:topLinePunct w:val="0"/>
        <w:bidi w:val="0"/>
        <w:spacing w:beforeLines="0" w:line="600" w:lineRule="exact"/>
        <w:ind w:leftChars="0" w:firstLine="642"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六、改进建议</w:t>
      </w:r>
    </w:p>
    <w:p>
      <w:pPr>
        <w:keepNext w:val="0"/>
        <w:keepLines w:val="0"/>
        <w:pageBreakBefore w:val="0"/>
        <w:tabs>
          <w:tab w:val="left" w:pos="1911"/>
        </w:tabs>
        <w:kinsoku/>
        <w:wordWrap/>
        <w:overflowPunct/>
        <w:topLinePunct w:val="0"/>
        <w:bidi w:val="0"/>
        <w:spacing w:line="600" w:lineRule="exact"/>
        <w:ind w:leftChars="0" w:firstLine="0" w:firstLineChars="0"/>
        <w:jc w:val="left"/>
        <w:textAlignment w:val="auto"/>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zh-CN"/>
        </w:rPr>
        <w:t xml:space="preserve"> </w:t>
      </w:r>
      <w:bookmarkStart w:id="78" w:name="_Hlk110546638"/>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sz w:val="32"/>
          <w:szCs w:val="32"/>
          <w:lang w:eastAsia="zh-CN"/>
        </w:rPr>
        <w:t>无专项预算项目在预算安排完善政策，改进管理等方面的措施建议</w:t>
      </w:r>
      <w:r>
        <w:rPr>
          <w:rFonts w:hint="eastAsia" w:ascii="仿宋_GB2312" w:hAnsi="仿宋_GB2312" w:eastAsia="仿宋_GB2312" w:cs="仿宋_GB2312"/>
          <w:sz w:val="32"/>
          <w:szCs w:val="32"/>
        </w:rPr>
        <w:t>。</w:t>
      </w:r>
    </w:p>
    <w:bookmarkEnd w:id="78"/>
    <w:p>
      <w:pPr>
        <w:keepNext w:val="0"/>
        <w:keepLines w:val="0"/>
        <w:pageBreakBefore w:val="0"/>
        <w:kinsoku/>
        <w:wordWrap/>
        <w:overflowPunct/>
        <w:topLinePunct w:val="0"/>
        <w:autoSpaceDE/>
        <w:autoSpaceDN/>
        <w:bidi w:val="0"/>
        <w:spacing w:line="600" w:lineRule="exact"/>
        <w:ind w:leftChars="0" w:firstLine="0" w:firstLineChars="0"/>
        <w:jc w:val="left"/>
        <w:textAlignment w:val="auto"/>
        <w:outlineLvl w:val="0"/>
        <w:rPr>
          <w:rStyle w:val="39"/>
          <w:rFonts w:hint="eastAsia" w:ascii="仿宋_GB2312" w:hAnsi="仿宋_GB2312" w:eastAsia="仿宋_GB2312" w:cs="仿宋_GB2312"/>
          <w:b w:val="0"/>
          <w:color w:val="auto"/>
          <w:sz w:val="32"/>
          <w:szCs w:val="32"/>
          <w:highlight w:val="none"/>
        </w:rPr>
      </w:pPr>
      <w:r>
        <w:rPr>
          <w:rStyle w:val="39"/>
          <w:rFonts w:hint="eastAsia" w:ascii="仿宋_GB2312" w:hAnsi="仿宋_GB2312" w:eastAsia="仿宋_GB2312" w:cs="仿宋_GB2312"/>
          <w:b w:val="0"/>
          <w:color w:val="auto"/>
          <w:sz w:val="32"/>
          <w:szCs w:val="32"/>
          <w:highlight w:val="none"/>
        </w:rPr>
        <w:br w:type="page"/>
      </w:r>
    </w:p>
    <w:p>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9"/>
          <w:rFonts w:hint="eastAsia" w:ascii="黑体" w:hAnsi="黑体" w:eastAsia="黑体"/>
          <w:b w:val="0"/>
          <w:color w:val="auto"/>
          <w:highlight w:val="none"/>
        </w:rPr>
        <w:t>第五部分 附表</w:t>
      </w:r>
      <w:bookmarkEnd w:id="74"/>
      <w:bookmarkEnd w:id="75"/>
      <w:bookmarkEnd w:id="76"/>
      <w:bookmarkEnd w:id="77"/>
    </w:p>
    <w:p>
      <w:pPr>
        <w:pStyle w:val="4"/>
        <w:ind w:firstLine="640" w:firstLineChars="200"/>
        <w:rPr>
          <w:rFonts w:hint="eastAsia" w:ascii="仿宋" w:hAnsi="仿宋" w:eastAsia="仿宋" w:cs="仿宋"/>
          <w:b w:val="0"/>
          <w:bCs/>
          <w:color w:val="000000"/>
        </w:rPr>
      </w:pPr>
      <w:bookmarkStart w:id="79" w:name="_Toc16431"/>
      <w:r>
        <w:rPr>
          <w:rFonts w:hint="eastAsia" w:ascii="仿宋" w:hAnsi="仿宋" w:eastAsia="仿宋" w:cs="仿宋"/>
          <w:b w:val="0"/>
          <w:bCs/>
          <w:color w:val="000000"/>
        </w:rPr>
        <w:t>一、收入支出决算总表</w:t>
      </w:r>
      <w:bookmarkEnd w:id="79"/>
    </w:p>
    <w:p>
      <w:pPr>
        <w:pStyle w:val="4"/>
        <w:ind w:firstLine="640" w:firstLineChars="200"/>
        <w:rPr>
          <w:rFonts w:hint="eastAsia" w:ascii="仿宋" w:hAnsi="仿宋" w:eastAsia="仿宋" w:cs="仿宋"/>
          <w:b w:val="0"/>
          <w:bCs/>
          <w:color w:val="000000"/>
        </w:rPr>
      </w:pPr>
      <w:bookmarkStart w:id="80" w:name="_Toc25389"/>
      <w:r>
        <w:rPr>
          <w:rFonts w:hint="eastAsia" w:ascii="仿宋" w:hAnsi="仿宋" w:eastAsia="仿宋" w:cs="仿宋"/>
          <w:b w:val="0"/>
          <w:bCs/>
          <w:color w:val="000000"/>
        </w:rPr>
        <w:t>二、收入决算表</w:t>
      </w:r>
      <w:bookmarkEnd w:id="80"/>
    </w:p>
    <w:p>
      <w:pPr>
        <w:pStyle w:val="4"/>
        <w:ind w:firstLine="640" w:firstLineChars="200"/>
        <w:rPr>
          <w:rFonts w:hint="eastAsia" w:ascii="仿宋" w:hAnsi="仿宋" w:eastAsia="仿宋" w:cs="仿宋"/>
          <w:b w:val="0"/>
          <w:bCs/>
          <w:color w:val="000000"/>
        </w:rPr>
      </w:pPr>
      <w:bookmarkStart w:id="81" w:name="_Toc10450"/>
      <w:r>
        <w:rPr>
          <w:rFonts w:hint="eastAsia" w:ascii="仿宋" w:hAnsi="仿宋" w:eastAsia="仿宋" w:cs="仿宋"/>
          <w:b w:val="0"/>
          <w:bCs/>
          <w:color w:val="000000"/>
        </w:rPr>
        <w:t>三、支出决算表</w:t>
      </w:r>
      <w:bookmarkEnd w:id="81"/>
    </w:p>
    <w:p>
      <w:pPr>
        <w:pStyle w:val="4"/>
        <w:ind w:firstLine="640" w:firstLineChars="200"/>
        <w:rPr>
          <w:rFonts w:hint="eastAsia" w:ascii="仿宋" w:hAnsi="仿宋" w:eastAsia="仿宋" w:cs="仿宋"/>
          <w:b w:val="0"/>
          <w:bCs/>
          <w:color w:val="000000"/>
        </w:rPr>
      </w:pPr>
      <w:bookmarkStart w:id="82" w:name="_Toc15415"/>
      <w:r>
        <w:rPr>
          <w:rFonts w:hint="eastAsia" w:ascii="仿宋" w:hAnsi="仿宋" w:eastAsia="仿宋" w:cs="仿宋"/>
          <w:b w:val="0"/>
          <w:bCs/>
          <w:color w:val="000000"/>
        </w:rPr>
        <w:t>四、财政拨款收入支出决算总表</w:t>
      </w:r>
      <w:bookmarkEnd w:id="82"/>
    </w:p>
    <w:p>
      <w:pPr>
        <w:pStyle w:val="4"/>
        <w:ind w:firstLine="640" w:firstLineChars="200"/>
        <w:rPr>
          <w:rFonts w:hint="eastAsia" w:ascii="仿宋" w:hAnsi="仿宋" w:eastAsia="仿宋" w:cs="仿宋"/>
          <w:b w:val="0"/>
          <w:bCs/>
          <w:color w:val="000000"/>
        </w:rPr>
      </w:pPr>
      <w:bookmarkStart w:id="83" w:name="_Toc17530"/>
      <w:r>
        <w:rPr>
          <w:rFonts w:hint="eastAsia" w:ascii="仿宋" w:hAnsi="仿宋" w:eastAsia="仿宋" w:cs="仿宋"/>
          <w:b w:val="0"/>
          <w:bCs/>
          <w:color w:val="000000"/>
        </w:rPr>
        <w:t>五、财政拨款支出决算明细表</w:t>
      </w:r>
      <w:bookmarkEnd w:id="83"/>
    </w:p>
    <w:p>
      <w:pPr>
        <w:pStyle w:val="4"/>
        <w:ind w:firstLine="640" w:firstLineChars="200"/>
        <w:rPr>
          <w:rFonts w:hint="eastAsia" w:ascii="仿宋" w:hAnsi="仿宋" w:eastAsia="仿宋" w:cs="仿宋"/>
          <w:b w:val="0"/>
          <w:bCs/>
          <w:color w:val="000000"/>
        </w:rPr>
      </w:pPr>
      <w:bookmarkStart w:id="84" w:name="_Toc22032"/>
      <w:r>
        <w:rPr>
          <w:rFonts w:hint="eastAsia" w:ascii="仿宋" w:hAnsi="仿宋" w:eastAsia="仿宋" w:cs="仿宋"/>
          <w:b w:val="0"/>
          <w:bCs/>
          <w:color w:val="000000"/>
        </w:rPr>
        <w:t>六、一般公共预算财政拨款支出决算表</w:t>
      </w:r>
      <w:bookmarkEnd w:id="84"/>
    </w:p>
    <w:p>
      <w:pPr>
        <w:pStyle w:val="4"/>
        <w:ind w:firstLine="640" w:firstLineChars="200"/>
        <w:rPr>
          <w:rFonts w:hint="eastAsia" w:ascii="仿宋" w:hAnsi="仿宋" w:eastAsia="仿宋" w:cs="仿宋"/>
          <w:b w:val="0"/>
          <w:bCs/>
          <w:color w:val="000000"/>
        </w:rPr>
      </w:pPr>
      <w:bookmarkStart w:id="85" w:name="_Toc3364"/>
      <w:r>
        <w:rPr>
          <w:rFonts w:hint="eastAsia" w:ascii="仿宋" w:hAnsi="仿宋" w:eastAsia="仿宋" w:cs="仿宋"/>
          <w:b w:val="0"/>
          <w:bCs/>
          <w:color w:val="000000"/>
        </w:rPr>
        <w:t>七、一般公共预算财政拨款支出决算明细表</w:t>
      </w:r>
      <w:bookmarkEnd w:id="85"/>
    </w:p>
    <w:p>
      <w:pPr>
        <w:pStyle w:val="4"/>
        <w:ind w:firstLine="640" w:firstLineChars="200"/>
        <w:rPr>
          <w:rFonts w:hint="eastAsia" w:ascii="仿宋" w:hAnsi="仿宋" w:eastAsia="仿宋" w:cs="仿宋"/>
          <w:b w:val="0"/>
          <w:bCs/>
          <w:color w:val="000000"/>
        </w:rPr>
      </w:pPr>
      <w:bookmarkStart w:id="86" w:name="_Toc9110"/>
      <w:r>
        <w:rPr>
          <w:rFonts w:hint="eastAsia" w:ascii="仿宋" w:hAnsi="仿宋" w:eastAsia="仿宋" w:cs="仿宋"/>
          <w:b w:val="0"/>
          <w:bCs/>
          <w:color w:val="000000"/>
        </w:rPr>
        <w:t>八、一般公共预算财政拨款基本支出决算表</w:t>
      </w:r>
      <w:bookmarkEnd w:id="86"/>
    </w:p>
    <w:p>
      <w:pPr>
        <w:pStyle w:val="4"/>
        <w:ind w:firstLine="640" w:firstLineChars="200"/>
        <w:rPr>
          <w:rFonts w:hint="eastAsia" w:ascii="仿宋" w:hAnsi="仿宋" w:eastAsia="仿宋" w:cs="仿宋"/>
          <w:b w:val="0"/>
          <w:bCs/>
          <w:color w:val="000000"/>
        </w:rPr>
      </w:pPr>
      <w:bookmarkStart w:id="87" w:name="_Toc28582"/>
      <w:r>
        <w:rPr>
          <w:rFonts w:hint="eastAsia" w:ascii="仿宋" w:hAnsi="仿宋" w:eastAsia="仿宋" w:cs="仿宋"/>
          <w:b w:val="0"/>
          <w:bCs/>
          <w:color w:val="000000"/>
        </w:rPr>
        <w:t>九、一般公共预算财政拨款项目支出决算表</w:t>
      </w:r>
      <w:bookmarkEnd w:id="87"/>
    </w:p>
    <w:p>
      <w:pPr>
        <w:pStyle w:val="4"/>
        <w:ind w:firstLine="640" w:firstLineChars="200"/>
        <w:rPr>
          <w:rFonts w:hint="eastAsia" w:ascii="仿宋" w:hAnsi="仿宋" w:eastAsia="仿宋" w:cs="仿宋"/>
          <w:b w:val="0"/>
          <w:bCs/>
          <w:color w:val="000000"/>
        </w:rPr>
      </w:pPr>
      <w:bookmarkStart w:id="88" w:name="_Toc22001"/>
      <w:r>
        <w:rPr>
          <w:rFonts w:hint="eastAsia" w:ascii="仿宋" w:hAnsi="仿宋" w:eastAsia="仿宋" w:cs="仿宋"/>
          <w:b w:val="0"/>
          <w:bCs/>
          <w:color w:val="000000"/>
        </w:rPr>
        <w:t>十、政府性基金预算财政拨款收入支出决算表</w:t>
      </w:r>
      <w:bookmarkEnd w:id="88"/>
    </w:p>
    <w:p>
      <w:pPr>
        <w:pStyle w:val="4"/>
        <w:ind w:firstLine="640" w:firstLineChars="200"/>
        <w:rPr>
          <w:rFonts w:hint="eastAsia" w:ascii="仿宋" w:hAnsi="仿宋" w:eastAsia="仿宋" w:cs="仿宋"/>
          <w:b w:val="0"/>
          <w:bCs/>
          <w:color w:val="000000"/>
        </w:rPr>
      </w:pPr>
      <w:bookmarkStart w:id="89" w:name="_Toc6538"/>
      <w:r>
        <w:rPr>
          <w:rFonts w:hint="eastAsia" w:ascii="仿宋" w:hAnsi="仿宋" w:eastAsia="仿宋" w:cs="仿宋"/>
          <w:b w:val="0"/>
          <w:bCs/>
          <w:color w:val="000000"/>
        </w:rPr>
        <w:t>十一、国有资本经营预算财政拨款收入支出决算表</w:t>
      </w:r>
      <w:bookmarkEnd w:id="89"/>
    </w:p>
    <w:p>
      <w:pPr>
        <w:pStyle w:val="4"/>
        <w:ind w:firstLine="640" w:firstLineChars="200"/>
        <w:rPr>
          <w:rFonts w:hint="eastAsia" w:ascii="仿宋" w:hAnsi="仿宋" w:eastAsia="仿宋" w:cs="仿宋"/>
          <w:b w:val="0"/>
          <w:bCs/>
          <w:color w:val="000000"/>
        </w:rPr>
      </w:pPr>
      <w:bookmarkStart w:id="90" w:name="_Toc10625"/>
      <w:r>
        <w:rPr>
          <w:rFonts w:hint="eastAsia" w:ascii="仿宋" w:hAnsi="仿宋" w:eastAsia="仿宋" w:cs="仿宋"/>
          <w:b w:val="0"/>
          <w:bCs/>
          <w:color w:val="000000"/>
        </w:rPr>
        <w:t>十二、国有资本经营预算财政拨款支出决算表</w:t>
      </w:r>
      <w:bookmarkEnd w:id="90"/>
    </w:p>
    <w:p>
      <w:pPr>
        <w:pStyle w:val="4"/>
        <w:ind w:firstLine="640" w:firstLineChars="200"/>
        <w:rPr>
          <w:rFonts w:hint="eastAsia" w:ascii="仿宋" w:hAnsi="仿宋" w:eastAsia="仿宋" w:cs="仿宋"/>
          <w:b w:val="0"/>
          <w:bCs/>
          <w:color w:val="000000"/>
        </w:rPr>
      </w:pPr>
      <w:bookmarkStart w:id="91" w:name="_Toc28356"/>
      <w:r>
        <w:rPr>
          <w:rFonts w:hint="eastAsia" w:ascii="仿宋" w:hAnsi="仿宋" w:eastAsia="仿宋" w:cs="仿宋"/>
          <w:b w:val="0"/>
          <w:bCs/>
          <w:color w:val="000000"/>
        </w:rPr>
        <w:t>十三、财政拨款“三公”经费支出决算表</w:t>
      </w:r>
      <w:bookmarkEnd w:id="91"/>
    </w:p>
    <w:sectPr>
      <w:footerReference r:id="rId6" w:type="first"/>
      <w:footerReference r:id="rId5" w:type="default"/>
      <w:pgSz w:w="11906" w:h="16838"/>
      <w:pgMar w:top="1440" w:right="1800" w:bottom="1440" w:left="180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4"/>
                                <w:jc w:val="center"/>
                              </w:pPr>
                              <w:r>
                                <w:fldChar w:fldCharType="begin"/>
                              </w:r>
                              <w:r>
                                <w:instrText xml:space="preserve">PAGE   \* MERGEFORMAT</w:instrText>
                              </w:r>
                              <w:r>
                                <w:fldChar w:fldCharType="separate"/>
                              </w:r>
                              <w:r>
                                <w:rPr>
                                  <w:lang w:val="zh-CN"/>
                                </w:rPr>
                                <w:t>4</w:t>
                              </w:r>
                              <w:r>
                                <w:fldChar w:fldCharType="end"/>
                              </w:r>
                            </w:p>
                          </w:sdtContent>
                        </w:sd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4856"/>
                    </w:sdtPr>
                    <w:sdtContent>
                      <w:p>
                        <w:pPr>
                          <w:pStyle w:val="14"/>
                          <w:jc w:val="center"/>
                        </w:pPr>
                        <w:r>
                          <w:fldChar w:fldCharType="begin"/>
                        </w:r>
                        <w:r>
                          <w:instrText xml:space="preserve">PAGE   \* MERGEFORMAT</w:instrText>
                        </w:r>
                        <w:r>
                          <w:fldChar w:fldCharType="separate"/>
                        </w:r>
                        <w:r>
                          <w:rPr>
                            <w:lang w:val="zh-CN"/>
                          </w:rPr>
                          <w:t>4</w:t>
                        </w:r>
                        <w:r>
                          <w:fldChar w:fldCharType="end"/>
                        </w:r>
                      </w:p>
                    </w:sdtContent>
                  </w:sdt>
                  <w:p>
                    <w:pPr>
                      <w:pStyle w:val="17"/>
                    </w:pP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7237B"/>
    <w:multiLevelType w:val="singleLevel"/>
    <w:tmpl w:val="8C37237B"/>
    <w:lvl w:ilvl="0" w:tentative="0">
      <w:start w:val="3"/>
      <w:numFmt w:val="decimal"/>
      <w:suff w:val="nothing"/>
      <w:lvlText w:val="（%1）"/>
      <w:lvlJc w:val="left"/>
    </w:lvl>
  </w:abstractNum>
  <w:abstractNum w:abstractNumId="1">
    <w:nsid w:val="A0C516CB"/>
    <w:multiLevelType w:val="singleLevel"/>
    <w:tmpl w:val="A0C516CB"/>
    <w:lvl w:ilvl="0" w:tentative="0">
      <w:start w:val="2"/>
      <w:numFmt w:val="chineseCounting"/>
      <w:suff w:val="nothing"/>
      <w:lvlText w:val="（%1）"/>
      <w:lvlJc w:val="left"/>
      <w:rPr>
        <w:rFonts w:hint="eastAsia"/>
      </w:rPr>
    </w:lvl>
  </w:abstractNum>
  <w:abstractNum w:abstractNumId="2">
    <w:nsid w:val="CF45838A"/>
    <w:multiLevelType w:val="singleLevel"/>
    <w:tmpl w:val="CF45838A"/>
    <w:lvl w:ilvl="0" w:tentative="0">
      <w:start w:val="2"/>
      <w:numFmt w:val="decimal"/>
      <w:suff w:val="nothing"/>
      <w:lvlText w:val="（%1）"/>
      <w:lvlJc w:val="left"/>
    </w:lvl>
  </w:abstractNum>
  <w:abstractNum w:abstractNumId="3">
    <w:nsid w:val="09762DD6"/>
    <w:multiLevelType w:val="singleLevel"/>
    <w:tmpl w:val="09762DD6"/>
    <w:lvl w:ilvl="0" w:tentative="0">
      <w:start w:val="1"/>
      <w:numFmt w:val="chineseCounting"/>
      <w:suff w:val="nothing"/>
      <w:lvlText w:val="%1、"/>
      <w:lvlJc w:val="left"/>
      <w:rPr>
        <w:rFonts w:hint="eastAsia"/>
      </w:rPr>
    </w:lvl>
  </w:abstractNum>
  <w:abstractNum w:abstractNumId="4">
    <w:nsid w:val="20718E4C"/>
    <w:multiLevelType w:val="singleLevel"/>
    <w:tmpl w:val="20718E4C"/>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C25E8C"/>
    <w:rsid w:val="06951176"/>
    <w:rsid w:val="07001BE1"/>
    <w:rsid w:val="07267DE7"/>
    <w:rsid w:val="088F55D5"/>
    <w:rsid w:val="089C4B49"/>
    <w:rsid w:val="09081517"/>
    <w:rsid w:val="091B747D"/>
    <w:rsid w:val="092E626A"/>
    <w:rsid w:val="09A572B6"/>
    <w:rsid w:val="0A19737C"/>
    <w:rsid w:val="0AEF3FBD"/>
    <w:rsid w:val="0AFB6211"/>
    <w:rsid w:val="0B495EAF"/>
    <w:rsid w:val="0B7218AA"/>
    <w:rsid w:val="0B99373B"/>
    <w:rsid w:val="0BA37CB5"/>
    <w:rsid w:val="0D0429D6"/>
    <w:rsid w:val="0D093B48"/>
    <w:rsid w:val="0D322E51"/>
    <w:rsid w:val="0D6C338E"/>
    <w:rsid w:val="0DB37F58"/>
    <w:rsid w:val="0DB742A8"/>
    <w:rsid w:val="0E3512F1"/>
    <w:rsid w:val="0E6D2010"/>
    <w:rsid w:val="0EC00B7E"/>
    <w:rsid w:val="0F5E6610"/>
    <w:rsid w:val="0F6351D1"/>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BC7656"/>
    <w:rsid w:val="17EA348C"/>
    <w:rsid w:val="1840212F"/>
    <w:rsid w:val="184656CF"/>
    <w:rsid w:val="193C261A"/>
    <w:rsid w:val="19934117"/>
    <w:rsid w:val="19943114"/>
    <w:rsid w:val="19DE22C0"/>
    <w:rsid w:val="1AB026BC"/>
    <w:rsid w:val="1ABB32B6"/>
    <w:rsid w:val="1B787B60"/>
    <w:rsid w:val="1BF70747"/>
    <w:rsid w:val="1C06153F"/>
    <w:rsid w:val="1C312204"/>
    <w:rsid w:val="1C986C96"/>
    <w:rsid w:val="1D2D7C4D"/>
    <w:rsid w:val="1D7371C3"/>
    <w:rsid w:val="1DDC2BB3"/>
    <w:rsid w:val="1E1741A3"/>
    <w:rsid w:val="1E2E630C"/>
    <w:rsid w:val="1E34479D"/>
    <w:rsid w:val="1EF81F78"/>
    <w:rsid w:val="1F620905"/>
    <w:rsid w:val="1FD12B34"/>
    <w:rsid w:val="201A6AB0"/>
    <w:rsid w:val="203B66A0"/>
    <w:rsid w:val="206D278F"/>
    <w:rsid w:val="211A679A"/>
    <w:rsid w:val="21253DA0"/>
    <w:rsid w:val="21A94BCD"/>
    <w:rsid w:val="22857975"/>
    <w:rsid w:val="23700C36"/>
    <w:rsid w:val="23844B7E"/>
    <w:rsid w:val="23902475"/>
    <w:rsid w:val="23FA0B3C"/>
    <w:rsid w:val="240371BF"/>
    <w:rsid w:val="2435534E"/>
    <w:rsid w:val="244017F7"/>
    <w:rsid w:val="24534F10"/>
    <w:rsid w:val="24DF6C66"/>
    <w:rsid w:val="253D03DB"/>
    <w:rsid w:val="253F66D1"/>
    <w:rsid w:val="25933330"/>
    <w:rsid w:val="25A20B86"/>
    <w:rsid w:val="25B1070F"/>
    <w:rsid w:val="25BC6564"/>
    <w:rsid w:val="25DD571A"/>
    <w:rsid w:val="265C1D1F"/>
    <w:rsid w:val="26BB36DB"/>
    <w:rsid w:val="271C5A93"/>
    <w:rsid w:val="276F1834"/>
    <w:rsid w:val="27B459F9"/>
    <w:rsid w:val="27C51E91"/>
    <w:rsid w:val="27F12888"/>
    <w:rsid w:val="280173B2"/>
    <w:rsid w:val="28513369"/>
    <w:rsid w:val="28BF6D42"/>
    <w:rsid w:val="28C822A0"/>
    <w:rsid w:val="292E058E"/>
    <w:rsid w:val="29FD04D3"/>
    <w:rsid w:val="2C1E1BB4"/>
    <w:rsid w:val="2CAE1BBE"/>
    <w:rsid w:val="2CCF04B2"/>
    <w:rsid w:val="2DF079DB"/>
    <w:rsid w:val="2E4C04E0"/>
    <w:rsid w:val="2E67588F"/>
    <w:rsid w:val="2F803D16"/>
    <w:rsid w:val="2FF22B1D"/>
    <w:rsid w:val="30CB71E3"/>
    <w:rsid w:val="30E36C85"/>
    <w:rsid w:val="30E76E23"/>
    <w:rsid w:val="31810DA9"/>
    <w:rsid w:val="31903F88"/>
    <w:rsid w:val="319F7F4E"/>
    <w:rsid w:val="31B72CAD"/>
    <w:rsid w:val="32004B5E"/>
    <w:rsid w:val="323A1C2F"/>
    <w:rsid w:val="329448A6"/>
    <w:rsid w:val="32F45598"/>
    <w:rsid w:val="33204932"/>
    <w:rsid w:val="33447C07"/>
    <w:rsid w:val="345D075E"/>
    <w:rsid w:val="35244754"/>
    <w:rsid w:val="361C390A"/>
    <w:rsid w:val="364D41F6"/>
    <w:rsid w:val="36FD0156"/>
    <w:rsid w:val="38207F4E"/>
    <w:rsid w:val="38F8371D"/>
    <w:rsid w:val="391C6ECA"/>
    <w:rsid w:val="39226F5F"/>
    <w:rsid w:val="39902098"/>
    <w:rsid w:val="39FD5F33"/>
    <w:rsid w:val="3A3A0F35"/>
    <w:rsid w:val="3A4E1148"/>
    <w:rsid w:val="3AF15A98"/>
    <w:rsid w:val="3C8D2F9D"/>
    <w:rsid w:val="3CE0510E"/>
    <w:rsid w:val="3D0E3B71"/>
    <w:rsid w:val="3D1927CA"/>
    <w:rsid w:val="3D1E4B3E"/>
    <w:rsid w:val="3D6F2272"/>
    <w:rsid w:val="3D8344ED"/>
    <w:rsid w:val="3DCD154A"/>
    <w:rsid w:val="3E03620E"/>
    <w:rsid w:val="3E343C22"/>
    <w:rsid w:val="3F512FA9"/>
    <w:rsid w:val="3F7C601F"/>
    <w:rsid w:val="3FAC4683"/>
    <w:rsid w:val="3FEA5DFB"/>
    <w:rsid w:val="40035B02"/>
    <w:rsid w:val="401C35B7"/>
    <w:rsid w:val="40A17AFD"/>
    <w:rsid w:val="40EA7211"/>
    <w:rsid w:val="4119235A"/>
    <w:rsid w:val="41677310"/>
    <w:rsid w:val="422C2C46"/>
    <w:rsid w:val="4251506E"/>
    <w:rsid w:val="42B75819"/>
    <w:rsid w:val="43684120"/>
    <w:rsid w:val="444F07DA"/>
    <w:rsid w:val="44601E28"/>
    <w:rsid w:val="46C07A31"/>
    <w:rsid w:val="472E4611"/>
    <w:rsid w:val="475E72DC"/>
    <w:rsid w:val="47F514AF"/>
    <w:rsid w:val="4839282C"/>
    <w:rsid w:val="48FD75BD"/>
    <w:rsid w:val="49243056"/>
    <w:rsid w:val="494C4A06"/>
    <w:rsid w:val="4A113668"/>
    <w:rsid w:val="4A277A41"/>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872E29"/>
    <w:rsid w:val="55923320"/>
    <w:rsid w:val="56D0674C"/>
    <w:rsid w:val="57D23F06"/>
    <w:rsid w:val="58BA52C3"/>
    <w:rsid w:val="58BC5D23"/>
    <w:rsid w:val="59177DCC"/>
    <w:rsid w:val="59E040FC"/>
    <w:rsid w:val="59E11CD3"/>
    <w:rsid w:val="5A857BDE"/>
    <w:rsid w:val="5B2A4567"/>
    <w:rsid w:val="5BE202EA"/>
    <w:rsid w:val="5C533C3A"/>
    <w:rsid w:val="5CAD7C22"/>
    <w:rsid w:val="5CE95B0C"/>
    <w:rsid w:val="5CFA7F1D"/>
    <w:rsid w:val="5D577E65"/>
    <w:rsid w:val="5D6F6B2F"/>
    <w:rsid w:val="5D792D39"/>
    <w:rsid w:val="5E2506F8"/>
    <w:rsid w:val="5E5E7F75"/>
    <w:rsid w:val="5EA316D6"/>
    <w:rsid w:val="5ECE1AC8"/>
    <w:rsid w:val="5EF556B7"/>
    <w:rsid w:val="5F3A07D2"/>
    <w:rsid w:val="5F593A88"/>
    <w:rsid w:val="5F5B5EBE"/>
    <w:rsid w:val="5FE356D0"/>
    <w:rsid w:val="5FF901AE"/>
    <w:rsid w:val="60651EAC"/>
    <w:rsid w:val="60BB3927"/>
    <w:rsid w:val="6200749A"/>
    <w:rsid w:val="620F0B35"/>
    <w:rsid w:val="6240022D"/>
    <w:rsid w:val="62A42EE2"/>
    <w:rsid w:val="62BE686B"/>
    <w:rsid w:val="62F14F12"/>
    <w:rsid w:val="630D013F"/>
    <w:rsid w:val="63347FC4"/>
    <w:rsid w:val="63604CB9"/>
    <w:rsid w:val="64A36D0B"/>
    <w:rsid w:val="64C656C1"/>
    <w:rsid w:val="64F77166"/>
    <w:rsid w:val="65201386"/>
    <w:rsid w:val="657F4183"/>
    <w:rsid w:val="658466A7"/>
    <w:rsid w:val="6596487B"/>
    <w:rsid w:val="65BB272C"/>
    <w:rsid w:val="65DF63C9"/>
    <w:rsid w:val="65E950BC"/>
    <w:rsid w:val="662A7F2C"/>
    <w:rsid w:val="665926B0"/>
    <w:rsid w:val="66627873"/>
    <w:rsid w:val="668C6E92"/>
    <w:rsid w:val="66D65FFA"/>
    <w:rsid w:val="673B1CC5"/>
    <w:rsid w:val="67C24194"/>
    <w:rsid w:val="67EB36EB"/>
    <w:rsid w:val="687040CE"/>
    <w:rsid w:val="68DA2DB6"/>
    <w:rsid w:val="69725134"/>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BE3A62"/>
    <w:rsid w:val="746C7E4B"/>
    <w:rsid w:val="750E6C6B"/>
    <w:rsid w:val="755E374E"/>
    <w:rsid w:val="75884CEA"/>
    <w:rsid w:val="75B310E7"/>
    <w:rsid w:val="75B318F4"/>
    <w:rsid w:val="75F61299"/>
    <w:rsid w:val="761A4623"/>
    <w:rsid w:val="76377F56"/>
    <w:rsid w:val="764B35A7"/>
    <w:rsid w:val="769E6A57"/>
    <w:rsid w:val="77A8685A"/>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F09108F"/>
    <w:rsid w:val="7FDC49A0"/>
    <w:rsid w:val="87FE63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Body Text"/>
    <w:basedOn w:val="1"/>
    <w:next w:val="9"/>
    <w:link w:val="32"/>
    <w:qFormat/>
    <w:uiPriority w:val="99"/>
    <w:pPr>
      <w:spacing w:beforeLines="30"/>
    </w:pPr>
    <w:rPr>
      <w:rFonts w:ascii="仿宋_GB2312" w:eastAsia="仿宋_GB2312"/>
      <w:kern w:val="0"/>
      <w:sz w:val="30"/>
    </w:rPr>
  </w:style>
  <w:style w:type="paragraph" w:styleId="9">
    <w:name w:val="Body Text First Indent"/>
    <w:basedOn w:val="8"/>
    <w:unhideWhenUsed/>
    <w:qFormat/>
    <w:uiPriority w:val="0"/>
    <w:pPr>
      <w:tabs>
        <w:tab w:val="left" w:pos="2160"/>
      </w:tabs>
      <w:ind w:firstLine="420" w:firstLineChars="100"/>
    </w:pPr>
    <w:rPr>
      <w:rFonts w:ascii="Times New Roman" w:hAnsi="Times New Roman"/>
      <w:kern w:val="0"/>
      <w:sz w:val="18"/>
      <w:szCs w:val="18"/>
    </w:rPr>
  </w:style>
  <w:style w:type="paragraph" w:styleId="10">
    <w:name w:val="Body Text Indent"/>
    <w:basedOn w:val="1"/>
    <w:next w:val="11"/>
    <w:qFormat/>
    <w:uiPriority w:val="0"/>
    <w:pPr>
      <w:spacing w:after="120"/>
      <w:ind w:leftChars="200"/>
    </w:pPr>
    <w:rPr>
      <w:rFonts w:ascii="仿宋_GB2312"/>
      <w:szCs w:val="32"/>
    </w:rPr>
  </w:style>
  <w:style w:type="paragraph" w:styleId="11">
    <w:name w:val="Body Text First Indent 2"/>
    <w:basedOn w:val="10"/>
    <w:unhideWhenUsed/>
    <w:qFormat/>
    <w:uiPriority w:val="99"/>
    <w:pPr>
      <w:ind w:firstLine="420" w:firstLineChars="200"/>
    </w:p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7"/>
    <w:semiHidden/>
    <w:unhideWhenUsed/>
    <w:qFormat/>
    <w:uiPriority w:val="99"/>
    <w:rPr>
      <w:sz w:val="18"/>
      <w:szCs w:val="18"/>
    </w:rPr>
  </w:style>
  <w:style w:type="paragraph" w:styleId="14">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1"/>
    <w:semiHidden/>
    <w:qFormat/>
    <w:uiPriority w:val="0"/>
    <w:pPr>
      <w:snapToGrid w:val="0"/>
      <w:jc w:val="left"/>
    </w:pPr>
    <w:rPr>
      <w:sz w:val="18"/>
      <w:szCs w:val="18"/>
    </w:rPr>
  </w:style>
  <w:style w:type="paragraph" w:styleId="18">
    <w:name w:val="toc 2"/>
    <w:basedOn w:val="1"/>
    <w:next w:val="1"/>
    <w:unhideWhenUsed/>
    <w:qFormat/>
    <w:uiPriority w:val="39"/>
    <w:pPr>
      <w:tabs>
        <w:tab w:val="right" w:leader="dot" w:pos="8296"/>
      </w:tabs>
      <w:ind w:left="420" w:leftChars="2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7">
    <w:name w:val="Header Char"/>
    <w:basedOn w:val="21"/>
    <w:semiHidden/>
    <w:qFormat/>
    <w:uiPriority w:val="99"/>
    <w:rPr>
      <w:rFonts w:ascii="Times New Roman" w:hAnsi="Times New Roman"/>
      <w:sz w:val="18"/>
      <w:szCs w:val="18"/>
    </w:rPr>
  </w:style>
  <w:style w:type="character" w:customStyle="1" w:styleId="28">
    <w:name w:val="页眉 字符"/>
    <w:link w:val="15"/>
    <w:semiHidden/>
    <w:qFormat/>
    <w:locked/>
    <w:uiPriority w:val="99"/>
    <w:rPr>
      <w:sz w:val="18"/>
    </w:rPr>
  </w:style>
  <w:style w:type="character" w:customStyle="1" w:styleId="29">
    <w:name w:val="Footer Char"/>
    <w:basedOn w:val="21"/>
    <w:semiHidden/>
    <w:qFormat/>
    <w:uiPriority w:val="99"/>
    <w:rPr>
      <w:rFonts w:ascii="Times New Roman" w:hAnsi="Times New Roman"/>
      <w:sz w:val="18"/>
      <w:szCs w:val="18"/>
    </w:rPr>
  </w:style>
  <w:style w:type="character" w:customStyle="1" w:styleId="30">
    <w:name w:val="页脚 字符"/>
    <w:link w:val="14"/>
    <w:qFormat/>
    <w:locked/>
    <w:uiPriority w:val="99"/>
    <w:rPr>
      <w:sz w:val="18"/>
    </w:rPr>
  </w:style>
  <w:style w:type="character" w:customStyle="1" w:styleId="31">
    <w:name w:val="Body Text Char"/>
    <w:basedOn w:val="21"/>
    <w:semiHidden/>
    <w:qFormat/>
    <w:uiPriority w:val="99"/>
    <w:rPr>
      <w:rFonts w:ascii="Times New Roman" w:hAnsi="Times New Roman"/>
      <w:szCs w:val="24"/>
    </w:rPr>
  </w:style>
  <w:style w:type="character" w:customStyle="1" w:styleId="32">
    <w:name w:val="正文文本 字符"/>
    <w:link w:val="8"/>
    <w:qFormat/>
    <w:locked/>
    <w:uiPriority w:val="99"/>
    <w:rPr>
      <w:rFonts w:ascii="仿宋_GB2312" w:hAnsi="Times New Roman" w:eastAsia="仿宋_GB2312"/>
      <w:sz w:val="24"/>
    </w:rPr>
  </w:style>
  <w:style w:type="paragraph" w:styleId="33">
    <w:name w:val="List Paragraph"/>
    <w:basedOn w:val="1"/>
    <w:qFormat/>
    <w:uiPriority w:val="34"/>
    <w:pPr>
      <w:ind w:firstLine="420" w:firstLineChars="200"/>
    </w:pPr>
  </w:style>
  <w:style w:type="character" w:customStyle="1" w:styleId="34">
    <w:name w:val="标题 1 字符"/>
    <w:basedOn w:val="21"/>
    <w:link w:val="3"/>
    <w:qFormat/>
    <w:uiPriority w:val="9"/>
    <w:rPr>
      <w:rFonts w:ascii="Times New Roman" w:hAnsi="Times New Roman"/>
      <w:b/>
      <w:bCs/>
      <w:kern w:val="44"/>
      <w:sz w:val="44"/>
      <w:szCs w:val="44"/>
    </w:rPr>
  </w:style>
  <w:style w:type="character" w:customStyle="1" w:styleId="35">
    <w:name w:val="标题 2 字符"/>
    <w:basedOn w:val="21"/>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1"/>
    <w:link w:val="13"/>
    <w:semiHidden/>
    <w:qFormat/>
    <w:uiPriority w:val="99"/>
    <w:rPr>
      <w:rFonts w:ascii="Times New Roman" w:hAnsi="Times New Roman"/>
      <w:kern w:val="2"/>
      <w:sz w:val="18"/>
      <w:szCs w:val="18"/>
    </w:rPr>
  </w:style>
  <w:style w:type="character" w:customStyle="1" w:styleId="38">
    <w:name w:val="标题 3 字符"/>
    <w:basedOn w:val="21"/>
    <w:link w:val="5"/>
    <w:qFormat/>
    <w:uiPriority w:val="9"/>
    <w:rPr>
      <w:rFonts w:ascii="Times New Roman" w:hAnsi="Times New Roman"/>
      <w:b/>
      <w:bCs/>
      <w:kern w:val="2"/>
      <w:sz w:val="32"/>
      <w:szCs w:val="32"/>
    </w:rPr>
  </w:style>
  <w:style w:type="character" w:customStyle="1" w:styleId="39">
    <w:name w:val="标题 1 Char"/>
    <w:basedOn w:val="21"/>
    <w:link w:val="3"/>
    <w:qFormat/>
    <w:uiPriority w:val="9"/>
    <w:rPr>
      <w:b/>
      <w:bCs/>
      <w:kern w:val="44"/>
      <w:sz w:val="44"/>
      <w:szCs w:val="44"/>
    </w:rPr>
  </w:style>
  <w:style w:type="character" w:customStyle="1" w:styleId="40">
    <w:name w:val="font51"/>
    <w:basedOn w:val="21"/>
    <w:qFormat/>
    <w:uiPriority w:val="0"/>
    <w:rPr>
      <w:rFonts w:ascii="宋体" w:hAnsi="宋体" w:eastAsia="宋体" w:cs="宋体"/>
      <w:b/>
      <w:bCs/>
      <w:color w:val="000000"/>
      <w:sz w:val="22"/>
      <w:szCs w:val="22"/>
      <w:u w:val="none"/>
    </w:rPr>
  </w:style>
  <w:style w:type="character" w:customStyle="1" w:styleId="41">
    <w:name w:val="font31"/>
    <w:basedOn w:val="21"/>
    <w:qFormat/>
    <w:uiPriority w:val="0"/>
    <w:rPr>
      <w:rFonts w:ascii="宋体" w:hAnsi="宋体" w:eastAsia="宋体" w:cs="宋体"/>
      <w:color w:val="000000"/>
      <w:sz w:val="12"/>
      <w:szCs w:val="12"/>
      <w:u w:val="none"/>
    </w:rPr>
  </w:style>
  <w:style w:type="character" w:customStyle="1" w:styleId="42">
    <w:name w:val="font61"/>
    <w:basedOn w:val="21"/>
    <w:qFormat/>
    <w:uiPriority w:val="0"/>
    <w:rPr>
      <w:rFonts w:ascii="宋体" w:hAnsi="宋体" w:eastAsia="宋体" w:cs="宋体"/>
      <w:color w:val="000000"/>
      <w:sz w:val="10"/>
      <w:szCs w:val="10"/>
      <w:u w:val="none"/>
    </w:rPr>
  </w:style>
  <w:style w:type="character" w:customStyle="1" w:styleId="43">
    <w:name w:val="font71"/>
    <w:basedOn w:val="21"/>
    <w:qFormat/>
    <w:uiPriority w:val="0"/>
    <w:rPr>
      <w:rFonts w:ascii="宋体" w:hAnsi="宋体" w:eastAsia="宋体" w:cs="宋体"/>
      <w:color w:val="404030"/>
      <w:sz w:val="12"/>
      <w:szCs w:val="12"/>
      <w:u w:val="none"/>
    </w:rPr>
  </w:style>
  <w:style w:type="paragraph" w:customStyle="1" w:styleId="44">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260" b="1" i="0" u="none" strike="noStrike" kern="1200" baseline="0">
                <a:solidFill>
                  <a:schemeClr val="tx1"/>
                </a:solidFill>
                <a:latin typeface="+mn-lt"/>
                <a:ea typeface="+mn-ea"/>
                <a:cs typeface="+mn-cs"/>
              </a:defRPr>
            </a:pPr>
            <a:r>
              <a:rPr lang="zh-CN" sz="1260"/>
              <a:t>收、支决算总计变动情况图</a:t>
            </a:r>
            <a:endParaRPr lang="en-US" sz="126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{519.13,137.87}</c:f>
              <c:numCache>
                <c:formatCode>General</c:formatCode>
                <c:ptCount val="2"/>
                <c:pt idx="0">
                  <c:v>519.13</c:v>
                </c:pt>
                <c:pt idx="1">
                  <c:v>137.87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50" b="1" i="0" u="none" strike="noStrike" kern="1200" baseline="0">
                    <a:solidFill>
                      <a:schemeClr val="tx1"/>
                    </a:solidFill>
                    <a:latin typeface="+mn-lt"/>
                    <a:ea typeface="+mn-ea"/>
                    <a:cs typeface="+mn-cs"/>
                  </a:defRPr>
                </a:pPr>
                <a:r>
                  <a:rPr lang="zh-CN" sz="1050"/>
                  <a:t>单位：万元</a:t>
                </a:r>
                <a:endParaRPr lang="en-US" sz="105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105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50" b="1" i="0" u="none" strike="noStrike" kern="1200" baseline="0">
                    <a:solidFill>
                      <a:schemeClr val="tx1"/>
                    </a:solidFill>
                    <a:latin typeface="+mn-lt"/>
                    <a:ea typeface="+mn-ea"/>
                    <a:cs typeface="+mn-cs"/>
                  </a:defRPr>
                </a:pPr>
                <a:r>
                  <a:rPr lang="zh-CN" sz="1050"/>
                  <a:t> </a:t>
                </a:r>
                <a:endParaRPr lang="en-US" sz="105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zh-CN" sz="1050" b="0" i="0" u="none" strike="noStrike" kern="1200" baseline="0">
                <a:solidFill>
                  <a:schemeClr val="dk1">
                    <a:lumMod val="65000"/>
                    <a:lumOff val="35000"/>
                  </a:schemeClr>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05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sz="105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260" b="1" i="0" u="none" strike="noStrike" kern="1200" baseline="0">
                <a:solidFill>
                  <a:schemeClr val="tx1"/>
                </a:solidFill>
                <a:latin typeface="+mn-lt"/>
                <a:ea typeface="+mn-ea"/>
                <a:cs typeface="+mn-cs"/>
              </a:defRPr>
            </a:pPr>
            <a:r>
              <a:rPr lang="zh-CN" sz="1260"/>
              <a:t>收入决算结构图</a:t>
            </a:r>
            <a:endParaRPr lang="en-US" sz="1260"/>
          </a:p>
        </c:rich>
      </c:tx>
      <c:layout/>
      <c:overlay val="0"/>
    </c:title>
    <c:autoTitleDeleted val="0"/>
    <c:plotArea>
      <c:layout/>
      <c:pieChart>
        <c:varyColors val="1"/>
        <c:ser>
          <c:idx val="1"/>
          <c:order val="0"/>
          <c:explosion val="0"/>
          <c:dPt>
            <c:idx val="0"/>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{137.87}</c:f>
              <c:numCache>
                <c:formatCode>General</c:formatCode>
                <c:ptCount val="1"/>
                <c:pt idx="0">
                  <c:v>137.87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50" b="0" i="0" u="none" strike="noStrike" kern="1200" baseline="0">
                <a:solidFill>
                  <a:schemeClr val="dk1">
                    <a:lumMod val="75000"/>
                    <a:lumOff val="25000"/>
                  </a:schemeClr>
                </a:solidFill>
                <a:latin typeface="+mn-lt"/>
                <a:ea typeface="+mn-ea"/>
                <a:cs typeface="+mn-cs"/>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105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sz="105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{114.84,23.02}</c:f>
              <c:numCache>
                <c:formatCode>General</c:formatCode>
                <c:ptCount val="2"/>
                <c:pt idx="0">
                  <c:v>114.84</c:v>
                </c:pt>
                <c:pt idx="1">
                  <c:v>23.02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60" b="1" i="0" u="none" strike="noStrike" kern="1200" baseline="0">
                <a:solidFill>
                  <a:schemeClr val="tx2"/>
                </a:solidFill>
                <a:latin typeface="+mn-lt"/>
                <a:ea typeface="+mn-ea"/>
                <a:cs typeface="+mn-cs"/>
              </a:defRPr>
            </a:pPr>
            <a:r>
              <a:rPr lang="en-US" altLang="zh-CN" sz="1260"/>
              <a:t>财政拨款收、支决算总计变动情况</a:t>
            </a:r>
            <a:endParaRPr lang="en-US" altLang="zh-CN" sz="1260"/>
          </a:p>
        </c:rich>
      </c:tx>
      <c:layout>
        <c:manualLayout>
          <c:xMode val="edge"/>
          <c:yMode val="edge"/>
          <c:x val="0.18502230720204"/>
          <c:y val="0.0192192192192192"/>
        </c:manualLayout>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{519.13,137.87}</c:f>
              <c:numCache>
                <c:formatCode>General</c:formatCode>
                <c:ptCount val="2"/>
                <c:pt idx="0">
                  <c:v>519.13</c:v>
                </c:pt>
                <c:pt idx="1">
                  <c:v>137.87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50" b="1" i="0" u="none" strike="noStrike" kern="1200" baseline="0">
                    <a:solidFill>
                      <a:schemeClr val="tx1"/>
                    </a:solidFill>
                    <a:latin typeface="+mn-lt"/>
                    <a:ea typeface="+mn-ea"/>
                    <a:cs typeface="+mn-cs"/>
                  </a:defRPr>
                </a:pPr>
                <a:r>
                  <a:rPr lang="zh-CN" sz="1050"/>
                  <a:t>单位：万元</a:t>
                </a:r>
                <a:endParaRPr lang="en-US" sz="105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105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50" b="1" i="0" u="none" strike="noStrike" kern="1200" baseline="0">
                    <a:solidFill>
                      <a:schemeClr val="tx1"/>
                    </a:solidFill>
                    <a:latin typeface="+mn-lt"/>
                    <a:ea typeface="+mn-ea"/>
                    <a:cs typeface="+mn-cs"/>
                  </a:defRPr>
                </a:pPr>
                <a:r>
                  <a:rPr lang="zh-CN" sz="1050"/>
                  <a:t> </a:t>
                </a:r>
                <a:endParaRPr lang="en-US" sz="105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105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zh-CN" sz="1050" b="0" i="0" u="none" strike="noStrike" kern="1200" baseline="0">
                <a:solidFill>
                  <a:schemeClr val="tx2"/>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05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sz="105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{519.13}</c:f>
              <c:numCache>
                <c:formatCode>General</c:formatCode>
                <c:ptCount val="1"/>
                <c:pt idx="0">
                  <c:v>519.13</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{137.87}</c:f>
              <c:numCache>
                <c:formatCode>General</c:formatCode>
                <c:ptCount val="1"/>
                <c:pt idx="0">
                  <c:v>137.87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260" b="1" i="0" u="none" strike="noStrike" kern="1200" baseline="0">
                <a:solidFill>
                  <a:schemeClr val="tx1"/>
                </a:solidFill>
                <a:latin typeface="+mn-lt"/>
                <a:ea typeface="+mn-ea"/>
                <a:cs typeface="+mn-cs"/>
              </a:defRPr>
            </a:pPr>
            <a:r>
              <a:rPr lang="zh-CN" sz="1260"/>
              <a:t>一般公共预算财政拨款支出</a:t>
            </a:r>
            <a:endParaRPr lang="en-US" sz="126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{"社会保障和就业支出","卫生健康支出","农林水支出","交通运输支出","住房保障支出"}</c:f>
              <c:strCache>
                <c:ptCount val="5"/>
                <c:pt idx="0">
                  <c:v>社会保障和就业支出</c:v>
                </c:pt>
                <c:pt idx="1">
                  <c:v>卫生健康支出</c:v>
                </c:pt>
                <c:pt idx="2">
                  <c:v>农林水支出</c:v>
                </c:pt>
                <c:pt idx="3">
                  <c:v>交通运输支出</c:v>
                </c:pt>
                <c:pt idx="4">
                  <c:v>住房保障支出</c:v>
                </c:pt>
              </c:strCache>
            </c:strRef>
          </c:cat>
          <c:val>
            <c:numRef>
              <c:f>{13.42,6.9,23.02,85.27,9.25}</c:f>
              <c:numCache>
                <c:formatCode>General</c:formatCode>
                <c:ptCount val="5"/>
                <c:pt idx="0">
                  <c:v>13.42</c:v>
                </c:pt>
                <c:pt idx="1">
                  <c:v>6.9</c:v>
                </c:pt>
                <c:pt idx="2">
                  <c:v>23.02</c:v>
                </c:pt>
                <c:pt idx="3">
                  <c:v>85.27</c:v>
                </c:pt>
                <c:pt idx="4">
                  <c:v>9.25</c:v>
                </c:pt>
              </c:numCache>
            </c:numRef>
          </c:val>
        </c:ser>
        <c:dLbls>
          <c:showLegendKey val="0"/>
          <c:showVal val="1"/>
          <c:showCatName val="0"/>
          <c:showSerName val="0"/>
          <c:showPercent val="0"/>
          <c:showBubbleSize val="0"/>
          <c:showLeaderLines val="1"/>
        </c:dLbls>
        <c:firstSliceAng val="0"/>
      </c:pieChart>
    </c:plotArea>
    <c:legend>
      <c:legendPos val="r"/>
      <c:legendEntry>
        <c:idx val="0"/>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Entry>
      <c:layout/>
      <c:overlay val="0"/>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sz="105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050"/>
              <a:t>"三公"经费</a:t>
            </a:r>
            <a:endParaRPr lang="en-US" sz="105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{0,4,0}</c:f>
              <c:numCache>
                <c:formatCode>General</c:formatCode>
                <c:ptCount val="3"/>
                <c:pt idx="0">
                  <c:v>0</c:v>
                </c:pt>
                <c:pt idx="1">
                  <c:v>4</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11867</Words>
  <Characters>12889</Characters>
  <Lines>48</Lines>
  <Paragraphs>13</Paragraphs>
  <TotalTime>5</TotalTime>
  <ScaleCrop>false</ScaleCrop>
  <LinksUpToDate>false</LinksUpToDate>
  <CharactersWithSpaces>13029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pjf</dc:creator>
  <cp:lastModifiedBy>user</cp:lastModifiedBy>
  <cp:lastPrinted>2021-09-26T16:39:00Z</cp:lastPrinted>
  <dcterms:modified xsi:type="dcterms:W3CDTF">2025-10-13T15:04:54Z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A47BC6D4CF34466D99C1A6CBE1C98756_13</vt:lpwstr>
  </property>
  <property fmtid="{D5CDD505-2E9C-101B-9397-08002B2CF9AE}" pid="4" name="KSOTemplateDocerSaveRecord">
    <vt:lpwstr>eyJoZGlkIjoiMjMzYjE2ODUyNmI5NmZlZDY4NmZhZjBkYzExMmZmNzYiLCJ1c2VySWQiOiI3OTkzMjg5MDQifQ==</vt:lpwstr>
  </property>
</Properties>
</file>