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z w:val="72"/>
          <w:szCs w:val="72"/>
        </w:rPr>
      </w:pPr>
      <w:bookmarkStart w:id="0" w:name="_Toc15396597"/>
      <w:bookmarkStart w:id="1" w:name="_Toc15377425"/>
      <w:bookmarkStart w:id="2" w:name="_Toc15396475"/>
      <w:bookmarkStart w:id="3" w:name="_Toc15378441"/>
      <w:bookmarkStart w:id="4" w:name="_Toc15377193"/>
    </w:p>
    <w:bookmarkEnd w:id="0"/>
    <w:bookmarkEnd w:id="1"/>
    <w:bookmarkEnd w:id="2"/>
    <w:bookmarkEnd w:id="3"/>
    <w:bookmarkEnd w:id="4"/>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7426"/>
      <w:bookmarkStart w:id="7" w:name="_Toc15378442"/>
      <w:bookmarkStart w:id="8" w:name="_Toc15396598"/>
      <w:bookmarkStart w:id="9" w:name="_Toc15396476"/>
      <w:r>
        <w:rPr>
          <w:rFonts w:hint="eastAsia" w:ascii="方正小标宋简体" w:hAnsi="宋体" w:eastAsia="方正小标宋简体"/>
          <w:color w:val="000000"/>
          <w:sz w:val="72"/>
          <w:szCs w:val="72"/>
        </w:rPr>
        <w:t>四川省阿坝州</w:t>
      </w:r>
      <w:bookmarkStart w:id="10" w:name="_Toc15306268"/>
      <w:r>
        <w:rPr>
          <w:rFonts w:hint="eastAsia" w:ascii="方正小标宋简体" w:hAnsi="宋体" w:eastAsia="方正小标宋简体"/>
          <w:color w:val="000000"/>
          <w:sz w:val="72"/>
          <w:szCs w:val="72"/>
          <w:lang w:eastAsia="zh-CN"/>
        </w:rPr>
        <w:t>茂县国有资产管理中心</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jc w:val="center"/>
        <w:rPr>
          <w:rFonts w:ascii="方正小标宋简体" w:eastAsia="方正小标宋简体"/>
          <w:sz w:val="72"/>
          <w:szCs w:val="7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80" w:firstLineChars="400"/>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color w:val="000000"/>
          <w:sz w:val="36"/>
          <w:szCs w:val="36"/>
        </w:rPr>
      </w:pPr>
    </w:p>
    <w:p>
      <w:pPr>
        <w:widowControl/>
        <w:jc w:val="center"/>
        <w:rPr>
          <w:rFonts w:hint="eastAsia" w:ascii="方正小标宋简体" w:hAnsi="方正小标宋简体" w:eastAsia="方正小标宋简体" w:cs="方正小标宋简体"/>
          <w:color w:val="000000"/>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4"/>
          <w:szCs w:val="44"/>
        </w:rPr>
        <w:t>目录</w:t>
      </w:r>
    </w:p>
    <w:p>
      <w:pPr>
        <w:pStyle w:val="15"/>
        <w:jc w:val="center"/>
        <w:rPr>
          <w:rFonts w:hAnsi="等线"/>
          <w:b w:val="0"/>
          <w:bCs w:val="0"/>
          <w:sz w:val="24"/>
          <w:szCs w:val="24"/>
        </w:rPr>
      </w:pPr>
      <w:r>
        <w:rPr>
          <w:rFonts w:hint="eastAsia" w:hAnsi="等线"/>
          <w:b w:val="0"/>
          <w:bCs w:val="0"/>
          <w:sz w:val="24"/>
          <w:szCs w:val="24"/>
        </w:rPr>
        <w:t>公开时间：2021年</w:t>
      </w:r>
      <w:r>
        <w:rPr>
          <w:rFonts w:hint="eastAsia" w:hAnsi="等线"/>
          <w:b w:val="0"/>
          <w:bCs w:val="0"/>
          <w:sz w:val="24"/>
          <w:szCs w:val="24"/>
          <w:lang w:val="en-US" w:eastAsia="zh-CN"/>
        </w:rPr>
        <w:t>9</w:t>
      </w:r>
      <w:r>
        <w:rPr>
          <w:rFonts w:hint="eastAsia" w:hAnsi="等线"/>
          <w:b w:val="0"/>
          <w:bCs w:val="0"/>
          <w:sz w:val="24"/>
          <w:szCs w:val="24"/>
        </w:rPr>
        <w:t xml:space="preserve"> 月 </w:t>
      </w:r>
      <w:r>
        <w:rPr>
          <w:rFonts w:hint="eastAsia" w:hAnsi="等线"/>
          <w:b w:val="0"/>
          <w:bCs w:val="0"/>
          <w:sz w:val="24"/>
          <w:szCs w:val="24"/>
          <w:lang w:val="en-US" w:eastAsia="zh-CN"/>
        </w:rPr>
        <w:t>27</w:t>
      </w:r>
      <w:r>
        <w:rPr>
          <w:rFonts w:hint="eastAsia" w:hAnsi="等线"/>
          <w:b w:val="0"/>
          <w:bCs w:val="0"/>
          <w:sz w:val="24"/>
          <w:szCs w:val="24"/>
        </w:rPr>
        <w:t>日</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8"/>
        <w:tabs>
          <w:tab w:val="right" w:leader="dot" w:pos="8296"/>
        </w:tabs>
        <w:rPr>
          <w:rFonts w:hint="eastAsia" w:ascii="仿宋" w:hAnsi="仿宋" w:eastAsia="仿宋"/>
          <w:lang w:eastAsia="zh-CN"/>
        </w:rPr>
      </w:pPr>
      <w:r>
        <w:rPr>
          <w:rFonts w:ascii="仿宋" w:hAnsi="仿宋" w:eastAsia="仿宋"/>
        </w:rPr>
        <w:t>一、基本职能及主要工作</w:t>
      </w:r>
      <w:r>
        <w:rPr>
          <w:rFonts w:ascii="仿宋" w:hAnsi="仿宋" w:eastAsia="仿宋"/>
        </w:rPr>
        <w:tab/>
      </w:r>
      <w:r>
        <w:rPr>
          <w:rFonts w:hint="eastAsia" w:ascii="仿宋" w:hAnsi="仿宋" w:eastAsia="仿宋"/>
          <w:lang w:val="en-US" w:eastAsia="zh-CN"/>
        </w:rPr>
        <w:t>4</w:t>
      </w:r>
    </w:p>
    <w:p>
      <w:pPr>
        <w:pStyle w:val="10"/>
        <w:tabs>
          <w:tab w:val="right" w:leader="dot" w:pos="8296"/>
        </w:tabs>
        <w:rPr>
          <w:rFonts w:hint="eastAsia" w:ascii="仿宋" w:hAnsi="仿宋" w:eastAsia="仿宋"/>
          <w:i w:val="0"/>
          <w:iCs w:val="0"/>
          <w:smallCaps/>
          <w:lang w:eastAsia="zh-CN"/>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lang w:val="en-US" w:eastAsia="zh-CN"/>
        </w:rPr>
        <w:t>4</w:t>
      </w:r>
    </w:p>
    <w:p>
      <w:pPr>
        <w:pStyle w:val="10"/>
        <w:tabs>
          <w:tab w:val="right" w:leader="dot" w:pos="8296"/>
        </w:tabs>
        <w:rPr>
          <w:rFonts w:hint="eastAsia" w:ascii="仿宋" w:hAnsi="仿宋" w:eastAsia="仿宋"/>
          <w:i w:val="0"/>
          <w:iCs w:val="0"/>
          <w:smallCaps/>
          <w:lang w:eastAsia="zh-CN"/>
        </w:rPr>
      </w:pPr>
      <w:r>
        <w:rPr>
          <w:rFonts w:ascii="仿宋" w:hAnsi="仿宋" w:eastAsia="仿宋"/>
          <w:i w:val="0"/>
          <w:iCs w:val="0"/>
          <w:smallCaps/>
        </w:rPr>
        <w:t>（二）2020年重点工作完成情况</w:t>
      </w:r>
      <w:r>
        <w:rPr>
          <w:rFonts w:ascii="仿宋" w:hAnsi="仿宋" w:eastAsia="仿宋"/>
          <w:i w:val="0"/>
          <w:iCs w:val="0"/>
          <w:smallCaps/>
        </w:rPr>
        <w:tab/>
      </w:r>
      <w:r>
        <w:rPr>
          <w:rFonts w:hint="eastAsia" w:ascii="仿宋" w:hAnsi="仿宋" w:eastAsia="仿宋"/>
          <w:i w:val="0"/>
          <w:iCs w:val="0"/>
          <w:smallCaps/>
          <w:lang w:val="en-US" w:eastAsia="zh-CN"/>
        </w:rPr>
        <w:t>4</w:t>
      </w:r>
    </w:p>
    <w:p>
      <w:pPr>
        <w:pStyle w:val="18"/>
        <w:tabs>
          <w:tab w:val="right" w:leader="dot" w:pos="8296"/>
        </w:tabs>
        <w:rPr>
          <w:rFonts w:hint="default" w:ascii="仿宋" w:hAnsi="仿宋" w:eastAsia="仿宋"/>
          <w:lang w:val="en-US" w:eastAsia="zh-CN"/>
        </w:rPr>
      </w:pPr>
      <w:r>
        <w:rPr>
          <w:rFonts w:ascii="仿宋" w:hAnsi="仿宋" w:eastAsia="仿宋"/>
        </w:rPr>
        <w:t>二、机构设置</w:t>
      </w:r>
      <w:r>
        <w:rPr>
          <w:rFonts w:ascii="仿宋" w:hAnsi="仿宋" w:eastAsia="仿宋"/>
        </w:rPr>
        <w:tab/>
      </w:r>
      <w:r>
        <w:rPr>
          <w:rFonts w:hint="eastAsia" w:ascii="仿宋" w:hAnsi="仿宋" w:eastAsia="仿宋"/>
          <w:lang w:val="en-US" w:eastAsia="zh-CN"/>
        </w:rPr>
        <w:t>5</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hint="eastAsia" w:ascii="仿宋" w:hAnsi="仿宋" w:eastAsia="仿宋"/>
          <w:b w:val="0"/>
          <w:bCs w:val="0"/>
          <w:caps w:val="0"/>
          <w:smallCaps/>
          <w:lang w:val="en-US" w:eastAsia="zh-CN"/>
        </w:rPr>
        <w:t>6</w:t>
      </w:r>
    </w:p>
    <w:p>
      <w:pPr>
        <w:pStyle w:val="18"/>
        <w:tabs>
          <w:tab w:val="left" w:pos="840"/>
          <w:tab w:val="right" w:leader="dot" w:pos="8296"/>
        </w:tabs>
        <w:rPr>
          <w:rFonts w:hint="default" w:ascii="仿宋" w:hAnsi="仿宋" w:eastAsia="仿宋"/>
          <w:lang w:val="en-US" w:eastAsia="zh-CN"/>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hint="eastAsia" w:ascii="仿宋" w:hAnsi="仿宋" w:eastAsia="仿宋"/>
          <w:lang w:val="en-US" w:eastAsia="zh-CN"/>
        </w:rPr>
        <w:t>6</w:t>
      </w:r>
    </w:p>
    <w:p>
      <w:pPr>
        <w:pStyle w:val="18"/>
        <w:tabs>
          <w:tab w:val="left" w:pos="840"/>
          <w:tab w:val="right" w:leader="dot" w:pos="8296"/>
        </w:tabs>
        <w:rPr>
          <w:rFonts w:hint="default" w:ascii="仿宋" w:hAnsi="仿宋" w:eastAsia="仿宋"/>
          <w:lang w:val="en-US" w:eastAsia="zh-CN"/>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hint="eastAsia" w:ascii="仿宋" w:hAnsi="仿宋" w:eastAsia="仿宋"/>
          <w:lang w:val="en-US" w:eastAsia="zh-CN"/>
        </w:rPr>
        <w:t>7</w:t>
      </w:r>
    </w:p>
    <w:p>
      <w:pPr>
        <w:pStyle w:val="18"/>
        <w:tabs>
          <w:tab w:val="left" w:pos="840"/>
          <w:tab w:val="right" w:leader="dot" w:pos="8296"/>
        </w:tabs>
        <w:rPr>
          <w:rFonts w:hint="default" w:ascii="仿宋" w:hAnsi="仿宋" w:eastAsia="仿宋"/>
          <w:lang w:val="en-US" w:eastAsia="zh-CN"/>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lang w:val="en-US" w:eastAsia="zh-CN"/>
        </w:rPr>
        <w:t>7</w:t>
      </w:r>
    </w:p>
    <w:p>
      <w:pPr>
        <w:pStyle w:val="18"/>
        <w:tabs>
          <w:tab w:val="right" w:leader="dot" w:pos="8296"/>
        </w:tabs>
        <w:rPr>
          <w:rFonts w:hint="default" w:ascii="仿宋" w:hAnsi="仿宋" w:eastAsia="仿宋"/>
          <w:lang w:val="en-US" w:eastAsia="zh-CN"/>
        </w:rPr>
      </w:pPr>
      <w:r>
        <w:rPr>
          <w:rFonts w:ascii="仿宋" w:hAnsi="仿宋" w:eastAsia="仿宋"/>
        </w:rPr>
        <w:t>四、财政拨款收入支出决算总体情况说明</w:t>
      </w:r>
      <w:r>
        <w:rPr>
          <w:rFonts w:ascii="仿宋" w:hAnsi="仿宋" w:eastAsia="仿宋"/>
        </w:rPr>
        <w:tab/>
      </w:r>
      <w:r>
        <w:rPr>
          <w:rFonts w:hint="eastAsia" w:ascii="仿宋" w:hAnsi="仿宋" w:eastAsia="仿宋"/>
          <w:lang w:val="en-US" w:eastAsia="zh-CN"/>
        </w:rPr>
        <w:t>8</w:t>
      </w:r>
    </w:p>
    <w:p>
      <w:pPr>
        <w:pStyle w:val="18"/>
        <w:tabs>
          <w:tab w:val="right" w:leader="dot" w:pos="8296"/>
        </w:tabs>
        <w:rPr>
          <w:rFonts w:hint="default" w:ascii="仿宋" w:hAnsi="仿宋" w:eastAsia="仿宋"/>
          <w:lang w:val="en-US" w:eastAsia="zh-CN"/>
        </w:rPr>
      </w:pPr>
      <w:r>
        <w:rPr>
          <w:rFonts w:ascii="仿宋" w:hAnsi="仿宋" w:eastAsia="仿宋"/>
        </w:rPr>
        <w:t>五、一般公共预算财政拨款支出决算情况说明</w:t>
      </w:r>
      <w:r>
        <w:rPr>
          <w:rFonts w:ascii="仿宋" w:hAnsi="仿宋" w:eastAsia="仿宋"/>
        </w:rPr>
        <w:tab/>
      </w:r>
      <w:r>
        <w:rPr>
          <w:rFonts w:hint="eastAsia" w:ascii="仿宋" w:hAnsi="仿宋" w:eastAsia="仿宋"/>
          <w:lang w:val="en-US" w:eastAsia="zh-CN"/>
        </w:rPr>
        <w:t>9</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hint="eastAsia" w:ascii="仿宋" w:hAnsi="仿宋" w:eastAsia="仿宋"/>
          <w:i w:val="0"/>
          <w:iCs w:val="0"/>
          <w:smallCaps/>
          <w:lang w:val="en-US" w:eastAsia="zh-CN"/>
        </w:rPr>
        <w:t>9</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hint="eastAsia" w:ascii="仿宋" w:hAnsi="仿宋" w:eastAsia="仿宋"/>
          <w:i w:val="0"/>
          <w:iCs w:val="0"/>
          <w:smallCaps/>
          <w:lang w:val="en-US" w:eastAsia="zh-CN"/>
        </w:rPr>
        <w:t>10</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hint="eastAsia" w:ascii="仿宋" w:hAnsi="仿宋" w:eastAsia="仿宋"/>
          <w:i w:val="0"/>
          <w:iCs w:val="0"/>
          <w:smallCaps/>
          <w:lang w:val="en-US" w:eastAsia="zh-CN"/>
        </w:rPr>
        <w:t>11</w:t>
      </w:r>
    </w:p>
    <w:p>
      <w:pPr>
        <w:pStyle w:val="18"/>
        <w:tabs>
          <w:tab w:val="right" w:leader="dot" w:pos="8296"/>
        </w:tabs>
        <w:rPr>
          <w:rFonts w:hint="default" w:ascii="仿宋" w:hAnsi="仿宋" w:eastAsia="仿宋"/>
          <w:lang w:val="en-US" w:eastAsia="zh-CN"/>
        </w:rPr>
      </w:pPr>
      <w:r>
        <w:rPr>
          <w:rFonts w:ascii="仿宋" w:hAnsi="仿宋" w:eastAsia="仿宋"/>
        </w:rPr>
        <w:t>六、一般公共预算财政拨款基本支出决算情况说明</w:t>
      </w:r>
      <w:r>
        <w:rPr>
          <w:rFonts w:ascii="仿宋" w:hAnsi="仿宋" w:eastAsia="仿宋"/>
        </w:rPr>
        <w:tab/>
      </w:r>
      <w:r>
        <w:rPr>
          <w:rFonts w:hint="eastAsia" w:ascii="仿宋" w:hAnsi="仿宋" w:eastAsia="仿宋"/>
          <w:lang w:val="en-US" w:eastAsia="zh-CN"/>
        </w:rPr>
        <w:t>12</w:t>
      </w:r>
    </w:p>
    <w:p>
      <w:pPr>
        <w:pStyle w:val="18"/>
        <w:tabs>
          <w:tab w:val="right" w:leader="dot" w:pos="8296"/>
        </w:tabs>
        <w:rPr>
          <w:rFonts w:hint="default" w:ascii="仿宋" w:hAnsi="仿宋" w:eastAsia="仿宋"/>
          <w:lang w:val="en-US" w:eastAsia="zh-CN"/>
        </w:rPr>
      </w:pPr>
      <w:r>
        <w:rPr>
          <w:rFonts w:ascii="仿宋" w:hAnsi="仿宋" w:eastAsia="仿宋"/>
        </w:rPr>
        <w:t>七、“三公”经费财政拨款支出决算情况说明</w:t>
      </w:r>
      <w:r>
        <w:rPr>
          <w:rFonts w:ascii="仿宋" w:hAnsi="仿宋" w:eastAsia="仿宋"/>
        </w:rPr>
        <w:tab/>
      </w:r>
      <w:r>
        <w:rPr>
          <w:rFonts w:hint="eastAsia" w:ascii="仿宋" w:hAnsi="仿宋" w:eastAsia="仿宋"/>
          <w:lang w:val="en-US" w:eastAsia="zh-CN"/>
        </w:rPr>
        <w:t>12</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hint="eastAsia" w:ascii="仿宋" w:hAnsi="仿宋" w:eastAsia="仿宋"/>
          <w:i w:val="0"/>
          <w:iCs w:val="0"/>
          <w:smallCaps/>
          <w:lang w:val="en-US" w:eastAsia="zh-CN"/>
        </w:rPr>
        <w:t>12</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hint="eastAsia" w:ascii="仿宋" w:hAnsi="仿宋" w:eastAsia="仿宋"/>
          <w:i w:val="0"/>
          <w:iCs w:val="0"/>
          <w:smallCaps/>
          <w:lang w:val="en-US" w:eastAsia="zh-CN"/>
        </w:rPr>
        <w:t>12</w:t>
      </w:r>
    </w:p>
    <w:p>
      <w:pPr>
        <w:pStyle w:val="18"/>
        <w:tabs>
          <w:tab w:val="right" w:leader="dot" w:pos="8296"/>
        </w:tabs>
        <w:rPr>
          <w:rFonts w:hint="eastAsia" w:ascii="仿宋" w:hAnsi="仿宋" w:eastAsia="仿宋"/>
          <w:lang w:val="en-US" w:eastAsia="zh-CN"/>
        </w:rPr>
      </w:pPr>
      <w:r>
        <w:rPr>
          <w:rFonts w:ascii="仿宋" w:hAnsi="仿宋" w:eastAsia="仿宋"/>
        </w:rPr>
        <w:t>八、政府性基金预算支出决算情况说明</w:t>
      </w:r>
      <w:r>
        <w:rPr>
          <w:rFonts w:ascii="仿宋" w:hAnsi="仿宋" w:eastAsia="仿宋"/>
        </w:rPr>
        <w:tab/>
      </w:r>
      <w:r>
        <w:rPr>
          <w:rFonts w:hint="eastAsia" w:ascii="仿宋" w:hAnsi="仿宋" w:eastAsia="仿宋"/>
          <w:lang w:val="en-US" w:eastAsia="zh-CN"/>
        </w:rPr>
        <w:t>13</w:t>
      </w:r>
    </w:p>
    <w:p>
      <w:pPr>
        <w:pStyle w:val="18"/>
        <w:tabs>
          <w:tab w:val="right" w:leader="dot" w:pos="8296"/>
        </w:tabs>
        <w:rPr>
          <w:rFonts w:hint="default" w:ascii="仿宋" w:hAnsi="仿宋" w:eastAsia="仿宋"/>
          <w:lang w:val="en-US" w:eastAsia="zh-CN"/>
        </w:rPr>
      </w:pPr>
      <w:r>
        <w:rPr>
          <w:rFonts w:ascii="仿宋" w:hAnsi="仿宋" w:eastAsia="仿宋"/>
        </w:rPr>
        <w:t>九、 国有资本经营预算支出决算情况说明</w:t>
      </w:r>
      <w:r>
        <w:rPr>
          <w:rFonts w:ascii="仿宋" w:hAnsi="仿宋" w:eastAsia="仿宋"/>
        </w:rPr>
        <w:tab/>
      </w:r>
      <w:r>
        <w:rPr>
          <w:rFonts w:hint="eastAsia" w:ascii="仿宋" w:hAnsi="仿宋" w:eastAsia="仿宋"/>
          <w:lang w:val="en-US" w:eastAsia="zh-CN"/>
        </w:rPr>
        <w:t>13</w:t>
      </w:r>
    </w:p>
    <w:p>
      <w:pPr>
        <w:pStyle w:val="18"/>
        <w:tabs>
          <w:tab w:val="right" w:leader="dot" w:pos="8296"/>
        </w:tabs>
        <w:rPr>
          <w:rFonts w:hint="default" w:ascii="仿宋" w:hAnsi="仿宋" w:eastAsia="仿宋"/>
          <w:lang w:val="en-US" w:eastAsia="zh-CN"/>
        </w:rPr>
      </w:pPr>
      <w:r>
        <w:rPr>
          <w:rFonts w:ascii="仿宋" w:hAnsi="仿宋" w:eastAsia="仿宋"/>
        </w:rPr>
        <w:t>十、其他重要事项的情况说明</w:t>
      </w:r>
      <w:r>
        <w:rPr>
          <w:rFonts w:ascii="仿宋" w:hAnsi="仿宋" w:eastAsia="仿宋"/>
        </w:rPr>
        <w:tab/>
      </w:r>
      <w:r>
        <w:rPr>
          <w:rFonts w:hint="eastAsia" w:ascii="仿宋" w:hAnsi="仿宋" w:eastAsia="仿宋"/>
          <w:lang w:val="en-US" w:eastAsia="zh-CN"/>
        </w:rPr>
        <w:t>13</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（一）机关运行经费支出情况</w:t>
      </w:r>
      <w:r>
        <w:rPr>
          <w:rFonts w:ascii="仿宋" w:hAnsi="仿宋" w:eastAsia="仿宋"/>
          <w:i w:val="0"/>
          <w:iCs w:val="0"/>
          <w:smallCaps/>
        </w:rPr>
        <w:tab/>
      </w:r>
      <w:r>
        <w:rPr>
          <w:rFonts w:hint="eastAsia" w:ascii="仿宋" w:hAnsi="仿宋" w:eastAsia="仿宋"/>
          <w:i w:val="0"/>
          <w:iCs w:val="0"/>
          <w:smallCaps/>
          <w:lang w:val="en-US" w:eastAsia="zh-CN"/>
        </w:rPr>
        <w:t>13</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（二）政府采购支出情况</w:t>
      </w:r>
      <w:r>
        <w:rPr>
          <w:rFonts w:ascii="仿宋" w:hAnsi="仿宋" w:eastAsia="仿宋"/>
          <w:i w:val="0"/>
          <w:iCs w:val="0"/>
          <w:smallCaps/>
        </w:rPr>
        <w:tab/>
      </w:r>
      <w:r>
        <w:rPr>
          <w:rFonts w:hint="eastAsia" w:ascii="仿宋" w:hAnsi="仿宋" w:eastAsia="仿宋"/>
          <w:i w:val="0"/>
          <w:iCs w:val="0"/>
          <w:smallCaps/>
          <w:lang w:val="en-US" w:eastAsia="zh-CN"/>
        </w:rPr>
        <w:t>13</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（三）国有资产占有使用情况</w:t>
      </w:r>
      <w:r>
        <w:rPr>
          <w:rFonts w:ascii="仿宋" w:hAnsi="仿宋" w:eastAsia="仿宋"/>
          <w:i w:val="0"/>
          <w:iCs w:val="0"/>
          <w:smallCaps/>
        </w:rPr>
        <w:tab/>
      </w:r>
      <w:r>
        <w:rPr>
          <w:rFonts w:hint="eastAsia" w:ascii="仿宋" w:hAnsi="仿宋" w:eastAsia="仿宋"/>
          <w:i w:val="0"/>
          <w:iCs w:val="0"/>
          <w:smallCaps/>
          <w:lang w:val="en-US" w:eastAsia="zh-CN"/>
        </w:rPr>
        <w:t>13</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（四）预算绩效管理情况</w:t>
      </w:r>
      <w:bookmarkStart w:id="103" w:name="_GoBack"/>
      <w:bookmarkEnd w:id="103"/>
      <w:r>
        <w:rPr>
          <w:rFonts w:ascii="仿宋" w:hAnsi="仿宋" w:eastAsia="仿宋"/>
          <w:i w:val="0"/>
          <w:iCs w:val="0"/>
          <w:smallCaps/>
        </w:rPr>
        <w:tab/>
      </w:r>
      <w:r>
        <w:rPr>
          <w:rFonts w:hint="eastAsia" w:ascii="仿宋" w:hAnsi="仿宋" w:eastAsia="仿宋"/>
          <w:i w:val="0"/>
          <w:iCs w:val="0"/>
          <w:smallCaps/>
          <w:lang w:val="en-US" w:eastAsia="zh-CN"/>
        </w:rPr>
        <w:t>13</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hint="eastAsia" w:ascii="仿宋" w:hAnsi="仿宋" w:eastAsia="仿宋"/>
          <w:b w:val="0"/>
          <w:bCs w:val="0"/>
          <w:caps w:val="0"/>
          <w:smallCaps/>
          <w:lang w:val="en-US" w:eastAsia="zh-CN"/>
        </w:rPr>
        <w:t>15</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第四部分 附件</w:t>
      </w:r>
      <w:r>
        <w:rPr>
          <w:rFonts w:ascii="仿宋" w:hAnsi="仿宋" w:eastAsia="仿宋"/>
          <w:b w:val="0"/>
          <w:bCs w:val="0"/>
          <w:caps w:val="0"/>
          <w:smallCaps/>
        </w:rPr>
        <w:tab/>
      </w:r>
      <w:r>
        <w:rPr>
          <w:rFonts w:hint="eastAsia" w:ascii="仿宋" w:hAnsi="仿宋" w:eastAsia="仿宋"/>
          <w:b w:val="0"/>
          <w:bCs w:val="0"/>
          <w:caps w:val="0"/>
          <w:smallCaps/>
          <w:lang w:val="en-US" w:eastAsia="zh-CN"/>
        </w:rPr>
        <w:t>17</w:t>
      </w:r>
    </w:p>
    <w:p>
      <w:pPr>
        <w:pStyle w:val="15"/>
        <w:tabs>
          <w:tab w:val="right" w:leader="dot" w:pos="8296"/>
        </w:tabs>
        <w:ind w:firstLine="200" w:firstLineChars="100"/>
        <w:rPr>
          <w:rFonts w:hint="default" w:ascii="仿宋" w:hAnsi="仿宋" w:eastAsia="仿宋"/>
          <w:b w:val="0"/>
          <w:bCs w:val="0"/>
          <w:caps w:val="0"/>
          <w:smallCaps/>
          <w:lang w:val="en-US" w:eastAsia="zh-CN"/>
        </w:rPr>
      </w:pPr>
      <w:r>
        <w:rPr>
          <w:rFonts w:ascii="仿宋" w:hAnsi="仿宋" w:eastAsia="仿宋"/>
          <w:b w:val="0"/>
          <w:bCs w:val="0"/>
          <w:caps w:val="0"/>
          <w:smallCaps/>
        </w:rPr>
        <w:t>2020年部门整体支出绩效评价报告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17</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2</w:t>
      </w:r>
      <w:r>
        <w:rPr>
          <w:rFonts w:hint="eastAsia" w:ascii="仿宋" w:hAnsi="仿宋" w:eastAsia="仿宋"/>
          <w:b w:val="0"/>
          <w:bCs w:val="0"/>
          <w:caps w:val="0"/>
          <w:smallCaps/>
          <w:lang w:val="en-US" w:eastAsia="zh-CN"/>
        </w:rPr>
        <w:t>0</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2</w:t>
      </w:r>
      <w:r>
        <w:rPr>
          <w:rFonts w:hint="eastAsia" w:ascii="仿宋" w:hAnsi="仿宋" w:eastAsia="仿宋"/>
          <w:lang w:val="en-US" w:eastAsia="zh-CN"/>
        </w:rPr>
        <w:t>0</w:t>
      </w:r>
      <w:r>
        <w:rPr>
          <w:rFonts w:ascii="仿宋" w:hAnsi="仿宋" w:eastAsia="仿宋"/>
        </w:rPr>
        <w:fldChar w:fldCharType="end"/>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bookmarkStart w:id="13" w:name="_Toc79163601"/>
      <w:bookmarkStart w:id="14" w:name="_Toc79163851"/>
      <w:r>
        <w:rPr>
          <w:rFonts w:hint="eastAsia" w:ascii="方正小标宋简体" w:hAnsi="方正小标宋简体" w:eastAsia="方正小标宋简体" w:cs="方正小标宋简体"/>
          <w:sz w:val="44"/>
          <w:szCs w:val="44"/>
        </w:rPr>
        <w:t>第一部分 部门概况</w:t>
      </w:r>
      <w:bookmarkEnd w:id="11"/>
      <w:bookmarkEnd w:id="12"/>
      <w:bookmarkEnd w:id="13"/>
      <w:bookmarkEnd w:id="14"/>
    </w:p>
    <w:p>
      <w:pPr>
        <w:widowControl/>
        <w:jc w:val="left"/>
        <w:rPr>
          <w:rFonts w:ascii="黑体" w:eastAsia="黑体"/>
          <w:color w:val="000000"/>
          <w:sz w:val="32"/>
          <w:szCs w:val="32"/>
        </w:rPr>
      </w:pPr>
    </w:p>
    <w:p>
      <w:pPr>
        <w:spacing w:line="576" w:lineRule="exact"/>
        <w:ind w:firstLine="640" w:firstLineChars="200"/>
        <w:rPr>
          <w:rFonts w:ascii="黑体" w:hAnsi="黑体" w:eastAsia="黑体"/>
          <w:sz w:val="32"/>
          <w:szCs w:val="32"/>
        </w:rPr>
      </w:pPr>
      <w:bookmarkStart w:id="15" w:name="_Toc15378445"/>
      <w:bookmarkStart w:id="16" w:name="_Toc15377198"/>
      <w:r>
        <w:rPr>
          <w:rFonts w:hint="eastAsia" w:ascii="黑体" w:hAnsi="黑体" w:eastAsia="黑体"/>
          <w:sz w:val="32"/>
          <w:szCs w:val="32"/>
        </w:rPr>
        <w:t>一、基本职能及主要工作</w:t>
      </w:r>
    </w:p>
    <w:bookmarkEnd w:id="15"/>
    <w:bookmarkEnd w:id="16"/>
    <w:p>
      <w:pPr>
        <w:spacing w:line="576" w:lineRule="exact"/>
        <w:ind w:firstLine="643" w:firstLineChars="200"/>
        <w:rPr>
          <w:rFonts w:ascii="楷体_GB2312" w:hAnsi="楷体_GB2312" w:eastAsia="楷体_GB2312" w:cs="楷体_GB2312"/>
          <w:b/>
          <w:sz w:val="32"/>
          <w:szCs w:val="32"/>
        </w:rPr>
      </w:pPr>
      <w:bookmarkStart w:id="17" w:name="_Toc15378446"/>
      <w:bookmarkStart w:id="18" w:name="_Toc15377199"/>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主要</w:t>
      </w:r>
      <w:r>
        <w:rPr>
          <w:rFonts w:hint="eastAsia" w:ascii="楷体_GB2312" w:hAnsi="楷体_GB2312" w:eastAsia="楷体_GB2312" w:cs="楷体_GB2312"/>
          <w:b/>
          <w:sz w:val="32"/>
          <w:szCs w:val="32"/>
        </w:rPr>
        <w:t>职能</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茂县国有资产管理中心是</w:t>
      </w:r>
      <w:r>
        <w:rPr>
          <w:rFonts w:hint="eastAsia" w:ascii="仿宋_GB2312" w:hAnsi="仿宋_GB2312" w:eastAsia="仿宋_GB2312" w:cs="仿宋_GB2312"/>
          <w:sz w:val="32"/>
          <w:szCs w:val="32"/>
          <w:lang w:eastAsia="zh-CN"/>
        </w:rPr>
        <w:t>代表县人民政府对监管企业依法履行出资人职责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负责指导县属国有企业改革和管理，加</w:t>
      </w:r>
      <w:r>
        <w:rPr>
          <w:rFonts w:hint="eastAsia" w:ascii="仿宋_GB2312" w:hAnsi="仿宋_GB2312" w:eastAsia="仿宋_GB2312" w:cs="仿宋_GB2312"/>
          <w:sz w:val="32"/>
          <w:szCs w:val="32"/>
        </w:rPr>
        <w:t>强全县国有企业改革和管理的宏观指导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负责对所监管企业负责人进行考核、任免并对其经营业绩进行奖惩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承担监督所监管企业国有资产保值增值指标体系，制定考核标准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负责所监管企业工资分配管理工作，制定所监管企业负责人收入分配政策并组织实施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承办县委和县政府交办的其他工作。</w:t>
      </w:r>
    </w:p>
    <w:p>
      <w:pPr>
        <w:spacing w:line="576"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w:t>
      </w:r>
      <w:bookmarkEnd w:id="17"/>
      <w:bookmarkEnd w:id="18"/>
      <w:bookmarkStart w:id="19" w:name="_Toc15396601"/>
      <w:bookmarkStart w:id="20" w:name="_Toc15377200"/>
      <w:r>
        <w:rPr>
          <w:rFonts w:hint="eastAsia" w:ascii="楷体_GB2312" w:hAnsi="楷体_GB2312" w:eastAsia="楷体_GB2312" w:cs="楷体_GB2312"/>
          <w:b/>
          <w:sz w:val="32"/>
          <w:szCs w:val="32"/>
        </w:rPr>
        <w:t>20</w:t>
      </w:r>
      <w:r>
        <w:rPr>
          <w:rFonts w:hint="eastAsia" w:ascii="楷体_GB2312" w:hAnsi="楷体_GB2312" w:eastAsia="楷体_GB2312" w:cs="楷体_GB2312"/>
          <w:b/>
          <w:sz w:val="32"/>
          <w:szCs w:val="32"/>
          <w:lang w:val="en-US" w:eastAsia="zh-CN"/>
        </w:rPr>
        <w:t>20</w:t>
      </w:r>
      <w:r>
        <w:rPr>
          <w:rFonts w:hint="eastAsia" w:ascii="楷体_GB2312" w:hAnsi="楷体_GB2312" w:eastAsia="楷体_GB2312" w:cs="楷体_GB2312"/>
          <w:b/>
          <w:sz w:val="32"/>
          <w:szCs w:val="32"/>
        </w:rPr>
        <w:t>年重点工作完成情况</w:t>
      </w:r>
    </w:p>
    <w:bookmarkEnd w:id="19"/>
    <w:bookmarkEnd w:id="20"/>
    <w:p>
      <w:pPr>
        <w:spacing w:line="560" w:lineRule="exact"/>
        <w:ind w:firstLine="643" w:firstLineChars="200"/>
        <w:rPr>
          <w:rFonts w:hint="eastAsia" w:ascii="仿宋_GB2312" w:hAnsi="黑体" w:eastAsia="仿宋_GB2312" w:cs="仿宋_GB2312"/>
          <w:sz w:val="32"/>
          <w:szCs w:val="32"/>
        </w:rPr>
      </w:pPr>
      <w:r>
        <w:rPr>
          <w:rFonts w:hint="eastAsia" w:ascii="楷体" w:hAnsi="楷体" w:eastAsia="楷体" w:cs="仿宋_GB2312"/>
          <w:b/>
          <w:bCs w:val="0"/>
          <w:sz w:val="32"/>
          <w:szCs w:val="32"/>
          <w:lang w:eastAsia="zh-CN"/>
        </w:rPr>
        <w:t>一是</w:t>
      </w:r>
      <w:r>
        <w:rPr>
          <w:rFonts w:hint="eastAsia" w:ascii="楷体" w:hAnsi="楷体" w:eastAsia="楷体" w:cs="仿宋_GB2312"/>
          <w:b/>
          <w:bCs w:val="0"/>
          <w:sz w:val="32"/>
          <w:szCs w:val="32"/>
        </w:rPr>
        <w:t>完善国资监管体制，提高依法履职能力</w:t>
      </w:r>
      <w:r>
        <w:rPr>
          <w:rFonts w:hint="eastAsia" w:ascii="楷体" w:hAnsi="楷体" w:eastAsia="楷体" w:cs="仿宋_GB2312"/>
          <w:b/>
          <w:bCs w:val="0"/>
          <w:sz w:val="32"/>
          <w:szCs w:val="32"/>
          <w:lang w:eastAsia="zh-CN"/>
        </w:rPr>
        <w:t>。</w:t>
      </w:r>
      <w:r>
        <w:rPr>
          <w:rFonts w:hint="eastAsia" w:ascii="仿宋_GB2312" w:hAnsi="黑体" w:eastAsia="仿宋_GB2312" w:cs="仿宋_GB2312"/>
          <w:sz w:val="32"/>
          <w:szCs w:val="32"/>
        </w:rPr>
        <w:t>强化监管，</w:t>
      </w:r>
      <w:r>
        <w:rPr>
          <w:rFonts w:hint="eastAsia" w:ascii="仿宋_GB2312" w:hAnsi="仿宋_GB2312" w:eastAsia="仿宋_GB2312" w:cs="仿宋_GB2312"/>
          <w:sz w:val="32"/>
          <w:szCs w:val="32"/>
        </w:rPr>
        <w:t>科学制定考核目标。按照一企一策、分类考核原则，重新修订《茂县国有企业负责人经营业绩考核办法》，对国企经营业绩实行目标化管理考核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章立制，制定了《茂县企业国有资产监督管理暂行办法》、《茂县经营性国有资产监督管理暂行办法》、《茂县县属国有企业领导人员履职待遇、业务支出管理暂行办法》和《茂县县属国有企业领导人员管理办法》等制度，进一步健全监管制度体系，规范业务、政务管理，为建立规范有序的国资监管新体制、依法推进国有企业改革夯实制度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了《茂县国有企业财务管理和监督办法》，加强国有企业的财务预算及财务管理和监督，坚持落实财务快报制度，每月15日前要求监管企业报送上月财务报表，加强财务监督，以便及时掌握监管企业财务状况、经营情况及国资运行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督促指导县属国有企业完成制度体系化建设，建立健全公司各项规章制度，实现企业规范化管理。 </w:t>
      </w:r>
      <w:r>
        <w:rPr>
          <w:rFonts w:hint="eastAsia" w:ascii="仿宋_GB2312" w:hAnsi="黑体" w:eastAsia="仿宋_GB2312" w:cs="仿宋_GB2312"/>
          <w:b/>
          <w:bCs/>
          <w:sz w:val="32"/>
          <w:szCs w:val="32"/>
          <w:lang w:eastAsia="zh-CN"/>
        </w:rPr>
        <w:t>二是</w:t>
      </w:r>
      <w:r>
        <w:rPr>
          <w:rFonts w:hint="eastAsia" w:ascii="仿宋_GB2312" w:hAnsi="黑体" w:eastAsia="仿宋_GB2312" w:cs="仿宋_GB2312"/>
          <w:b/>
          <w:bCs/>
          <w:sz w:val="32"/>
          <w:szCs w:val="32"/>
        </w:rPr>
        <w:t>严格规范程序，提高监督管理水平</w:t>
      </w:r>
      <w:r>
        <w:rPr>
          <w:rFonts w:hint="eastAsia" w:ascii="仿宋_GB2312" w:hAnsi="黑体" w:eastAsia="仿宋_GB2312" w:cs="仿宋_GB2312"/>
          <w:b/>
          <w:bCs/>
          <w:sz w:val="32"/>
          <w:szCs w:val="32"/>
          <w:lang w:eastAsia="zh-CN"/>
        </w:rPr>
        <w:t>。</w:t>
      </w:r>
      <w:r>
        <w:rPr>
          <w:rFonts w:hint="eastAsia" w:ascii="仿宋_GB2312" w:hAnsi="黑体" w:eastAsia="仿宋_GB2312" w:cs="仿宋_GB2312"/>
          <w:sz w:val="32"/>
          <w:szCs w:val="32"/>
        </w:rPr>
        <w:t>严格落实财务快报制度。要求监管企业按时报送财务报表，及时掌握监管企业财务状况、经营情况及国资运行状况，加强企业财务监管</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严格落实国有企业考核制度。按照《茂县国有企业负责人年度经营业绩考核办法》对企业负责人的经营业绩实行年度考核，采取签订经营业绩责任书的方式进行，由县目标办和我中心组织实施，以落实国有资产保值增值责任，建立有效的激励和约束机制</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依法审核审批。按国有资产管理法律法规和县政府授权，对企业资产出租出售情况及时进行了审核备案，严把资产审批程序关、评估审核关、收入管理关确保国有资产不流失。</w:t>
      </w:r>
      <w:r>
        <w:rPr>
          <w:rFonts w:hint="eastAsia" w:ascii="楷体" w:hAnsi="楷体" w:eastAsia="楷体" w:cs="仿宋_GB2312"/>
          <w:b/>
          <w:bCs w:val="0"/>
          <w:sz w:val="32"/>
          <w:szCs w:val="32"/>
          <w:lang w:eastAsia="zh-CN"/>
        </w:rPr>
        <w:t>三是</w:t>
      </w:r>
      <w:r>
        <w:rPr>
          <w:rFonts w:hint="eastAsia" w:ascii="楷体" w:hAnsi="楷体" w:eastAsia="楷体" w:cs="仿宋_GB2312"/>
          <w:b/>
          <w:bCs w:val="0"/>
          <w:sz w:val="32"/>
          <w:szCs w:val="32"/>
        </w:rPr>
        <w:t>加强县属国有企业主体责任建设</w:t>
      </w:r>
      <w:r>
        <w:rPr>
          <w:rFonts w:hint="eastAsia" w:ascii="楷体" w:hAnsi="楷体" w:eastAsia="楷体" w:cs="仿宋_GB2312"/>
          <w:b/>
          <w:bCs w:val="0"/>
          <w:sz w:val="32"/>
          <w:szCs w:val="32"/>
          <w:lang w:eastAsia="zh-CN"/>
        </w:rPr>
        <w:t>。</w:t>
      </w:r>
      <w:r>
        <w:rPr>
          <w:rFonts w:hint="eastAsia" w:ascii="仿宋_GB2312" w:hAnsi="黑体" w:eastAsia="仿宋_GB2312" w:cs="仿宋_GB2312"/>
          <w:sz w:val="32"/>
          <w:szCs w:val="32"/>
        </w:rPr>
        <w:t>建立健全国有企业党建工作责任制，把加强党的领导与完善公司治理统一起来，健全党组织议事决策机制、严格执行“三重一大”议事制度，所监管的两个企业分别设立党支部，把党建成效转化为国企发展优势</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加强安全生产工作，与企业签订安全生产责任书，落实企业安全生产主体责任</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落实环境保护责任制，与企业签订环境保护责任书。</w:t>
      </w:r>
    </w:p>
    <w:p>
      <w:pPr>
        <w:spacing w:line="600" w:lineRule="exact"/>
        <w:ind w:firstLine="640" w:firstLineChars="200"/>
        <w:outlineLvl w:val="1"/>
        <w:rPr>
          <w:rStyle w:val="41"/>
          <w:rFonts w:ascii="黑体" w:hAnsi="黑体" w:eastAsia="黑体"/>
          <w:b w:val="0"/>
        </w:rPr>
      </w:pPr>
      <w:r>
        <w:rPr>
          <w:rFonts w:hint="eastAsia" w:ascii="黑体" w:hAnsi="仿宋_GB2312" w:eastAsia="黑体" w:cs="仿宋_GB2312"/>
          <w:sz w:val="32"/>
          <w:szCs w:val="32"/>
        </w:rPr>
        <w:t>二、</w:t>
      </w:r>
      <w:r>
        <w:rPr>
          <w:rFonts w:hint="eastAsia" w:ascii="黑体" w:hAnsi="黑体" w:eastAsia="黑体"/>
          <w:color w:val="000000"/>
          <w:sz w:val="32"/>
          <w:szCs w:val="32"/>
        </w:rPr>
        <w:t>机</w:t>
      </w:r>
      <w:r>
        <w:rPr>
          <w:rStyle w:val="41"/>
          <w:rFonts w:hint="eastAsia" w:ascii="黑体" w:hAnsi="黑体" w:eastAsia="黑体"/>
          <w:b w:val="0"/>
        </w:rPr>
        <w:t>构设置</w:t>
      </w:r>
    </w:p>
    <w:p>
      <w:pPr>
        <w:spacing w:line="576" w:lineRule="exact"/>
        <w:ind w:firstLine="620" w:firstLineChars="200"/>
        <w:rPr>
          <w:rFonts w:hint="eastAsia" w:ascii="仿宋_GB2312" w:hAnsi="仿宋" w:eastAsia="仿宋_GB2312" w:cs="仿宋"/>
          <w:color w:val="000000"/>
          <w:spacing w:val="-5"/>
          <w:sz w:val="32"/>
        </w:rPr>
      </w:pPr>
      <w:r>
        <w:rPr>
          <w:rFonts w:hint="eastAsia" w:ascii="仿宋_GB2312" w:hAnsi="仿宋" w:eastAsia="仿宋_GB2312" w:cs="仿宋"/>
          <w:color w:val="000000"/>
          <w:spacing w:val="-5"/>
          <w:sz w:val="32"/>
        </w:rPr>
        <w:t>茂县国有资产管理中心属一级预算单位，下属二级预算单位0个，其中：参照公务员法管理的事业单位0个，其他事业单位0个。</w:t>
      </w:r>
    </w:p>
    <w:p>
      <w:pPr>
        <w:pStyle w:val="3"/>
        <w:numPr>
          <w:ilvl w:val="0"/>
          <w:numId w:val="0"/>
        </w:numPr>
        <w:ind w:right="440" w:rightChars="0" w:firstLine="440" w:firstLineChars="100"/>
        <w:jc w:val="center"/>
        <w:rPr>
          <w:rStyle w:val="38"/>
          <w:rFonts w:ascii="黑体" w:hAnsi="黑体" w:eastAsia="黑体"/>
          <w:b w:val="0"/>
          <w:bCs w:val="0"/>
        </w:rPr>
      </w:pPr>
      <w:bookmarkStart w:id="21" w:name="_Toc15377204"/>
      <w:bookmarkStart w:id="22" w:name="_Toc79163859"/>
      <w:bookmarkStart w:id="23" w:name="_Toc15396602"/>
      <w:bookmarkStart w:id="24" w:name="_Toc79163609"/>
      <w:r>
        <w:rPr>
          <w:rStyle w:val="34"/>
          <w:rFonts w:hint="eastAsia" w:ascii="方正小标宋简体" w:hAnsi="方正小标宋简体" w:eastAsia="方正小标宋简体" w:cs="方正小标宋简体"/>
          <w:b w:val="0"/>
          <w:bCs w:val="0"/>
          <w:lang w:val="en-US" w:eastAsia="zh-CN" w:bidi="ar-SA"/>
        </w:rPr>
        <w:t>第二部分2020年度部门决算情况说明</w:t>
      </w:r>
      <w:bookmarkEnd w:id="21"/>
      <w:bookmarkEnd w:id="22"/>
      <w:bookmarkEnd w:id="23"/>
      <w:bookmarkEnd w:id="24"/>
      <w:bookmarkStart w:id="25" w:name="_Toc79163863"/>
      <w:bookmarkStart w:id="26" w:name="_Toc15396606"/>
      <w:bookmarkStart w:id="27" w:name="_Toc79163613"/>
      <w:bookmarkStart w:id="28" w:name="_Toc15377208"/>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一、收入支出决算总体情况说明</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年度收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lang w:val="en-US" w:eastAsia="zh-CN"/>
        </w:rPr>
        <w:t>263.58</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,支出245.81万元，年末结转和结余17.77万元</w:t>
      </w:r>
      <w:r>
        <w:rPr>
          <w:rFonts w:hint="eastAsia" w:ascii="仿宋_GB2312" w:hAnsi="仿宋_GB2312" w:eastAsia="仿宋_GB2312" w:cs="仿宋_GB2312"/>
          <w:b w:val="0"/>
          <w:bCs w:val="0"/>
          <w:sz w:val="32"/>
          <w:szCs w:val="32"/>
        </w:rPr>
        <w:t>。与20</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年相比收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增加</w:t>
      </w:r>
      <w:r>
        <w:rPr>
          <w:rFonts w:hint="eastAsia" w:ascii="仿宋_GB2312" w:hAnsi="仿宋_GB2312" w:eastAsia="仿宋_GB2312" w:cs="仿宋_GB2312"/>
          <w:b w:val="0"/>
          <w:bCs w:val="0"/>
          <w:sz w:val="32"/>
          <w:szCs w:val="32"/>
          <w:lang w:val="en-US" w:eastAsia="zh-CN"/>
        </w:rPr>
        <w:t>156.01</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145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；支出增加</w:t>
      </w:r>
      <w:r>
        <w:rPr>
          <w:rFonts w:hint="eastAsia" w:ascii="仿宋_GB2312" w:hAnsi="仿宋_GB2312" w:eastAsia="仿宋_GB2312" w:cs="仿宋_GB2312"/>
          <w:b w:val="0"/>
          <w:bCs w:val="0"/>
          <w:sz w:val="32"/>
          <w:szCs w:val="32"/>
          <w:lang w:val="en-US" w:eastAsia="zh-CN"/>
        </w:rPr>
        <w:t>138.32，</w:t>
      </w:r>
      <w:r>
        <w:rPr>
          <w:rFonts w:hint="eastAsia" w:ascii="仿宋_GB2312" w:hAnsi="仿宋_GB2312" w:eastAsia="仿宋_GB2312" w:cs="仿宋_GB2312"/>
          <w:b w:val="0"/>
          <w:bCs w:val="0"/>
          <w:sz w:val="32"/>
          <w:szCs w:val="32"/>
        </w:rPr>
        <w:t>增长</w:t>
      </w:r>
      <w:r>
        <w:rPr>
          <w:rFonts w:hint="eastAsia" w:ascii="仿宋_GB2312" w:hAnsi="仿宋_GB2312" w:eastAsia="仿宋_GB2312" w:cs="仿宋_GB2312"/>
          <w:b w:val="0"/>
          <w:bCs w:val="0"/>
          <w:sz w:val="32"/>
          <w:szCs w:val="32"/>
          <w:lang w:val="en-US" w:eastAsia="zh-CN"/>
        </w:rPr>
        <w:t>129</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新增</w:t>
      </w:r>
      <w:r>
        <w:rPr>
          <w:rFonts w:hint="eastAsia" w:ascii="仿宋_GB2312" w:hAnsi="仿宋" w:eastAsia="仿宋_GB2312" w:cs="仿宋"/>
          <w:sz w:val="32"/>
          <w:szCs w:val="32"/>
          <w:lang w:val="en-US" w:eastAsia="zh-CN"/>
        </w:rPr>
        <w:t>2名职工及</w:t>
      </w:r>
      <w:r>
        <w:rPr>
          <w:rFonts w:hint="eastAsia" w:ascii="仿宋_GB2312" w:hAnsi="仿宋" w:eastAsia="仿宋_GB2312" w:cs="仿宋"/>
          <w:sz w:val="32"/>
          <w:szCs w:val="32"/>
        </w:rPr>
        <w:t>单位职工工资标准上调</w:t>
      </w:r>
      <w:r>
        <w:rPr>
          <w:rFonts w:hint="eastAsia" w:ascii="仿宋_GB2312" w:hAnsi="仿宋" w:eastAsia="仿宋_GB2312" w:cs="仿宋"/>
          <w:sz w:val="32"/>
          <w:szCs w:val="32"/>
          <w:lang w:eastAsia="zh-CN"/>
        </w:rPr>
        <w:t>导致人员经费增加、</w:t>
      </w:r>
      <w:r>
        <w:rPr>
          <w:rFonts w:hint="eastAsia" w:ascii="仿宋_GB2312" w:eastAsia="仿宋_GB2312"/>
          <w:sz w:val="32"/>
          <w:szCs w:val="32"/>
        </w:rPr>
        <w:t>住房保障支出增加</w:t>
      </w:r>
      <w:r>
        <w:rPr>
          <w:rFonts w:hint="eastAsia" w:ascii="仿宋_GB2312" w:eastAsia="仿宋_GB2312"/>
          <w:sz w:val="32"/>
          <w:szCs w:val="32"/>
          <w:lang w:eastAsia="zh-CN"/>
        </w:rPr>
        <w:t>、</w:t>
      </w:r>
      <w:r>
        <w:rPr>
          <w:rFonts w:hint="eastAsia" w:ascii="仿宋_GB2312" w:eastAsia="仿宋_GB2312"/>
          <w:sz w:val="32"/>
          <w:szCs w:val="32"/>
        </w:rPr>
        <w:t>卫生健康支出增加</w:t>
      </w:r>
      <w:r>
        <w:rPr>
          <w:rFonts w:hint="eastAsia" w:ascii="仿宋_GB2312" w:eastAsia="仿宋_GB2312"/>
          <w:sz w:val="32"/>
          <w:szCs w:val="32"/>
          <w:lang w:val="en-US" w:eastAsia="zh-CN"/>
        </w:rPr>
        <w:t>;</w:t>
      </w:r>
      <w:r>
        <w:rPr>
          <w:rFonts w:hint="eastAsia" w:ascii="仿宋_GB2312" w:eastAsia="仿宋_GB2312"/>
          <w:sz w:val="32"/>
          <w:szCs w:val="32"/>
          <w:lang w:eastAsia="zh-CN"/>
        </w:rPr>
        <w:t>企业在编领导的奖金在我单位发放；新增企业疫情担保费用补贴等非基建项目支出。</w:t>
      </w:r>
      <w:r>
        <w:rPr>
          <w:rFonts w:hint="eastAsia" w:ascii="仿宋_GB2312" w:hAnsi="仿宋_GB2312" w:eastAsia="仿宋_GB2312" w:cs="仿宋_GB2312"/>
          <w:b w:val="0"/>
          <w:bCs w:val="0"/>
          <w:sz w:val="32"/>
          <w:szCs w:val="32"/>
        </w:rPr>
        <w:t xml:space="preserve">  </w:t>
      </w:r>
      <w:r>
        <w:rPr>
          <w:rFonts w:hint="eastAsia" w:ascii="黑体" w:hAnsi="黑体" w:eastAsia="黑体"/>
          <w:b w:val="0"/>
          <w:bCs w:val="0"/>
          <w:sz w:val="32"/>
          <w:szCs w:val="32"/>
        </w:rPr>
        <w:t xml:space="preserve">    </w:t>
      </w:r>
      <w:r>
        <w:rPr>
          <w:rFonts w:hint="eastAsia" w:ascii="黑体" w:hAnsi="黑体" w:eastAsia="黑体"/>
          <w:sz w:val="32"/>
          <w:szCs w:val="32"/>
        </w:rPr>
        <w:t xml:space="preserve">  </w:t>
      </w:r>
      <w:r>
        <w:rPr>
          <w:rFonts w:hint="eastAsia" w:ascii="仿宋_GB2312" w:eastAsia="仿宋_GB2312"/>
          <w:sz w:val="32"/>
          <w:szCs w:val="32"/>
        </w:rPr>
        <w:t xml:space="preserve">                           </w:t>
      </w:r>
      <w:r>
        <w:rPr>
          <w:rFonts w:hint="eastAsia"/>
        </w:rPr>
        <w:t xml:space="preserve"> </w:t>
      </w:r>
      <w:r>
        <w:rPr>
          <w:rFonts w:hint="eastAsia" w:ascii="仿宋_GB2312" w:eastAsia="仿宋_GB2312"/>
          <w:sz w:val="32"/>
          <w:szCs w:val="32"/>
        </w:rPr>
        <w:t xml:space="preserve">    </w:t>
      </w: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bookmarkStart w:id="29" w:name="_Toc15396604"/>
      <w:bookmarkStart w:id="30" w:name="_Toc15377206"/>
    </w:p>
    <w:p>
      <w:pPr>
        <w:pStyle w:val="2"/>
        <w:jc w:val="both"/>
        <w:rPr>
          <w:rFonts w:ascii="仿宋_GB2312" w:eastAsia="仿宋_GB2312"/>
          <w:sz w:val="32"/>
          <w:szCs w:val="32"/>
        </w:rPr>
      </w:pPr>
      <w:r>
        <w:rPr>
          <w:rFonts w:hint="eastAsia" w:ascii="仿宋_GB2312" w:eastAsia="仿宋_GB2312"/>
          <w:color w:val="000000"/>
          <w:sz w:val="32"/>
          <w:szCs w:val="32"/>
        </w:rPr>
        <w:drawing>
          <wp:anchor distT="0" distB="0" distL="114300" distR="114300" simplePos="0" relativeHeight="251677696" behindDoc="0" locked="0" layoutInCell="1" allowOverlap="1">
            <wp:simplePos x="0" y="0"/>
            <wp:positionH relativeFrom="column">
              <wp:posOffset>193040</wp:posOffset>
            </wp:positionH>
            <wp:positionV relativeFrom="paragraph">
              <wp:posOffset>186690</wp:posOffset>
            </wp:positionV>
            <wp:extent cx="4911725" cy="3060065"/>
            <wp:effectExtent l="4445" t="4445" r="17780" b="2159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二、收</w:t>
      </w:r>
      <w:r>
        <w:rPr>
          <w:rStyle w:val="38"/>
          <w:rFonts w:hint="eastAsia" w:ascii="黑体" w:hAnsi="黑体" w:eastAsia="黑体" w:cs="黑体"/>
          <w:b w:val="0"/>
        </w:rPr>
        <w:t>入决算情况说明</w:t>
      </w:r>
      <w:bookmarkEnd w:id="29"/>
      <w:bookmarkEnd w:id="30"/>
    </w:p>
    <w:p>
      <w:pPr>
        <w:spacing w:line="576"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263.58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263.58</w:t>
      </w:r>
      <w:r>
        <w:rPr>
          <w:rFonts w:hint="eastAsia" w:ascii="仿宋_GB2312" w:hAnsi="仿宋_GB2312" w:eastAsia="仿宋_GB2312" w:cs="仿宋_GB2312"/>
          <w:sz w:val="32"/>
          <w:szCs w:val="32"/>
        </w:rPr>
        <w:t>万元，占100%；政府性基金预算财政拨款收入0万元；国有资本经营预算财政拨款收入0万元；事业收入0万元；经营收入0万元；附属单位上缴收入0万元；其他收入0万元。</w:t>
      </w:r>
    </w:p>
    <w:p>
      <w:pPr>
        <w:spacing w:line="576" w:lineRule="exact"/>
        <w:ind w:firstLine="1285" w:firstLineChars="400"/>
        <w:jc w:val="left"/>
        <w:rPr>
          <w:rFonts w:hint="eastAsia" w:ascii="仿宋_GB2312" w:eastAsia="仿宋_GB2312"/>
          <w:b/>
          <w:bCs/>
          <w:sz w:val="32"/>
          <w:szCs w:val="32"/>
        </w:rPr>
      </w:pPr>
    </w:p>
    <w:p>
      <w:pPr>
        <w:spacing w:line="576" w:lineRule="exact"/>
        <w:ind w:firstLine="1285" w:firstLineChars="400"/>
        <w:jc w:val="left"/>
        <w:rPr>
          <w:rFonts w:hint="eastAsia"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spacing w:line="576" w:lineRule="exact"/>
        <w:outlineLvl w:val="1"/>
        <w:rPr>
          <w:rFonts w:ascii="仿宋_GB2312" w:eastAsia="仿宋_GB2312"/>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88960" behindDoc="0" locked="0" layoutInCell="1" allowOverlap="1">
            <wp:simplePos x="0" y="0"/>
            <wp:positionH relativeFrom="column">
              <wp:posOffset>-100330</wp:posOffset>
            </wp:positionH>
            <wp:positionV relativeFrom="paragraph">
              <wp:posOffset>330835</wp:posOffset>
            </wp:positionV>
            <wp:extent cx="5262245" cy="3602355"/>
            <wp:effectExtent l="4445" t="4445" r="10160"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31" w:name="_Toc15377207"/>
      <w:bookmarkStart w:id="32" w:name="_Toc15396605"/>
    </w:p>
    <w:bookmarkEnd w:id="25"/>
    <w:bookmarkEnd w:id="26"/>
    <w:bookmarkEnd w:id="27"/>
    <w:bookmarkEnd w:id="28"/>
    <w:bookmarkEnd w:id="31"/>
    <w:bookmarkEnd w:id="32"/>
    <w:p>
      <w:pPr>
        <w:spacing w:line="576" w:lineRule="exact"/>
        <w:ind w:firstLine="640" w:firstLineChars="200"/>
        <w:rPr>
          <w:rStyle w:val="38"/>
          <w:rFonts w:ascii="黑体" w:hAnsi="黑体" w:eastAsia="黑体" w:cs="黑体"/>
          <w:b w:val="0"/>
        </w:rPr>
      </w:pPr>
      <w:r>
        <w:rPr>
          <w:rFonts w:hint="eastAsia" w:ascii="黑体" w:hAnsi="黑体" w:eastAsia="黑体" w:cs="黑体"/>
          <w:sz w:val="32"/>
          <w:szCs w:val="32"/>
        </w:rPr>
        <w:t>三、支</w:t>
      </w:r>
      <w:r>
        <w:rPr>
          <w:rStyle w:val="38"/>
          <w:rFonts w:hint="eastAsia" w:ascii="黑体" w:hAnsi="黑体" w:eastAsia="黑体" w:cs="黑体"/>
          <w:b w:val="0"/>
        </w:rPr>
        <w:t>出决算情况说明</w:t>
      </w:r>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245.81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41.41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58.59</w:t>
      </w:r>
      <w:r>
        <w:rPr>
          <w:rFonts w:hint="eastAsia" w:ascii="仿宋_GB2312" w:hAnsi="仿宋_GB2312" w:eastAsia="仿宋_GB2312" w:cs="仿宋_GB2312"/>
          <w:sz w:val="32"/>
          <w:szCs w:val="32"/>
        </w:rPr>
        <w:t>%；上缴上级支出0万元；经营支出0万元；对附属单位补助支出0万元。</w:t>
      </w:r>
    </w:p>
    <w:p>
      <w:pPr>
        <w:ind w:firstLine="643" w:firstLineChars="200"/>
        <w:jc w:val="center"/>
        <w:rPr>
          <w:rFonts w:hint="eastAsia" w:ascii="仿宋" w:hAnsi="仿宋" w:eastAsia="仿宋"/>
          <w:b/>
          <w:bCs/>
          <w:sz w:val="32"/>
          <w:szCs w:val="32"/>
        </w:rPr>
      </w:pPr>
    </w:p>
    <w:p>
      <w:pPr>
        <w:spacing w:line="576" w:lineRule="exact"/>
        <w:ind w:firstLine="643" w:firstLineChars="200"/>
        <w:jc w:val="center"/>
        <w:rPr>
          <w:rFonts w:hint="eastAsia" w:ascii="仿宋_GB2312" w:eastAsia="仿宋_GB2312"/>
          <w:b/>
          <w:bCs/>
          <w:sz w:val="32"/>
          <w:szCs w:val="32"/>
        </w:rPr>
      </w:pPr>
      <w:r>
        <w:rPr>
          <w:rFonts w:hint="eastAsia" w:ascii="仿宋_GB2312" w:eastAsia="仿宋_GB2312"/>
          <w:b/>
          <w:bCs/>
          <w:sz w:val="32"/>
          <w:szCs w:val="32"/>
        </w:rPr>
        <w:t>图3：支出决算结构图</w:t>
      </w:r>
    </w:p>
    <w:p>
      <w:pPr>
        <w:pStyle w:val="4"/>
        <w:spacing w:before="0" w:after="0" w:line="576" w:lineRule="exact"/>
        <w:ind w:firstLine="643" w:firstLineChars="200"/>
        <w:rPr>
          <w:rStyle w:val="38"/>
          <w:rFonts w:hint="eastAsia" w:ascii="黑体" w:hAnsi="黑体" w:eastAsia="黑体"/>
          <w:b w:val="0"/>
          <w:bCs/>
        </w:rPr>
      </w:pPr>
      <w:r>
        <w:drawing>
          <wp:anchor distT="0" distB="0" distL="114300" distR="114300" simplePos="0" relativeHeight="251693056" behindDoc="0" locked="0" layoutInCell="1" allowOverlap="1">
            <wp:simplePos x="0" y="0"/>
            <wp:positionH relativeFrom="column">
              <wp:posOffset>242570</wp:posOffset>
            </wp:positionH>
            <wp:positionV relativeFrom="paragraph">
              <wp:posOffset>99695</wp:posOffset>
            </wp:positionV>
            <wp:extent cx="4685665" cy="3228975"/>
            <wp:effectExtent l="4445" t="4445" r="15240" b="5080"/>
            <wp:wrapSquare wrapText="bothSides"/>
            <wp:docPr id="10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spacing w:before="0" w:after="0" w:line="576" w:lineRule="exact"/>
        <w:ind w:firstLine="640" w:firstLineChars="200"/>
        <w:rPr>
          <w:rStyle w:val="38"/>
          <w:rFonts w:ascii="黑体" w:hAnsi="黑体" w:eastAsia="黑体"/>
          <w:b w:val="0"/>
          <w:bCs/>
        </w:rPr>
      </w:pPr>
      <w:r>
        <w:rPr>
          <w:rStyle w:val="38"/>
          <w:rFonts w:hint="eastAsia" w:ascii="黑体" w:hAnsi="黑体" w:eastAsia="黑体"/>
          <w:b w:val="0"/>
          <w:bCs/>
        </w:rPr>
        <w:t>四、财政拨款收入支出决算总体情况说明</w:t>
      </w:r>
    </w:p>
    <w:p>
      <w:pPr>
        <w:spacing w:line="576" w:lineRule="exact"/>
        <w:ind w:firstLine="420" w:firstLineChars="200"/>
        <w:rPr>
          <w:rFonts w:hint="eastAsia"/>
        </w:rPr>
      </w:pP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年财政拨款</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b w:val="0"/>
          <w:bCs w:val="0"/>
          <w:sz w:val="32"/>
          <w:szCs w:val="32"/>
          <w:lang w:val="en-US" w:eastAsia="zh-CN"/>
        </w:rPr>
        <w:t>263.58</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,支出245.81万元，年末结转和结余17.77万元</w:t>
      </w:r>
      <w:r>
        <w:rPr>
          <w:rFonts w:hint="eastAsia" w:ascii="仿宋_GB2312" w:hAnsi="仿宋_GB2312" w:eastAsia="仿宋_GB2312" w:cs="仿宋_GB2312"/>
          <w:b w:val="0"/>
          <w:bCs w:val="0"/>
          <w:sz w:val="32"/>
          <w:szCs w:val="32"/>
        </w:rPr>
        <w:t>。与20</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年相比收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增加</w:t>
      </w:r>
      <w:r>
        <w:rPr>
          <w:rFonts w:hint="eastAsia" w:ascii="仿宋_GB2312" w:hAnsi="仿宋_GB2312" w:eastAsia="仿宋_GB2312" w:cs="仿宋_GB2312"/>
          <w:b w:val="0"/>
          <w:bCs w:val="0"/>
          <w:sz w:val="32"/>
          <w:szCs w:val="32"/>
          <w:lang w:val="en-US" w:eastAsia="zh-CN"/>
        </w:rPr>
        <w:t>156.01</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145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；支出增加</w:t>
      </w:r>
      <w:r>
        <w:rPr>
          <w:rFonts w:hint="eastAsia" w:ascii="仿宋_GB2312" w:hAnsi="仿宋_GB2312" w:eastAsia="仿宋_GB2312" w:cs="仿宋_GB2312"/>
          <w:b w:val="0"/>
          <w:bCs w:val="0"/>
          <w:sz w:val="32"/>
          <w:szCs w:val="32"/>
          <w:lang w:val="en-US" w:eastAsia="zh-CN"/>
        </w:rPr>
        <w:t>138.32，</w:t>
      </w:r>
      <w:r>
        <w:rPr>
          <w:rFonts w:hint="eastAsia" w:ascii="仿宋_GB2312" w:hAnsi="仿宋_GB2312" w:eastAsia="仿宋_GB2312" w:cs="仿宋_GB2312"/>
          <w:b w:val="0"/>
          <w:bCs w:val="0"/>
          <w:sz w:val="32"/>
          <w:szCs w:val="32"/>
        </w:rPr>
        <w:t>增长</w:t>
      </w:r>
      <w:r>
        <w:rPr>
          <w:rFonts w:hint="eastAsia" w:ascii="仿宋_GB2312" w:hAnsi="仿宋_GB2312" w:eastAsia="仿宋_GB2312" w:cs="仿宋_GB2312"/>
          <w:b w:val="0"/>
          <w:bCs w:val="0"/>
          <w:sz w:val="32"/>
          <w:szCs w:val="32"/>
          <w:lang w:val="en-US" w:eastAsia="zh-CN"/>
        </w:rPr>
        <w:t>129</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新增</w:t>
      </w:r>
      <w:r>
        <w:rPr>
          <w:rFonts w:hint="eastAsia" w:ascii="仿宋_GB2312" w:hAnsi="仿宋" w:eastAsia="仿宋_GB2312" w:cs="仿宋"/>
          <w:sz w:val="32"/>
          <w:szCs w:val="32"/>
          <w:lang w:val="en-US" w:eastAsia="zh-CN"/>
        </w:rPr>
        <w:t>2名职工及</w:t>
      </w:r>
      <w:r>
        <w:rPr>
          <w:rFonts w:hint="eastAsia" w:ascii="仿宋_GB2312" w:hAnsi="仿宋" w:eastAsia="仿宋_GB2312" w:cs="仿宋"/>
          <w:sz w:val="32"/>
          <w:szCs w:val="32"/>
        </w:rPr>
        <w:t>单位职工工资标准上调</w:t>
      </w:r>
      <w:r>
        <w:rPr>
          <w:rFonts w:hint="eastAsia" w:ascii="仿宋_GB2312" w:hAnsi="仿宋" w:eastAsia="仿宋_GB2312" w:cs="仿宋"/>
          <w:sz w:val="32"/>
          <w:szCs w:val="32"/>
          <w:lang w:eastAsia="zh-CN"/>
        </w:rPr>
        <w:t>导致人员经费增加、</w:t>
      </w:r>
      <w:r>
        <w:rPr>
          <w:rFonts w:hint="eastAsia" w:ascii="仿宋_GB2312" w:eastAsia="仿宋_GB2312"/>
          <w:sz w:val="32"/>
          <w:szCs w:val="32"/>
        </w:rPr>
        <w:t>住房保障支出增加</w:t>
      </w:r>
      <w:r>
        <w:rPr>
          <w:rFonts w:hint="eastAsia" w:ascii="仿宋_GB2312" w:eastAsia="仿宋_GB2312"/>
          <w:sz w:val="32"/>
          <w:szCs w:val="32"/>
          <w:lang w:eastAsia="zh-CN"/>
        </w:rPr>
        <w:t>、</w:t>
      </w:r>
      <w:r>
        <w:rPr>
          <w:rFonts w:hint="eastAsia" w:ascii="仿宋_GB2312" w:eastAsia="仿宋_GB2312"/>
          <w:sz w:val="32"/>
          <w:szCs w:val="32"/>
        </w:rPr>
        <w:t>卫生健康支出增加</w:t>
      </w:r>
      <w:r>
        <w:rPr>
          <w:rFonts w:hint="eastAsia" w:ascii="仿宋_GB2312" w:eastAsia="仿宋_GB2312"/>
          <w:sz w:val="32"/>
          <w:szCs w:val="32"/>
          <w:lang w:val="en-US" w:eastAsia="zh-CN"/>
        </w:rPr>
        <w:t>;</w:t>
      </w:r>
      <w:r>
        <w:rPr>
          <w:rFonts w:hint="eastAsia" w:ascii="仿宋_GB2312" w:eastAsia="仿宋_GB2312"/>
          <w:sz w:val="32"/>
          <w:szCs w:val="32"/>
          <w:lang w:eastAsia="zh-CN"/>
        </w:rPr>
        <w:t>企业在编领导的奖金在我单位发放；新增企业疫情担保费用补贴等非基建项目支出。</w:t>
      </w:r>
      <w:r>
        <w:rPr>
          <w:rFonts w:hint="eastAsia" w:ascii="仿宋_GB2312" w:hAnsi="仿宋_GB2312" w:eastAsia="仿宋_GB2312" w:cs="仿宋_GB2312"/>
          <w:b w:val="0"/>
          <w:bCs w:val="0"/>
          <w:sz w:val="32"/>
          <w:szCs w:val="32"/>
        </w:rPr>
        <w:t xml:space="preserve"> </w:t>
      </w:r>
      <w:r>
        <w:rPr>
          <w:rFonts w:hint="eastAsia" w:ascii="黑体" w:hAnsi="黑体" w:eastAsia="黑体"/>
          <w:b w:val="0"/>
          <w:bCs w:val="0"/>
          <w:sz w:val="32"/>
          <w:szCs w:val="32"/>
        </w:rPr>
        <w:t xml:space="preserve">    </w:t>
      </w:r>
      <w:r>
        <w:rPr>
          <w:rFonts w:hint="eastAsia" w:ascii="黑体" w:hAnsi="黑体" w:eastAsia="黑体"/>
          <w:sz w:val="32"/>
          <w:szCs w:val="32"/>
        </w:rPr>
        <w:t xml:space="preserve">  </w:t>
      </w:r>
      <w:r>
        <w:rPr>
          <w:rFonts w:hint="eastAsia" w:ascii="仿宋_GB2312" w:eastAsia="仿宋_GB2312"/>
          <w:sz w:val="32"/>
          <w:szCs w:val="32"/>
        </w:rPr>
        <w:t xml:space="preserve">                           </w:t>
      </w:r>
      <w:r>
        <w:rPr>
          <w:rFonts w:hint="eastAsia"/>
        </w:rPr>
        <w:t xml:space="preserve"> </w:t>
      </w:r>
    </w:p>
    <w:p>
      <w:pPr>
        <w:spacing w:line="576" w:lineRule="exact"/>
        <w:ind w:firstLine="643" w:firstLineChars="200"/>
        <w:rPr>
          <w:rFonts w:ascii="仿宋_GB2312" w:eastAsia="仿宋_GB2312"/>
          <w:b/>
          <w:bCs/>
          <w:sz w:val="32"/>
          <w:szCs w:val="32"/>
        </w:rPr>
      </w:pPr>
      <w:bookmarkStart w:id="33" w:name="_Toc15396607"/>
      <w:bookmarkStart w:id="34" w:name="_Toc15377209"/>
      <w:r>
        <w:rPr>
          <w:rFonts w:hint="eastAsia" w:ascii="仿宋_GB2312" w:eastAsia="仿宋_GB2312"/>
          <w:b/>
          <w:bCs/>
          <w:sz w:val="32"/>
          <w:szCs w:val="32"/>
        </w:rPr>
        <w:t>图4：财政拨款收、支决算总计变动情况（单位：万元）</w:t>
      </w:r>
    </w:p>
    <w:p>
      <w:pPr>
        <w:jc w:val="both"/>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仿宋_GB2312" w:hAnsi="仿宋" w:eastAsia="仿宋_GB2312" w:cs="仿宋"/>
          <w:color w:val="000000"/>
          <w:spacing w:val="-5"/>
          <w:sz w:val="32"/>
          <w:lang w:eastAsia="zh-CN"/>
        </w:rPr>
        <w:drawing>
          <wp:anchor distT="0" distB="0" distL="114300" distR="114300" simplePos="0" relativeHeight="251709440" behindDoc="0" locked="0" layoutInCell="1" allowOverlap="1">
            <wp:simplePos x="0" y="0"/>
            <wp:positionH relativeFrom="column">
              <wp:posOffset>309245</wp:posOffset>
            </wp:positionH>
            <wp:positionV relativeFrom="paragraph">
              <wp:posOffset>153035</wp:posOffset>
            </wp:positionV>
            <wp:extent cx="4831715" cy="3172460"/>
            <wp:effectExtent l="4445" t="4445" r="21590" b="2349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640" w:firstLineChars="200"/>
        <w:rPr>
          <w:rFonts w:hint="eastAsia" w:ascii="楷体_GB2312" w:hAnsi="楷体_GB2312" w:eastAsia="楷体_GB2312" w:cs="楷体_GB2312"/>
          <w:b/>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38"/>
          <w:rFonts w:hint="eastAsia" w:ascii="黑体" w:hAnsi="黑体" w:eastAsia="黑体"/>
          <w:b w:val="0"/>
        </w:rPr>
        <w:t>般公共预算财政拨款支出决算情况说明</w:t>
      </w:r>
      <w:bookmarkEnd w:id="33"/>
      <w:bookmarkEnd w:id="34"/>
      <w:bookmarkStart w:id="35" w:name="_Toc15377210"/>
    </w:p>
    <w:p>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35"/>
    </w:p>
    <w:p>
      <w:pPr>
        <w:snapToGrid w:val="0"/>
        <w:spacing w:line="576" w:lineRule="exact"/>
        <w:ind w:firstLine="640" w:firstLineChars="200"/>
        <w:rPr>
          <w:rFonts w:hint="eastAsia" w:ascii="仿宋_GB2312" w:eastAsia="仿宋_GB2312"/>
          <w:b/>
          <w:bCs/>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245.81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138.32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eastAsia="zh-CN"/>
        </w:rPr>
        <w:t>：</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新增</w:t>
      </w:r>
      <w:r>
        <w:rPr>
          <w:rFonts w:hint="eastAsia" w:ascii="仿宋_GB2312" w:hAnsi="仿宋" w:eastAsia="仿宋_GB2312" w:cs="仿宋"/>
          <w:sz w:val="32"/>
          <w:szCs w:val="32"/>
          <w:lang w:val="en-US" w:eastAsia="zh-CN"/>
        </w:rPr>
        <w:t>2名职工及</w:t>
      </w:r>
      <w:r>
        <w:rPr>
          <w:rFonts w:hint="eastAsia" w:ascii="仿宋_GB2312" w:hAnsi="仿宋" w:eastAsia="仿宋_GB2312" w:cs="仿宋"/>
          <w:sz w:val="32"/>
          <w:szCs w:val="32"/>
        </w:rPr>
        <w:t>单位职工工资标准上调</w:t>
      </w:r>
      <w:r>
        <w:rPr>
          <w:rFonts w:hint="eastAsia" w:ascii="仿宋_GB2312" w:hAnsi="仿宋" w:eastAsia="仿宋_GB2312" w:cs="仿宋"/>
          <w:sz w:val="32"/>
          <w:szCs w:val="32"/>
          <w:lang w:eastAsia="zh-CN"/>
        </w:rPr>
        <w:t>导致人员经费增加、</w:t>
      </w:r>
      <w:r>
        <w:rPr>
          <w:rFonts w:hint="eastAsia" w:ascii="仿宋_GB2312" w:eastAsia="仿宋_GB2312"/>
          <w:sz w:val="32"/>
          <w:szCs w:val="32"/>
        </w:rPr>
        <w:t>住房保障支出增加</w:t>
      </w:r>
      <w:r>
        <w:rPr>
          <w:rFonts w:hint="eastAsia" w:ascii="仿宋_GB2312" w:eastAsia="仿宋_GB2312"/>
          <w:sz w:val="32"/>
          <w:szCs w:val="32"/>
          <w:lang w:eastAsia="zh-CN"/>
        </w:rPr>
        <w:t>、</w:t>
      </w:r>
      <w:r>
        <w:rPr>
          <w:rFonts w:hint="eastAsia" w:ascii="仿宋_GB2312" w:eastAsia="仿宋_GB2312"/>
          <w:sz w:val="32"/>
          <w:szCs w:val="32"/>
        </w:rPr>
        <w:t>卫生健康支出增加</w:t>
      </w:r>
      <w:r>
        <w:rPr>
          <w:rFonts w:hint="eastAsia" w:ascii="仿宋_GB2312" w:eastAsia="仿宋_GB2312"/>
          <w:sz w:val="32"/>
          <w:szCs w:val="32"/>
          <w:lang w:val="en-US" w:eastAsia="zh-CN"/>
        </w:rPr>
        <w:t>;</w:t>
      </w:r>
      <w:r>
        <w:rPr>
          <w:rFonts w:hint="eastAsia" w:ascii="仿宋_GB2312" w:eastAsia="仿宋_GB2312"/>
          <w:sz w:val="32"/>
          <w:szCs w:val="32"/>
          <w:lang w:eastAsia="zh-CN"/>
        </w:rPr>
        <w:t>企业在编领导的奖金在我单位发放；新增企业疫情担保费用补贴等非基建项目支出。</w:t>
      </w:r>
      <w:r>
        <w:rPr>
          <w:rFonts w:hint="eastAsia" w:ascii="仿宋_GB2312" w:hAnsi="仿宋_GB2312" w:eastAsia="仿宋_GB2312" w:cs="仿宋_GB2312"/>
          <w:b w:val="0"/>
          <w:bCs w:val="0"/>
          <w:sz w:val="32"/>
          <w:szCs w:val="32"/>
        </w:rPr>
        <w:t xml:space="preserve"> </w:t>
      </w:r>
      <w:r>
        <w:rPr>
          <w:rFonts w:hint="eastAsia" w:ascii="黑体" w:hAnsi="黑体" w:eastAsia="黑体"/>
          <w:b w:val="0"/>
          <w:bCs w:val="0"/>
          <w:sz w:val="32"/>
          <w:szCs w:val="32"/>
        </w:rPr>
        <w:t xml:space="preserve">    </w:t>
      </w:r>
      <w:r>
        <w:rPr>
          <w:rFonts w:hint="eastAsia" w:ascii="黑体" w:hAnsi="黑体" w:eastAsia="黑体"/>
          <w:sz w:val="32"/>
          <w:szCs w:val="32"/>
        </w:rPr>
        <w:t xml:space="preserve">  </w:t>
      </w:r>
      <w:r>
        <w:rPr>
          <w:rFonts w:hint="eastAsia" w:ascii="仿宋_GB2312" w:eastAsia="仿宋_GB2312"/>
          <w:sz w:val="32"/>
          <w:szCs w:val="32"/>
        </w:rPr>
        <w:t xml:space="preserve">                           </w:t>
      </w:r>
      <w:r>
        <w:rPr>
          <w:rFonts w:hint="eastAsia"/>
        </w:rPr>
        <w:t xml:space="preserve"> </w:t>
      </w:r>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bookmarkStart w:id="36" w:name="_Toc15377211"/>
    </w:p>
    <w:p>
      <w:pPr>
        <w:spacing w:line="576" w:lineRule="exact"/>
        <w:ind w:firstLine="620" w:firstLineChars="200"/>
        <w:outlineLvl w:val="1"/>
        <w:rPr>
          <w:rFonts w:hint="eastAsia" w:ascii="楷体_GB2312" w:hAnsi="楷体_GB2312" w:eastAsia="楷体_GB2312" w:cs="楷体_GB2312"/>
          <w:b/>
          <w:sz w:val="32"/>
          <w:szCs w:val="32"/>
        </w:rPr>
      </w:pPr>
      <w:r>
        <w:rPr>
          <w:rFonts w:hint="eastAsia" w:ascii="仿宋_GB2312" w:hAnsi="仿宋" w:eastAsia="仿宋_GB2312" w:cs="仿宋"/>
          <w:color w:val="000000"/>
          <w:spacing w:val="-5"/>
          <w:sz w:val="32"/>
          <w:lang w:eastAsia="zh-CN"/>
        </w:rPr>
        <w:drawing>
          <wp:anchor distT="0" distB="0" distL="114300" distR="114300" simplePos="0" relativeHeight="251731968" behindDoc="0" locked="0" layoutInCell="1" allowOverlap="1">
            <wp:simplePos x="0" y="0"/>
            <wp:positionH relativeFrom="column">
              <wp:posOffset>71120</wp:posOffset>
            </wp:positionH>
            <wp:positionV relativeFrom="paragraph">
              <wp:posOffset>105410</wp:posOffset>
            </wp:positionV>
            <wp:extent cx="5026660" cy="4001770"/>
            <wp:effectExtent l="4445" t="4445" r="17145" b="1333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（二）一般公共预算财政拨款支出决算结构情况</w:t>
      </w:r>
      <w:bookmarkEnd w:id="36"/>
    </w:p>
    <w:p>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245.81</w:t>
      </w:r>
      <w:r>
        <w:rPr>
          <w:rFonts w:hint="eastAsia" w:ascii="仿宋_GB2312" w:hAnsi="仿宋_GB2312" w:eastAsia="仿宋_GB2312" w:cs="仿宋_GB2312"/>
          <w:sz w:val="32"/>
          <w:szCs w:val="32"/>
        </w:rPr>
        <w:t>万元，主要用于以下方面:</w:t>
      </w:r>
      <w:r>
        <w:rPr>
          <w:rFonts w:hint="eastAsia" w:ascii="仿宋_GB2312" w:hAnsi="仿宋" w:eastAsia="仿宋_GB2312"/>
          <w:sz w:val="32"/>
          <w:szCs w:val="32"/>
          <w:lang w:eastAsia="zh-CN"/>
        </w:rPr>
        <w:t>一般公共服务</w:t>
      </w:r>
      <w:r>
        <w:rPr>
          <w:rFonts w:hint="eastAsia" w:ascii="仿宋_GB2312" w:hAnsi="仿宋" w:eastAsia="仿宋_GB2312"/>
          <w:sz w:val="32"/>
          <w:szCs w:val="32"/>
        </w:rPr>
        <w:t>支出</w:t>
      </w:r>
      <w:r>
        <w:rPr>
          <w:rFonts w:hint="eastAsia" w:ascii="仿宋_GB2312" w:hAnsi="仿宋_GB2312" w:eastAsia="仿宋_GB2312" w:cs="仿宋_GB2312"/>
          <w:bCs/>
          <w:sz w:val="32"/>
          <w:szCs w:val="32"/>
        </w:rPr>
        <w:t>（类）</w:t>
      </w:r>
      <w:r>
        <w:rPr>
          <w:rFonts w:hint="eastAsia" w:ascii="仿宋_GB2312" w:hAnsi="仿宋" w:eastAsia="仿宋_GB2312"/>
          <w:sz w:val="32"/>
          <w:szCs w:val="32"/>
          <w:lang w:val="en-US" w:eastAsia="zh-CN"/>
        </w:rPr>
        <w:t>87.35万元</w:t>
      </w:r>
      <w:r>
        <w:rPr>
          <w:rFonts w:hint="eastAsia" w:ascii="仿宋_GB2312" w:hAnsi="仿宋" w:eastAsia="仿宋_GB2312"/>
          <w:sz w:val="32"/>
          <w:szCs w:val="32"/>
        </w:rPr>
        <w:t>，占</w:t>
      </w:r>
      <w:r>
        <w:rPr>
          <w:rFonts w:hint="eastAsia" w:ascii="仿宋_GB2312" w:hAnsi="仿宋" w:eastAsia="仿宋_GB2312"/>
          <w:sz w:val="32"/>
          <w:szCs w:val="32"/>
          <w:lang w:val="en-US" w:eastAsia="zh-CN"/>
        </w:rPr>
        <w:t>36</w:t>
      </w:r>
      <w:r>
        <w:rPr>
          <w:rFonts w:hint="eastAsia" w:ascii="仿宋_GB2312" w:hAnsi="仿宋" w:eastAsia="仿宋_GB2312"/>
          <w:sz w:val="32"/>
          <w:szCs w:val="32"/>
        </w:rPr>
        <w:t>%；社会保障和就业支出</w:t>
      </w:r>
      <w:r>
        <w:rPr>
          <w:rFonts w:hint="eastAsia" w:ascii="仿宋_GB2312" w:hAnsi="仿宋_GB2312" w:eastAsia="仿宋_GB2312" w:cs="仿宋_GB2312"/>
          <w:bCs/>
          <w:sz w:val="32"/>
          <w:szCs w:val="32"/>
        </w:rPr>
        <w:t>（类）</w:t>
      </w:r>
      <w:r>
        <w:rPr>
          <w:rFonts w:hint="eastAsia" w:ascii="仿宋_GB2312" w:hAnsi="仿宋" w:eastAsia="仿宋_GB2312"/>
          <w:sz w:val="32"/>
          <w:szCs w:val="32"/>
          <w:lang w:val="en-US" w:eastAsia="zh-CN"/>
        </w:rPr>
        <w:t>6.45万</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2.6</w:t>
      </w:r>
      <w:r>
        <w:rPr>
          <w:rFonts w:hint="eastAsia" w:ascii="仿宋_GB2312" w:hAnsi="仿宋" w:eastAsia="仿宋_GB2312"/>
          <w:sz w:val="32"/>
          <w:szCs w:val="32"/>
        </w:rPr>
        <w:t>%；卫生健康支出</w:t>
      </w:r>
      <w:r>
        <w:rPr>
          <w:rFonts w:hint="eastAsia" w:ascii="仿宋_GB2312" w:hAnsi="仿宋_GB2312" w:eastAsia="仿宋_GB2312" w:cs="仿宋_GB2312"/>
          <w:bCs/>
          <w:sz w:val="32"/>
          <w:szCs w:val="32"/>
        </w:rPr>
        <w:t>（类）</w:t>
      </w:r>
      <w:r>
        <w:rPr>
          <w:rFonts w:hint="eastAsia" w:ascii="仿宋_GB2312" w:hAnsi="仿宋" w:eastAsia="仿宋_GB2312"/>
          <w:sz w:val="32"/>
          <w:szCs w:val="32"/>
          <w:lang w:val="en-US" w:eastAsia="zh-CN"/>
        </w:rPr>
        <w:t>3.21万</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1.3</w:t>
      </w:r>
      <w:r>
        <w:rPr>
          <w:rFonts w:hint="eastAsia" w:ascii="仿宋_GB2312" w:hAnsi="仿宋" w:eastAsia="仿宋_GB2312"/>
          <w:sz w:val="32"/>
          <w:szCs w:val="32"/>
        </w:rPr>
        <w:t>%；住房保障支出</w:t>
      </w:r>
      <w:r>
        <w:rPr>
          <w:rFonts w:hint="eastAsia" w:ascii="仿宋_GB2312" w:hAnsi="仿宋_GB2312" w:eastAsia="仿宋_GB2312" w:cs="仿宋_GB2312"/>
          <w:bCs/>
          <w:sz w:val="32"/>
          <w:szCs w:val="32"/>
        </w:rPr>
        <w:t>（类）</w:t>
      </w:r>
      <w:r>
        <w:rPr>
          <w:rFonts w:hint="eastAsia" w:ascii="仿宋_GB2312" w:hAnsi="仿宋" w:eastAsia="仿宋_GB2312"/>
          <w:sz w:val="32"/>
          <w:szCs w:val="32"/>
          <w:lang w:val="en-US" w:eastAsia="zh-CN"/>
        </w:rPr>
        <w:t>4.79万</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1.9</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eastAsia="zh-CN"/>
        </w:rPr>
        <w:t>农林水支出</w:t>
      </w:r>
      <w:r>
        <w:rPr>
          <w:rFonts w:hint="eastAsia" w:ascii="仿宋_GB2312" w:hAnsi="仿宋_GB2312" w:eastAsia="仿宋_GB2312" w:cs="仿宋_GB2312"/>
          <w:bCs/>
          <w:sz w:val="32"/>
          <w:szCs w:val="32"/>
        </w:rPr>
        <w:t>（类）</w:t>
      </w:r>
      <w:r>
        <w:rPr>
          <w:rFonts w:hint="eastAsia" w:ascii="仿宋_GB2312" w:hAnsi="仿宋" w:eastAsia="仿宋_GB2312"/>
          <w:color w:val="auto"/>
          <w:sz w:val="32"/>
          <w:szCs w:val="32"/>
          <w:lang w:val="en-US" w:eastAsia="zh-CN"/>
        </w:rPr>
        <w:t>96.86万元，</w:t>
      </w:r>
      <w:r>
        <w:rPr>
          <w:rFonts w:hint="eastAsia" w:ascii="仿宋_GB2312" w:hAnsi="仿宋" w:eastAsia="仿宋_GB2312"/>
          <w:sz w:val="32"/>
          <w:szCs w:val="32"/>
        </w:rPr>
        <w:t>占</w:t>
      </w:r>
      <w:r>
        <w:rPr>
          <w:rFonts w:hint="eastAsia" w:ascii="仿宋_GB2312" w:hAnsi="仿宋" w:eastAsia="仿宋_GB2312"/>
          <w:sz w:val="32"/>
          <w:szCs w:val="32"/>
          <w:lang w:val="en-US" w:eastAsia="zh-CN"/>
        </w:rPr>
        <w:t>39</w:t>
      </w:r>
      <w:r>
        <w:rPr>
          <w:rFonts w:hint="eastAsia" w:ascii="仿宋_GB2312" w:hAnsi="仿宋" w:eastAsia="仿宋_GB2312"/>
          <w:sz w:val="32"/>
          <w:szCs w:val="32"/>
        </w:rPr>
        <w:t>%</w:t>
      </w:r>
      <w:r>
        <w:rPr>
          <w:rFonts w:hint="eastAsia" w:ascii="仿宋_GB2312" w:hAnsi="仿宋" w:eastAsia="仿宋_GB2312"/>
          <w:color w:val="auto"/>
          <w:sz w:val="32"/>
          <w:szCs w:val="32"/>
          <w:lang w:val="en-US" w:eastAsia="zh-CN"/>
        </w:rPr>
        <w:t>；金融支出</w:t>
      </w:r>
      <w:r>
        <w:rPr>
          <w:rFonts w:hint="eastAsia" w:ascii="仿宋_GB2312" w:hAnsi="仿宋_GB2312" w:eastAsia="仿宋_GB2312" w:cs="仿宋_GB2312"/>
          <w:bCs/>
          <w:sz w:val="32"/>
          <w:szCs w:val="32"/>
        </w:rPr>
        <w:t>（类）</w:t>
      </w:r>
      <w:r>
        <w:rPr>
          <w:rFonts w:hint="eastAsia" w:ascii="仿宋_GB2312" w:hAnsi="仿宋" w:eastAsia="仿宋_GB2312"/>
          <w:color w:val="auto"/>
          <w:sz w:val="32"/>
          <w:szCs w:val="32"/>
          <w:lang w:val="en-US" w:eastAsia="zh-CN"/>
        </w:rPr>
        <w:t>47.15万元，</w:t>
      </w:r>
      <w:r>
        <w:rPr>
          <w:rFonts w:hint="eastAsia" w:ascii="仿宋_GB2312" w:hAnsi="仿宋" w:eastAsia="仿宋_GB2312"/>
          <w:sz w:val="32"/>
          <w:szCs w:val="32"/>
        </w:rPr>
        <w:t>占</w:t>
      </w:r>
      <w:r>
        <w:rPr>
          <w:rFonts w:hint="eastAsia" w:ascii="仿宋_GB2312" w:hAnsi="仿宋" w:eastAsia="仿宋_GB2312"/>
          <w:sz w:val="32"/>
          <w:szCs w:val="32"/>
          <w:lang w:val="en-US" w:eastAsia="zh-CN"/>
        </w:rPr>
        <w:t>19.2</w:t>
      </w:r>
      <w:r>
        <w:rPr>
          <w:rFonts w:hint="eastAsia" w:ascii="仿宋_GB2312" w:hAnsi="仿宋" w:eastAsia="仿宋_GB2312"/>
          <w:sz w:val="32"/>
          <w:szCs w:val="32"/>
        </w:rPr>
        <w:t>%。</w:t>
      </w:r>
    </w:p>
    <w:p>
      <w:pPr>
        <w:spacing w:line="600" w:lineRule="exact"/>
        <w:ind w:firstLine="321" w:firstLineChars="100"/>
        <w:jc w:val="both"/>
        <w:rPr>
          <w:rFonts w:hint="eastAsia" w:ascii="仿宋_GB2312" w:hAnsi="仿宋_GB2312" w:eastAsia="仿宋_GB2312" w:cs="仿宋_GB2312"/>
          <w:b/>
          <w:bCs/>
          <w:sz w:val="32"/>
          <w:szCs w:val="32"/>
        </w:rPr>
      </w:pPr>
    </w:p>
    <w:p>
      <w:pPr>
        <w:spacing w:line="600" w:lineRule="exact"/>
        <w:ind w:firstLine="1285" w:firstLineChars="4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hint="eastAsia" w:ascii="仿宋" w:hAnsi="仿宋" w:eastAsia="仿宋"/>
          <w:sz w:val="32"/>
          <w:szCs w:val="32"/>
        </w:rPr>
      </w:pPr>
    </w:p>
    <w:p>
      <w:pPr>
        <w:pStyle w:val="2"/>
      </w:pPr>
    </w:p>
    <w:p>
      <w:pPr>
        <w:pStyle w:val="2"/>
        <w:jc w:val="both"/>
        <w:rPr>
          <w:rFonts w:hint="eastAsia" w:ascii="楷体_GB2312" w:hAnsi="楷体_GB2312" w:eastAsia="楷体_GB2312" w:cs="楷体_GB2312"/>
          <w:b/>
          <w:sz w:val="32"/>
          <w:szCs w:val="32"/>
        </w:rPr>
      </w:pPr>
      <w:bookmarkStart w:id="37" w:name="_Toc15377212"/>
      <w:r>
        <w:rPr>
          <w:rFonts w:hint="eastAsia"/>
          <w:lang w:eastAsia="zh-CN"/>
        </w:rPr>
        <w:pict>
          <v:shape id="_x0000_s1027" o:spid="_x0000_s1027" o:spt="75" type="#_x0000_t75" style="position:absolute;left:0pt;margin-left:30.75pt;margin-top:29.75pt;height:282.35pt;width:331.9pt;mso-wrap-distance-bottom:0pt;mso-wrap-distance-left:9pt;mso-wrap-distance-right:9pt;mso-wrap-distance-top:0pt;z-index:251739136;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7" DrawAspect="Content" ObjectID="_1468075725" r:id="rId11">
            <o:LockedField>false</o:LockedField>
          </o:OLEObject>
        </w:pict>
      </w:r>
    </w:p>
    <w:p>
      <w:pPr>
        <w:pStyle w:val="2"/>
        <w:jc w:val="both"/>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ind w:firstLine="643" w:firstLineChars="200"/>
        <w:outlineLvl w:val="1"/>
        <w:rPr>
          <w:rFonts w:hint="eastAsia" w:ascii="楷体_GB2312" w:hAnsi="楷体_GB2312" w:eastAsia="楷体_GB2312" w:cs="楷体_GB2312"/>
          <w:b/>
          <w:sz w:val="32"/>
          <w:szCs w:val="32"/>
        </w:rPr>
      </w:pPr>
    </w:p>
    <w:p>
      <w:pPr>
        <w:spacing w:line="576" w:lineRule="exact"/>
        <w:outlineLvl w:val="1"/>
        <w:rPr>
          <w:rFonts w:hint="eastAsia" w:ascii="楷体_GB2312" w:hAnsi="楷体_GB2312" w:eastAsia="楷体_GB2312" w:cs="楷体_GB2312"/>
          <w:b/>
          <w:sz w:val="32"/>
          <w:szCs w:val="32"/>
        </w:rPr>
      </w:pPr>
    </w:p>
    <w:p>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37"/>
    </w:p>
    <w:p>
      <w:pPr>
        <w:spacing w:line="576" w:lineRule="exact"/>
        <w:ind w:firstLine="640" w:firstLineChars="200"/>
        <w:outlineLvl w:val="2"/>
        <w:rPr>
          <w:rFonts w:ascii="仿宋_GB2312" w:hAnsi="仿宋_GB2312" w:eastAsia="仿宋_GB2312" w:cs="仿宋_GB2312"/>
          <w:sz w:val="32"/>
          <w:szCs w:val="32"/>
        </w:rPr>
      </w:pPr>
      <w:bookmarkStart w:id="38" w:name="_Toc15377213"/>
      <w:bookmarkStart w:id="39" w:name="_Toc15377444"/>
      <w:bookmarkStart w:id="40" w:name="_Toc15378460"/>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245.81</w:t>
      </w:r>
      <w:r>
        <w:rPr>
          <w:rFonts w:hint="eastAsia" w:ascii="仿宋_GB2312" w:hAnsi="仿宋_GB2312" w:eastAsia="仿宋_GB2312" w:cs="仿宋_GB2312"/>
          <w:bCs/>
          <w:sz w:val="32"/>
          <w:szCs w:val="32"/>
        </w:rPr>
        <w:t>万元，</w:t>
      </w:r>
      <w:r>
        <w:rPr>
          <w:rStyle w:val="23"/>
          <w:rFonts w:hint="eastAsia" w:ascii="仿宋_GB2312" w:hAnsi="仿宋_GB2312" w:eastAsia="仿宋_GB2312" w:cs="仿宋_GB2312"/>
          <w:b w:val="0"/>
          <w:bCs/>
          <w:sz w:val="32"/>
          <w:szCs w:val="32"/>
        </w:rPr>
        <w:t>完成预算</w:t>
      </w:r>
      <w:r>
        <w:rPr>
          <w:rStyle w:val="23"/>
          <w:rFonts w:hint="eastAsia" w:ascii="仿宋_GB2312" w:hAnsi="仿宋_GB2312" w:eastAsia="仿宋_GB2312" w:cs="仿宋_GB2312"/>
          <w:b w:val="0"/>
          <w:bCs/>
          <w:sz w:val="32"/>
          <w:szCs w:val="32"/>
          <w:lang w:val="en-US" w:eastAsia="zh-CN"/>
        </w:rPr>
        <w:t>100</w:t>
      </w:r>
      <w:r>
        <w:rPr>
          <w:rStyle w:val="23"/>
          <w:rFonts w:hint="eastAsia" w:ascii="仿宋_GB2312" w:hAnsi="仿宋_GB2312" w:eastAsia="仿宋_GB2312" w:cs="仿宋_GB2312"/>
          <w:b w:val="0"/>
          <w:bCs/>
          <w:sz w:val="32"/>
          <w:szCs w:val="32"/>
        </w:rPr>
        <w:t>%。其中：</w:t>
      </w:r>
      <w:bookmarkEnd w:id="38"/>
      <w:bookmarkEnd w:id="39"/>
      <w:bookmarkEnd w:id="40"/>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1.</w:t>
      </w:r>
      <w:r>
        <w:rPr>
          <w:rFonts w:hint="eastAsia" w:ascii="仿宋_GB2312" w:hAnsi="仿宋" w:eastAsia="仿宋_GB2312" w:cs="仿宋"/>
          <w:color w:val="000000"/>
          <w:spacing w:val="-5"/>
          <w:sz w:val="32"/>
          <w:lang w:eastAsia="zh-CN"/>
        </w:rPr>
        <w:t>一般公共服务支出（类）政府办公厅及相关机构事务（款）行政运行（项）: 支出决算为</w:t>
      </w:r>
      <w:r>
        <w:rPr>
          <w:rFonts w:hint="eastAsia" w:ascii="仿宋_GB2312" w:hAnsi="仿宋" w:eastAsia="仿宋_GB2312" w:cs="仿宋"/>
          <w:color w:val="000000"/>
          <w:spacing w:val="-5"/>
          <w:sz w:val="32"/>
          <w:lang w:val="en-US" w:eastAsia="zh-CN"/>
        </w:rPr>
        <w:t>87.35</w:t>
      </w:r>
      <w:r>
        <w:rPr>
          <w:rFonts w:hint="eastAsia" w:ascii="仿宋_GB2312" w:hAnsi="仿宋" w:eastAsia="仿宋_GB2312" w:cs="仿宋"/>
          <w:color w:val="000000"/>
          <w:spacing w:val="-5"/>
          <w:sz w:val="32"/>
          <w:lang w:eastAsia="zh-CN"/>
        </w:rPr>
        <w:t>万元，完成预算100%。</w:t>
      </w:r>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lang w:val="en-US" w:eastAsia="zh-CN"/>
        </w:rPr>
        <w:t>2</w:t>
      </w:r>
      <w:r>
        <w:rPr>
          <w:rStyle w:val="23"/>
          <w:rFonts w:hint="eastAsia" w:ascii="仿宋_GB2312" w:hAnsi="仿宋_GB2312" w:eastAsia="仿宋_GB2312" w:cs="仿宋_GB2312"/>
          <w:bCs/>
          <w:sz w:val="32"/>
          <w:szCs w:val="32"/>
        </w:rPr>
        <w:t>.</w:t>
      </w:r>
      <w:r>
        <w:rPr>
          <w:rStyle w:val="23"/>
          <w:rFonts w:hint="eastAsia" w:ascii="仿宋_GB2312" w:hAnsi="仿宋_GB2312" w:eastAsia="仿宋_GB2312" w:cs="仿宋_GB2312"/>
          <w:b w:val="0"/>
          <w:sz w:val="32"/>
          <w:szCs w:val="32"/>
        </w:rPr>
        <w:t>社会保障和就业</w:t>
      </w:r>
      <w:r>
        <w:rPr>
          <w:rStyle w:val="23"/>
          <w:rFonts w:hint="eastAsia" w:ascii="仿宋_GB2312" w:hAnsi="仿宋_GB2312" w:eastAsia="仿宋_GB2312" w:cs="仿宋_GB2312"/>
          <w:b w:val="0"/>
          <w:sz w:val="32"/>
          <w:szCs w:val="32"/>
          <w:lang w:eastAsia="zh-CN"/>
        </w:rPr>
        <w:t>支出</w:t>
      </w:r>
      <w:r>
        <w:rPr>
          <w:rStyle w:val="23"/>
          <w:rFonts w:hint="eastAsia" w:ascii="仿宋_GB2312" w:hAnsi="仿宋_GB2312" w:eastAsia="仿宋_GB2312" w:cs="仿宋_GB2312"/>
          <w:b w:val="0"/>
          <w:sz w:val="32"/>
          <w:szCs w:val="32"/>
        </w:rPr>
        <w:t>（类）行政事业单位</w:t>
      </w:r>
      <w:r>
        <w:rPr>
          <w:rStyle w:val="23"/>
          <w:rFonts w:hint="eastAsia" w:ascii="仿宋_GB2312" w:hAnsi="仿宋_GB2312" w:eastAsia="仿宋_GB2312" w:cs="仿宋_GB2312"/>
          <w:b w:val="0"/>
          <w:sz w:val="32"/>
          <w:szCs w:val="32"/>
          <w:lang w:eastAsia="zh-CN"/>
        </w:rPr>
        <w:t>养老支出</w:t>
      </w:r>
      <w:r>
        <w:rPr>
          <w:rStyle w:val="23"/>
          <w:rFonts w:hint="eastAsia" w:ascii="仿宋_GB2312" w:hAnsi="仿宋_GB2312" w:eastAsia="仿宋_GB2312" w:cs="仿宋_GB2312"/>
          <w:b w:val="0"/>
          <w:sz w:val="32"/>
          <w:szCs w:val="32"/>
        </w:rPr>
        <w:t>（款）机关事业单位基本养老保险</w:t>
      </w:r>
      <w:r>
        <w:rPr>
          <w:rStyle w:val="23"/>
          <w:rFonts w:hint="eastAsia" w:ascii="仿宋_GB2312" w:hAnsi="仿宋_GB2312" w:eastAsia="仿宋_GB2312" w:cs="仿宋_GB2312"/>
          <w:b w:val="0"/>
          <w:sz w:val="32"/>
          <w:szCs w:val="32"/>
          <w:lang w:eastAsia="zh-CN"/>
        </w:rPr>
        <w:t>缴费支出</w:t>
      </w:r>
      <w:r>
        <w:rPr>
          <w:rStyle w:val="23"/>
          <w:rFonts w:hint="eastAsia" w:ascii="仿宋_GB2312" w:hAnsi="仿宋_GB2312" w:eastAsia="仿宋_GB2312" w:cs="仿宋_GB2312"/>
          <w:b w:val="0"/>
          <w:sz w:val="32"/>
          <w:szCs w:val="32"/>
        </w:rPr>
        <w:t>（项）：</w:t>
      </w:r>
      <w:r>
        <w:rPr>
          <w:rStyle w:val="23"/>
          <w:rFonts w:hint="eastAsia" w:ascii="仿宋_GB2312" w:hAnsi="仿宋_GB2312" w:eastAsia="仿宋_GB2312" w:cs="仿宋_GB2312"/>
          <w:b w:val="0"/>
          <w:bCs/>
          <w:sz w:val="32"/>
          <w:szCs w:val="32"/>
        </w:rPr>
        <w:t>支出决算为</w:t>
      </w:r>
      <w:r>
        <w:rPr>
          <w:rStyle w:val="23"/>
          <w:rFonts w:hint="eastAsia" w:ascii="仿宋_GB2312" w:hAnsi="仿宋_GB2312" w:eastAsia="仿宋_GB2312" w:cs="仿宋_GB2312"/>
          <w:b w:val="0"/>
          <w:bCs/>
          <w:sz w:val="32"/>
          <w:szCs w:val="32"/>
          <w:lang w:val="en-US" w:eastAsia="zh-CN"/>
        </w:rPr>
        <w:t>4.3</w:t>
      </w:r>
      <w:r>
        <w:rPr>
          <w:rStyle w:val="23"/>
          <w:rFonts w:hint="eastAsia" w:ascii="仿宋_GB2312" w:hAnsi="仿宋_GB2312" w:eastAsia="仿宋_GB2312" w:cs="仿宋_GB2312"/>
          <w:b w:val="0"/>
          <w:bCs/>
          <w:sz w:val="32"/>
          <w:szCs w:val="32"/>
        </w:rPr>
        <w:t>万元，完成预算100%。</w:t>
      </w:r>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lang w:val="en-US" w:eastAsia="zh-CN"/>
        </w:rPr>
        <w:t>3</w:t>
      </w:r>
      <w:r>
        <w:rPr>
          <w:rStyle w:val="23"/>
          <w:rFonts w:hint="eastAsia" w:ascii="仿宋_GB2312" w:hAnsi="仿宋_GB2312" w:eastAsia="仿宋_GB2312" w:cs="仿宋_GB2312"/>
          <w:bCs/>
          <w:sz w:val="32"/>
          <w:szCs w:val="32"/>
        </w:rPr>
        <w:t>.</w:t>
      </w:r>
      <w:r>
        <w:rPr>
          <w:rStyle w:val="23"/>
          <w:rFonts w:hint="eastAsia" w:ascii="仿宋_GB2312" w:hAnsi="仿宋_GB2312" w:eastAsia="仿宋_GB2312" w:cs="仿宋_GB2312"/>
          <w:b w:val="0"/>
          <w:sz w:val="32"/>
          <w:szCs w:val="32"/>
        </w:rPr>
        <w:t>社会保障和就业</w:t>
      </w:r>
      <w:r>
        <w:rPr>
          <w:rStyle w:val="23"/>
          <w:rFonts w:hint="eastAsia" w:ascii="仿宋_GB2312" w:hAnsi="仿宋_GB2312" w:eastAsia="仿宋_GB2312" w:cs="仿宋_GB2312"/>
          <w:b w:val="0"/>
          <w:sz w:val="32"/>
          <w:szCs w:val="32"/>
          <w:lang w:eastAsia="zh-CN"/>
        </w:rPr>
        <w:t>支出</w:t>
      </w:r>
      <w:r>
        <w:rPr>
          <w:rStyle w:val="23"/>
          <w:rFonts w:hint="eastAsia" w:ascii="仿宋_GB2312" w:hAnsi="仿宋_GB2312" w:eastAsia="仿宋_GB2312" w:cs="仿宋_GB2312"/>
          <w:b w:val="0"/>
          <w:sz w:val="32"/>
          <w:szCs w:val="32"/>
        </w:rPr>
        <w:t>（类）行政事业单位</w:t>
      </w:r>
      <w:r>
        <w:rPr>
          <w:rStyle w:val="23"/>
          <w:rFonts w:hint="eastAsia" w:ascii="仿宋_GB2312" w:hAnsi="仿宋_GB2312" w:eastAsia="仿宋_GB2312" w:cs="仿宋_GB2312"/>
          <w:b w:val="0"/>
          <w:sz w:val="32"/>
          <w:szCs w:val="32"/>
          <w:lang w:eastAsia="zh-CN"/>
        </w:rPr>
        <w:t>养老支出</w:t>
      </w:r>
      <w:r>
        <w:rPr>
          <w:rStyle w:val="23"/>
          <w:rFonts w:hint="eastAsia" w:ascii="仿宋_GB2312" w:hAnsi="仿宋_GB2312" w:eastAsia="仿宋_GB2312" w:cs="仿宋_GB2312"/>
          <w:b w:val="0"/>
          <w:sz w:val="32"/>
          <w:szCs w:val="32"/>
        </w:rPr>
        <w:t>（款）机关事业单位</w:t>
      </w:r>
      <w:r>
        <w:rPr>
          <w:rStyle w:val="23"/>
          <w:rFonts w:hint="eastAsia" w:ascii="仿宋_GB2312" w:hAnsi="仿宋_GB2312" w:eastAsia="仿宋_GB2312" w:cs="仿宋_GB2312"/>
          <w:b w:val="0"/>
          <w:sz w:val="32"/>
          <w:szCs w:val="32"/>
          <w:lang w:eastAsia="zh-CN"/>
        </w:rPr>
        <w:t>职业年金缴费支出</w:t>
      </w:r>
      <w:r>
        <w:rPr>
          <w:rStyle w:val="23"/>
          <w:rFonts w:hint="eastAsia" w:ascii="仿宋_GB2312" w:hAnsi="仿宋_GB2312" w:eastAsia="仿宋_GB2312" w:cs="仿宋_GB2312"/>
          <w:b w:val="0"/>
          <w:sz w:val="32"/>
          <w:szCs w:val="32"/>
        </w:rPr>
        <w:t>（项）：</w:t>
      </w:r>
      <w:r>
        <w:rPr>
          <w:rStyle w:val="23"/>
          <w:rFonts w:hint="eastAsia" w:ascii="仿宋_GB2312" w:hAnsi="仿宋_GB2312" w:eastAsia="仿宋_GB2312" w:cs="仿宋_GB2312"/>
          <w:b w:val="0"/>
          <w:bCs/>
          <w:sz w:val="32"/>
          <w:szCs w:val="32"/>
        </w:rPr>
        <w:t>支出决算为</w:t>
      </w:r>
      <w:r>
        <w:rPr>
          <w:rStyle w:val="23"/>
          <w:rFonts w:hint="eastAsia" w:ascii="仿宋_GB2312" w:hAnsi="仿宋_GB2312" w:eastAsia="仿宋_GB2312" w:cs="仿宋_GB2312"/>
          <w:b w:val="0"/>
          <w:bCs/>
          <w:sz w:val="32"/>
          <w:szCs w:val="32"/>
          <w:lang w:val="en-US" w:eastAsia="zh-CN"/>
        </w:rPr>
        <w:t>2.15</w:t>
      </w:r>
      <w:r>
        <w:rPr>
          <w:rStyle w:val="23"/>
          <w:rFonts w:hint="eastAsia" w:ascii="仿宋_GB2312" w:hAnsi="仿宋_GB2312" w:eastAsia="仿宋_GB2312" w:cs="仿宋_GB2312"/>
          <w:b w:val="0"/>
          <w:bCs/>
          <w:sz w:val="32"/>
          <w:szCs w:val="32"/>
        </w:rPr>
        <w:t>万元，完成预算100%。</w:t>
      </w:r>
    </w:p>
    <w:p>
      <w:pPr>
        <w:spacing w:line="576" w:lineRule="exact"/>
        <w:ind w:firstLine="643" w:firstLineChars="200"/>
        <w:rPr>
          <w:rStyle w:val="23"/>
          <w:rFonts w:ascii="仿宋_GB2312" w:hAnsi="仿宋_GB2312" w:eastAsia="仿宋_GB2312" w:cs="仿宋_GB2312"/>
          <w:b w:val="0"/>
          <w:sz w:val="32"/>
          <w:szCs w:val="32"/>
        </w:rPr>
      </w:pPr>
      <w:r>
        <w:rPr>
          <w:rStyle w:val="23"/>
          <w:rFonts w:hint="eastAsia" w:ascii="仿宋_GB2312" w:hAnsi="仿宋_GB2312" w:eastAsia="仿宋_GB2312" w:cs="仿宋_GB2312"/>
          <w:bCs/>
          <w:sz w:val="32"/>
          <w:szCs w:val="32"/>
          <w:lang w:val="en-US" w:eastAsia="zh-CN"/>
        </w:rPr>
        <w:t>4</w:t>
      </w:r>
      <w:r>
        <w:rPr>
          <w:rStyle w:val="23"/>
          <w:rFonts w:hint="eastAsia" w:ascii="仿宋_GB2312" w:hAnsi="仿宋_GB2312" w:eastAsia="仿宋_GB2312" w:cs="仿宋_GB2312"/>
          <w:bCs/>
          <w:sz w:val="32"/>
          <w:szCs w:val="32"/>
        </w:rPr>
        <w:t>.</w:t>
      </w:r>
      <w:r>
        <w:rPr>
          <w:rStyle w:val="23"/>
          <w:rFonts w:hint="eastAsia" w:ascii="仿宋_GB2312" w:hAnsi="仿宋_GB2312" w:eastAsia="仿宋_GB2312" w:cs="仿宋_GB2312"/>
          <w:b w:val="0"/>
          <w:sz w:val="32"/>
          <w:szCs w:val="32"/>
        </w:rPr>
        <w:t>卫生健康支出(类)</w:t>
      </w:r>
      <w:r>
        <w:rPr>
          <w:rFonts w:hint="eastAsia"/>
        </w:rPr>
        <w:t xml:space="preserve"> </w:t>
      </w:r>
      <w:r>
        <w:rPr>
          <w:rStyle w:val="23"/>
          <w:rFonts w:hint="eastAsia" w:ascii="仿宋_GB2312" w:hAnsi="仿宋_GB2312" w:eastAsia="仿宋_GB2312" w:cs="仿宋_GB2312"/>
          <w:b w:val="0"/>
          <w:sz w:val="32"/>
          <w:szCs w:val="32"/>
        </w:rPr>
        <w:t>行政事业单位医疗（款）行政单位医疗（项）: 支出决算为</w:t>
      </w:r>
      <w:r>
        <w:rPr>
          <w:rStyle w:val="23"/>
          <w:rFonts w:hint="eastAsia" w:ascii="仿宋_GB2312" w:hAnsi="仿宋_GB2312" w:eastAsia="仿宋_GB2312" w:cs="仿宋_GB2312"/>
          <w:b w:val="0"/>
          <w:sz w:val="32"/>
          <w:szCs w:val="32"/>
          <w:lang w:val="en-US" w:eastAsia="zh-CN"/>
        </w:rPr>
        <w:t>3.21</w:t>
      </w:r>
      <w:r>
        <w:rPr>
          <w:rStyle w:val="23"/>
          <w:rFonts w:hint="eastAsia" w:ascii="仿宋_GB2312" w:hAnsi="仿宋_GB2312" w:eastAsia="仿宋_GB2312" w:cs="仿宋_GB2312"/>
          <w:b w:val="0"/>
          <w:sz w:val="32"/>
          <w:szCs w:val="32"/>
        </w:rPr>
        <w:t>万元，完成预算100%。</w:t>
      </w:r>
    </w:p>
    <w:p>
      <w:pPr>
        <w:spacing w:line="576" w:lineRule="exact"/>
        <w:ind w:firstLine="643" w:firstLineChars="200"/>
      </w:pPr>
      <w:r>
        <w:rPr>
          <w:rStyle w:val="23"/>
          <w:rFonts w:hint="eastAsia" w:ascii="仿宋_GB2312" w:hAnsi="仿宋_GB2312" w:eastAsia="仿宋_GB2312" w:cs="仿宋_GB2312"/>
          <w:bCs/>
          <w:sz w:val="32"/>
          <w:szCs w:val="32"/>
          <w:lang w:val="en-US" w:eastAsia="zh-CN"/>
        </w:rPr>
        <w:t>5</w:t>
      </w:r>
      <w:r>
        <w:rPr>
          <w:rStyle w:val="23"/>
          <w:rFonts w:hint="eastAsia" w:ascii="仿宋_GB2312" w:hAnsi="仿宋_GB2312" w:eastAsia="仿宋_GB2312" w:cs="仿宋_GB2312"/>
          <w:bCs/>
          <w:sz w:val="32"/>
          <w:szCs w:val="32"/>
        </w:rPr>
        <w:t>.</w:t>
      </w:r>
      <w:r>
        <w:rPr>
          <w:rStyle w:val="23"/>
          <w:rFonts w:hint="eastAsia" w:ascii="仿宋_GB2312" w:hAnsi="仿宋_GB2312" w:eastAsia="仿宋_GB2312" w:cs="仿宋_GB2312"/>
          <w:b w:val="0"/>
          <w:sz w:val="32"/>
          <w:szCs w:val="32"/>
        </w:rPr>
        <w:t>住房保障支出（类）住房改革支出（款）住房公积金（项）: 支出决算为</w:t>
      </w:r>
      <w:r>
        <w:rPr>
          <w:rStyle w:val="23"/>
          <w:rFonts w:hint="eastAsia" w:ascii="仿宋_GB2312" w:hAnsi="仿宋_GB2312" w:eastAsia="仿宋_GB2312" w:cs="仿宋_GB2312"/>
          <w:b w:val="0"/>
          <w:sz w:val="32"/>
          <w:szCs w:val="32"/>
          <w:lang w:val="en-US" w:eastAsia="zh-CN"/>
        </w:rPr>
        <w:t>4.79</w:t>
      </w:r>
      <w:r>
        <w:rPr>
          <w:rStyle w:val="23"/>
          <w:rFonts w:hint="eastAsia" w:ascii="仿宋_GB2312" w:hAnsi="仿宋_GB2312" w:eastAsia="仿宋_GB2312" w:cs="仿宋_GB2312"/>
          <w:b w:val="0"/>
          <w:sz w:val="32"/>
          <w:szCs w:val="32"/>
        </w:rPr>
        <w:t>万元，完成预算100%。</w:t>
      </w:r>
    </w:p>
    <w:p>
      <w:pPr>
        <w:spacing w:line="576" w:lineRule="exact"/>
        <w:ind w:firstLine="643" w:firstLineChars="200"/>
        <w:jc w:val="both"/>
        <w:rPr>
          <w:rStyle w:val="23"/>
          <w:rFonts w:hint="eastAsia" w:ascii="仿宋_GB2312" w:hAnsi="仿宋_GB2312" w:eastAsia="仿宋_GB2312" w:cs="仿宋_GB2312"/>
          <w:b/>
          <w:bCs/>
          <w:sz w:val="32"/>
          <w:szCs w:val="32"/>
          <w:lang w:val="en-US" w:eastAsia="zh-CN"/>
        </w:rPr>
      </w:pPr>
      <w:r>
        <w:rPr>
          <w:rStyle w:val="23"/>
          <w:rFonts w:hint="eastAsia" w:ascii="仿宋_GB2312" w:hAnsi="仿宋_GB2312" w:eastAsia="仿宋_GB2312" w:cs="仿宋_GB2312"/>
          <w:b/>
          <w:bCs/>
          <w:sz w:val="32"/>
          <w:szCs w:val="32"/>
          <w:lang w:val="en-US" w:eastAsia="zh-CN"/>
        </w:rPr>
        <w:t>6</w:t>
      </w:r>
      <w:r>
        <w:rPr>
          <w:rStyle w:val="23"/>
          <w:rFonts w:hint="eastAsia" w:ascii="仿宋_GB2312" w:hAnsi="仿宋_GB2312" w:eastAsia="仿宋_GB2312" w:cs="仿宋_GB2312"/>
          <w:b/>
          <w:bCs/>
          <w:sz w:val="32"/>
          <w:szCs w:val="32"/>
        </w:rPr>
        <w:t>.</w:t>
      </w:r>
      <w:r>
        <w:rPr>
          <w:rStyle w:val="23"/>
          <w:rFonts w:hint="eastAsia" w:ascii="仿宋_GB2312" w:hAnsi="仿宋_GB2312" w:eastAsia="仿宋_GB2312" w:cs="仿宋_GB2312"/>
          <w:b w:val="0"/>
          <w:sz w:val="32"/>
          <w:szCs w:val="32"/>
        </w:rPr>
        <w:t>农林水支出（类）</w:t>
      </w:r>
      <w:r>
        <w:rPr>
          <w:rStyle w:val="23"/>
          <w:rFonts w:hint="eastAsia" w:ascii="仿宋_GB2312" w:hAnsi="仿宋_GB2312" w:eastAsia="仿宋_GB2312" w:cs="仿宋_GB2312"/>
          <w:b w:val="0"/>
          <w:sz w:val="32"/>
          <w:szCs w:val="32"/>
          <w:lang w:eastAsia="zh-CN"/>
        </w:rPr>
        <w:t>普惠金融发展支出</w:t>
      </w:r>
      <w:r>
        <w:rPr>
          <w:rStyle w:val="23"/>
          <w:rFonts w:hint="eastAsia" w:ascii="仿宋_GB2312" w:hAnsi="仿宋_GB2312" w:eastAsia="仿宋_GB2312" w:cs="仿宋_GB2312"/>
          <w:b w:val="0"/>
          <w:sz w:val="32"/>
          <w:szCs w:val="32"/>
        </w:rPr>
        <w:t>（款）</w:t>
      </w:r>
      <w:r>
        <w:rPr>
          <w:rStyle w:val="23"/>
          <w:rFonts w:hint="eastAsia" w:ascii="仿宋_GB2312" w:hAnsi="仿宋_GB2312" w:eastAsia="仿宋_GB2312" w:cs="仿宋_GB2312"/>
          <w:b w:val="0"/>
          <w:sz w:val="32"/>
          <w:szCs w:val="32"/>
          <w:lang w:eastAsia="zh-CN"/>
        </w:rPr>
        <w:t>其他普惠金融发展支出</w:t>
      </w:r>
      <w:r>
        <w:rPr>
          <w:rStyle w:val="23"/>
          <w:rFonts w:hint="eastAsia" w:ascii="仿宋_GB2312" w:hAnsi="仿宋_GB2312" w:eastAsia="仿宋_GB2312" w:cs="仿宋_GB2312"/>
          <w:b w:val="0"/>
          <w:sz w:val="32"/>
          <w:szCs w:val="32"/>
        </w:rPr>
        <w:t>（项）：支出决算为</w:t>
      </w:r>
      <w:r>
        <w:rPr>
          <w:rStyle w:val="23"/>
          <w:rFonts w:hint="eastAsia" w:ascii="仿宋_GB2312" w:hAnsi="仿宋_GB2312" w:eastAsia="仿宋_GB2312" w:cs="仿宋_GB2312"/>
          <w:b w:val="0"/>
          <w:sz w:val="32"/>
          <w:szCs w:val="32"/>
          <w:lang w:val="en-US" w:eastAsia="zh-CN"/>
        </w:rPr>
        <w:t>96.86</w:t>
      </w:r>
      <w:r>
        <w:rPr>
          <w:rStyle w:val="23"/>
          <w:rFonts w:hint="eastAsia" w:ascii="仿宋_GB2312" w:hAnsi="仿宋_GB2312" w:eastAsia="仿宋_GB2312" w:cs="仿宋_GB2312"/>
          <w:b w:val="0"/>
          <w:sz w:val="32"/>
          <w:szCs w:val="32"/>
        </w:rPr>
        <w:t>万元，完成预算100%。</w:t>
      </w:r>
    </w:p>
    <w:p>
      <w:pPr>
        <w:spacing w:line="576" w:lineRule="exact"/>
        <w:ind w:firstLine="643" w:firstLineChars="200"/>
        <w:rPr>
          <w:rStyle w:val="23"/>
          <w:rFonts w:hint="eastAsia" w:ascii="仿宋_GB2312" w:hAnsi="仿宋_GB2312" w:eastAsia="仿宋_GB2312" w:cs="仿宋_GB2312"/>
          <w:b w:val="0"/>
          <w:sz w:val="32"/>
          <w:szCs w:val="32"/>
          <w:lang w:val="en-US" w:eastAsia="zh-CN"/>
        </w:rPr>
      </w:pPr>
      <w:r>
        <w:rPr>
          <w:rStyle w:val="23"/>
          <w:rFonts w:hint="eastAsia" w:ascii="仿宋_GB2312" w:hAnsi="仿宋_GB2312" w:eastAsia="仿宋_GB2312" w:cs="仿宋_GB2312"/>
          <w:b/>
          <w:bCs/>
          <w:sz w:val="32"/>
          <w:szCs w:val="32"/>
          <w:lang w:val="en-US" w:eastAsia="zh-CN"/>
        </w:rPr>
        <w:t>7</w:t>
      </w:r>
      <w:r>
        <w:rPr>
          <w:rStyle w:val="23"/>
          <w:rFonts w:hint="eastAsia" w:ascii="仿宋_GB2312" w:hAnsi="仿宋_GB2312" w:eastAsia="仿宋_GB2312" w:cs="仿宋_GB2312"/>
          <w:b/>
          <w:bCs/>
          <w:sz w:val="32"/>
          <w:szCs w:val="32"/>
        </w:rPr>
        <w:t>.</w:t>
      </w:r>
      <w:r>
        <w:rPr>
          <w:rStyle w:val="23"/>
          <w:rFonts w:hint="eastAsia" w:ascii="仿宋_GB2312" w:hAnsi="仿宋_GB2312" w:eastAsia="仿宋_GB2312" w:cs="仿宋_GB2312"/>
          <w:b w:val="0"/>
          <w:sz w:val="32"/>
          <w:szCs w:val="32"/>
          <w:lang w:eastAsia="zh-CN"/>
        </w:rPr>
        <w:t>金融支出</w:t>
      </w:r>
      <w:r>
        <w:rPr>
          <w:rStyle w:val="23"/>
          <w:rFonts w:hint="eastAsia" w:ascii="仿宋_GB2312" w:hAnsi="仿宋_GB2312" w:eastAsia="仿宋_GB2312" w:cs="仿宋_GB2312"/>
          <w:b w:val="0"/>
          <w:sz w:val="32"/>
          <w:szCs w:val="32"/>
        </w:rPr>
        <w:t>（类）</w:t>
      </w:r>
      <w:r>
        <w:rPr>
          <w:rStyle w:val="23"/>
          <w:rFonts w:hint="eastAsia" w:ascii="仿宋_GB2312" w:hAnsi="仿宋_GB2312" w:eastAsia="仿宋_GB2312" w:cs="仿宋_GB2312"/>
          <w:b w:val="0"/>
          <w:sz w:val="32"/>
          <w:szCs w:val="32"/>
          <w:lang w:eastAsia="zh-CN"/>
        </w:rPr>
        <w:t>金融发展支出</w:t>
      </w:r>
      <w:r>
        <w:rPr>
          <w:rStyle w:val="23"/>
          <w:rFonts w:hint="eastAsia" w:ascii="仿宋_GB2312" w:hAnsi="仿宋_GB2312" w:eastAsia="仿宋_GB2312" w:cs="仿宋_GB2312"/>
          <w:b w:val="0"/>
          <w:sz w:val="32"/>
          <w:szCs w:val="32"/>
        </w:rPr>
        <w:t>（款）</w:t>
      </w:r>
      <w:r>
        <w:rPr>
          <w:rStyle w:val="23"/>
          <w:rFonts w:hint="eastAsia" w:ascii="仿宋_GB2312" w:hAnsi="仿宋_GB2312" w:eastAsia="仿宋_GB2312" w:cs="仿宋_GB2312"/>
          <w:b w:val="0"/>
          <w:sz w:val="32"/>
          <w:szCs w:val="32"/>
          <w:lang w:eastAsia="zh-CN"/>
        </w:rPr>
        <w:t>其他金融发展支出</w:t>
      </w:r>
      <w:r>
        <w:rPr>
          <w:rStyle w:val="23"/>
          <w:rFonts w:hint="eastAsia" w:ascii="仿宋_GB2312" w:hAnsi="仿宋_GB2312" w:eastAsia="仿宋_GB2312" w:cs="仿宋_GB2312"/>
          <w:b w:val="0"/>
          <w:sz w:val="32"/>
          <w:szCs w:val="32"/>
        </w:rPr>
        <w:t>（项）：支出决算为</w:t>
      </w:r>
      <w:r>
        <w:rPr>
          <w:rStyle w:val="23"/>
          <w:rFonts w:hint="eastAsia" w:ascii="仿宋_GB2312" w:hAnsi="仿宋_GB2312" w:eastAsia="仿宋_GB2312" w:cs="仿宋_GB2312"/>
          <w:b w:val="0"/>
          <w:sz w:val="32"/>
          <w:szCs w:val="32"/>
          <w:lang w:val="en-US" w:eastAsia="zh-CN"/>
        </w:rPr>
        <w:t>46.77</w:t>
      </w:r>
      <w:r>
        <w:rPr>
          <w:rStyle w:val="23"/>
          <w:rFonts w:hint="eastAsia" w:ascii="仿宋_GB2312" w:hAnsi="仿宋_GB2312" w:eastAsia="仿宋_GB2312" w:cs="仿宋_GB2312"/>
          <w:b w:val="0"/>
          <w:sz w:val="32"/>
          <w:szCs w:val="32"/>
        </w:rPr>
        <w:t>万元，完成预算100%。</w:t>
      </w:r>
    </w:p>
    <w:p>
      <w:pPr>
        <w:spacing w:line="576" w:lineRule="exact"/>
        <w:ind w:firstLine="643" w:firstLineChars="200"/>
        <w:rPr>
          <w:rStyle w:val="23"/>
          <w:rFonts w:hint="eastAsia" w:ascii="仿宋_GB2312" w:hAnsi="仿宋_GB2312" w:eastAsia="仿宋_GB2312" w:cs="仿宋_GB2312"/>
          <w:b w:val="0"/>
          <w:sz w:val="32"/>
          <w:szCs w:val="32"/>
        </w:rPr>
      </w:pPr>
      <w:r>
        <w:rPr>
          <w:rStyle w:val="23"/>
          <w:rFonts w:hint="eastAsia" w:ascii="仿宋_GB2312" w:hAnsi="仿宋_GB2312" w:eastAsia="仿宋_GB2312" w:cs="仿宋_GB2312"/>
          <w:b/>
          <w:bCs/>
          <w:sz w:val="32"/>
          <w:szCs w:val="32"/>
          <w:lang w:val="en-US" w:eastAsia="zh-CN"/>
        </w:rPr>
        <w:t>8</w:t>
      </w:r>
      <w:r>
        <w:rPr>
          <w:rStyle w:val="23"/>
          <w:rFonts w:hint="eastAsia" w:ascii="仿宋_GB2312" w:hAnsi="仿宋_GB2312" w:eastAsia="仿宋_GB2312" w:cs="仿宋_GB2312"/>
          <w:b/>
          <w:bCs/>
          <w:sz w:val="32"/>
          <w:szCs w:val="32"/>
        </w:rPr>
        <w:t>.</w:t>
      </w:r>
      <w:r>
        <w:rPr>
          <w:rStyle w:val="23"/>
          <w:rFonts w:hint="eastAsia" w:ascii="仿宋_GB2312" w:hAnsi="仿宋_GB2312" w:eastAsia="仿宋_GB2312" w:cs="仿宋_GB2312"/>
          <w:b w:val="0"/>
          <w:sz w:val="32"/>
          <w:szCs w:val="32"/>
          <w:lang w:eastAsia="zh-CN"/>
        </w:rPr>
        <w:t>金融支出</w:t>
      </w:r>
      <w:r>
        <w:rPr>
          <w:rStyle w:val="23"/>
          <w:rFonts w:hint="eastAsia" w:ascii="仿宋_GB2312" w:hAnsi="仿宋_GB2312" w:eastAsia="仿宋_GB2312" w:cs="仿宋_GB2312"/>
          <w:b w:val="0"/>
          <w:sz w:val="32"/>
          <w:szCs w:val="32"/>
        </w:rPr>
        <w:t>（类）</w:t>
      </w:r>
      <w:r>
        <w:rPr>
          <w:rStyle w:val="23"/>
          <w:rFonts w:hint="eastAsia" w:ascii="仿宋_GB2312" w:hAnsi="仿宋_GB2312" w:eastAsia="仿宋_GB2312" w:cs="仿宋_GB2312"/>
          <w:b w:val="0"/>
          <w:sz w:val="32"/>
          <w:szCs w:val="32"/>
          <w:lang w:eastAsia="zh-CN"/>
        </w:rPr>
        <w:t>其他金融支出</w:t>
      </w:r>
      <w:r>
        <w:rPr>
          <w:rStyle w:val="23"/>
          <w:rFonts w:hint="eastAsia" w:ascii="仿宋_GB2312" w:hAnsi="仿宋_GB2312" w:eastAsia="仿宋_GB2312" w:cs="仿宋_GB2312"/>
          <w:b w:val="0"/>
          <w:sz w:val="32"/>
          <w:szCs w:val="32"/>
        </w:rPr>
        <w:t>（款）</w:t>
      </w:r>
      <w:r>
        <w:rPr>
          <w:rStyle w:val="23"/>
          <w:rFonts w:hint="eastAsia" w:ascii="仿宋_GB2312" w:hAnsi="仿宋_GB2312" w:eastAsia="仿宋_GB2312" w:cs="仿宋_GB2312"/>
          <w:b w:val="0"/>
          <w:sz w:val="32"/>
          <w:szCs w:val="32"/>
          <w:lang w:eastAsia="zh-CN"/>
        </w:rPr>
        <w:t>其他金融支出</w:t>
      </w:r>
      <w:r>
        <w:rPr>
          <w:rStyle w:val="23"/>
          <w:rFonts w:hint="eastAsia" w:ascii="仿宋_GB2312" w:hAnsi="仿宋_GB2312" w:eastAsia="仿宋_GB2312" w:cs="仿宋_GB2312"/>
          <w:b w:val="0"/>
          <w:sz w:val="32"/>
          <w:szCs w:val="32"/>
        </w:rPr>
        <w:t>（项）：支出决算为</w:t>
      </w:r>
      <w:r>
        <w:rPr>
          <w:rStyle w:val="23"/>
          <w:rFonts w:hint="eastAsia" w:ascii="仿宋_GB2312" w:hAnsi="仿宋_GB2312" w:eastAsia="仿宋_GB2312" w:cs="仿宋_GB2312"/>
          <w:b w:val="0"/>
          <w:sz w:val="32"/>
          <w:szCs w:val="32"/>
          <w:lang w:val="en-US" w:eastAsia="zh-CN"/>
        </w:rPr>
        <w:t>0.38</w:t>
      </w:r>
      <w:r>
        <w:rPr>
          <w:rStyle w:val="23"/>
          <w:rFonts w:hint="eastAsia" w:ascii="仿宋_GB2312" w:hAnsi="仿宋_GB2312" w:eastAsia="仿宋_GB2312" w:cs="仿宋_GB2312"/>
          <w:b w:val="0"/>
          <w:sz w:val="32"/>
          <w:szCs w:val="32"/>
        </w:rPr>
        <w:t>万元，完成预算100%。</w:t>
      </w:r>
      <w:r>
        <w:rPr>
          <w:rStyle w:val="23"/>
          <w:rFonts w:hint="eastAsia" w:ascii="仿宋_GB2312" w:hAnsi="仿宋_GB2312" w:eastAsia="仿宋_GB2312" w:cs="仿宋_GB2312"/>
          <w:b w:val="0"/>
          <w:sz w:val="32"/>
          <w:szCs w:val="32"/>
          <w:lang w:val="en-US" w:eastAsia="zh-CN"/>
        </w:rPr>
        <w:t xml:space="preserve">                            </w:t>
      </w:r>
    </w:p>
    <w:p>
      <w:pPr>
        <w:pStyle w:val="4"/>
        <w:spacing w:before="0" w:after="0" w:line="576" w:lineRule="exact"/>
        <w:ind w:firstLine="643" w:firstLineChars="200"/>
        <w:rPr>
          <w:rStyle w:val="38"/>
          <w:b/>
          <w:bCs/>
        </w:rPr>
      </w:pPr>
      <w:bookmarkStart w:id="41" w:name="_Toc15396608"/>
      <w:bookmarkStart w:id="42" w:name="_Toc15377214"/>
      <w:r>
        <w:rPr>
          <w:rFonts w:hint="eastAsia" w:ascii="黑体" w:eastAsia="黑体"/>
        </w:rPr>
        <w:t>六、</w:t>
      </w:r>
      <w:r>
        <w:rPr>
          <w:rFonts w:hint="eastAsia" w:ascii="黑体" w:hAnsi="黑体" w:eastAsia="黑体"/>
        </w:rPr>
        <w:t>一</w:t>
      </w:r>
      <w:r>
        <w:rPr>
          <w:rStyle w:val="38"/>
          <w:rFonts w:hint="eastAsia" w:ascii="黑体" w:hAnsi="黑体" w:eastAsia="黑体"/>
          <w:b w:val="0"/>
          <w:bCs/>
        </w:rPr>
        <w:t>般公共预算财政拨款基本支出决算情况说明</w:t>
      </w:r>
      <w:bookmarkEnd w:id="41"/>
      <w:bookmarkEnd w:id="42"/>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245.81</w:t>
      </w:r>
      <w:r>
        <w:rPr>
          <w:rFonts w:hint="eastAsia" w:ascii="仿宋_GB2312" w:hAnsi="仿宋_GB2312" w:eastAsia="仿宋_GB2312" w:cs="仿宋_GB2312"/>
          <w:sz w:val="32"/>
          <w:szCs w:val="32"/>
        </w:rPr>
        <w:t>万元，其中：</w:t>
      </w:r>
    </w:p>
    <w:p>
      <w:pPr>
        <w:spacing w:line="576" w:lineRule="exact"/>
        <w:ind w:firstLine="645"/>
        <w:rPr>
          <w:rFonts w:hint="eastAsia" w:ascii="仿宋" w:hAnsi="仿宋" w:eastAsia="仿宋"/>
          <w:color w:val="000000"/>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96.45</w:t>
      </w:r>
      <w:r>
        <w:rPr>
          <w:rFonts w:hint="eastAsia" w:ascii="仿宋_GB2312" w:hAnsi="仿宋_GB2312" w:eastAsia="仿宋_GB2312" w:cs="仿宋_GB2312"/>
          <w:sz w:val="32"/>
          <w:szCs w:val="32"/>
        </w:rPr>
        <w:t>万元，主要包括：</w:t>
      </w:r>
      <w:r>
        <w:rPr>
          <w:rFonts w:hint="eastAsia" w:ascii="仿宋" w:hAnsi="仿宋" w:eastAsia="仿宋"/>
          <w:color w:val="000000"/>
          <w:sz w:val="32"/>
          <w:szCs w:val="32"/>
        </w:rPr>
        <w:t>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其他社会保障缴费、住房公积金、医疗费</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w:t>
      </w:r>
      <w:r>
        <w:rPr>
          <w:rFonts w:hint="eastAsia" w:ascii="仿宋" w:hAnsi="仿宋" w:eastAsia="仿宋"/>
          <w:color w:val="000000"/>
          <w:sz w:val="32"/>
          <w:szCs w:val="32"/>
          <w:lang w:eastAsia="zh-CN"/>
        </w:rPr>
        <w:t>。</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5.35</w:t>
      </w:r>
      <w:r>
        <w:rPr>
          <w:rFonts w:hint="eastAsia" w:ascii="仿宋_GB2312" w:hAnsi="仿宋_GB2312" w:eastAsia="仿宋_GB2312" w:cs="仿宋_GB2312"/>
          <w:sz w:val="32"/>
          <w:szCs w:val="32"/>
        </w:rPr>
        <w:t>万元，主要包括：</w:t>
      </w:r>
      <w:r>
        <w:rPr>
          <w:rFonts w:hint="eastAsia" w:ascii="仿宋" w:hAnsi="仿宋" w:eastAsia="仿宋"/>
          <w:color w:val="000000"/>
          <w:sz w:val="32"/>
          <w:szCs w:val="32"/>
        </w:rPr>
        <w:t>办公费</w:t>
      </w:r>
      <w:r>
        <w:rPr>
          <w:rFonts w:hint="eastAsia" w:ascii="仿宋" w:hAnsi="仿宋" w:eastAsia="仿宋"/>
          <w:color w:val="000000"/>
          <w:sz w:val="32"/>
          <w:szCs w:val="32"/>
          <w:lang w:eastAsia="zh-CN"/>
        </w:rPr>
        <w:t>、</w:t>
      </w:r>
      <w:r>
        <w:rPr>
          <w:rFonts w:hint="eastAsia" w:ascii="仿宋" w:hAnsi="仿宋" w:eastAsia="仿宋"/>
          <w:color w:val="000000"/>
          <w:sz w:val="32"/>
          <w:szCs w:val="32"/>
        </w:rPr>
        <w:t>邮电费</w:t>
      </w:r>
      <w:r>
        <w:rPr>
          <w:rFonts w:hint="eastAsia" w:ascii="仿宋" w:hAnsi="仿宋" w:eastAsia="仿宋"/>
          <w:color w:val="000000"/>
          <w:sz w:val="32"/>
          <w:szCs w:val="32"/>
          <w:lang w:eastAsia="zh-CN"/>
        </w:rPr>
        <w:t>、</w:t>
      </w:r>
      <w:r>
        <w:rPr>
          <w:rFonts w:hint="eastAsia" w:ascii="仿宋" w:hAnsi="仿宋" w:eastAsia="仿宋"/>
          <w:color w:val="000000"/>
          <w:sz w:val="32"/>
          <w:szCs w:val="32"/>
        </w:rPr>
        <w:t>差旅费、培训费、</w:t>
      </w:r>
      <w:r>
        <w:rPr>
          <w:rFonts w:hint="eastAsia" w:ascii="仿宋" w:hAnsi="仿宋" w:eastAsia="仿宋"/>
          <w:color w:val="000000"/>
          <w:sz w:val="32"/>
          <w:szCs w:val="32"/>
          <w:lang w:eastAsia="zh-CN"/>
        </w:rPr>
        <w:t>其他交通费</w:t>
      </w:r>
      <w:r>
        <w:rPr>
          <w:rFonts w:hint="eastAsia" w:ascii="仿宋" w:hAnsi="仿宋" w:eastAsia="仿宋"/>
          <w:color w:val="000000"/>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43" w:name="_Toc15377217"/>
      <w:r>
        <w:rPr>
          <w:rFonts w:hint="eastAsia" w:ascii="仿宋_GB2312" w:hAnsi="仿宋_GB2312" w:eastAsia="仿宋_GB2312" w:cs="仿宋_GB2312"/>
          <w:sz w:val="32"/>
          <w:szCs w:val="32"/>
          <w:lang w:eastAsia="zh-CN"/>
        </w:rPr>
        <w:t>。</w:t>
      </w:r>
    </w:p>
    <w:p>
      <w:pPr>
        <w:spacing w:line="576" w:lineRule="exact"/>
        <w:ind w:firstLine="640"/>
        <w:rPr>
          <w:rFonts w:ascii="楷体_GB2312" w:eastAsia="楷体_GB2312"/>
          <w:b/>
          <w:sz w:val="32"/>
          <w:szCs w:val="32"/>
        </w:rPr>
      </w:pPr>
      <w:r>
        <w:rPr>
          <w:rFonts w:hint="eastAsia" w:ascii="楷体_GB2312" w:eastAsia="楷体_GB2312"/>
          <w:b/>
          <w:sz w:val="32"/>
          <w:szCs w:val="32"/>
        </w:rPr>
        <w:t>（二）“三公”经费财政拨款支出决算具体情况说明</w:t>
      </w:r>
      <w:bookmarkEnd w:id="43"/>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年“三公”经费财政拨款支出决算中，因公出国（境）费支出决算0万元；公务用车购置及运行维护费支出决算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23"/>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spacing w:line="576" w:lineRule="exact"/>
        <w:ind w:firstLine="623"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b/>
          <w:bCs/>
          <w:color w:val="000000"/>
          <w:spacing w:val="-5"/>
          <w:sz w:val="32"/>
          <w:lang w:eastAsia="zh-CN"/>
        </w:rPr>
        <w:t>2.</w:t>
      </w:r>
      <w:r>
        <w:rPr>
          <w:rFonts w:hint="eastAsia" w:ascii="仿宋_GB2312" w:hAnsi="仿宋" w:eastAsia="仿宋_GB2312" w:cs="仿宋"/>
          <w:color w:val="000000"/>
          <w:spacing w:val="-5"/>
          <w:sz w:val="32"/>
          <w:lang w:eastAsia="zh-CN"/>
        </w:rPr>
        <w:t>公务用车购置及运行维护费支出0万元。</w:t>
      </w:r>
    </w:p>
    <w:p>
      <w:pPr>
        <w:spacing w:line="576" w:lineRule="exact"/>
        <w:ind w:firstLine="623"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b/>
          <w:bCs/>
          <w:color w:val="000000"/>
          <w:spacing w:val="-5"/>
          <w:sz w:val="32"/>
          <w:lang w:eastAsia="zh-CN"/>
        </w:rPr>
        <w:t>3.</w:t>
      </w:r>
      <w:r>
        <w:rPr>
          <w:rFonts w:hint="eastAsia" w:ascii="仿宋_GB2312" w:hAnsi="仿宋" w:eastAsia="仿宋_GB2312" w:cs="仿宋"/>
          <w:color w:val="000000"/>
          <w:spacing w:val="-5"/>
          <w:sz w:val="32"/>
          <w:lang w:eastAsia="zh-CN"/>
        </w:rPr>
        <w:t>公务接待费支出0万元；外事接待支出0万元；其他国内公务接待支出0万元。</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年无政府性基金预算拨款支出。</w:t>
      </w:r>
    </w:p>
    <w:p>
      <w:pPr>
        <w:spacing w:line="576" w:lineRule="exact"/>
        <w:ind w:firstLine="640" w:firstLineChars="200"/>
        <w:rPr>
          <w:rStyle w:val="38"/>
          <w:rFonts w:ascii="黑体" w:hAnsi="黑体" w:eastAsia="黑体"/>
          <w:b w:val="0"/>
        </w:rPr>
      </w:pPr>
      <w:bookmarkStart w:id="44" w:name="_Toc15396611"/>
      <w:bookmarkStart w:id="45" w:name="_Toc15377219"/>
      <w:r>
        <w:rPr>
          <w:rStyle w:val="38"/>
          <w:rFonts w:hint="eastAsia" w:ascii="黑体" w:hAnsi="黑体" w:eastAsia="黑体"/>
          <w:b w:val="0"/>
        </w:rPr>
        <w:t>九、国有资本经营预算支出决算情况说明</w:t>
      </w:r>
      <w:bookmarkEnd w:id="44"/>
      <w:bookmarkEnd w:id="45"/>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年无国有资本经营预算拨款支出。</w:t>
      </w:r>
    </w:p>
    <w:p>
      <w:pPr>
        <w:spacing w:line="576" w:lineRule="exact"/>
        <w:ind w:firstLine="640" w:firstLineChars="200"/>
        <w:rPr>
          <w:rStyle w:val="38"/>
          <w:rFonts w:ascii="黑体" w:hAnsi="黑体" w:eastAsia="黑体"/>
        </w:rPr>
      </w:pPr>
      <w:r>
        <w:rPr>
          <w:rFonts w:hint="eastAsia" w:ascii="黑体" w:hAnsi="黑体" w:eastAsia="黑体"/>
          <w:sz w:val="32"/>
          <w:szCs w:val="32"/>
        </w:rPr>
        <w:t>十</w:t>
      </w:r>
      <w:r>
        <w:rPr>
          <w:rStyle w:val="38"/>
          <w:rFonts w:hint="eastAsia" w:ascii="黑体" w:hAnsi="黑体" w:eastAsia="黑体"/>
        </w:rPr>
        <w:t>、</w:t>
      </w:r>
      <w:r>
        <w:rPr>
          <w:rStyle w:val="38"/>
          <w:rFonts w:hint="eastAsia" w:ascii="黑体" w:hAnsi="黑体" w:eastAsia="黑体"/>
          <w:b w:val="0"/>
        </w:rPr>
        <w:t>其他重要事项的情况说明</w:t>
      </w:r>
    </w:p>
    <w:p>
      <w:pPr>
        <w:spacing w:line="576" w:lineRule="exact"/>
        <w:ind w:firstLine="643" w:firstLineChars="200"/>
        <w:outlineLvl w:val="1"/>
        <w:rPr>
          <w:rStyle w:val="38"/>
          <w:rFonts w:ascii="楷体" w:hAnsi="楷体" w:eastAsia="楷体" w:cs="楷体"/>
        </w:rPr>
      </w:pPr>
      <w:bookmarkStart w:id="46" w:name="_Toc15377222"/>
      <w:r>
        <w:rPr>
          <w:rStyle w:val="38"/>
          <w:rFonts w:hint="eastAsia" w:ascii="楷体" w:hAnsi="楷体" w:eastAsia="楷体" w:cs="楷体"/>
        </w:rPr>
        <w:t>（一）机关运行经费支出情况</w:t>
      </w:r>
      <w:bookmarkEnd w:id="46"/>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年机关运行经费支出</w:t>
      </w:r>
      <w:r>
        <w:rPr>
          <w:rFonts w:hint="eastAsia" w:ascii="仿宋_GB2312" w:eastAsia="仿宋_GB2312"/>
          <w:sz w:val="32"/>
          <w:szCs w:val="32"/>
          <w:lang w:val="en-US" w:eastAsia="zh-CN"/>
        </w:rPr>
        <w:t>5.35</w:t>
      </w:r>
      <w:r>
        <w:rPr>
          <w:rFonts w:hint="eastAsia" w:ascii="仿宋_GB2312" w:eastAsia="仿宋_GB2312"/>
          <w:sz w:val="32"/>
          <w:szCs w:val="32"/>
        </w:rPr>
        <w:t>万元，比</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0.05</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eastAsia="仿宋_GB2312"/>
          <w:sz w:val="32"/>
          <w:szCs w:val="32"/>
          <w:lang w:val="en-US" w:eastAsia="zh-CN"/>
        </w:rPr>
        <w:t>0.93</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pPr>
        <w:spacing w:line="576" w:lineRule="exact"/>
        <w:ind w:firstLine="643" w:firstLineChars="200"/>
        <w:outlineLvl w:val="1"/>
        <w:rPr>
          <w:rFonts w:ascii="仿宋" w:hAnsi="仿宋" w:eastAsia="仿宋"/>
          <w:b/>
          <w:sz w:val="32"/>
          <w:szCs w:val="32"/>
        </w:rPr>
      </w:pPr>
      <w:r>
        <w:rPr>
          <w:rStyle w:val="38"/>
          <w:rFonts w:hint="eastAsia" w:ascii="楷体" w:hAnsi="楷体" w:eastAsia="楷体" w:cs="楷体"/>
        </w:rPr>
        <w:t>（二）政府采购支出情况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年，无政府采购支出。</w:t>
      </w:r>
    </w:p>
    <w:p>
      <w:pPr>
        <w:spacing w:line="576" w:lineRule="exact"/>
        <w:ind w:firstLine="643" w:firstLineChars="200"/>
        <w:outlineLvl w:val="1"/>
        <w:rPr>
          <w:rStyle w:val="38"/>
          <w:rFonts w:ascii="楷体" w:hAnsi="楷体" w:eastAsia="楷体" w:cs="楷体"/>
        </w:rPr>
      </w:pPr>
      <w:r>
        <w:rPr>
          <w:rStyle w:val="38"/>
          <w:rFonts w:hint="eastAsia" w:ascii="楷体" w:hAnsi="楷体" w:eastAsia="楷体" w:cs="楷体"/>
        </w:rPr>
        <w:t>（三）国有资产占有使用情况</w:t>
      </w:r>
    </w:p>
    <w:p>
      <w:pPr>
        <w:spacing w:line="576" w:lineRule="exact"/>
        <w:ind w:firstLine="620"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color w:val="000000"/>
          <w:spacing w:val="-5"/>
          <w:sz w:val="32"/>
          <w:lang w:eastAsia="zh-CN"/>
        </w:rPr>
        <w:t>截至20</w:t>
      </w:r>
      <w:r>
        <w:rPr>
          <w:rFonts w:hint="eastAsia" w:ascii="仿宋_GB2312" w:hAnsi="仿宋" w:eastAsia="仿宋_GB2312" w:cs="仿宋"/>
          <w:color w:val="000000"/>
          <w:spacing w:val="-5"/>
          <w:sz w:val="32"/>
          <w:lang w:val="en-US" w:eastAsia="zh-CN"/>
        </w:rPr>
        <w:t>20</w:t>
      </w:r>
      <w:r>
        <w:rPr>
          <w:rFonts w:hint="eastAsia" w:ascii="仿宋_GB2312" w:hAnsi="仿宋" w:eastAsia="仿宋_GB2312" w:cs="仿宋"/>
          <w:color w:val="000000"/>
          <w:spacing w:val="-5"/>
          <w:sz w:val="32"/>
          <w:lang w:eastAsia="zh-CN"/>
        </w:rPr>
        <w:t>年12月31日，本单位无公务用车；单价50万元以上通用设备0台（套），单价100万元以上专用设备0台（套）。</w:t>
      </w:r>
    </w:p>
    <w:p>
      <w:pPr>
        <w:spacing w:line="576" w:lineRule="exact"/>
        <w:ind w:firstLine="643" w:firstLineChars="200"/>
        <w:outlineLvl w:val="1"/>
        <w:rPr>
          <w:rFonts w:ascii="楷体_GB2312" w:hAnsi="楷体_GB2312" w:eastAsia="楷体_GB2312" w:cs="楷体_GB2312"/>
          <w:b/>
          <w:bCs/>
          <w:sz w:val="32"/>
          <w:szCs w:val="32"/>
        </w:rPr>
      </w:pPr>
      <w:r>
        <w:rPr>
          <w:rStyle w:val="38"/>
          <w:rFonts w:hint="eastAsia" w:ascii="楷体_GB2312" w:hAnsi="楷体_GB2312" w:eastAsia="楷体_GB2312" w:cs="楷体_GB2312"/>
        </w:rPr>
        <w:t>（</w:t>
      </w:r>
      <w:r>
        <w:rPr>
          <w:rStyle w:val="38"/>
          <w:rFonts w:hint="eastAsia" w:ascii="楷体_GB2312" w:hAnsi="楷体_GB2312" w:eastAsia="楷体_GB2312" w:cs="楷体_GB2312"/>
          <w:lang w:eastAsia="zh-CN"/>
        </w:rPr>
        <w:t>四</w:t>
      </w:r>
      <w:r>
        <w:rPr>
          <w:rStyle w:val="38"/>
          <w:rFonts w:hint="eastAsia" w:ascii="楷体_GB2312" w:hAnsi="楷体_GB2312" w:eastAsia="楷体_GB2312" w:cs="楷体_GB2312"/>
        </w:rPr>
        <w:t>）预算绩效管理情况</w:t>
      </w:r>
    </w:p>
    <w:p>
      <w:pPr>
        <w:spacing w:line="576" w:lineRule="exact"/>
        <w:ind w:firstLine="620" w:firstLineChars="200"/>
        <w:rPr>
          <w:rFonts w:hint="eastAsia" w:ascii="仿宋_GB2312" w:hAnsi="仿宋" w:eastAsia="仿宋_GB2312" w:cs="仿宋"/>
          <w:color w:val="000000"/>
          <w:spacing w:val="-5"/>
          <w:sz w:val="32"/>
          <w:lang w:eastAsia="zh-CN"/>
        </w:rPr>
      </w:pPr>
      <w:bookmarkStart w:id="47" w:name="_Toc15396612"/>
      <w:bookmarkStart w:id="48" w:name="_Toc15377221"/>
      <w:r>
        <w:rPr>
          <w:rFonts w:hint="eastAsia" w:ascii="仿宋_GB2312" w:hAnsi="仿宋" w:eastAsia="仿宋_GB2312" w:cs="仿宋"/>
          <w:color w:val="000000"/>
          <w:spacing w:val="-5"/>
          <w:sz w:val="32"/>
          <w:lang w:eastAsia="zh-CN"/>
        </w:rPr>
        <w:t>根据预算绩效管理要求，本部门按要求对20</w:t>
      </w:r>
      <w:r>
        <w:rPr>
          <w:rFonts w:hint="eastAsia" w:ascii="仿宋_GB2312" w:hAnsi="仿宋" w:eastAsia="仿宋_GB2312" w:cs="仿宋"/>
          <w:color w:val="000000"/>
          <w:spacing w:val="-5"/>
          <w:sz w:val="32"/>
          <w:lang w:val="en-US" w:eastAsia="zh-CN"/>
        </w:rPr>
        <w:t>20</w:t>
      </w:r>
      <w:r>
        <w:rPr>
          <w:rFonts w:hint="eastAsia" w:ascii="仿宋_GB2312" w:hAnsi="仿宋" w:eastAsia="仿宋_GB2312" w:cs="仿宋"/>
          <w:color w:val="000000"/>
          <w:spacing w:val="-5"/>
          <w:sz w:val="32"/>
          <w:lang w:eastAsia="zh-CN"/>
        </w:rPr>
        <w:t>年部门整体支出开展绩效自评，从评价情况来看，20</w:t>
      </w:r>
      <w:r>
        <w:rPr>
          <w:rFonts w:hint="eastAsia" w:ascii="仿宋_GB2312" w:hAnsi="仿宋" w:eastAsia="仿宋_GB2312" w:cs="仿宋"/>
          <w:color w:val="000000"/>
          <w:spacing w:val="-5"/>
          <w:sz w:val="32"/>
          <w:lang w:val="en-US" w:eastAsia="zh-CN"/>
        </w:rPr>
        <w:t>20</w:t>
      </w:r>
      <w:r>
        <w:rPr>
          <w:rFonts w:hint="eastAsia" w:ascii="仿宋_GB2312" w:hAnsi="仿宋" w:eastAsia="仿宋_GB2312" w:cs="仿宋"/>
          <w:color w:val="000000"/>
          <w:spacing w:val="-5"/>
          <w:sz w:val="32"/>
          <w:lang w:eastAsia="zh-CN"/>
        </w:rPr>
        <w:t>年我中心部门整体支出绩效评价自查自评结果良好，全面基本支出保证了部门的正常运行和日常工作的正常开展，绩效目标得到较好实现，绩效管理水平不断提高，绩效指标体系逐渐丰富和完善。本部门无专项预算项目，因此未组织开展项目支出绩效评价。</w:t>
      </w:r>
    </w:p>
    <w:p>
      <w:pPr>
        <w:spacing w:line="576" w:lineRule="exact"/>
        <w:ind w:firstLine="620"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color w:val="000000"/>
          <w:spacing w:val="-5"/>
          <w:sz w:val="32"/>
          <w:lang w:val="en-US" w:eastAsia="zh-CN"/>
        </w:rPr>
        <w:t>1、</w:t>
      </w:r>
      <w:r>
        <w:rPr>
          <w:rFonts w:hint="eastAsia" w:ascii="仿宋_GB2312" w:hAnsi="仿宋" w:eastAsia="仿宋_GB2312" w:cs="仿宋"/>
          <w:color w:val="000000"/>
          <w:spacing w:val="-5"/>
          <w:sz w:val="32"/>
          <w:lang w:eastAsia="zh-CN"/>
        </w:rPr>
        <w:t>项目绩效目标完成情况。</w:t>
      </w:r>
    </w:p>
    <w:p>
      <w:pPr>
        <w:spacing w:line="576" w:lineRule="exact"/>
        <w:ind w:firstLine="620"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color w:val="000000"/>
          <w:spacing w:val="-5"/>
          <w:sz w:val="32"/>
          <w:lang w:eastAsia="zh-CN"/>
        </w:rPr>
        <w:t>本部门无专项预算项目，未组织开展项目支出绩效评价。</w:t>
      </w:r>
    </w:p>
    <w:p>
      <w:pPr>
        <w:spacing w:line="576" w:lineRule="exact"/>
        <w:ind w:firstLine="620"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color w:val="000000"/>
          <w:spacing w:val="-5"/>
          <w:sz w:val="32"/>
          <w:lang w:val="en-US" w:eastAsia="zh-CN"/>
        </w:rPr>
        <w:t>2、</w:t>
      </w:r>
      <w:r>
        <w:rPr>
          <w:rFonts w:hint="eastAsia" w:ascii="仿宋_GB2312" w:hAnsi="仿宋" w:eastAsia="仿宋_GB2312" w:cs="仿宋"/>
          <w:color w:val="000000"/>
          <w:spacing w:val="-5"/>
          <w:sz w:val="32"/>
          <w:lang w:eastAsia="zh-CN"/>
        </w:rPr>
        <w:t>部门绩效评价结果。</w:t>
      </w:r>
    </w:p>
    <w:p>
      <w:pPr>
        <w:spacing w:line="576" w:lineRule="exact"/>
        <w:ind w:firstLine="620" w:firstLineChars="200"/>
        <w:rPr>
          <w:rFonts w:hint="eastAsia" w:ascii="仿宋_GB2312" w:hAnsi="仿宋" w:eastAsia="仿宋_GB2312" w:cs="仿宋"/>
          <w:color w:val="000000"/>
          <w:spacing w:val="-5"/>
          <w:sz w:val="32"/>
          <w:lang w:eastAsia="zh-CN"/>
        </w:rPr>
      </w:pPr>
      <w:r>
        <w:rPr>
          <w:rFonts w:hint="eastAsia" w:ascii="仿宋_GB2312" w:hAnsi="仿宋" w:eastAsia="仿宋_GB2312" w:cs="仿宋"/>
          <w:color w:val="000000"/>
          <w:spacing w:val="-5"/>
          <w:sz w:val="32"/>
          <w:lang w:eastAsia="zh-CN"/>
        </w:rPr>
        <w:t>本部门按要求对20</w:t>
      </w:r>
      <w:r>
        <w:rPr>
          <w:rFonts w:hint="eastAsia" w:ascii="仿宋_GB2312" w:hAnsi="仿宋" w:eastAsia="仿宋_GB2312" w:cs="仿宋"/>
          <w:color w:val="000000"/>
          <w:spacing w:val="-5"/>
          <w:sz w:val="32"/>
          <w:lang w:val="en-US" w:eastAsia="zh-CN"/>
        </w:rPr>
        <w:t>20</w:t>
      </w:r>
      <w:r>
        <w:rPr>
          <w:rFonts w:hint="eastAsia" w:ascii="仿宋_GB2312" w:hAnsi="仿宋" w:eastAsia="仿宋_GB2312" w:cs="仿宋"/>
          <w:color w:val="000000"/>
          <w:spacing w:val="-5"/>
          <w:sz w:val="32"/>
          <w:lang w:eastAsia="zh-CN"/>
        </w:rPr>
        <w:t>年部门整体支出绩效评价情况开展自评。《茂县国有资产中心20</w:t>
      </w:r>
      <w:r>
        <w:rPr>
          <w:rFonts w:hint="eastAsia" w:ascii="仿宋_GB2312" w:hAnsi="仿宋" w:eastAsia="仿宋_GB2312" w:cs="仿宋"/>
          <w:color w:val="000000"/>
          <w:spacing w:val="-5"/>
          <w:sz w:val="32"/>
          <w:lang w:val="en-US" w:eastAsia="zh-CN"/>
        </w:rPr>
        <w:t>20</w:t>
      </w:r>
      <w:r>
        <w:rPr>
          <w:rFonts w:hint="eastAsia" w:ascii="仿宋_GB2312" w:hAnsi="仿宋" w:eastAsia="仿宋_GB2312" w:cs="仿宋"/>
          <w:color w:val="000000"/>
          <w:spacing w:val="-5"/>
          <w:sz w:val="32"/>
          <w:lang w:eastAsia="zh-CN"/>
        </w:rPr>
        <w:t>年部门整体支出绩效评价报告》见附件。</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p>
      <w:pPr>
        <w:pStyle w:val="2"/>
        <w:jc w:val="both"/>
        <w:rPr>
          <w:rFonts w:hint="eastAsia" w:ascii="仿宋_GB2312" w:hAnsi="仿宋_GB2312" w:eastAsia="仿宋_GB2312" w:cs="仿宋_GB2312"/>
          <w:sz w:val="32"/>
          <w:szCs w:val="32"/>
        </w:rPr>
      </w:pPr>
    </w:p>
    <w:bookmarkEnd w:id="47"/>
    <w:bookmarkEnd w:id="48"/>
    <w:p>
      <w:pPr>
        <w:numPr>
          <w:ilvl w:val="0"/>
          <w:numId w:val="1"/>
        </w:numPr>
        <w:spacing w:line="600" w:lineRule="exact"/>
        <w:ind w:firstLine="660" w:firstLineChars="150"/>
        <w:jc w:val="center"/>
        <w:outlineLvl w:val="0"/>
        <w:rPr>
          <w:rStyle w:val="34"/>
          <w:rFonts w:hint="eastAsia" w:ascii="方正小标宋简体" w:hAnsi="方正小标宋简体" w:eastAsia="方正小标宋简体" w:cs="方正小标宋简体"/>
          <w:b w:val="0"/>
        </w:rPr>
      </w:pPr>
      <w:bookmarkStart w:id="49" w:name="_Toc15377225"/>
      <w:bookmarkStart w:id="50" w:name="_Toc15396613"/>
      <w:bookmarkStart w:id="51" w:name="_Toc79163879"/>
      <w:bookmarkStart w:id="52" w:name="_Toc79163629"/>
      <w:r>
        <w:rPr>
          <w:rFonts w:hint="eastAsia" w:ascii="方正小标宋简体" w:hAnsi="方正小标宋简体" w:eastAsia="方正小标宋简体" w:cs="方正小标宋简体"/>
          <w:color w:val="000000"/>
          <w:sz w:val="44"/>
          <w:szCs w:val="44"/>
        </w:rPr>
        <w:t>名</w:t>
      </w:r>
      <w:r>
        <w:rPr>
          <w:rStyle w:val="34"/>
          <w:rFonts w:hint="eastAsia" w:ascii="方正小标宋简体" w:hAnsi="方正小标宋简体" w:eastAsia="方正小标宋简体" w:cs="方正小标宋简体"/>
          <w:b w:val="0"/>
        </w:rPr>
        <w:t>词解释</w:t>
      </w:r>
      <w:bookmarkEnd w:id="49"/>
      <w:bookmarkEnd w:id="50"/>
      <w:bookmarkEnd w:id="51"/>
      <w:bookmarkEnd w:id="52"/>
    </w:p>
    <w:p>
      <w:pPr>
        <w:spacing w:line="600" w:lineRule="exact"/>
        <w:jc w:val="left"/>
        <w:rPr>
          <w:rFonts w:ascii="宋体"/>
          <w:b/>
          <w:color w:val="000000"/>
          <w:sz w:val="44"/>
          <w:szCs w:val="44"/>
        </w:rPr>
      </w:pPr>
    </w:p>
    <w:p>
      <w:pPr>
        <w:spacing w:line="576" w:lineRule="exact"/>
        <w:ind w:firstLine="620" w:firstLineChars="200"/>
        <w:rPr>
          <w:rFonts w:hint="eastAsia" w:ascii="仿宋_GB2312" w:hAnsi="仿宋" w:eastAsia="仿宋_GB2312" w:cs="仿宋"/>
          <w:color w:val="000000"/>
          <w:spacing w:val="-5"/>
          <w:sz w:val="32"/>
          <w:lang w:val="en-US" w:eastAsia="zh-CN"/>
        </w:rPr>
      </w:pPr>
      <w:bookmarkStart w:id="53" w:name="_Toc15396614"/>
      <w:bookmarkStart w:id="54" w:name="_Toc79163880"/>
      <w:bookmarkStart w:id="55" w:name="_Toc79163630"/>
      <w:bookmarkStart w:id="56" w:name="_Toc15377226"/>
      <w:r>
        <w:rPr>
          <w:rFonts w:hint="eastAsia" w:ascii="仿宋_GB2312" w:hAnsi="仿宋" w:eastAsia="仿宋_GB2312" w:cs="仿宋"/>
          <w:color w:val="000000"/>
          <w:spacing w:val="-5"/>
          <w:sz w:val="32"/>
          <w:lang w:val="en-US" w:eastAsia="zh-CN"/>
        </w:rPr>
        <w:t>1.财政拨款收入：指单位从同级财政部门取得的财政预算资金。</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2.事业收入：指事业单位开展专业业务活动及辅助活动取得的收入。</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3.经营收入：指事业单位在专业业务活动及其辅助活动之外开展非独立核算经营活动取得的收入。</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4.其他收入：指单位取得的除上述收入以外的各项收入。</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 xml:space="preserve">5.年初结转和结余：指以前年度尚未完成、结转到本年按有关规定继续使用的资金。 </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6.年末结转和结余：指单位按有关规定结转到下年或以后年度继续使用的资金。</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7.一般公共服务（类）政府办公厅/室（款）行政运行（项）：指反映行政单位（包括实行公务员管理的事业单位）的基本支出。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8.</w:t>
      </w:r>
      <w:r>
        <w:rPr>
          <w:rStyle w:val="23"/>
          <w:rFonts w:hint="eastAsia" w:ascii="仿宋_GB2312" w:hAnsi="仿宋_GB2312" w:eastAsia="仿宋_GB2312" w:cs="仿宋_GB2312"/>
          <w:b w:val="0"/>
          <w:sz w:val="32"/>
          <w:szCs w:val="32"/>
        </w:rPr>
        <w:t>社会保障和就业</w:t>
      </w:r>
      <w:r>
        <w:rPr>
          <w:rStyle w:val="23"/>
          <w:rFonts w:hint="eastAsia" w:ascii="仿宋_GB2312" w:hAnsi="仿宋_GB2312" w:eastAsia="仿宋_GB2312" w:cs="仿宋_GB2312"/>
          <w:b w:val="0"/>
          <w:sz w:val="32"/>
          <w:szCs w:val="32"/>
          <w:lang w:eastAsia="zh-CN"/>
        </w:rPr>
        <w:t>支出</w:t>
      </w:r>
      <w:r>
        <w:rPr>
          <w:rStyle w:val="23"/>
          <w:rFonts w:hint="eastAsia" w:ascii="仿宋_GB2312" w:hAnsi="仿宋_GB2312" w:eastAsia="仿宋_GB2312" w:cs="仿宋_GB2312"/>
          <w:b w:val="0"/>
          <w:sz w:val="32"/>
          <w:szCs w:val="32"/>
        </w:rPr>
        <w:t>（类）行政事业单位</w:t>
      </w:r>
      <w:r>
        <w:rPr>
          <w:rStyle w:val="23"/>
          <w:rFonts w:hint="eastAsia" w:ascii="仿宋_GB2312" w:hAnsi="仿宋_GB2312" w:eastAsia="仿宋_GB2312" w:cs="仿宋_GB2312"/>
          <w:b w:val="0"/>
          <w:sz w:val="32"/>
          <w:szCs w:val="32"/>
          <w:lang w:eastAsia="zh-CN"/>
        </w:rPr>
        <w:t>养老支出</w:t>
      </w:r>
      <w:r>
        <w:rPr>
          <w:rStyle w:val="23"/>
          <w:rFonts w:hint="eastAsia" w:ascii="仿宋_GB2312" w:hAnsi="仿宋_GB2312" w:eastAsia="仿宋_GB2312" w:cs="仿宋_GB2312"/>
          <w:b w:val="0"/>
          <w:sz w:val="32"/>
          <w:szCs w:val="32"/>
        </w:rPr>
        <w:t>（款）机关事业单位基本养老保险</w:t>
      </w:r>
      <w:r>
        <w:rPr>
          <w:rStyle w:val="23"/>
          <w:rFonts w:hint="eastAsia" w:ascii="仿宋_GB2312" w:hAnsi="仿宋_GB2312" w:eastAsia="仿宋_GB2312" w:cs="仿宋_GB2312"/>
          <w:b w:val="0"/>
          <w:sz w:val="32"/>
          <w:szCs w:val="32"/>
          <w:lang w:eastAsia="zh-CN"/>
        </w:rPr>
        <w:t>缴费支出</w:t>
      </w:r>
      <w:r>
        <w:rPr>
          <w:rStyle w:val="23"/>
          <w:rFonts w:hint="eastAsia" w:ascii="仿宋_GB2312" w:hAnsi="仿宋_GB2312" w:eastAsia="仿宋_GB2312" w:cs="仿宋_GB2312"/>
          <w:b w:val="0"/>
          <w:sz w:val="32"/>
          <w:szCs w:val="32"/>
        </w:rPr>
        <w:t>（项）</w:t>
      </w:r>
      <w:r>
        <w:rPr>
          <w:rStyle w:val="23"/>
          <w:rFonts w:hint="eastAsia" w:ascii="仿宋_GB2312" w:hAnsi="仿宋_GB2312" w:eastAsia="仿宋_GB2312" w:cs="仿宋_GB2312"/>
          <w:b w:val="0"/>
          <w:sz w:val="32"/>
          <w:szCs w:val="32"/>
          <w:lang w:eastAsia="zh-CN"/>
        </w:rPr>
        <w:t>：</w:t>
      </w:r>
      <w:r>
        <w:rPr>
          <w:rFonts w:hint="eastAsia" w:ascii="仿宋_GB2312" w:hAnsi="仿宋" w:eastAsia="仿宋_GB2312" w:cs="仿宋"/>
          <w:color w:val="000000"/>
          <w:spacing w:val="-5"/>
          <w:sz w:val="32"/>
          <w:lang w:val="en-US" w:eastAsia="zh-CN"/>
        </w:rPr>
        <w:t>指部门实施养老保险制度由单位缴纳的基本养老保险费支出。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9.</w:t>
      </w:r>
      <w:r>
        <w:rPr>
          <w:rStyle w:val="23"/>
          <w:rFonts w:hint="eastAsia" w:ascii="仿宋_GB2312" w:hAnsi="仿宋_GB2312" w:eastAsia="仿宋_GB2312" w:cs="仿宋_GB2312"/>
          <w:b w:val="0"/>
          <w:sz w:val="32"/>
          <w:szCs w:val="32"/>
        </w:rPr>
        <w:t>社会保障和就业</w:t>
      </w:r>
      <w:r>
        <w:rPr>
          <w:rStyle w:val="23"/>
          <w:rFonts w:hint="eastAsia" w:ascii="仿宋_GB2312" w:hAnsi="仿宋_GB2312" w:eastAsia="仿宋_GB2312" w:cs="仿宋_GB2312"/>
          <w:b w:val="0"/>
          <w:sz w:val="32"/>
          <w:szCs w:val="32"/>
          <w:lang w:eastAsia="zh-CN"/>
        </w:rPr>
        <w:t>支出</w:t>
      </w:r>
      <w:r>
        <w:rPr>
          <w:rStyle w:val="23"/>
          <w:rFonts w:hint="eastAsia" w:ascii="仿宋_GB2312" w:hAnsi="仿宋_GB2312" w:eastAsia="仿宋_GB2312" w:cs="仿宋_GB2312"/>
          <w:b w:val="0"/>
          <w:sz w:val="32"/>
          <w:szCs w:val="32"/>
        </w:rPr>
        <w:t>（类）行政事业单位</w:t>
      </w:r>
      <w:r>
        <w:rPr>
          <w:rStyle w:val="23"/>
          <w:rFonts w:hint="eastAsia" w:ascii="仿宋_GB2312" w:hAnsi="仿宋_GB2312" w:eastAsia="仿宋_GB2312" w:cs="仿宋_GB2312"/>
          <w:b w:val="0"/>
          <w:sz w:val="32"/>
          <w:szCs w:val="32"/>
          <w:lang w:eastAsia="zh-CN"/>
        </w:rPr>
        <w:t>养老支出</w:t>
      </w:r>
      <w:r>
        <w:rPr>
          <w:rStyle w:val="23"/>
          <w:rFonts w:hint="eastAsia" w:ascii="仿宋_GB2312" w:hAnsi="仿宋_GB2312" w:eastAsia="仿宋_GB2312" w:cs="仿宋_GB2312"/>
          <w:b w:val="0"/>
          <w:sz w:val="32"/>
          <w:szCs w:val="32"/>
        </w:rPr>
        <w:t>（款）机关事业单位</w:t>
      </w:r>
      <w:r>
        <w:rPr>
          <w:rStyle w:val="23"/>
          <w:rFonts w:hint="eastAsia" w:ascii="仿宋_GB2312" w:hAnsi="仿宋_GB2312" w:eastAsia="仿宋_GB2312" w:cs="仿宋_GB2312"/>
          <w:b w:val="0"/>
          <w:sz w:val="32"/>
          <w:szCs w:val="32"/>
          <w:lang w:eastAsia="zh-CN"/>
        </w:rPr>
        <w:t>职业年金缴费支出</w:t>
      </w:r>
      <w:r>
        <w:rPr>
          <w:rStyle w:val="23"/>
          <w:rFonts w:hint="eastAsia" w:ascii="仿宋_GB2312" w:hAnsi="仿宋_GB2312" w:eastAsia="仿宋_GB2312" w:cs="仿宋_GB2312"/>
          <w:b w:val="0"/>
          <w:sz w:val="32"/>
          <w:szCs w:val="32"/>
        </w:rPr>
        <w:t>（项）</w:t>
      </w:r>
      <w:r>
        <w:rPr>
          <w:rFonts w:hint="eastAsia" w:ascii="仿宋_GB2312" w:hAnsi="仿宋" w:eastAsia="仿宋_GB2312" w:cs="仿宋"/>
          <w:color w:val="000000"/>
          <w:spacing w:val="-5"/>
          <w:sz w:val="32"/>
          <w:lang w:val="en-US" w:eastAsia="zh-CN"/>
        </w:rPr>
        <w:t>：指部门实施养老保险制度由单位缴纳的职业年金支出。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10.卫生健康(类)行政事业单位医疗（款）行政单位医疗（项）:指行政单位用于缴纳单位基本医疗保险支出。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11.住房保障支出（类）住房改革支出（款）住房公积金（项）：指反映行政事业单位按规定为职工缴纳的住房公积金。</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12.基本支出：指为保障机构正常运转、完成日常工作任务而发生的人员支出和公用支出。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 xml:space="preserve">13.项目支出：指在基本支出之外为完成特定行政任务和事业发展目标所发生的支出。 </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20" w:firstLineChars="200"/>
        <w:rPr>
          <w:rFonts w:hint="eastAsia" w:ascii="仿宋_GB2312" w:hAnsi="仿宋" w:eastAsia="仿宋_GB2312" w:cs="仿宋"/>
          <w:color w:val="000000"/>
          <w:spacing w:val="-5"/>
          <w:sz w:val="32"/>
          <w:lang w:val="en-US" w:eastAsia="zh-CN"/>
        </w:rPr>
      </w:pPr>
    </w:p>
    <w:p>
      <w:pPr>
        <w:spacing w:line="600" w:lineRule="exact"/>
        <w:jc w:val="both"/>
        <w:outlineLvl w:val="0"/>
        <w:rPr>
          <w:rFonts w:hint="eastAsia"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附件</w:t>
      </w:r>
      <w:bookmarkEnd w:id="53"/>
      <w:bookmarkEnd w:id="54"/>
      <w:bookmarkEnd w:id="55"/>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lang w:eastAsia="zh-CN"/>
        </w:rPr>
      </w:pPr>
      <w:bookmarkStart w:id="57" w:name="_Toc79163632"/>
      <w:bookmarkStart w:id="58" w:name="_Toc79163882"/>
      <w:r>
        <w:rPr>
          <w:rFonts w:hint="eastAsia" w:ascii="方正小标宋简体" w:hAnsi="黑体" w:eastAsia="方正小标宋简体" w:cs="黑体"/>
          <w:sz w:val="44"/>
          <w:szCs w:val="44"/>
          <w:lang w:eastAsia="zh-CN"/>
        </w:rPr>
        <w:t>茂县国有资产管理中心</w:t>
      </w:r>
    </w:p>
    <w:p>
      <w:pPr>
        <w:spacing w:line="600" w:lineRule="exact"/>
        <w:jc w:val="center"/>
        <w:outlineLvl w:val="0"/>
        <w:rPr>
          <w:rFonts w:ascii="方正小标宋简体" w:hAnsi="黑体" w:eastAsia="方正小标宋简体" w:cs="黑体"/>
          <w:sz w:val="44"/>
          <w:szCs w:val="44"/>
        </w:rPr>
      </w:pP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57"/>
      <w:bookmarkEnd w:id="58"/>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4"/>
        <w:spacing w:before="0" w:after="0" w:line="576" w:lineRule="exact"/>
        <w:ind w:firstLine="640" w:firstLineChars="200"/>
        <w:rPr>
          <w:b w:val="0"/>
          <w:bCs w:val="0"/>
        </w:rPr>
      </w:pPr>
      <w:r>
        <w:rPr>
          <w:rFonts w:hint="eastAsia" w:ascii="黑体" w:hAnsi="黑体" w:eastAsia="黑体" w:cs="黑体"/>
          <w:b w:val="0"/>
          <w:bCs w:val="0"/>
        </w:rPr>
        <w:t>一、</w:t>
      </w:r>
      <w:r>
        <w:rPr>
          <w:rFonts w:hint="eastAsia" w:ascii="黑体" w:hAnsi="黑体" w:eastAsia="黑体" w:cs="黑体"/>
          <w:b w:val="0"/>
          <w:bCs w:val="0"/>
          <w:lang w:eastAsia="zh-CN"/>
        </w:rPr>
        <w:t>单位</w:t>
      </w:r>
      <w:r>
        <w:rPr>
          <w:rFonts w:hint="eastAsia" w:ascii="黑体" w:hAnsi="黑体" w:eastAsia="黑体" w:cs="黑体"/>
          <w:b w:val="0"/>
          <w:bCs w:val="0"/>
        </w:rPr>
        <w:t>概况</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（一）机构组成</w:t>
      </w:r>
    </w:p>
    <w:p>
      <w:pPr>
        <w:spacing w:line="576" w:lineRule="exact"/>
        <w:ind w:firstLine="640" w:firstLineChars="200"/>
        <w:jc w:val="left"/>
        <w:rPr>
          <w:rFonts w:ascii="仿宋" w:hAnsi="仿宋" w:eastAsia="仿宋" w:cs="仿宋_GB2312"/>
          <w:sz w:val="32"/>
          <w:szCs w:val="32"/>
        </w:rPr>
      </w:pPr>
      <w:r>
        <w:rPr>
          <w:rFonts w:ascii="仿宋_GB2312" w:eastAsia="仿宋_GB2312"/>
          <w:sz w:val="32"/>
          <w:szCs w:val="32"/>
        </w:rPr>
        <w:t xml:space="preserve"> </w:t>
      </w:r>
      <w:r>
        <w:rPr>
          <w:rFonts w:hint="eastAsia" w:ascii="仿宋_GB2312" w:eastAsia="仿宋_GB2312"/>
          <w:sz w:val="32"/>
          <w:szCs w:val="32"/>
        </w:rPr>
        <w:t>茂县国有资产管理中心属于一级预算单位，下设综合办公室、业务股室。</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（二）机构职能</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茂县国有资产管理中心是代表县人民政府对监管企业依法履行出资人职责;负责指导县属国有企业改革和管理，加强全县国有企业改革和管理的宏观指导;负责对所监管企业负责人进行考核、任免并对其经营业绩进行奖惩;承担监督所监管企业国有资产保值增值指标体系，制定考核标准;负责所监管企业工资分配管理工作，制定所监管企业负责人收入分配政策并组织实施;承办县委和县政府交办的其他工作。</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（三）人员概况</w:t>
      </w:r>
    </w:p>
    <w:p>
      <w:pPr>
        <w:spacing w:line="576"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2020年单位</w:t>
      </w:r>
      <w:r>
        <w:rPr>
          <w:rFonts w:hint="eastAsia" w:ascii="仿宋_GB2312" w:hAnsi="宋体" w:eastAsia="仿宋_GB2312" w:cs="宋体"/>
          <w:kern w:val="0"/>
          <w:sz w:val="32"/>
          <w:szCs w:val="32"/>
        </w:rPr>
        <w:t>总编制</w:t>
      </w:r>
      <w:r>
        <w:rPr>
          <w:rFonts w:ascii="仿宋_GB2312" w:hAnsi="宋体" w:eastAsia="仿宋_GB2312" w:cs="宋体"/>
          <w:kern w:val="0"/>
          <w:sz w:val="32"/>
          <w:szCs w:val="32"/>
        </w:rPr>
        <w:t>6</w:t>
      </w:r>
      <w:r>
        <w:rPr>
          <w:rFonts w:hint="eastAsia" w:ascii="仿宋_GB2312" w:hAnsi="宋体" w:eastAsia="仿宋_GB2312" w:cs="宋体"/>
          <w:kern w:val="0"/>
          <w:sz w:val="32"/>
          <w:szCs w:val="32"/>
        </w:rPr>
        <w:t>名</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其中</w:t>
      </w:r>
      <w:r>
        <w:rPr>
          <w:rFonts w:ascii="仿宋_GB2312" w:hAnsi="宋体" w:eastAsia="仿宋_GB2312" w:cs="宋体"/>
          <w:kern w:val="0"/>
          <w:sz w:val="32"/>
          <w:szCs w:val="32"/>
        </w:rPr>
        <w:t>:</w:t>
      </w:r>
      <w:r>
        <w:rPr>
          <w:rFonts w:hint="eastAsia" w:ascii="仿宋_GB2312" w:hAnsi="宋体" w:eastAsia="仿宋_GB2312" w:cs="宋体"/>
          <w:kern w:val="0"/>
          <w:sz w:val="32"/>
          <w:szCs w:val="32"/>
        </w:rPr>
        <w:t>参照公务员法管理的编制</w:t>
      </w:r>
      <w:r>
        <w:rPr>
          <w:rFonts w:ascii="仿宋_GB2312" w:hAnsi="宋体" w:eastAsia="仿宋_GB2312" w:cs="宋体"/>
          <w:kern w:val="0"/>
          <w:sz w:val="32"/>
          <w:szCs w:val="32"/>
        </w:rPr>
        <w:t>6</w:t>
      </w:r>
      <w:r>
        <w:rPr>
          <w:rFonts w:hint="eastAsia" w:ascii="仿宋_GB2312" w:hAnsi="宋体" w:eastAsia="仿宋_GB2312" w:cs="宋体"/>
          <w:kern w:val="0"/>
          <w:sz w:val="32"/>
          <w:szCs w:val="32"/>
        </w:rPr>
        <w:t>名。</w:t>
      </w:r>
      <w:r>
        <w:rPr>
          <w:rFonts w:hint="eastAsia" w:ascii="仿宋_GB2312" w:hAnsi="宋体" w:eastAsia="仿宋_GB2312" w:cs="宋体"/>
          <w:kern w:val="0"/>
          <w:sz w:val="32"/>
          <w:szCs w:val="32"/>
          <w:lang w:val="en-US" w:eastAsia="zh-CN"/>
        </w:rPr>
        <w:t>2020年</w:t>
      </w:r>
      <w:r>
        <w:rPr>
          <w:rFonts w:hint="eastAsia" w:ascii="仿宋_GB2312" w:hAnsi="宋体" w:eastAsia="仿宋_GB2312" w:cs="宋体"/>
          <w:kern w:val="0"/>
          <w:sz w:val="32"/>
          <w:szCs w:val="32"/>
          <w:lang w:eastAsia="zh-CN"/>
        </w:rPr>
        <w:t>年末</w:t>
      </w:r>
      <w:r>
        <w:rPr>
          <w:rFonts w:hint="eastAsia" w:ascii="仿宋_GB2312" w:hAnsi="宋体" w:eastAsia="仿宋_GB2312" w:cs="宋体"/>
          <w:kern w:val="0"/>
          <w:sz w:val="32"/>
          <w:szCs w:val="32"/>
        </w:rPr>
        <w:t>在职人员总数</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名，其中：参照公务员法管理的人员</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2021年在职人数5名，</w:t>
      </w:r>
      <w:r>
        <w:rPr>
          <w:rFonts w:hint="eastAsia" w:ascii="仿宋_GB2312" w:hAnsi="宋体" w:eastAsia="仿宋_GB2312" w:cs="宋体"/>
          <w:kern w:val="0"/>
          <w:sz w:val="32"/>
          <w:szCs w:val="32"/>
        </w:rPr>
        <w:t>其中：参照公务员法管理的人员</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名</w:t>
      </w:r>
      <w:r>
        <w:rPr>
          <w:rFonts w:hint="eastAsia" w:ascii="仿宋_GB2312" w:hAnsi="宋体" w:eastAsia="仿宋_GB2312" w:cs="宋体"/>
          <w:kern w:val="0"/>
          <w:sz w:val="32"/>
          <w:szCs w:val="32"/>
          <w:lang w:eastAsia="zh-CN"/>
        </w:rPr>
        <w:t>。</w:t>
      </w:r>
    </w:p>
    <w:p>
      <w:pPr>
        <w:pStyle w:val="4"/>
        <w:spacing w:before="0" w:after="0" w:line="576" w:lineRule="exact"/>
        <w:ind w:firstLine="640" w:firstLineChars="200"/>
        <w:rPr>
          <w:rFonts w:ascii="仿宋" w:hAnsi="仿宋" w:eastAsia="仿宋"/>
          <w:b w:val="0"/>
          <w:bCs w:val="0"/>
        </w:rPr>
      </w:pPr>
      <w:r>
        <w:rPr>
          <w:rFonts w:ascii="黑体" w:hAnsi="黑体" w:eastAsia="黑体" w:cs="黑体"/>
          <w:b w:val="0"/>
          <w:bCs w:val="0"/>
        </w:rPr>
        <w:t>二、</w:t>
      </w:r>
      <w:r>
        <w:rPr>
          <w:rFonts w:hint="eastAsia" w:ascii="黑体" w:hAnsi="黑体" w:eastAsia="黑体" w:cs="黑体"/>
          <w:b w:val="0"/>
          <w:bCs w:val="0"/>
          <w:lang w:eastAsia="zh-CN"/>
        </w:rPr>
        <w:t>单位</w:t>
      </w:r>
      <w:r>
        <w:rPr>
          <w:rFonts w:ascii="黑体" w:hAnsi="黑体" w:eastAsia="黑体" w:cs="黑体"/>
          <w:b w:val="0"/>
          <w:bCs w:val="0"/>
        </w:rPr>
        <w:t>财政资金收支情况</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财政资金收入情况</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年本部门财政拨款收入决算总额为</w:t>
      </w:r>
      <w:r>
        <w:rPr>
          <w:rFonts w:hint="eastAsia" w:ascii="仿宋_GB2312" w:hAnsi="仿宋_GB2312" w:eastAsia="仿宋_GB2312" w:cs="仿宋_GB2312"/>
          <w:sz w:val="32"/>
          <w:szCs w:val="32"/>
          <w:lang w:val="en-US" w:eastAsia="zh-CN"/>
        </w:rPr>
        <w:t>263.58</w:t>
      </w:r>
      <w:r>
        <w:rPr>
          <w:rFonts w:hint="eastAsia" w:ascii="仿宋_GB2312" w:hAnsi="仿宋_GB2312" w:eastAsia="仿宋_GB2312" w:cs="仿宋_GB2312"/>
          <w:sz w:val="32"/>
          <w:szCs w:val="32"/>
        </w:rPr>
        <w:t>万元，其中：当年财政拨款收入</w:t>
      </w:r>
      <w:r>
        <w:rPr>
          <w:rFonts w:hint="eastAsia" w:ascii="仿宋_GB2312" w:hAnsi="仿宋_GB2312" w:eastAsia="仿宋_GB2312" w:cs="仿宋_GB2312"/>
          <w:sz w:val="32"/>
          <w:szCs w:val="32"/>
          <w:lang w:val="en-US" w:eastAsia="zh-CN"/>
        </w:rPr>
        <w:t>263.58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财政资金支出情况</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2020年支出决算数为245.81万元。其中按功能分类:</w:t>
      </w:r>
      <w:r>
        <w:rPr>
          <w:rFonts w:hint="eastAsia" w:ascii="仿宋_GB2312" w:hAnsi="仿宋" w:eastAsia="仿宋_GB2312"/>
          <w:color w:val="auto"/>
          <w:sz w:val="32"/>
          <w:szCs w:val="32"/>
          <w:lang w:eastAsia="zh-CN"/>
        </w:rPr>
        <w:t>一般公共服务</w:t>
      </w:r>
      <w:r>
        <w:rPr>
          <w:rFonts w:hint="eastAsia" w:ascii="仿宋_GB2312" w:hAnsi="仿宋" w:eastAsia="仿宋_GB2312"/>
          <w:color w:val="auto"/>
          <w:sz w:val="32"/>
          <w:szCs w:val="32"/>
        </w:rPr>
        <w:t>支出</w:t>
      </w:r>
      <w:r>
        <w:rPr>
          <w:rFonts w:hint="eastAsia" w:ascii="仿宋_GB2312" w:hAnsi="仿宋" w:eastAsia="仿宋_GB2312"/>
          <w:color w:val="auto"/>
          <w:sz w:val="32"/>
          <w:szCs w:val="32"/>
          <w:lang w:val="en-US" w:eastAsia="zh-CN"/>
        </w:rPr>
        <w:t>87.35万元</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6.45万</w:t>
      </w:r>
      <w:r>
        <w:rPr>
          <w:rFonts w:hint="eastAsia" w:ascii="仿宋_GB2312" w:hAnsi="仿宋" w:eastAsia="仿宋_GB2312"/>
          <w:color w:val="auto"/>
          <w:sz w:val="32"/>
          <w:szCs w:val="32"/>
        </w:rPr>
        <w:t>元；卫生健康支出</w:t>
      </w:r>
      <w:r>
        <w:rPr>
          <w:rFonts w:hint="eastAsia" w:ascii="仿宋_GB2312" w:hAnsi="仿宋" w:eastAsia="仿宋_GB2312"/>
          <w:color w:val="auto"/>
          <w:sz w:val="32"/>
          <w:szCs w:val="32"/>
          <w:lang w:val="en-US" w:eastAsia="zh-CN"/>
        </w:rPr>
        <w:t>3.21万</w:t>
      </w:r>
      <w:r>
        <w:rPr>
          <w:rFonts w:hint="eastAsia" w:ascii="仿宋_GB2312" w:hAnsi="仿宋" w:eastAsia="仿宋_GB2312"/>
          <w:color w:val="auto"/>
          <w:sz w:val="32"/>
          <w:szCs w:val="32"/>
        </w:rPr>
        <w:t>元；住房保障支出</w:t>
      </w:r>
      <w:r>
        <w:rPr>
          <w:rFonts w:hint="eastAsia" w:ascii="仿宋_GB2312" w:hAnsi="仿宋" w:eastAsia="仿宋_GB2312"/>
          <w:color w:val="auto"/>
          <w:sz w:val="32"/>
          <w:szCs w:val="32"/>
          <w:lang w:val="en-US" w:eastAsia="zh-CN"/>
        </w:rPr>
        <w:t>4.79万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；农林水支出</w:t>
      </w:r>
      <w:r>
        <w:rPr>
          <w:rFonts w:hint="eastAsia" w:ascii="仿宋_GB2312" w:hAnsi="仿宋" w:eastAsia="仿宋_GB2312"/>
          <w:color w:val="auto"/>
          <w:sz w:val="32"/>
          <w:szCs w:val="32"/>
          <w:lang w:val="en-US" w:eastAsia="zh-CN"/>
        </w:rPr>
        <w:t>96.86万元；金融支出47.15万元</w:t>
      </w:r>
      <w:r>
        <w:rPr>
          <w:rFonts w:hint="eastAsia" w:ascii="仿宋_GB2312" w:hAnsi="仿宋" w:eastAsia="仿宋_GB2312" w:cs="仿宋"/>
          <w:color w:val="000000"/>
          <w:spacing w:val="-5"/>
          <w:sz w:val="32"/>
          <w:lang w:val="en-US" w:eastAsia="zh-CN"/>
        </w:rPr>
        <w:t>；按支出性质分类，基本支出101.8万元，项目支出144.01万元（非基建项目）；按经济分类，工资福利支出44.37万元，商品服务支出5.35万元；</w:t>
      </w:r>
      <w:r>
        <w:rPr>
          <w:rFonts w:hint="eastAsia" w:ascii="仿宋_GB2312" w:eastAsia="仿宋_GB2312"/>
          <w:sz w:val="32"/>
          <w:szCs w:val="32"/>
          <w:lang w:eastAsia="zh-CN"/>
        </w:rPr>
        <w:t>对个人和家庭的补助支出</w:t>
      </w:r>
      <w:r>
        <w:rPr>
          <w:rFonts w:hint="eastAsia" w:ascii="仿宋_GB2312" w:eastAsia="仿宋_GB2312"/>
          <w:sz w:val="32"/>
          <w:szCs w:val="32"/>
          <w:lang w:val="en-US" w:eastAsia="zh-CN"/>
        </w:rPr>
        <w:t>52.08万</w:t>
      </w:r>
      <w:r>
        <w:rPr>
          <w:rFonts w:hint="eastAsia" w:ascii="仿宋_GB2312" w:eastAsia="仿宋_GB2312"/>
          <w:sz w:val="32"/>
          <w:szCs w:val="32"/>
          <w:lang w:eastAsia="zh-CN"/>
        </w:rPr>
        <w:t>元；</w:t>
      </w:r>
      <w:r>
        <w:rPr>
          <w:rFonts w:hint="eastAsia" w:ascii="仿宋_GB2312" w:hAnsi="仿宋" w:eastAsia="仿宋_GB2312" w:cs="仿宋"/>
          <w:color w:val="000000"/>
          <w:spacing w:val="-5"/>
          <w:sz w:val="32"/>
          <w:lang w:val="en-US" w:eastAsia="zh-CN"/>
        </w:rPr>
        <w:t>项目支出144.01万元（非基建项目）。</w:t>
      </w:r>
    </w:p>
    <w:p>
      <w:pPr>
        <w:spacing w:line="576" w:lineRule="exact"/>
        <w:ind w:firstLine="640" w:firstLineChars="200"/>
        <w:rPr>
          <w:rFonts w:hint="eastAsia" w:ascii="楷体_GB2312" w:hAnsi="楷体_GB2312" w:eastAsia="楷体_GB2312" w:cs="楷体_GB2312"/>
          <w:b/>
          <w:bCs/>
          <w:sz w:val="32"/>
          <w:szCs w:val="32"/>
          <w:lang w:eastAsia="zh-CN"/>
        </w:rPr>
      </w:pPr>
      <w:r>
        <w:rPr>
          <w:rFonts w:ascii="??_GB2312" w:eastAsia="Times New Roman"/>
          <w:b/>
          <w:sz w:val="32"/>
          <w:szCs w:val="32"/>
        </w:rPr>
        <w:t>（三）</w:t>
      </w:r>
      <w:r>
        <w:rPr>
          <w:rFonts w:hint="eastAsia" w:ascii="楷体_GB2312" w:hAnsi="楷体_GB2312" w:eastAsia="楷体_GB2312" w:cs="楷体_GB2312"/>
          <w:b/>
          <w:bCs/>
          <w:sz w:val="32"/>
          <w:szCs w:val="32"/>
          <w:lang w:eastAsia="zh-CN"/>
        </w:rPr>
        <w:t>单位财政资金收支结转情况</w:t>
      </w:r>
    </w:p>
    <w:p>
      <w:pPr>
        <w:spacing w:line="576" w:lineRule="exact"/>
        <w:ind w:firstLine="640" w:firstLineChars="200"/>
        <w:rPr>
          <w:rFonts w:hint="eastAsia"/>
          <w:lang w:val="en-US" w:eastAsia="zh-CN"/>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年我单位年末结转和结余资金</w:t>
      </w:r>
      <w:r>
        <w:rPr>
          <w:rFonts w:hint="eastAsia" w:ascii="仿宋_GB2312" w:eastAsia="仿宋_GB2312"/>
          <w:sz w:val="32"/>
          <w:szCs w:val="32"/>
          <w:lang w:val="en-US" w:eastAsia="zh-CN"/>
        </w:rPr>
        <w:t>17.77万</w:t>
      </w:r>
      <w:r>
        <w:rPr>
          <w:rFonts w:hint="eastAsia" w:ascii="仿宋_GB2312" w:eastAsia="仿宋_GB2312"/>
          <w:sz w:val="32"/>
          <w:szCs w:val="32"/>
        </w:rPr>
        <w:t>元。</w:t>
      </w:r>
    </w:p>
    <w:p>
      <w:pPr>
        <w:pStyle w:val="4"/>
        <w:spacing w:before="0" w:after="0"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pPr>
        <w:spacing w:line="576" w:lineRule="exact"/>
        <w:ind w:firstLine="643" w:firstLineChars="200"/>
        <w:outlineLvl w:val="1"/>
        <w:rPr>
          <w:rStyle w:val="38"/>
          <w:rFonts w:hint="eastAsia" w:ascii="楷体_GB2312" w:hAnsi="楷体_GB2312" w:eastAsia="楷体_GB2312" w:cs="楷体_GB2312"/>
        </w:rPr>
      </w:pPr>
      <w:r>
        <w:rPr>
          <w:rStyle w:val="38"/>
          <w:rFonts w:hint="eastAsia" w:ascii="楷体_GB2312" w:hAnsi="楷体_GB2312" w:eastAsia="楷体_GB2312" w:cs="楷体_GB2312"/>
        </w:rPr>
        <w:t>（一）部门预算管理</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一是按照 2020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spacing w:line="576"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二是按照财政部门统一部署，我中心于2020年6月17日按要求公开了本单位2020年预算。</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（二）专项预算管理</w:t>
      </w:r>
    </w:p>
    <w:p>
      <w:pPr>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w:t>
      </w:r>
    </w:p>
    <w:p>
      <w:pPr>
        <w:spacing w:line="576" w:lineRule="exact"/>
        <w:ind w:firstLine="643" w:firstLineChars="200"/>
        <w:outlineLvl w:val="1"/>
        <w:rPr>
          <w:rStyle w:val="38"/>
          <w:rFonts w:ascii="楷体_GB2312" w:hAnsi="楷体_GB2312" w:eastAsia="楷体_GB2312" w:cs="楷体_GB2312"/>
        </w:rPr>
      </w:pPr>
      <w:r>
        <w:rPr>
          <w:rStyle w:val="38"/>
          <w:rFonts w:hint="eastAsia" w:ascii="楷体_GB2312" w:hAnsi="楷体_GB2312" w:eastAsia="楷体_GB2312" w:cs="楷体_GB2312"/>
        </w:rPr>
        <w:t>（三）结果应用情况</w:t>
      </w:r>
    </w:p>
    <w:p>
      <w:pPr>
        <w:spacing w:line="580" w:lineRule="exact"/>
        <w:ind w:firstLine="620" w:firstLineChars="200"/>
        <w:rPr>
          <w:rFonts w:hint="eastAsia" w:ascii="仿宋_GB2312" w:hAnsi="仿宋" w:eastAsia="仿宋_GB2312" w:cs="仿宋"/>
          <w:color w:val="000000"/>
          <w:spacing w:val="-5"/>
          <w:sz w:val="32"/>
          <w:lang w:val="en-US" w:eastAsia="zh-CN"/>
        </w:rPr>
      </w:pPr>
      <w:r>
        <w:rPr>
          <w:rFonts w:hint="eastAsia" w:ascii="仿宋_GB2312" w:hAnsi="仿宋" w:eastAsia="仿宋_GB2312" w:cs="仿宋"/>
          <w:color w:val="000000"/>
          <w:spacing w:val="-5"/>
          <w:sz w:val="32"/>
          <w:lang w:val="en-US" w:eastAsia="zh-CN"/>
        </w:rPr>
        <w:t>我中心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部门整体绩效管理水平不断提升。</w:t>
      </w:r>
    </w:p>
    <w:p>
      <w:pPr>
        <w:numPr>
          <w:ilvl w:val="0"/>
          <w:numId w:val="2"/>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评价结论及建议</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640" w:lineRule="exact"/>
        <w:ind w:right="-1" w:firstLine="640" w:firstLineChars="200"/>
        <w:jc w:val="left"/>
        <w:rPr>
          <w:rFonts w:ascii="仿宋" w:hAnsi="仿宋" w:eastAsia="仿宋" w:cs="仿宋_GB2312"/>
          <w:sz w:val="32"/>
          <w:szCs w:val="32"/>
        </w:rPr>
      </w:pP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整体支出绩效评价自查自评结果良好，全年基本支出保证了部门的正常运行和日常工作的正常开展，达到预期绩效目标。</w:t>
      </w:r>
    </w:p>
    <w:p>
      <w:pPr>
        <w:pStyle w:val="4"/>
        <w:spacing w:before="0" w:after="0" w:line="576" w:lineRule="exact"/>
        <w:ind w:firstLine="643" w:firstLineChars="200"/>
        <w:rPr>
          <w:rFonts w:ascii="楷体_GB2312" w:hAnsi="楷体_GB2312" w:eastAsia="楷体_GB2312" w:cs="楷体_GB2312"/>
        </w:rPr>
      </w:pPr>
      <w:r>
        <w:rPr>
          <w:rFonts w:hint="eastAsia" w:ascii="楷体_GB2312" w:hAnsi="楷体_GB2312" w:eastAsia="楷体_GB2312" w:cs="楷体_GB2312"/>
        </w:rPr>
        <w:t>（二）存在问题</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针对存在的问题，我们将进一步科学设定绩效目标，加强预算执行管理。改进收支预算编制，务实预算基础工作，提高预算编制质量。</w:t>
      </w:r>
    </w:p>
    <w:p>
      <w:pPr>
        <w:pStyle w:val="2"/>
        <w:jc w:val="both"/>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jc w:val="both"/>
        <w:rPr>
          <w:rFonts w:ascii="仿宋_GB2312" w:hAnsi="仿宋_GB2312" w:eastAsia="仿宋_GB2312" w:cs="仿宋_GB2312"/>
          <w:sz w:val="32"/>
          <w:szCs w:val="32"/>
        </w:rPr>
      </w:pPr>
    </w:p>
    <w:p>
      <w:pPr>
        <w:spacing w:line="600" w:lineRule="exact"/>
        <w:jc w:val="center"/>
        <w:outlineLvl w:val="0"/>
        <w:rPr>
          <w:rStyle w:val="34"/>
          <w:rFonts w:ascii="黑体" w:hAnsi="黑体" w:eastAsia="黑体"/>
          <w:b w:val="0"/>
        </w:rPr>
      </w:pPr>
      <w:bookmarkStart w:id="59" w:name="_Toc15396618"/>
      <w:bookmarkStart w:id="60" w:name="_Toc79163635"/>
      <w:bookmarkStart w:id="61" w:name="_Toc79163885"/>
      <w:r>
        <w:rPr>
          <w:rFonts w:hint="eastAsia" w:ascii="黑体" w:hAnsi="黑体" w:eastAsia="黑体"/>
          <w:color w:val="000000"/>
          <w:sz w:val="44"/>
          <w:szCs w:val="44"/>
        </w:rPr>
        <w:t>第</w:t>
      </w:r>
      <w:r>
        <w:rPr>
          <w:rStyle w:val="34"/>
          <w:rFonts w:hint="eastAsia" w:ascii="黑体" w:hAnsi="黑体" w:eastAsia="黑体"/>
          <w:b w:val="0"/>
        </w:rPr>
        <w:t>五部分</w:t>
      </w:r>
      <w:r>
        <w:rPr>
          <w:rStyle w:val="34"/>
          <w:rFonts w:ascii="黑体" w:hAnsi="黑体" w:eastAsia="黑体"/>
          <w:b w:val="0"/>
        </w:rPr>
        <w:t xml:space="preserve"> </w:t>
      </w:r>
      <w:r>
        <w:rPr>
          <w:rStyle w:val="34"/>
          <w:rFonts w:hint="eastAsia" w:ascii="黑体" w:hAnsi="黑体" w:eastAsia="黑体"/>
          <w:b w:val="0"/>
        </w:rPr>
        <w:t>附表</w:t>
      </w:r>
      <w:bookmarkEnd w:id="56"/>
      <w:bookmarkEnd w:id="59"/>
      <w:bookmarkEnd w:id="60"/>
      <w:bookmarkEnd w:id="61"/>
    </w:p>
    <w:p>
      <w:pPr>
        <w:pStyle w:val="4"/>
        <w:rPr>
          <w:rFonts w:ascii="仿宋" w:hAnsi="仿宋" w:eastAsia="仿宋"/>
          <w:color w:val="000000"/>
        </w:rPr>
      </w:pPr>
      <w:bookmarkStart w:id="62" w:name="_Toc79163886"/>
      <w:bookmarkStart w:id="63" w:name="_Toc79163636"/>
      <w:bookmarkStart w:id="64" w:name="_Toc15396619"/>
      <w:r>
        <w:rPr>
          <w:rFonts w:hint="eastAsia" w:ascii="仿宋" w:hAnsi="仿宋" w:eastAsia="仿宋"/>
          <w:b w:val="0"/>
          <w:color w:val="000000"/>
        </w:rPr>
        <w:t>一、收</w:t>
      </w:r>
      <w:r>
        <w:rPr>
          <w:rStyle w:val="38"/>
          <w:rFonts w:hint="eastAsia" w:ascii="仿宋" w:hAnsi="仿宋" w:eastAsia="仿宋"/>
          <w:b w:val="0"/>
          <w:bCs w:val="0"/>
        </w:rPr>
        <w:t>入支出决算总表</w:t>
      </w:r>
      <w:bookmarkEnd w:id="62"/>
      <w:bookmarkEnd w:id="63"/>
      <w:bookmarkEnd w:id="64"/>
    </w:p>
    <w:p>
      <w:pPr>
        <w:pStyle w:val="4"/>
        <w:rPr>
          <w:rFonts w:ascii="仿宋" w:hAnsi="仿宋" w:eastAsia="仿宋"/>
          <w:color w:val="000000"/>
        </w:rPr>
      </w:pPr>
      <w:bookmarkStart w:id="65" w:name="_Toc15396620"/>
      <w:bookmarkStart w:id="66" w:name="_Toc79163637"/>
      <w:bookmarkStart w:id="67" w:name="_Toc79163887"/>
      <w:r>
        <w:rPr>
          <w:rFonts w:hint="eastAsia" w:ascii="仿宋" w:hAnsi="仿宋" w:eastAsia="仿宋"/>
          <w:b w:val="0"/>
          <w:color w:val="000000"/>
        </w:rPr>
        <w:t>二、收</w:t>
      </w:r>
      <w:r>
        <w:rPr>
          <w:rStyle w:val="38"/>
          <w:rFonts w:hint="eastAsia" w:ascii="仿宋" w:hAnsi="仿宋" w:eastAsia="仿宋"/>
          <w:b w:val="0"/>
          <w:bCs w:val="0"/>
        </w:rPr>
        <w:t>入决算表</w:t>
      </w:r>
      <w:bookmarkEnd w:id="65"/>
      <w:bookmarkEnd w:id="66"/>
      <w:bookmarkEnd w:id="67"/>
    </w:p>
    <w:p>
      <w:pPr>
        <w:pStyle w:val="4"/>
        <w:rPr>
          <w:rFonts w:ascii="仿宋" w:hAnsi="仿宋" w:eastAsia="仿宋"/>
          <w:color w:val="000000"/>
        </w:rPr>
      </w:pPr>
      <w:bookmarkStart w:id="68" w:name="_Toc15396621"/>
      <w:bookmarkStart w:id="69" w:name="_Toc79163638"/>
      <w:bookmarkStart w:id="70" w:name="_Toc79163888"/>
      <w:r>
        <w:rPr>
          <w:rStyle w:val="38"/>
          <w:rFonts w:hint="eastAsia" w:ascii="仿宋" w:hAnsi="仿宋" w:eastAsia="仿宋"/>
          <w:b w:val="0"/>
          <w:bCs w:val="0"/>
        </w:rPr>
        <w:t>三、</w:t>
      </w:r>
      <w:r>
        <w:rPr>
          <w:rFonts w:hint="eastAsia" w:ascii="仿宋" w:hAnsi="仿宋" w:eastAsia="仿宋"/>
          <w:b w:val="0"/>
          <w:color w:val="000000"/>
        </w:rPr>
        <w:t>支</w:t>
      </w:r>
      <w:r>
        <w:rPr>
          <w:rStyle w:val="38"/>
          <w:rFonts w:hint="eastAsia" w:ascii="仿宋" w:hAnsi="仿宋" w:eastAsia="仿宋"/>
          <w:b w:val="0"/>
          <w:bCs w:val="0"/>
        </w:rPr>
        <w:t>出决算表</w:t>
      </w:r>
      <w:bookmarkEnd w:id="68"/>
      <w:bookmarkEnd w:id="69"/>
      <w:bookmarkEnd w:id="70"/>
    </w:p>
    <w:p>
      <w:pPr>
        <w:pStyle w:val="4"/>
        <w:rPr>
          <w:rFonts w:ascii="仿宋" w:hAnsi="仿宋" w:eastAsia="仿宋"/>
          <w:b w:val="0"/>
          <w:color w:val="000000"/>
        </w:rPr>
      </w:pPr>
      <w:bookmarkStart w:id="71" w:name="_Toc15396622"/>
      <w:bookmarkStart w:id="72" w:name="_Toc79163639"/>
      <w:bookmarkStart w:id="73" w:name="_Toc79163889"/>
      <w:r>
        <w:rPr>
          <w:rStyle w:val="38"/>
          <w:rFonts w:hint="eastAsia" w:ascii="仿宋" w:hAnsi="仿宋" w:eastAsia="仿宋"/>
          <w:b w:val="0"/>
          <w:bCs w:val="0"/>
        </w:rPr>
        <w:t>四、</w:t>
      </w:r>
      <w:r>
        <w:rPr>
          <w:rFonts w:hint="eastAsia" w:ascii="仿宋" w:hAnsi="仿宋" w:eastAsia="仿宋"/>
          <w:b w:val="0"/>
          <w:color w:val="000000"/>
        </w:rPr>
        <w:t>财</w:t>
      </w:r>
      <w:r>
        <w:rPr>
          <w:rStyle w:val="38"/>
          <w:rFonts w:hint="eastAsia" w:ascii="仿宋" w:hAnsi="仿宋" w:eastAsia="仿宋"/>
          <w:b w:val="0"/>
          <w:bCs w:val="0"/>
        </w:rPr>
        <w:t>政拨款收入支出决算总表</w:t>
      </w:r>
      <w:bookmarkEnd w:id="71"/>
      <w:bookmarkEnd w:id="72"/>
      <w:bookmarkEnd w:id="73"/>
    </w:p>
    <w:p>
      <w:pPr>
        <w:pStyle w:val="4"/>
        <w:rPr>
          <w:rStyle w:val="38"/>
          <w:rFonts w:ascii="仿宋" w:hAnsi="仿宋" w:eastAsia="仿宋"/>
          <w:b w:val="0"/>
          <w:bCs w:val="0"/>
        </w:rPr>
      </w:pPr>
      <w:bookmarkStart w:id="74" w:name="_Toc79163890"/>
      <w:bookmarkStart w:id="75" w:name="_Toc15396623"/>
      <w:bookmarkStart w:id="76" w:name="_Toc79163640"/>
      <w:r>
        <w:rPr>
          <w:rStyle w:val="38"/>
          <w:rFonts w:hint="eastAsia" w:ascii="仿宋" w:hAnsi="仿宋" w:eastAsia="仿宋"/>
          <w:b w:val="0"/>
          <w:bCs w:val="0"/>
        </w:rPr>
        <w:t>五、</w:t>
      </w:r>
      <w:r>
        <w:rPr>
          <w:rFonts w:hint="eastAsia" w:ascii="仿宋" w:hAnsi="仿宋" w:eastAsia="仿宋"/>
          <w:b w:val="0"/>
          <w:color w:val="000000"/>
        </w:rPr>
        <w:t>财</w:t>
      </w:r>
      <w:r>
        <w:rPr>
          <w:rStyle w:val="38"/>
          <w:rFonts w:hint="eastAsia" w:ascii="仿宋" w:hAnsi="仿宋" w:eastAsia="仿宋"/>
          <w:b w:val="0"/>
          <w:bCs w:val="0"/>
        </w:rPr>
        <w:t>政拨款支出决算明细表</w:t>
      </w:r>
      <w:bookmarkEnd w:id="74"/>
      <w:bookmarkEnd w:id="75"/>
      <w:bookmarkEnd w:id="76"/>
      <w:bookmarkStart w:id="77" w:name="_Toc15396624"/>
    </w:p>
    <w:p>
      <w:pPr>
        <w:pStyle w:val="4"/>
        <w:rPr>
          <w:rFonts w:ascii="仿宋" w:hAnsi="仿宋" w:eastAsia="仿宋"/>
          <w:color w:val="000000"/>
        </w:rPr>
      </w:pPr>
      <w:bookmarkStart w:id="78" w:name="_Toc79163641"/>
      <w:bookmarkStart w:id="79" w:name="_Toc79163891"/>
      <w:r>
        <w:rPr>
          <w:rStyle w:val="38"/>
          <w:rFonts w:hint="eastAsia" w:ascii="仿宋" w:hAnsi="仿宋" w:eastAsia="仿宋"/>
          <w:b w:val="0"/>
          <w:bCs w:val="0"/>
        </w:rPr>
        <w:t>六、</w:t>
      </w:r>
      <w:r>
        <w:rPr>
          <w:rFonts w:hint="eastAsia" w:ascii="仿宋" w:hAnsi="仿宋" w:eastAsia="仿宋"/>
          <w:b w:val="0"/>
          <w:color w:val="000000"/>
        </w:rPr>
        <w:t>一</w:t>
      </w:r>
      <w:r>
        <w:rPr>
          <w:rStyle w:val="38"/>
          <w:rFonts w:hint="eastAsia" w:ascii="仿宋" w:hAnsi="仿宋" w:eastAsia="仿宋"/>
          <w:b w:val="0"/>
          <w:bCs w:val="0"/>
        </w:rPr>
        <w:t>般公共预算财政拨款支出决算表</w:t>
      </w:r>
      <w:bookmarkEnd w:id="77"/>
      <w:bookmarkEnd w:id="78"/>
      <w:bookmarkEnd w:id="79"/>
    </w:p>
    <w:p>
      <w:pPr>
        <w:pStyle w:val="4"/>
        <w:rPr>
          <w:rFonts w:ascii="仿宋" w:hAnsi="仿宋" w:eastAsia="仿宋"/>
          <w:color w:val="000000"/>
        </w:rPr>
      </w:pPr>
      <w:bookmarkStart w:id="80" w:name="_Toc15396625"/>
      <w:bookmarkStart w:id="81" w:name="_Toc79163642"/>
      <w:bookmarkStart w:id="82" w:name="_Toc79163892"/>
      <w:r>
        <w:rPr>
          <w:rStyle w:val="38"/>
          <w:rFonts w:hint="eastAsia" w:ascii="仿宋" w:hAnsi="仿宋" w:eastAsia="仿宋"/>
          <w:b w:val="0"/>
          <w:bCs w:val="0"/>
        </w:rPr>
        <w:t>七、</w:t>
      </w:r>
      <w:r>
        <w:rPr>
          <w:rFonts w:hint="eastAsia" w:ascii="仿宋" w:hAnsi="仿宋" w:eastAsia="仿宋"/>
          <w:b w:val="0"/>
          <w:color w:val="000000"/>
        </w:rPr>
        <w:t>一</w:t>
      </w:r>
      <w:r>
        <w:rPr>
          <w:rStyle w:val="38"/>
          <w:rFonts w:hint="eastAsia" w:ascii="仿宋" w:hAnsi="仿宋" w:eastAsia="仿宋"/>
          <w:b w:val="0"/>
          <w:bCs w:val="0"/>
        </w:rPr>
        <w:t>般公共预算财政拨款支出决算明细表</w:t>
      </w:r>
      <w:bookmarkEnd w:id="80"/>
      <w:bookmarkEnd w:id="81"/>
      <w:bookmarkEnd w:id="82"/>
    </w:p>
    <w:p>
      <w:pPr>
        <w:pStyle w:val="4"/>
        <w:rPr>
          <w:rFonts w:ascii="仿宋" w:hAnsi="仿宋" w:eastAsia="仿宋"/>
          <w:color w:val="000000"/>
        </w:rPr>
      </w:pPr>
      <w:bookmarkStart w:id="83" w:name="_Toc79163893"/>
      <w:bookmarkStart w:id="84" w:name="_Toc15396626"/>
      <w:bookmarkStart w:id="85" w:name="_Toc79163643"/>
      <w:r>
        <w:rPr>
          <w:rStyle w:val="38"/>
          <w:rFonts w:hint="eastAsia" w:ascii="仿宋" w:hAnsi="仿宋" w:eastAsia="仿宋"/>
          <w:b w:val="0"/>
          <w:bCs w:val="0"/>
        </w:rPr>
        <w:t>八、</w:t>
      </w:r>
      <w:r>
        <w:rPr>
          <w:rFonts w:hint="eastAsia" w:ascii="仿宋" w:hAnsi="仿宋" w:eastAsia="仿宋"/>
          <w:b w:val="0"/>
          <w:color w:val="000000"/>
        </w:rPr>
        <w:t>一</w:t>
      </w:r>
      <w:r>
        <w:rPr>
          <w:rStyle w:val="38"/>
          <w:rFonts w:hint="eastAsia" w:ascii="仿宋" w:hAnsi="仿宋" w:eastAsia="仿宋"/>
          <w:b w:val="0"/>
          <w:bCs w:val="0"/>
        </w:rPr>
        <w:t>般公共预算财政拨款基本支出决算表</w:t>
      </w:r>
      <w:bookmarkEnd w:id="83"/>
      <w:bookmarkEnd w:id="84"/>
      <w:bookmarkEnd w:id="85"/>
    </w:p>
    <w:p>
      <w:pPr>
        <w:pStyle w:val="4"/>
        <w:rPr>
          <w:rFonts w:ascii="仿宋" w:hAnsi="仿宋" w:eastAsia="仿宋"/>
          <w:color w:val="000000"/>
        </w:rPr>
      </w:pPr>
      <w:bookmarkStart w:id="86" w:name="_Toc15396627"/>
      <w:bookmarkStart w:id="87" w:name="_Toc79163644"/>
      <w:bookmarkStart w:id="88" w:name="_Toc79163894"/>
      <w:r>
        <w:rPr>
          <w:rStyle w:val="38"/>
          <w:rFonts w:hint="eastAsia" w:ascii="仿宋" w:hAnsi="仿宋" w:eastAsia="仿宋"/>
          <w:b w:val="0"/>
          <w:bCs w:val="0"/>
        </w:rPr>
        <w:t>九、</w:t>
      </w:r>
      <w:r>
        <w:rPr>
          <w:rFonts w:hint="eastAsia" w:ascii="仿宋" w:hAnsi="仿宋" w:eastAsia="仿宋"/>
          <w:b w:val="0"/>
          <w:color w:val="000000"/>
        </w:rPr>
        <w:t>一</w:t>
      </w:r>
      <w:r>
        <w:rPr>
          <w:rStyle w:val="38"/>
          <w:rFonts w:hint="eastAsia" w:ascii="仿宋" w:hAnsi="仿宋" w:eastAsia="仿宋"/>
          <w:b w:val="0"/>
          <w:bCs w:val="0"/>
        </w:rPr>
        <w:t>般公共预算财政拨款项目支出决算表</w:t>
      </w:r>
      <w:bookmarkEnd w:id="86"/>
      <w:bookmarkEnd w:id="87"/>
      <w:bookmarkEnd w:id="88"/>
    </w:p>
    <w:p>
      <w:pPr>
        <w:pStyle w:val="4"/>
        <w:rPr>
          <w:rFonts w:ascii="仿宋" w:hAnsi="仿宋" w:eastAsia="仿宋"/>
          <w:color w:val="000000"/>
        </w:rPr>
      </w:pPr>
      <w:bookmarkStart w:id="89" w:name="_Toc15396628"/>
      <w:bookmarkStart w:id="90" w:name="_Toc79163645"/>
      <w:bookmarkStart w:id="91" w:name="_Toc79163895"/>
      <w:r>
        <w:rPr>
          <w:rStyle w:val="38"/>
          <w:rFonts w:hint="eastAsia" w:ascii="仿宋" w:hAnsi="仿宋" w:eastAsia="仿宋"/>
          <w:b w:val="0"/>
          <w:bCs w:val="0"/>
        </w:rPr>
        <w:t>十、</w:t>
      </w:r>
      <w:r>
        <w:rPr>
          <w:rFonts w:hint="eastAsia" w:ascii="仿宋" w:hAnsi="仿宋" w:eastAsia="仿宋"/>
          <w:b w:val="0"/>
          <w:color w:val="000000"/>
        </w:rPr>
        <w:t>一</w:t>
      </w:r>
      <w:r>
        <w:rPr>
          <w:rStyle w:val="38"/>
          <w:rFonts w:hint="eastAsia" w:ascii="仿宋" w:hAnsi="仿宋" w:eastAsia="仿宋"/>
          <w:b w:val="0"/>
          <w:bCs w:val="0"/>
        </w:rPr>
        <w:t>般公共预算财政拨款“三公”经费支出决算表</w:t>
      </w:r>
      <w:bookmarkEnd w:id="89"/>
      <w:bookmarkEnd w:id="90"/>
      <w:bookmarkEnd w:id="91"/>
    </w:p>
    <w:p>
      <w:pPr>
        <w:pStyle w:val="4"/>
        <w:rPr>
          <w:rFonts w:ascii="仿宋" w:hAnsi="仿宋" w:eastAsia="仿宋"/>
          <w:color w:val="000000"/>
        </w:rPr>
      </w:pPr>
      <w:bookmarkStart w:id="92" w:name="_Toc15396629"/>
      <w:bookmarkStart w:id="93" w:name="_Toc79163646"/>
      <w:bookmarkStart w:id="94" w:name="_Toc79163896"/>
      <w:r>
        <w:rPr>
          <w:rStyle w:val="38"/>
          <w:rFonts w:hint="eastAsia" w:ascii="仿宋" w:hAnsi="仿宋" w:eastAsia="仿宋"/>
          <w:b w:val="0"/>
          <w:bCs w:val="0"/>
        </w:rPr>
        <w:t>十一、</w:t>
      </w:r>
      <w:r>
        <w:rPr>
          <w:rFonts w:hint="eastAsia" w:ascii="仿宋" w:hAnsi="仿宋" w:eastAsia="仿宋"/>
          <w:b w:val="0"/>
          <w:color w:val="000000"/>
        </w:rPr>
        <w:t>政</w:t>
      </w:r>
      <w:r>
        <w:rPr>
          <w:rStyle w:val="38"/>
          <w:rFonts w:hint="eastAsia" w:ascii="仿宋" w:hAnsi="仿宋" w:eastAsia="仿宋"/>
          <w:b w:val="0"/>
          <w:bCs w:val="0"/>
        </w:rPr>
        <w:t>府性基金预算财政拨款收入支出决算表</w:t>
      </w:r>
      <w:bookmarkEnd w:id="92"/>
      <w:bookmarkEnd w:id="93"/>
      <w:bookmarkEnd w:id="94"/>
    </w:p>
    <w:p>
      <w:pPr>
        <w:pStyle w:val="4"/>
        <w:rPr>
          <w:rFonts w:ascii="仿宋" w:hAnsi="仿宋" w:eastAsia="仿宋"/>
          <w:color w:val="000000"/>
        </w:rPr>
      </w:pPr>
      <w:bookmarkStart w:id="95" w:name="_Toc15396630"/>
      <w:bookmarkStart w:id="96" w:name="_Toc79163647"/>
      <w:bookmarkStart w:id="97" w:name="_Toc79163897"/>
      <w:r>
        <w:rPr>
          <w:rStyle w:val="38"/>
          <w:rFonts w:hint="eastAsia" w:ascii="仿宋" w:hAnsi="仿宋" w:eastAsia="仿宋"/>
          <w:b w:val="0"/>
          <w:bCs w:val="0"/>
        </w:rPr>
        <w:t>十二、</w:t>
      </w:r>
      <w:r>
        <w:rPr>
          <w:rFonts w:hint="eastAsia" w:ascii="仿宋" w:hAnsi="仿宋" w:eastAsia="仿宋"/>
          <w:b w:val="0"/>
          <w:color w:val="000000"/>
        </w:rPr>
        <w:t>政</w:t>
      </w:r>
      <w:r>
        <w:rPr>
          <w:rStyle w:val="38"/>
          <w:rFonts w:hint="eastAsia" w:ascii="仿宋" w:hAnsi="仿宋" w:eastAsia="仿宋"/>
          <w:b w:val="0"/>
          <w:bCs w:val="0"/>
        </w:rPr>
        <w:t>府性基金预算财政拨款“三公”经费支出决算表</w:t>
      </w:r>
      <w:bookmarkEnd w:id="95"/>
      <w:bookmarkEnd w:id="96"/>
      <w:bookmarkEnd w:id="97"/>
    </w:p>
    <w:p>
      <w:pPr>
        <w:pStyle w:val="4"/>
        <w:rPr>
          <w:rStyle w:val="38"/>
          <w:rFonts w:ascii="仿宋" w:hAnsi="仿宋" w:eastAsia="仿宋"/>
          <w:b w:val="0"/>
          <w:bCs w:val="0"/>
        </w:rPr>
      </w:pPr>
      <w:bookmarkStart w:id="98" w:name="_Toc15396631"/>
      <w:bookmarkStart w:id="99" w:name="_Toc79163648"/>
      <w:bookmarkStart w:id="100" w:name="_Toc79163898"/>
      <w:r>
        <w:rPr>
          <w:rStyle w:val="38"/>
          <w:rFonts w:hint="eastAsia" w:ascii="仿宋" w:hAnsi="仿宋" w:eastAsia="仿宋"/>
          <w:b w:val="0"/>
          <w:bCs w:val="0"/>
        </w:rPr>
        <w:t>十三、</w:t>
      </w:r>
      <w:r>
        <w:rPr>
          <w:rFonts w:hint="eastAsia" w:ascii="仿宋" w:hAnsi="仿宋" w:eastAsia="仿宋"/>
          <w:b w:val="0"/>
          <w:color w:val="000000"/>
        </w:rPr>
        <w:t>国</w:t>
      </w:r>
      <w:r>
        <w:rPr>
          <w:rStyle w:val="38"/>
          <w:rFonts w:hint="eastAsia" w:ascii="仿宋" w:hAnsi="仿宋" w:eastAsia="仿宋"/>
          <w:b w:val="0"/>
          <w:bCs w:val="0"/>
        </w:rPr>
        <w:t>有资本经营预算财政拨款支出决算表</w:t>
      </w:r>
      <w:bookmarkEnd w:id="98"/>
      <w:bookmarkEnd w:id="99"/>
      <w:bookmarkEnd w:id="100"/>
    </w:p>
    <w:p>
      <w:pPr>
        <w:pStyle w:val="4"/>
        <w:rPr>
          <w:rStyle w:val="38"/>
          <w:rFonts w:ascii="仿宋" w:hAnsi="仿宋" w:eastAsia="仿宋"/>
          <w:b w:val="0"/>
          <w:bCs w:val="0"/>
        </w:rPr>
      </w:pPr>
      <w:bookmarkStart w:id="101" w:name="_Toc79163649"/>
      <w:bookmarkStart w:id="102" w:name="_Toc79163899"/>
      <w:r>
        <w:rPr>
          <w:rStyle w:val="38"/>
          <w:rFonts w:hint="eastAsia" w:ascii="仿宋" w:hAnsi="仿宋" w:eastAsia="仿宋"/>
          <w:b w:val="0"/>
          <w:bCs w:val="0"/>
        </w:rPr>
        <w:t>十四、国有资本经营预算财政拨款支出决算表</w:t>
      </w:r>
      <w:bookmarkEnd w:id="101"/>
      <w:bookmarkEnd w:id="102"/>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4B5D28C"/>
    <w:multiLevelType w:val="singleLevel"/>
    <w:tmpl w:val="24B5D28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9311E"/>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2678F0"/>
    <w:rsid w:val="01816EE6"/>
    <w:rsid w:val="01AD1AC6"/>
    <w:rsid w:val="01CE0041"/>
    <w:rsid w:val="01EE395F"/>
    <w:rsid w:val="022217CB"/>
    <w:rsid w:val="02A2459D"/>
    <w:rsid w:val="03A17861"/>
    <w:rsid w:val="04C1747B"/>
    <w:rsid w:val="04DA7F92"/>
    <w:rsid w:val="06306019"/>
    <w:rsid w:val="076773FF"/>
    <w:rsid w:val="07AD365D"/>
    <w:rsid w:val="0840297B"/>
    <w:rsid w:val="084649D3"/>
    <w:rsid w:val="08E17C09"/>
    <w:rsid w:val="08E60C84"/>
    <w:rsid w:val="09D812BE"/>
    <w:rsid w:val="0A2032A3"/>
    <w:rsid w:val="0B8D6B6E"/>
    <w:rsid w:val="0B933960"/>
    <w:rsid w:val="0CE56992"/>
    <w:rsid w:val="0D705350"/>
    <w:rsid w:val="0DF25E71"/>
    <w:rsid w:val="0E565A7E"/>
    <w:rsid w:val="0FF31A2F"/>
    <w:rsid w:val="102307D0"/>
    <w:rsid w:val="107A23EA"/>
    <w:rsid w:val="108443B5"/>
    <w:rsid w:val="10C055FF"/>
    <w:rsid w:val="110341BC"/>
    <w:rsid w:val="11571D04"/>
    <w:rsid w:val="117D5F8F"/>
    <w:rsid w:val="118107EC"/>
    <w:rsid w:val="119672CE"/>
    <w:rsid w:val="11FC5F65"/>
    <w:rsid w:val="12797754"/>
    <w:rsid w:val="1291398B"/>
    <w:rsid w:val="12914F30"/>
    <w:rsid w:val="12946A24"/>
    <w:rsid w:val="12F569F8"/>
    <w:rsid w:val="132C7D60"/>
    <w:rsid w:val="13D57930"/>
    <w:rsid w:val="13F25B0D"/>
    <w:rsid w:val="160B3CD3"/>
    <w:rsid w:val="16334E4F"/>
    <w:rsid w:val="16483557"/>
    <w:rsid w:val="16BB723D"/>
    <w:rsid w:val="17AC1947"/>
    <w:rsid w:val="17E04CCB"/>
    <w:rsid w:val="1843532C"/>
    <w:rsid w:val="18A076FA"/>
    <w:rsid w:val="18D00B64"/>
    <w:rsid w:val="190B49DF"/>
    <w:rsid w:val="195054A1"/>
    <w:rsid w:val="19670E05"/>
    <w:rsid w:val="19C060AD"/>
    <w:rsid w:val="1AE449B5"/>
    <w:rsid w:val="1BE36798"/>
    <w:rsid w:val="1C1B5510"/>
    <w:rsid w:val="1C6242FF"/>
    <w:rsid w:val="1C887554"/>
    <w:rsid w:val="1CB3689D"/>
    <w:rsid w:val="1D065066"/>
    <w:rsid w:val="1D155CEE"/>
    <w:rsid w:val="1DE12ED8"/>
    <w:rsid w:val="1E531096"/>
    <w:rsid w:val="1EC8552F"/>
    <w:rsid w:val="1F854D1B"/>
    <w:rsid w:val="1F9473ED"/>
    <w:rsid w:val="1FA37E09"/>
    <w:rsid w:val="1FE360FC"/>
    <w:rsid w:val="208A384D"/>
    <w:rsid w:val="20AF55A4"/>
    <w:rsid w:val="20D71C3A"/>
    <w:rsid w:val="214828C4"/>
    <w:rsid w:val="215104C3"/>
    <w:rsid w:val="21893B82"/>
    <w:rsid w:val="227839A9"/>
    <w:rsid w:val="22E32CB1"/>
    <w:rsid w:val="23C63687"/>
    <w:rsid w:val="23D754F4"/>
    <w:rsid w:val="23EA4B49"/>
    <w:rsid w:val="240371BF"/>
    <w:rsid w:val="24210846"/>
    <w:rsid w:val="248C632A"/>
    <w:rsid w:val="26191850"/>
    <w:rsid w:val="264552AC"/>
    <w:rsid w:val="2796365D"/>
    <w:rsid w:val="27E44670"/>
    <w:rsid w:val="283F0938"/>
    <w:rsid w:val="28C16026"/>
    <w:rsid w:val="28D5107A"/>
    <w:rsid w:val="291D14B0"/>
    <w:rsid w:val="295B36E0"/>
    <w:rsid w:val="29FD04D3"/>
    <w:rsid w:val="2A0D4D66"/>
    <w:rsid w:val="2AB60F94"/>
    <w:rsid w:val="2AD54CEF"/>
    <w:rsid w:val="2AE45A08"/>
    <w:rsid w:val="2B194AEA"/>
    <w:rsid w:val="2B272AF6"/>
    <w:rsid w:val="2B600223"/>
    <w:rsid w:val="2B8303B9"/>
    <w:rsid w:val="2BD9641F"/>
    <w:rsid w:val="2C9742BB"/>
    <w:rsid w:val="2D804E3C"/>
    <w:rsid w:val="2D8C7A6C"/>
    <w:rsid w:val="3013576F"/>
    <w:rsid w:val="304118B3"/>
    <w:rsid w:val="30C07911"/>
    <w:rsid w:val="30ED1A38"/>
    <w:rsid w:val="319F7F4E"/>
    <w:rsid w:val="32524AE0"/>
    <w:rsid w:val="32871257"/>
    <w:rsid w:val="32A435E6"/>
    <w:rsid w:val="32D86E24"/>
    <w:rsid w:val="33063967"/>
    <w:rsid w:val="3328583C"/>
    <w:rsid w:val="336924F9"/>
    <w:rsid w:val="339B1B1D"/>
    <w:rsid w:val="34063ED8"/>
    <w:rsid w:val="341B766D"/>
    <w:rsid w:val="34202FEC"/>
    <w:rsid w:val="351A54EA"/>
    <w:rsid w:val="36887044"/>
    <w:rsid w:val="36D85636"/>
    <w:rsid w:val="3816626A"/>
    <w:rsid w:val="382A3446"/>
    <w:rsid w:val="389B117B"/>
    <w:rsid w:val="38B424F1"/>
    <w:rsid w:val="39721065"/>
    <w:rsid w:val="39D377A6"/>
    <w:rsid w:val="3A28556E"/>
    <w:rsid w:val="3A783506"/>
    <w:rsid w:val="3AD5205D"/>
    <w:rsid w:val="3BE473F4"/>
    <w:rsid w:val="3CD60D20"/>
    <w:rsid w:val="3CFA279C"/>
    <w:rsid w:val="3D0460AB"/>
    <w:rsid w:val="3F0C0B04"/>
    <w:rsid w:val="3F5451C7"/>
    <w:rsid w:val="40AE73AF"/>
    <w:rsid w:val="412A0CC1"/>
    <w:rsid w:val="41462AC9"/>
    <w:rsid w:val="41ED79C3"/>
    <w:rsid w:val="41FC087D"/>
    <w:rsid w:val="42135BBD"/>
    <w:rsid w:val="42416A88"/>
    <w:rsid w:val="443A2F6C"/>
    <w:rsid w:val="459B5216"/>
    <w:rsid w:val="45FA4C51"/>
    <w:rsid w:val="46536F4B"/>
    <w:rsid w:val="46E432B0"/>
    <w:rsid w:val="485D13F3"/>
    <w:rsid w:val="48A15CA6"/>
    <w:rsid w:val="48E7414F"/>
    <w:rsid w:val="4A0E74BC"/>
    <w:rsid w:val="4A3D6912"/>
    <w:rsid w:val="4AB962A9"/>
    <w:rsid w:val="4B165C0B"/>
    <w:rsid w:val="4BAE4424"/>
    <w:rsid w:val="4C98575F"/>
    <w:rsid w:val="4DFA3A79"/>
    <w:rsid w:val="4EA90F2D"/>
    <w:rsid w:val="4ECE2238"/>
    <w:rsid w:val="4F0923E0"/>
    <w:rsid w:val="50C106B1"/>
    <w:rsid w:val="510C6D7E"/>
    <w:rsid w:val="52043016"/>
    <w:rsid w:val="52477AA5"/>
    <w:rsid w:val="52AF537A"/>
    <w:rsid w:val="53E755F7"/>
    <w:rsid w:val="5484364B"/>
    <w:rsid w:val="54D87CCD"/>
    <w:rsid w:val="551F63E9"/>
    <w:rsid w:val="568A446C"/>
    <w:rsid w:val="576E2EAA"/>
    <w:rsid w:val="57FA1E99"/>
    <w:rsid w:val="580269B9"/>
    <w:rsid w:val="592D6B05"/>
    <w:rsid w:val="5B092C41"/>
    <w:rsid w:val="5C9F6D90"/>
    <w:rsid w:val="5CE66151"/>
    <w:rsid w:val="5CF17E04"/>
    <w:rsid w:val="5D621AF4"/>
    <w:rsid w:val="5D6479DA"/>
    <w:rsid w:val="5E6E5F87"/>
    <w:rsid w:val="5E736B16"/>
    <w:rsid w:val="5ED871B1"/>
    <w:rsid w:val="5F5E0403"/>
    <w:rsid w:val="5F8462A0"/>
    <w:rsid w:val="60592A2D"/>
    <w:rsid w:val="60D37E86"/>
    <w:rsid w:val="632337DB"/>
    <w:rsid w:val="63C405BC"/>
    <w:rsid w:val="64FC093A"/>
    <w:rsid w:val="65062F47"/>
    <w:rsid w:val="663E2382"/>
    <w:rsid w:val="66722C18"/>
    <w:rsid w:val="672E0D91"/>
    <w:rsid w:val="676F5CAF"/>
    <w:rsid w:val="69616FB6"/>
    <w:rsid w:val="697F600D"/>
    <w:rsid w:val="69E1202B"/>
    <w:rsid w:val="6A7729D8"/>
    <w:rsid w:val="6AC8340F"/>
    <w:rsid w:val="6B9F59B6"/>
    <w:rsid w:val="6C4A05C8"/>
    <w:rsid w:val="6C5F350C"/>
    <w:rsid w:val="6D017E1C"/>
    <w:rsid w:val="6F5C4006"/>
    <w:rsid w:val="6FB04173"/>
    <w:rsid w:val="707C0452"/>
    <w:rsid w:val="7186447B"/>
    <w:rsid w:val="71AA6174"/>
    <w:rsid w:val="72734D90"/>
    <w:rsid w:val="73D93FAE"/>
    <w:rsid w:val="74053257"/>
    <w:rsid w:val="743301AD"/>
    <w:rsid w:val="755A1BDF"/>
    <w:rsid w:val="75AC42E1"/>
    <w:rsid w:val="76060D04"/>
    <w:rsid w:val="761E6A7A"/>
    <w:rsid w:val="769F3555"/>
    <w:rsid w:val="76B140C6"/>
    <w:rsid w:val="78FF04AB"/>
    <w:rsid w:val="795E6FBB"/>
    <w:rsid w:val="797C5A53"/>
    <w:rsid w:val="7B10539D"/>
    <w:rsid w:val="7CC17977"/>
    <w:rsid w:val="7DF37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Body Text"/>
    <w:basedOn w:val="1"/>
    <w:link w:val="32"/>
    <w:qFormat/>
    <w:uiPriority w:val="99"/>
    <w:pPr>
      <w:spacing w:beforeLines="30"/>
    </w:pPr>
    <w:rPr>
      <w:rFonts w:ascii="仿宋_GB2312" w:eastAsia="仿宋_GB2312"/>
      <w:kern w:val="0"/>
      <w:sz w:val="24"/>
      <w:szCs w:val="20"/>
      <w:lang w:val="zh-CN" w:eastAsia="zh-CN"/>
    </w:rPr>
  </w:style>
  <w:style w:type="paragraph" w:styleId="8">
    <w:name w:val="Body Text Indent"/>
    <w:basedOn w:val="1"/>
    <w:qFormat/>
    <w:uiPriority w:val="0"/>
    <w:pPr>
      <w:tabs>
        <w:tab w:val="left" w:pos="960"/>
      </w:tabs>
      <w:spacing w:line="540" w:lineRule="exact"/>
      <w:ind w:firstLine="5440" w:firstLineChars="1700"/>
    </w:pPr>
    <w:rPr>
      <w:sz w:val="32"/>
      <w:szCs w:val="32"/>
    </w:r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5"/>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4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toc 6"/>
    <w:basedOn w:val="1"/>
    <w:next w:val="1"/>
    <w:unhideWhenUsed/>
    <w:qFormat/>
    <w:uiPriority w:val="39"/>
    <w:pPr>
      <w:ind w:left="1050"/>
      <w:jc w:val="left"/>
    </w:pPr>
    <w:rPr>
      <w:rFonts w:ascii="等线" w:eastAsia="等线"/>
      <w:sz w:val="18"/>
      <w:szCs w:val="18"/>
    </w:rPr>
  </w:style>
  <w:style w:type="paragraph" w:styleId="18">
    <w:name w:val="toc 2"/>
    <w:basedOn w:val="1"/>
    <w:next w:val="1"/>
    <w:unhideWhenUsed/>
    <w:qFormat/>
    <w:uiPriority w:val="39"/>
    <w:pPr>
      <w:ind w:left="210"/>
      <w:jc w:val="left"/>
    </w:pPr>
    <w:rPr>
      <w:rFonts w:ascii="等线" w:eastAsia="等线"/>
      <w:smallCaps/>
      <w:sz w:val="20"/>
      <w:szCs w:val="20"/>
    </w:rPr>
  </w:style>
  <w:style w:type="paragraph" w:styleId="19">
    <w:name w:val="toc 9"/>
    <w:basedOn w:val="1"/>
    <w:next w:val="1"/>
    <w:unhideWhenUsed/>
    <w:qFormat/>
    <w:uiPriority w:val="39"/>
    <w:pPr>
      <w:ind w:left="1680"/>
      <w:jc w:val="left"/>
    </w:pPr>
    <w:rPr>
      <w:rFonts w:ascii="等线" w:eastAsia="等线"/>
      <w:sz w:val="18"/>
      <w:szCs w:val="18"/>
    </w:rPr>
  </w:style>
  <w:style w:type="paragraph" w:styleId="20">
    <w:name w:val="Body Text First Indent 2"/>
    <w:basedOn w:val="8"/>
    <w:qFormat/>
    <w:uiPriority w:val="0"/>
    <w:pPr>
      <w:ind w:firstLine="420" w:firstLineChars="200"/>
    </w:pPr>
  </w:style>
  <w:style w:type="character" w:styleId="23">
    <w:name w:val="Strong"/>
    <w:basedOn w:val="22"/>
    <w:qFormat/>
    <w:uiPriority w:val="99"/>
    <w:rPr>
      <w:rFonts w:cs="Times New Roman"/>
      <w:b/>
    </w:rPr>
  </w:style>
  <w:style w:type="character" w:styleId="24">
    <w:name w:val="page number"/>
    <w:basedOn w:val="22"/>
    <w:qFormat/>
    <w:uiPriority w:val="0"/>
  </w:style>
  <w:style w:type="character" w:styleId="25">
    <w:name w:val="Hyperlink"/>
    <w:basedOn w:val="22"/>
    <w:unhideWhenUsed/>
    <w:qFormat/>
    <w:uiPriority w:val="99"/>
    <w:rPr>
      <w:rFonts w:cs="Times New Roman"/>
      <w:color w:val="0000FF"/>
      <w:u w:val="single"/>
    </w:rPr>
  </w:style>
  <w:style w:type="paragraph" w:customStyle="1" w:styleId="26">
    <w:name w:val="列表段落1"/>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TOC Heading"/>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1">
    <w:name w:val="标题 3 Char"/>
    <w:basedOn w:val="22"/>
    <w:link w:val="5"/>
    <w:qFormat/>
    <w:locked/>
    <w:uiPriority w:val="9"/>
    <w:rPr>
      <w:rFonts w:ascii="Times New Roman" w:hAnsi="Times New Roman" w:cs="Times New Roman"/>
      <w:b/>
      <w:bCs/>
      <w:kern w:val="2"/>
      <w:sz w:val="32"/>
      <w:szCs w:val="32"/>
    </w:rPr>
  </w:style>
  <w:style w:type="character" w:customStyle="1" w:styleId="32">
    <w:name w:val="正文文本 Char"/>
    <w:link w:val="7"/>
    <w:qFormat/>
    <w:locked/>
    <w:uiPriority w:val="99"/>
    <w:rPr>
      <w:rFonts w:ascii="仿宋_GB2312" w:hAnsi="Times New Roman" w:eastAsia="仿宋_GB2312"/>
      <w:sz w:val="24"/>
    </w:rPr>
  </w:style>
  <w:style w:type="character" w:customStyle="1" w:styleId="33">
    <w:name w:val="页脚 Char"/>
    <w:link w:val="13"/>
    <w:qFormat/>
    <w:locked/>
    <w:uiPriority w:val="99"/>
    <w:rPr>
      <w:sz w:val="18"/>
    </w:rPr>
  </w:style>
  <w:style w:type="character" w:customStyle="1" w:styleId="34">
    <w:name w:val="标题 1 Char"/>
    <w:basedOn w:val="22"/>
    <w:link w:val="3"/>
    <w:qFormat/>
    <w:locked/>
    <w:uiPriority w:val="9"/>
    <w:rPr>
      <w:rFonts w:ascii="Times New Roman" w:hAnsi="Times New Roman" w:cs="Times New Roman"/>
      <w:b/>
      <w:bCs/>
      <w:kern w:val="44"/>
      <w:sz w:val="44"/>
      <w:szCs w:val="44"/>
    </w:rPr>
  </w:style>
  <w:style w:type="character" w:customStyle="1" w:styleId="35">
    <w:name w:val="批注框文本 Char"/>
    <w:basedOn w:val="22"/>
    <w:link w:val="12"/>
    <w:semiHidden/>
    <w:qFormat/>
    <w:locked/>
    <w:uiPriority w:val="99"/>
    <w:rPr>
      <w:rFonts w:ascii="Times New Roman" w:hAnsi="Times New Roman" w:cs="Times New Roman"/>
      <w:kern w:val="2"/>
      <w:sz w:val="18"/>
      <w:szCs w:val="18"/>
    </w:rPr>
  </w:style>
  <w:style w:type="character" w:customStyle="1" w:styleId="36">
    <w:name w:val="Footer Char"/>
    <w:basedOn w:val="22"/>
    <w:semiHidden/>
    <w:qFormat/>
    <w:uiPriority w:val="99"/>
    <w:rPr>
      <w:rFonts w:ascii="Times New Roman" w:hAnsi="Times New Roman" w:cs="Times New Roman"/>
      <w:sz w:val="18"/>
      <w:szCs w:val="18"/>
    </w:rPr>
  </w:style>
  <w:style w:type="character" w:customStyle="1" w:styleId="37">
    <w:name w:val="Body Text Char"/>
    <w:basedOn w:val="22"/>
    <w:semiHidden/>
    <w:qFormat/>
    <w:uiPriority w:val="99"/>
    <w:rPr>
      <w:rFonts w:ascii="Times New Roman" w:hAnsi="Times New Roman" w:cs="Times New Roman"/>
      <w:sz w:val="24"/>
      <w:szCs w:val="24"/>
    </w:rPr>
  </w:style>
  <w:style w:type="character" w:customStyle="1" w:styleId="38">
    <w:name w:val="标题 2 Char"/>
    <w:basedOn w:val="22"/>
    <w:link w:val="4"/>
    <w:qFormat/>
    <w:locked/>
    <w:uiPriority w:val="9"/>
    <w:rPr>
      <w:rFonts w:ascii="Cambria" w:hAnsi="Cambria" w:eastAsia="宋体" w:cs="Times New Roman"/>
      <w:b/>
      <w:bCs/>
      <w:kern w:val="2"/>
      <w:sz w:val="32"/>
      <w:szCs w:val="32"/>
    </w:rPr>
  </w:style>
  <w:style w:type="character" w:customStyle="1" w:styleId="39">
    <w:name w:val="Header Char"/>
    <w:basedOn w:val="22"/>
    <w:semiHidden/>
    <w:qFormat/>
    <w:uiPriority w:val="99"/>
    <w:rPr>
      <w:rFonts w:ascii="Times New Roman" w:hAnsi="Times New Roman" w:cs="Times New Roman"/>
      <w:sz w:val="18"/>
      <w:szCs w:val="18"/>
    </w:rPr>
  </w:style>
  <w:style w:type="character" w:customStyle="1" w:styleId="40">
    <w:name w:val="页眉 Char"/>
    <w:link w:val="14"/>
    <w:semiHidden/>
    <w:qFormat/>
    <w:locked/>
    <w:uiPriority w:val="99"/>
    <w:rPr>
      <w:sz w:val="18"/>
    </w:rPr>
  </w:style>
  <w:style w:type="character" w:customStyle="1" w:styleId="41">
    <w:name w:val="Heading 2 Char"/>
    <w:basedOn w:val="22"/>
    <w:link w:val="4"/>
    <w:qFormat/>
    <w:locked/>
    <w:uiPriority w:val="9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19&#24180;&#37096;&#38376;&#20915;&#31639;&#32534;&#21046;&#35828;&#26126;&#22269;&#36164;&#20013;&#24515;&#20844;&#24320;&#35828;&#26126;.doc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manualLayout>
          <c:layoutTarget val="inner"/>
          <c:xMode val="edge"/>
          <c:yMode val="edge"/>
          <c:x val="0.120563782751138"/>
          <c:y val="0.203083641803001"/>
          <c:w val="0.875557742782152"/>
          <c:h val="0.57116889674324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107.49</c:v>
                </c:pt>
                <c:pt idx="1">
                  <c:v>107.49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263.58</c:v>
                </c:pt>
                <c:pt idx="1">
                  <c:v>245.81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16035072"/>
        <c:axId val="316036608"/>
      </c:barChart>
      <c:catAx>
        <c:axId val="3160350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036608"/>
        <c:crosses val="autoZero"/>
        <c:auto val="1"/>
        <c:lblAlgn val="ctr"/>
        <c:lblOffset val="100"/>
        <c:noMultiLvlLbl val="0"/>
      </c:catAx>
      <c:valAx>
        <c:axId val="3160366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03507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6975585432028"/>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454929407505732"/>
          <c:y val="0.184734708267231"/>
          <c:w val="0.554482925063352"/>
          <c:h val="0.809977084435043"/>
        </c:manualLayout>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elete val="1"/>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General</c:formatCode>
                <c:ptCount val="7"/>
                <c:pt idx="0">
                  <c:v>124.09</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2020</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年支出</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manualLayout>
          <c:layoutTarget val="inner"/>
          <c:xMode val="edge"/>
          <c:yMode val="edge"/>
          <c:x val="0.205841869094279"/>
          <c:y val="0.155284216335541"/>
          <c:w val="0.52437106918239"/>
          <c:h val="0.771990740740741"/>
        </c:manualLayout>
      </c:layout>
      <c:pieChart>
        <c:varyColors val="1"/>
        <c:ser>
          <c:idx val="0"/>
          <c:order val="0"/>
          <c:tx>
            <c:strRef>
              <c:f>'[图表 在 2019年部门决算编制说明国资中心公开说明.docx]Sheet1'!$B$3</c:f>
              <c:strCache>
                <c:ptCount val="1"/>
                <c:pt idx="0">
                  <c:v>2019年支出</c:v>
                </c:pt>
              </c:strCache>
            </c:strRef>
          </c:tx>
          <c:explosion val="0"/>
          <c:dPt>
            <c:idx val="0"/>
            <c:bubble3D val="0"/>
            <c:explosion val="0"/>
          </c:dPt>
          <c:dPt>
            <c:idx val="1"/>
            <c:bubble3D val="0"/>
            <c:explosion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a:t>
                    </a:r>
                  </a:p>
                  <a:p>
                    <a:pPr defTabSz="914400">
                      <a:defRPr lang="zh-CN" sz="1000" b="0" i="0" u="none" strike="noStrike" kern="1200" baseline="0">
                        <a:solidFill>
                          <a:schemeClr val="tx1"/>
                        </a:solidFill>
                        <a:latin typeface="+mn-lt"/>
                        <a:ea typeface="+mn-ea"/>
                        <a:cs typeface="+mn-cs"/>
                      </a:defRPr>
                    </a:pPr>
                    <a:r>
                      <a:rPr lang="en-US" altLang="zh-CN"/>
                      <a:t>58.59</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547157329385684"/>
                  <c:y val="0.1985326701646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a:t>
                    </a:r>
                  </a:p>
                  <a:p>
                    <a:pPr defTabSz="914400">
                      <a:defRPr lang="zh-CN" sz="1000" b="0" i="0" u="none" strike="noStrike" kern="1200" baseline="0">
                        <a:solidFill>
                          <a:schemeClr val="tx1"/>
                        </a:solidFill>
                        <a:latin typeface="+mn-lt"/>
                        <a:ea typeface="+mn-ea"/>
                        <a:cs typeface="+mn-cs"/>
                      </a:defRPr>
                    </a:pPr>
                    <a:r>
                      <a:rPr lang="en-US" altLang="zh-CN"/>
                      <a:t>41.41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[01da15ca1]Sheet1!$C$2:$D$2</c:f>
              <c:strCache>
                <c:ptCount val="2"/>
                <c:pt idx="0">
                  <c:v>基本支出</c:v>
                </c:pt>
                <c:pt idx="1">
                  <c:v>项目支出</c:v>
                </c:pt>
              </c:strCache>
            </c:strRef>
          </c:cat>
          <c:val>
            <c:numRef>
              <c:f>[01da15ca1]Sheet1!$C$3:$D$3</c:f>
              <c:numCache>
                <c:formatCode>General</c:formatCode>
                <c:ptCount val="2"/>
                <c:pt idx="0">
                  <c:v>97.49</c:v>
                </c:pt>
                <c:pt idx="1">
                  <c:v>10</c:v>
                </c:pt>
              </c:numCache>
            </c:numRef>
          </c:val>
        </c:ser>
        <c:ser>
          <c:idx val="1"/>
          <c:order val="1"/>
          <c:tx>
            <c:strRef>
              <c:f>'[图表 在 2019年部门决算编制说明国资中心公开说明.docx]Sheet1'!#REF!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[01da15ca1]Sheet1!$C$2:$D$2</c:f>
              <c:strCache>
                <c:ptCount val="2"/>
                <c:pt idx="0">
                  <c:v>基本支出</c:v>
                </c:pt>
                <c:pt idx="1">
                  <c:v>项目支出</c:v>
                </c:pt>
              </c:strCache>
            </c:strRef>
          </c:cat>
          <c:val>
            <c:numRef>
              <c:f>[01da15ca1]Sheet1!#REF!</c:f>
              <c:numCache>
                <c:formatCode>General</c:formatCode>
                <c:ptCount val="1"/>
              </c:numCache>
            </c:numRef>
          </c:val>
        </c:ser>
        <c:ser>
          <c:idx val="2"/>
          <c:order val="2"/>
          <c:tx>
            <c:strRef>
              <c:f>'[图表 在 2019年部门决算编制说明国资中心公开说明.docx]Sheet1'!#REF!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[01da15ca1]Sheet1!$C$2:$D$2</c:f>
              <c:strCache>
                <c:ptCount val="2"/>
                <c:pt idx="0">
                  <c:v>基本支出</c:v>
                </c:pt>
                <c:pt idx="1">
                  <c:v>项目支出</c:v>
                </c:pt>
              </c:strCache>
            </c:strRef>
          </c:cat>
          <c:val>
            <c:numRef>
              <c:f>[01da15ca1]Sheet1!#REF!</c:f>
              <c:numCache>
                <c:formatCode>General</c:formatCode>
                <c:ptCount val="1"/>
              </c:numCache>
            </c:numRef>
          </c:val>
        </c:ser>
        <c:dLbls>
          <c:showLegendKey val="0"/>
          <c:showVal val="0"/>
          <c:showCatName val="0"/>
          <c:showSerName val="0"/>
          <c:showPercent val="0"/>
          <c:showBubbleSize val="0"/>
          <c:showLeaderLines val="0"/>
        </c:dLbls>
        <c:firstSliceAng val="0"/>
      </c:pieChart>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manualLayout>
          <c:xMode val="edge"/>
          <c:yMode val="edge"/>
          <c:x val="0.194401133947555"/>
          <c:y val="0.01966353506663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107.49</c:v>
                </c:pt>
                <c:pt idx="1">
                  <c:v>107.49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263.5</c:v>
                </c:pt>
                <c:pt idx="1">
                  <c:v>245.81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17061888"/>
        <c:axId val="268324864"/>
      </c:barChart>
      <c:catAx>
        <c:axId val="1170618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24864"/>
        <c:crosses val="autoZero"/>
        <c:auto val="1"/>
        <c:lblAlgn val="ctr"/>
        <c:lblOffset val="100"/>
        <c:noMultiLvlLbl val="0"/>
      </c:catAx>
      <c:valAx>
        <c:axId val="26832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06188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manualLayout>
          <c:xMode val="edge"/>
          <c:yMode val="edge"/>
          <c:x val="0.166189316977012"/>
          <c:y val="0.0370432450553134"/>
        </c:manualLayout>
      </c:layout>
      <c:overlay val="0"/>
      <c:spPr>
        <a:noFill/>
        <a:ln>
          <a:noFill/>
        </a:ln>
        <a:effectLst/>
      </c:spPr>
    </c:title>
    <c:autoTitleDeleted val="0"/>
    <c:plotArea>
      <c:layout>
        <c:manualLayout>
          <c:layoutTarget val="inner"/>
          <c:xMode val="edge"/>
          <c:yMode val="edge"/>
          <c:x val="0.0718292066700354"/>
          <c:y val="0.0947318311647096"/>
          <c:w val="0.904168772107125"/>
          <c:h val="0.730466518565535"/>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107.49</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245.81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19305600"/>
        <c:axId val="319307136"/>
      </c:barChart>
      <c:catAx>
        <c:axId val="3193056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9307136"/>
        <c:crosses val="autoZero"/>
        <c:auto val="1"/>
        <c:lblAlgn val="ctr"/>
        <c:lblOffset val="100"/>
        <c:noMultiLvlLbl val="0"/>
      </c:catAx>
      <c:valAx>
        <c:axId val="3193071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930560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12</TotalTime>
  <ScaleCrop>false</ScaleCrop>
  <LinksUpToDate>false</LinksUpToDate>
  <CharactersWithSpaces>10535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2021-07-29T03:56:00Z</cp:lastPrinted>
  <dcterms:modified xsi:type="dcterms:W3CDTF">2021-09-23T03:39:26Z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50DD176A63A04DF08C5938C09E9485A8</vt:lpwstr>
  </property>
</Properties>
</file>