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B07B55">
      <w:pPr>
        <w:pStyle w:val="5"/>
        <w:rPr>
          <w:rFonts w:hint="eastAsia" w:ascii="Times New Roman" w:hAnsi="Times New Roman" w:eastAsia="方正小标宋简体" w:cs="Times New Roman"/>
          <w:color w:val="auto"/>
          <w:kern w:val="2"/>
          <w:sz w:val="72"/>
          <w:szCs w:val="72"/>
          <w:highlight w:val="none"/>
          <w:lang w:val="en-US" w:eastAsia="zh-CN" w:bidi="ar-SA"/>
        </w:rPr>
      </w:pPr>
      <w:bookmarkStart w:id="0" w:name="_Toc15306267"/>
      <w:bookmarkStart w:id="1" w:name="_Toc15378441"/>
      <w:bookmarkStart w:id="2" w:name="_Toc15396597"/>
      <w:bookmarkStart w:id="3" w:name="_Toc15377193"/>
      <w:bookmarkStart w:id="4" w:name="_Toc15377425"/>
      <w:bookmarkStart w:id="5" w:name="_Toc15396475"/>
    </w:p>
    <w:p w14:paraId="238A426D">
      <w:pPr>
        <w:pStyle w:val="5"/>
        <w:ind w:firstLine="1760" w:firstLineChars="400"/>
        <w:jc w:val="both"/>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2025年度</w:t>
      </w:r>
      <w:bookmarkStart w:id="6" w:name="_Toc15377194"/>
      <w:bookmarkStart w:id="7" w:name="_Toc15377426"/>
      <w:bookmarkStart w:id="8" w:name="_Toc15396476"/>
      <w:bookmarkStart w:id="9" w:name="_Toc15396598"/>
      <w:bookmarkStart w:id="10" w:name="_Toc15378442"/>
      <w:r>
        <w:rPr>
          <w:rFonts w:hint="eastAsia" w:ascii="Times New Roman" w:hAnsi="Times New Roman" w:eastAsia="方正小标宋简体" w:cs="Times New Roman"/>
          <w:color w:val="auto"/>
          <w:kern w:val="2"/>
          <w:sz w:val="44"/>
          <w:szCs w:val="44"/>
          <w:highlight w:val="none"/>
          <w:lang w:val="en-US" w:eastAsia="zh-CN" w:bidi="ar-SA"/>
        </w:rPr>
        <w:t>四川省阿坝州</w:t>
      </w:r>
    </w:p>
    <w:p w14:paraId="07895E16">
      <w:pPr>
        <w:pStyle w:val="5"/>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茂县</w:t>
      </w:r>
      <w:bookmarkStart w:id="11" w:name="_Toc15306268"/>
      <w:r>
        <w:rPr>
          <w:rFonts w:hint="eastAsia" w:ascii="Times New Roman" w:hAnsi="Times New Roman" w:eastAsia="方正小标宋简体" w:cs="Times New Roman"/>
          <w:color w:val="auto"/>
          <w:kern w:val="2"/>
          <w:sz w:val="44"/>
          <w:szCs w:val="44"/>
          <w:highlight w:val="none"/>
          <w:lang w:val="en-US" w:eastAsia="zh-CN" w:bidi="ar-SA"/>
        </w:rPr>
        <w:t>国有资产管理中心部门决算</w:t>
      </w:r>
      <w:bookmarkEnd w:id="6"/>
      <w:bookmarkEnd w:id="7"/>
      <w:bookmarkEnd w:id="8"/>
      <w:bookmarkEnd w:id="9"/>
      <w:bookmarkEnd w:id="10"/>
      <w:bookmarkEnd w:id="11"/>
      <w:r>
        <w:rPr>
          <w:rFonts w:hint="eastAsia" w:ascii="Times New Roman" w:hAnsi="Times New Roman" w:eastAsia="方正小标宋简体" w:cs="Times New Roman"/>
          <w:color w:val="auto"/>
          <w:kern w:val="2"/>
          <w:sz w:val="44"/>
          <w:szCs w:val="44"/>
          <w:highlight w:val="none"/>
          <w:lang w:val="en-US" w:eastAsia="zh-CN" w:bidi="ar-SA"/>
        </w:rPr>
        <w:t>公开</w:t>
      </w:r>
    </w:p>
    <w:p w14:paraId="5B674B29">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p w14:paraId="7B14CFCD">
      <w:pPr>
        <w:pStyle w:val="5"/>
        <w:jc w:val="both"/>
        <w:rPr>
          <w:rFonts w:hint="eastAsia" w:ascii="Times New Roman" w:hAnsi="Times New Roman" w:eastAsia="方正小标宋简体" w:cs="Times New Roman"/>
          <w:color w:val="auto"/>
          <w:kern w:val="2"/>
          <w:sz w:val="44"/>
          <w:szCs w:val="44"/>
          <w:highlight w:val="none"/>
          <w:lang w:val="en-US" w:eastAsia="zh-CN" w:bidi="ar-SA"/>
        </w:rPr>
      </w:pPr>
    </w:p>
    <w:p w14:paraId="13BA7514">
      <w:pPr>
        <w:pStyle w:val="5"/>
        <w:jc w:val="both"/>
        <w:rPr>
          <w:rFonts w:hint="eastAsia" w:ascii="Times New Roman" w:hAnsi="Times New Roman" w:eastAsia="方正小标宋简体" w:cs="Times New Roman"/>
          <w:color w:val="auto"/>
          <w:kern w:val="2"/>
          <w:sz w:val="44"/>
          <w:szCs w:val="44"/>
          <w:highlight w:val="none"/>
          <w:lang w:val="en-US" w:eastAsia="zh-CN" w:bidi="ar-SA"/>
        </w:rPr>
      </w:pPr>
    </w:p>
    <w:p w14:paraId="5795B60C">
      <w:pPr>
        <w:pStyle w:val="5"/>
        <w:jc w:val="both"/>
        <w:rPr>
          <w:rFonts w:hint="eastAsia" w:ascii="Times New Roman" w:hAnsi="Times New Roman" w:eastAsia="方正小标宋简体" w:cs="Times New Roman"/>
          <w:color w:val="auto"/>
          <w:kern w:val="2"/>
          <w:sz w:val="44"/>
          <w:szCs w:val="44"/>
          <w:highlight w:val="none"/>
          <w:lang w:val="en-US" w:eastAsia="zh-CN" w:bidi="ar-SA"/>
        </w:rPr>
      </w:pPr>
    </w:p>
    <w:p w14:paraId="3BC09844">
      <w:pPr>
        <w:pStyle w:val="5"/>
        <w:jc w:val="both"/>
        <w:rPr>
          <w:rFonts w:hint="eastAsia" w:ascii="Times New Roman" w:hAnsi="Times New Roman" w:eastAsia="方正小标宋简体" w:cs="Times New Roman"/>
          <w:color w:val="auto"/>
          <w:kern w:val="2"/>
          <w:sz w:val="44"/>
          <w:szCs w:val="44"/>
          <w:highlight w:val="none"/>
          <w:lang w:val="en-US" w:eastAsia="zh-CN" w:bidi="ar-SA"/>
        </w:rPr>
      </w:pPr>
    </w:p>
    <w:p w14:paraId="2E5CBECD">
      <w:pPr>
        <w:pStyle w:val="5"/>
        <w:jc w:val="both"/>
        <w:rPr>
          <w:rFonts w:hint="eastAsia" w:ascii="Times New Roman" w:hAnsi="Times New Roman" w:eastAsia="方正小标宋简体" w:cs="Times New Roman"/>
          <w:color w:val="auto"/>
          <w:kern w:val="2"/>
          <w:sz w:val="44"/>
          <w:szCs w:val="44"/>
          <w:highlight w:val="none"/>
          <w:lang w:val="en-US" w:eastAsia="zh-CN" w:bidi="ar-SA"/>
        </w:rPr>
      </w:pPr>
    </w:p>
    <w:p w14:paraId="68EB190A">
      <w:pPr>
        <w:pStyle w:val="5"/>
        <w:jc w:val="both"/>
        <w:rPr>
          <w:rFonts w:hint="eastAsia" w:ascii="Times New Roman" w:hAnsi="Times New Roman" w:eastAsia="方正小标宋简体" w:cs="Times New Roman"/>
          <w:color w:val="auto"/>
          <w:kern w:val="2"/>
          <w:sz w:val="44"/>
          <w:szCs w:val="44"/>
          <w:highlight w:val="none"/>
          <w:lang w:val="en-US" w:eastAsia="zh-CN" w:bidi="ar-SA"/>
        </w:rPr>
      </w:pPr>
    </w:p>
    <w:p w14:paraId="57731B03">
      <w:pPr>
        <w:pStyle w:val="5"/>
        <w:jc w:val="both"/>
        <w:rPr>
          <w:rFonts w:hint="eastAsia" w:ascii="Times New Roman" w:hAnsi="Times New Roman" w:eastAsia="方正小标宋简体" w:cs="Times New Roman"/>
          <w:color w:val="auto"/>
          <w:kern w:val="2"/>
          <w:sz w:val="44"/>
          <w:szCs w:val="44"/>
          <w:highlight w:val="none"/>
          <w:lang w:val="en-US" w:eastAsia="zh-CN" w:bidi="ar-SA"/>
        </w:rPr>
      </w:pPr>
    </w:p>
    <w:p w14:paraId="6E19ED92">
      <w:pPr>
        <w:pStyle w:val="5"/>
        <w:jc w:val="both"/>
        <w:rPr>
          <w:rFonts w:hint="eastAsia" w:ascii="Times New Roman" w:hAnsi="Times New Roman" w:eastAsia="方正小标宋简体" w:cs="Times New Roman"/>
          <w:color w:val="auto"/>
          <w:kern w:val="2"/>
          <w:sz w:val="44"/>
          <w:szCs w:val="44"/>
          <w:highlight w:val="none"/>
          <w:lang w:val="en-US" w:eastAsia="zh-CN" w:bidi="ar-SA"/>
        </w:rPr>
      </w:pPr>
    </w:p>
    <w:p w14:paraId="30FA5823">
      <w:pPr>
        <w:pStyle w:val="5"/>
        <w:jc w:val="both"/>
        <w:rPr>
          <w:rFonts w:hint="eastAsia" w:ascii="Times New Roman" w:hAnsi="Times New Roman" w:eastAsia="方正小标宋简体" w:cs="Times New Roman"/>
          <w:color w:val="auto"/>
          <w:kern w:val="2"/>
          <w:sz w:val="44"/>
          <w:szCs w:val="44"/>
          <w:highlight w:val="none"/>
          <w:lang w:val="en-US" w:eastAsia="zh-CN" w:bidi="ar-SA"/>
        </w:rPr>
      </w:pPr>
    </w:p>
    <w:p w14:paraId="6D8B8878">
      <w:pPr>
        <w:pStyle w:val="5"/>
        <w:jc w:val="both"/>
        <w:rPr>
          <w:rFonts w:hint="eastAsia" w:ascii="Times New Roman" w:hAnsi="Times New Roman" w:eastAsia="方正小标宋简体" w:cs="Times New Roman"/>
          <w:color w:val="auto"/>
          <w:kern w:val="2"/>
          <w:sz w:val="44"/>
          <w:szCs w:val="44"/>
          <w:highlight w:val="none"/>
          <w:lang w:val="en-US" w:eastAsia="zh-CN" w:bidi="ar-SA"/>
        </w:rPr>
      </w:pPr>
    </w:p>
    <w:p w14:paraId="1593FB17">
      <w:pPr>
        <w:pStyle w:val="5"/>
        <w:jc w:val="both"/>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bookmarkEnd w:id="5"/>
    <w:p w14:paraId="3AB8C1BA">
      <w:pPr>
        <w:widowControl/>
        <w:suppressAutoHyphens/>
        <w:jc w:val="center"/>
        <w:rPr>
          <w:rFonts w:hint="eastAsia" w:ascii="黑体" w:eastAsia="黑体"/>
          <w:color w:val="auto"/>
          <w:sz w:val="48"/>
          <w:szCs w:val="48"/>
          <w:highlight w:val="none"/>
        </w:rPr>
      </w:pPr>
    </w:p>
    <w:p w14:paraId="3D77F177">
      <w:pPr>
        <w:widowControl/>
        <w:suppressAutoHyphens/>
        <w:jc w:val="center"/>
        <w:rPr>
          <w:rFonts w:hint="eastAsia" w:ascii="黑体" w:eastAsia="黑体"/>
          <w:color w:val="auto"/>
          <w:sz w:val="48"/>
          <w:szCs w:val="48"/>
          <w:highlight w:val="none"/>
        </w:rPr>
      </w:pPr>
    </w:p>
    <w:p w14:paraId="0C59A1FB">
      <w:pPr>
        <w:widowControl/>
        <w:suppressAutoHyphens/>
        <w:jc w:val="center"/>
        <w:rPr>
          <w:rFonts w:hint="eastAsia" w:ascii="黑体" w:eastAsia="黑体"/>
          <w:color w:val="auto"/>
          <w:sz w:val="48"/>
          <w:szCs w:val="48"/>
          <w:highlight w:val="none"/>
        </w:rPr>
      </w:pPr>
    </w:p>
    <w:p w14:paraId="4A1310A7">
      <w:pPr>
        <w:widowControl/>
        <w:jc w:val="center"/>
        <w:rPr>
          <w:rFonts w:hint="default" w:ascii="Times New Roman" w:hAnsi="Times New Roman" w:eastAsia="黑体" w:cs="Times New Roman"/>
          <w:color w:val="auto"/>
          <w:sz w:val="48"/>
          <w:szCs w:val="48"/>
          <w:highlight w:val="none"/>
        </w:rPr>
      </w:pPr>
      <w:r>
        <w:rPr>
          <w:rFonts w:hint="default" w:ascii="Times New Roman" w:hAnsi="Times New Roman" w:eastAsia="黑体" w:cs="Times New Roman"/>
          <w:color w:val="auto"/>
          <w:sz w:val="48"/>
          <w:szCs w:val="48"/>
          <w:highlight w:val="none"/>
        </w:rPr>
        <w:t>目录</w:t>
      </w:r>
    </w:p>
    <w:p w14:paraId="086366BC">
      <w:pPr>
        <w:widowControl/>
        <w:jc w:val="center"/>
        <w:rPr>
          <w:rFonts w:hint="default" w:ascii="Times New Roman" w:hAnsi="Times New Roman" w:eastAsia="黑体" w:cs="Times New Roman"/>
          <w:color w:val="auto"/>
          <w:sz w:val="28"/>
          <w:szCs w:val="28"/>
          <w:highlight w:val="none"/>
        </w:rPr>
      </w:pPr>
    </w:p>
    <w:p w14:paraId="5D7E5D9F">
      <w:pPr>
        <w:pStyle w:val="11"/>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公开时间：20</w:t>
      </w:r>
      <w:r>
        <w:rPr>
          <w:rFonts w:hint="default" w:ascii="Times New Roman" w:hAnsi="Times New Roman" w:eastAsia="仿宋_GB2312" w:cs="Times New Roman"/>
          <w:color w:val="auto"/>
          <w:sz w:val="32"/>
          <w:szCs w:val="32"/>
          <w:highlight w:val="none"/>
          <w:lang w:val="en-US" w:eastAsia="zh-CN"/>
        </w:rPr>
        <w:t>26</w:t>
      </w:r>
      <w:r>
        <w:rPr>
          <w:rFonts w:hint="default" w:ascii="Times New Roman" w:hAnsi="Times New Roman" w:eastAsia="仿宋_GB2312" w:cs="Times New Roman"/>
          <w:color w:val="auto"/>
          <w:sz w:val="32"/>
          <w:szCs w:val="32"/>
          <w:highlight w:val="none"/>
        </w:rPr>
        <w:t>年</w:t>
      </w:r>
      <w:r>
        <w:rPr>
          <w:rFonts w:hint="default" w:ascii="Times New Roman" w:hAnsi="Times New Roman" w:eastAsia="仿宋_GB2312" w:cs="Times New Roman"/>
          <w:color w:val="auto"/>
          <w:sz w:val="32"/>
          <w:szCs w:val="32"/>
          <w:highlight w:val="none"/>
          <w:lang w:val="en-US" w:eastAsia="zh-CN"/>
        </w:rPr>
        <w:t>9</w:t>
      </w:r>
      <w:r>
        <w:rPr>
          <w:rFonts w:hint="default" w:ascii="Times New Roman" w:hAnsi="Times New Roman" w:eastAsia="仿宋_GB2312" w:cs="Times New Roman"/>
          <w:color w:val="auto"/>
          <w:sz w:val="32"/>
          <w:szCs w:val="32"/>
          <w:highlight w:val="none"/>
        </w:rPr>
        <w:t>月</w:t>
      </w:r>
      <w:r>
        <w:rPr>
          <w:rFonts w:hint="default" w:ascii="Times New Roman" w:hAnsi="Times New Roman" w:eastAsia="仿宋_GB2312" w:cs="Times New Roman"/>
          <w:color w:val="auto"/>
          <w:sz w:val="32"/>
          <w:szCs w:val="32"/>
          <w:highlight w:val="none"/>
          <w:lang w:val="en-US" w:eastAsia="zh-CN"/>
        </w:rPr>
        <w:t>4</w:t>
      </w:r>
      <w:r>
        <w:rPr>
          <w:rFonts w:hint="default" w:ascii="Times New Roman" w:hAnsi="Times New Roman" w:eastAsia="仿宋_GB2312" w:cs="Times New Roman"/>
          <w:color w:val="auto"/>
          <w:sz w:val="32"/>
          <w:szCs w:val="32"/>
          <w:highlight w:val="none"/>
        </w:rPr>
        <w:t>日</w:t>
      </w:r>
    </w:p>
    <w:sdt>
      <w:sdtPr>
        <w:rPr>
          <w:rFonts w:ascii="宋体" w:hAnsi="宋体" w:eastAsia="宋体" w:cs="Times New Roman"/>
          <w:kern w:val="2"/>
          <w:sz w:val="21"/>
          <w:szCs w:val="24"/>
          <w:lang w:val="en-US" w:eastAsia="zh-CN" w:bidi="ar-SA"/>
        </w:rPr>
        <w:id w:val="147471405"/>
        <w15:color w:val="DBDBDB"/>
        <w:docPartObj>
          <w:docPartGallery w:val="Table of Contents"/>
          <w:docPartUnique/>
        </w:docPartObj>
      </w:sdtPr>
      <w:sdtEndPr>
        <w:rPr>
          <w:rFonts w:hint="eastAsia" w:ascii="仿宋_GB2312" w:hAnsi="仿宋_GB2312" w:eastAsia="仿宋_GB2312" w:cs="仿宋_GB2312"/>
          <w:b/>
          <w:kern w:val="2"/>
          <w:sz w:val="32"/>
          <w:szCs w:val="32"/>
          <w:lang w:val="en-US" w:eastAsia="zh-CN" w:bidi="ar-SA"/>
        </w:rPr>
      </w:sdtEndPr>
      <w:sdtContent>
        <w:p w14:paraId="37F471C4">
          <w:pPr>
            <w:pStyle w:val="11"/>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"1-2" \h \u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_Toc14610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第一部分</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 xml:space="preserve"> 部门概况</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_Toc14610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1C735BA2">
          <w:pPr>
            <w:pStyle w:val="14"/>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_Toc12262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highlight w:val="none"/>
              <w:lang w:eastAsia="zh-CN"/>
            </w:rPr>
            <w:t>一、部门职责</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_Toc12262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23CF9B2C">
          <w:pPr>
            <w:pStyle w:val="14"/>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_Toc7989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highlight w:val="none"/>
              <w:lang w:eastAsia="zh-CN"/>
            </w:rPr>
            <w:t>二、机构设置</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_Toc7989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39426D88">
          <w:pPr>
            <w:pStyle w:val="11"/>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_Toc31576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第二部分</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2025年度</w:t>
          </w:r>
          <w:r>
            <w:rPr>
              <w:rFonts w:hint="eastAsia" w:ascii="仿宋_GB2312" w:hAnsi="仿宋_GB2312" w:eastAsia="仿宋_GB2312" w:cs="仿宋_GB2312"/>
              <w:sz w:val="32"/>
              <w:szCs w:val="32"/>
            </w:rPr>
            <w:t>部门决算情况说明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_Toc31576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65663471">
          <w:pPr>
            <w:pStyle w:val="14"/>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_Toc14446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highlight w:val="none"/>
              <w:lang w:eastAsia="zh-CN"/>
            </w:rPr>
            <w:t>一、收入支出决算总体情况说明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_Toc14446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4912735A">
          <w:pPr>
            <w:pStyle w:val="14"/>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_Toc9709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highlight w:val="none"/>
              <w:lang w:eastAsia="zh-CN"/>
            </w:rPr>
            <w:t>二、收入决算情况说明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_Toc9709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7A6CA0EF">
          <w:pPr>
            <w:pStyle w:val="14"/>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_Toc6701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highlight w:val="none"/>
              <w:lang w:eastAsia="zh-CN"/>
            </w:rPr>
            <w:t>三、支出决算情况说明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_Toc6701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6</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21A738DB">
          <w:pPr>
            <w:pStyle w:val="14"/>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_Toc29917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highlight w:val="none"/>
              <w:lang w:eastAsia="zh-CN"/>
            </w:rPr>
            <w:t>四、财政拨款收入支出决算总体情况说明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_Toc29917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6</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7B5A840C">
          <w:pPr>
            <w:pStyle w:val="14"/>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_Toc16034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highlight w:val="none"/>
              <w:lang w:eastAsia="zh-CN"/>
            </w:rPr>
            <w:t>五、</w:t>
          </w:r>
          <w:r>
            <w:rPr>
              <w:rFonts w:hint="eastAsia" w:ascii="仿宋_GB2312" w:hAnsi="仿宋_GB2312" w:eastAsia="仿宋_GB2312" w:cs="仿宋_GB2312"/>
              <w:sz w:val="32"/>
              <w:szCs w:val="32"/>
              <w:highlight w:val="none"/>
            </w:rPr>
            <w:t>一般公共预算财政拨款支出决算情况说明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_Toc16034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6</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7B458E63">
          <w:pPr>
            <w:pStyle w:val="14"/>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_Toc27240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highlight w:val="none"/>
            </w:rPr>
            <w:t>六、一般公共预算财政拨款基本支出决算情况说明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_Toc27240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9</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0A3CC348">
          <w:pPr>
            <w:pStyle w:val="14"/>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_Toc22698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highlight w:val="none"/>
            </w:rPr>
            <w:t>七、财政拨款“三公”经费支出决算情况说明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_Toc22698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9</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26FC1AD9">
          <w:pPr>
            <w:pStyle w:val="14"/>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_Toc29781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highlight w:val="none"/>
            </w:rPr>
            <w:t>八、政府性基金预算支出决算情况说明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_Toc29781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10</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41731635">
          <w:pPr>
            <w:pStyle w:val="14"/>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_Toc26487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highlight w:val="none"/>
              <w:lang w:eastAsia="zh-CN"/>
            </w:rPr>
            <w:t>九、</w:t>
          </w:r>
          <w:r>
            <w:rPr>
              <w:rFonts w:hint="eastAsia" w:ascii="仿宋_GB2312" w:hAnsi="仿宋_GB2312" w:eastAsia="仿宋_GB2312" w:cs="仿宋_GB2312"/>
              <w:sz w:val="32"/>
              <w:szCs w:val="32"/>
              <w:highlight w:val="none"/>
            </w:rPr>
            <w:t>国有资本经营预算支出决算情况说明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_Toc26487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10</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70AB71F3">
          <w:pPr>
            <w:pStyle w:val="14"/>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_Toc7756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highlight w:val="none"/>
              <w:lang w:eastAsia="zh-CN"/>
            </w:rPr>
            <w:t>十、</w:t>
          </w:r>
          <w:r>
            <w:rPr>
              <w:rFonts w:hint="eastAsia" w:ascii="仿宋_GB2312" w:hAnsi="仿宋_GB2312" w:eastAsia="仿宋_GB2312" w:cs="仿宋_GB2312"/>
              <w:sz w:val="32"/>
              <w:szCs w:val="32"/>
              <w:highlight w:val="none"/>
            </w:rPr>
            <w:t>其他重要事项的情况说明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_Toc7756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10</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7539AE53">
          <w:pPr>
            <w:pStyle w:val="11"/>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_Toc19521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highlight w:val="none"/>
              <w:lang w:val="en-US" w:eastAsia="zh-CN"/>
            </w:rPr>
            <w:t>第三部分  名词解释</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_Toc19521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12</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3B06DF9A">
          <w:pPr>
            <w:pStyle w:val="11"/>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_Toc23665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highlight w:val="none"/>
            </w:rPr>
            <w:t>第四部分</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 xml:space="preserve"> 附件</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_Toc23665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14</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44E1A572">
          <w:pPr>
            <w:pStyle w:val="11"/>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_Toc9974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xml:space="preserve">第五部分 </w:t>
          </w:r>
          <w:r>
            <w:rPr>
              <w:rFonts w:hint="eastAsia" w:ascii="仿宋_GB2312" w:hAnsi="仿宋_GB2312" w:eastAsia="仿宋_GB2312" w:cs="仿宋_GB2312"/>
              <w:sz w:val="32"/>
              <w:szCs w:val="32"/>
              <w:highlight w:val="none"/>
            </w:rPr>
            <w:t>附表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_Toc9974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23</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170DFDB6">
          <w:pPr>
            <w:pStyle w:val="14"/>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_Toc10805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bCs w:val="0"/>
              <w:sz w:val="32"/>
              <w:szCs w:val="32"/>
            </w:rPr>
            <w:t>一、收入支出决算总表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_Toc10805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23</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3E130601">
          <w:pPr>
            <w:pStyle w:val="14"/>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_Toc28933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bCs w:val="0"/>
              <w:sz w:val="32"/>
              <w:szCs w:val="32"/>
            </w:rPr>
            <w:t>二、收入决算表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_Toc28933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23</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3DA8DD1D">
          <w:pPr>
            <w:pStyle w:val="14"/>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_Toc23966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bCs w:val="0"/>
              <w:sz w:val="32"/>
              <w:szCs w:val="32"/>
            </w:rPr>
            <w:t>三、支出决算表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_Toc23966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23</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0A6D2099">
          <w:pPr>
            <w:pStyle w:val="14"/>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_Toc31910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bCs w:val="0"/>
              <w:sz w:val="32"/>
              <w:szCs w:val="32"/>
            </w:rPr>
            <w:t>四、财政拨款收入支出决算总表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_Toc31910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23</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16E81C4C">
          <w:pPr>
            <w:pStyle w:val="14"/>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_Toc14659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bCs w:val="0"/>
              <w:sz w:val="32"/>
              <w:szCs w:val="32"/>
            </w:rPr>
            <w:t>五、财政拨款支出决算明细表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_Toc14659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23</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4435C5DF">
          <w:pPr>
            <w:pStyle w:val="14"/>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_Toc7617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bCs w:val="0"/>
              <w:sz w:val="32"/>
              <w:szCs w:val="32"/>
            </w:rPr>
            <w:t>六、一般公共预算财政拨款支出决算表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_Toc7617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23</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4A08A39B">
          <w:pPr>
            <w:pStyle w:val="14"/>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_Toc10994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bCs w:val="0"/>
              <w:sz w:val="32"/>
              <w:szCs w:val="32"/>
            </w:rPr>
            <w:t>七、一般公共预算财政拨款支出决算明细表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_Toc10994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23</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31178829">
          <w:pPr>
            <w:pStyle w:val="14"/>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_Toc30284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bCs w:val="0"/>
              <w:sz w:val="32"/>
              <w:szCs w:val="32"/>
            </w:rPr>
            <w:t>八、一般公共预算财政拨款基本支出决算表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_Toc30284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23</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365ABE12">
          <w:pPr>
            <w:pStyle w:val="14"/>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_Toc4779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bCs w:val="0"/>
              <w:sz w:val="32"/>
              <w:szCs w:val="32"/>
            </w:rPr>
            <w:t>九、一般公共预算财政拨款项目支出决算表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_Toc4779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23</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4B40F93A">
          <w:pPr>
            <w:pStyle w:val="14"/>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_Toc31930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bCs w:val="0"/>
              <w:sz w:val="32"/>
              <w:szCs w:val="32"/>
            </w:rPr>
            <w:t>十、政府性基金预算财政拨款收入支出决算表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_Toc31930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23</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185FBBA2">
          <w:pPr>
            <w:pStyle w:val="14"/>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_Toc4536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bCs w:val="0"/>
              <w:sz w:val="32"/>
              <w:szCs w:val="32"/>
            </w:rPr>
            <w:t>十一、国有资本经营预算</w:t>
          </w:r>
          <w:r>
            <w:rPr>
              <w:rFonts w:hint="eastAsia" w:ascii="仿宋_GB2312" w:hAnsi="仿宋_GB2312" w:eastAsia="仿宋_GB2312" w:cs="仿宋_GB2312"/>
              <w:bCs w:val="0"/>
              <w:sz w:val="32"/>
              <w:szCs w:val="32"/>
              <w:lang w:eastAsia="zh-CN"/>
            </w:rPr>
            <w:t>财政拨款收入</w:t>
          </w:r>
          <w:r>
            <w:rPr>
              <w:rFonts w:hint="eastAsia" w:ascii="仿宋_GB2312" w:hAnsi="仿宋_GB2312" w:eastAsia="仿宋_GB2312" w:cs="仿宋_GB2312"/>
              <w:bCs w:val="0"/>
              <w:sz w:val="32"/>
              <w:szCs w:val="32"/>
            </w:rPr>
            <w:t>支出决算表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_Toc4536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23</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3EC04A69">
          <w:pPr>
            <w:pStyle w:val="14"/>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_Toc26414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bCs w:val="0"/>
              <w:sz w:val="32"/>
              <w:szCs w:val="32"/>
            </w:rPr>
            <w:t>十二、</w:t>
          </w:r>
          <w:r>
            <w:rPr>
              <w:rFonts w:hint="eastAsia" w:ascii="仿宋_GB2312" w:hAnsi="仿宋_GB2312" w:eastAsia="仿宋_GB2312" w:cs="仿宋_GB2312"/>
              <w:bCs w:val="0"/>
              <w:sz w:val="32"/>
              <w:szCs w:val="32"/>
              <w:lang w:eastAsia="zh-CN"/>
            </w:rPr>
            <w:t>国有资本经营预算财政拨款支出决算表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_Toc26414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23</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4B7D171A">
          <w:pPr>
            <w:pStyle w:val="14"/>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_Toc16300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bCs w:val="0"/>
              <w:sz w:val="32"/>
              <w:szCs w:val="32"/>
            </w:rPr>
            <w:t>十三、</w:t>
          </w:r>
          <w:r>
            <w:rPr>
              <w:rFonts w:hint="eastAsia" w:ascii="仿宋_GB2312" w:hAnsi="仿宋_GB2312" w:eastAsia="仿宋_GB2312" w:cs="仿宋_GB2312"/>
              <w:bCs w:val="0"/>
              <w:sz w:val="32"/>
              <w:szCs w:val="32"/>
              <w:lang w:eastAsia="zh-CN"/>
            </w:rPr>
            <w:t>财政拨款“三公”经费支出决算表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_Toc16300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23</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369ECEDE">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end"/>
          </w:r>
        </w:p>
      </w:sdtContent>
    </w:sdt>
    <w:p w14:paraId="7B998F1F">
      <w:pPr>
        <w:keepNext w:val="0"/>
        <w:keepLines w:val="0"/>
        <w:pageBreakBefore w:val="0"/>
        <w:widowControl/>
        <w:kinsoku/>
        <w:wordWrap/>
        <w:overflowPunct/>
        <w:topLinePunct w:val="0"/>
        <w:autoSpaceDE/>
        <w:autoSpaceDN/>
        <w:bidi w:val="0"/>
        <w:spacing w:line="560" w:lineRule="exact"/>
        <w:jc w:val="left"/>
        <w:textAlignment w:val="auto"/>
        <w:rPr>
          <w:rFonts w:hint="default" w:ascii="Times New Roman" w:hAnsi="Times New Roman" w:eastAsia="仿宋_GB2312" w:cs="Times New Roman"/>
          <w:bCs/>
          <w:color w:val="auto"/>
          <w:kern w:val="44"/>
          <w:sz w:val="32"/>
          <w:szCs w:val="32"/>
          <w:highlight w:val="none"/>
        </w:rPr>
      </w:pPr>
      <w:r>
        <w:rPr>
          <w:rFonts w:hint="default" w:ascii="Times New Roman" w:hAnsi="Times New Roman" w:eastAsia="仿宋_GB2312" w:cs="Times New Roman"/>
          <w:b/>
          <w:color w:val="auto"/>
          <w:sz w:val="32"/>
          <w:szCs w:val="32"/>
          <w:highlight w:val="none"/>
        </w:rPr>
        <w:br w:type="page"/>
      </w:r>
    </w:p>
    <w:p w14:paraId="47BB6F69">
      <w:pPr>
        <w:pStyle w:val="3"/>
        <w:bidi w:val="0"/>
        <w:jc w:val="center"/>
        <w:rPr>
          <w:rFonts w:hint="eastAsia"/>
        </w:rPr>
      </w:pPr>
      <w:bookmarkStart w:id="12" w:name="_Toc14610"/>
      <w:r>
        <w:rPr>
          <w:rFonts w:hint="eastAsia"/>
        </w:rPr>
        <w:t>第一部分</w:t>
      </w:r>
      <w:r>
        <w:rPr>
          <w:rFonts w:hint="eastAsia"/>
          <w:lang w:val="en-US" w:eastAsia="zh-CN"/>
        </w:rPr>
        <w:t xml:space="preserve"> </w:t>
      </w:r>
      <w:r>
        <w:rPr>
          <w:rFonts w:hint="eastAsia"/>
        </w:rPr>
        <w:t xml:space="preserve"> 部门概况</w:t>
      </w:r>
      <w:bookmarkEnd w:id="12"/>
    </w:p>
    <w:p w14:paraId="65807B2E">
      <w:pPr>
        <w:pStyle w:val="2"/>
        <w:keepNext/>
        <w:keepLines/>
        <w:pageBreakBefore w:val="0"/>
        <w:widowControl w:val="0"/>
        <w:numPr>
          <w:ilvl w:val="0"/>
          <w:numId w:val="0"/>
        </w:numPr>
        <w:kinsoku/>
        <w:wordWrap/>
        <w:overflowPunct/>
        <w:topLinePunct w:val="0"/>
        <w:autoSpaceDE/>
        <w:autoSpaceDN/>
        <w:bidi w:val="0"/>
        <w:adjustRightInd/>
        <w:snapToGrid/>
        <w:spacing w:before="30" w:after="140" w:line="560" w:lineRule="exact"/>
        <w:ind w:firstLine="640" w:firstLineChars="200"/>
        <w:textAlignment w:val="auto"/>
        <w:outlineLvl w:val="1"/>
        <w:rPr>
          <w:rFonts w:hint="eastAsia" w:ascii="仿宋_GB2312" w:eastAsia="仿宋_GB2312" w:cs="仿宋_GB2312"/>
          <w:bCs/>
          <w:color w:val="000000"/>
          <w:sz w:val="32"/>
          <w:szCs w:val="32"/>
          <w:lang w:bidi="ar-SA"/>
        </w:rPr>
      </w:pPr>
      <w:bookmarkStart w:id="13" w:name="_Toc12262"/>
      <w:r>
        <w:rPr>
          <w:rFonts w:hint="eastAsia" w:eastAsia="黑体"/>
          <w:b w:val="0"/>
          <w:color w:val="auto"/>
          <w:highlight w:val="none"/>
          <w:lang w:eastAsia="zh-CN"/>
        </w:rPr>
        <w:t>一、</w:t>
      </w:r>
      <w:r>
        <w:rPr>
          <w:rFonts w:hint="eastAsia" w:ascii="Times New Roman" w:hAnsi="Times New Roman" w:eastAsia="黑体"/>
          <w:b w:val="0"/>
          <w:color w:val="auto"/>
          <w:highlight w:val="none"/>
          <w:lang w:eastAsia="zh-CN"/>
        </w:rPr>
        <w:t>部门职责</w:t>
      </w:r>
      <w:bookmarkEnd w:id="13"/>
      <w:bookmarkStart w:id="14" w:name="_Toc23420"/>
      <w:bookmarkStart w:id="15" w:name="_Toc2091"/>
    </w:p>
    <w:p w14:paraId="7688A1DA">
      <w:pPr>
        <w:pStyle w:val="2"/>
        <w:keepNext/>
        <w:keepLines/>
        <w:pageBreakBefore w:val="0"/>
        <w:widowControl w:val="0"/>
        <w:numPr>
          <w:ilvl w:val="0"/>
          <w:numId w:val="0"/>
        </w:numPr>
        <w:kinsoku/>
        <w:wordWrap/>
        <w:overflowPunct/>
        <w:topLinePunct w:val="0"/>
        <w:autoSpaceDE/>
        <w:autoSpaceDN/>
        <w:bidi w:val="0"/>
        <w:adjustRightInd/>
        <w:snapToGrid/>
        <w:spacing w:before="30" w:after="140" w:line="560" w:lineRule="exact"/>
        <w:ind w:firstLine="640" w:firstLineChars="200"/>
        <w:textAlignment w:val="auto"/>
        <w:outlineLvl w:val="2"/>
        <w:rPr>
          <w:rFonts w:hint="eastAsia"/>
          <w:lang w:eastAsia="zh-CN"/>
        </w:rPr>
      </w:pPr>
      <w:r>
        <w:rPr>
          <w:rFonts w:hint="eastAsia" w:ascii="仿宋_GB2312" w:eastAsia="仿宋_GB2312" w:cs="仿宋_GB2312"/>
          <w:b w:val="0"/>
          <w:bCs w:val="0"/>
          <w:color w:val="000000"/>
          <w:sz w:val="32"/>
          <w:szCs w:val="32"/>
          <w:lang w:bidi="ar-SA"/>
        </w:rPr>
        <w:t>茂县国有资产管理中心是代表县人民政府对监管企业依法履行出资人职责;负责指导县属国有企业改革和管理，加强全县国有企业改革和管理的宏观指导;负责对所监管企业负责人进行考核、任免并对其经营业绩进行奖惩;承担监督所监管企业国有资产保值增值指标体系，制定考核标准;负责所监管企业工资分配管理工作，制定所监管企业负责人收入分配政策并组织实施;承办县委和县政府交办的其他工作。</w:t>
      </w:r>
      <w:bookmarkEnd w:id="14"/>
      <w:bookmarkEnd w:id="15"/>
    </w:p>
    <w:p w14:paraId="34A71155">
      <w:pPr>
        <w:pStyle w:val="2"/>
        <w:keepNext/>
        <w:keepLines/>
        <w:pageBreakBefore w:val="0"/>
        <w:widowControl w:val="0"/>
        <w:numPr>
          <w:ilvl w:val="0"/>
          <w:numId w:val="0"/>
        </w:numPr>
        <w:kinsoku/>
        <w:wordWrap/>
        <w:overflowPunct/>
        <w:topLinePunct w:val="0"/>
        <w:autoSpaceDE/>
        <w:autoSpaceDN/>
        <w:bidi w:val="0"/>
        <w:adjustRightInd/>
        <w:snapToGrid/>
        <w:spacing w:before="30" w:after="140" w:line="560" w:lineRule="exact"/>
        <w:ind w:firstLine="640" w:firstLineChars="200"/>
        <w:textAlignment w:val="auto"/>
        <w:outlineLvl w:val="1"/>
        <w:rPr>
          <w:rFonts w:hint="eastAsia" w:eastAsia="黑体"/>
          <w:b w:val="0"/>
          <w:color w:val="auto"/>
          <w:highlight w:val="none"/>
          <w:lang w:eastAsia="zh-CN"/>
        </w:rPr>
      </w:pPr>
      <w:bookmarkStart w:id="16" w:name="_Toc15377200"/>
      <w:bookmarkStart w:id="17" w:name="_Toc7989"/>
      <w:bookmarkStart w:id="18" w:name="_Toc15396601"/>
      <w:r>
        <w:rPr>
          <w:rFonts w:hint="eastAsia" w:eastAsia="黑体"/>
          <w:b w:val="0"/>
          <w:color w:val="auto"/>
          <w:highlight w:val="none"/>
          <w:lang w:eastAsia="zh-CN"/>
        </w:rPr>
        <w:t>二、机构设置</w:t>
      </w:r>
      <w:bookmarkEnd w:id="16"/>
      <w:bookmarkEnd w:id="17"/>
      <w:bookmarkEnd w:id="18"/>
    </w:p>
    <w:p w14:paraId="0887C382">
      <w:pPr>
        <w:pStyle w:val="2"/>
        <w:keepNext/>
        <w:keepLines/>
        <w:pageBreakBefore w:val="0"/>
        <w:widowControl w:val="0"/>
        <w:numPr>
          <w:ilvl w:val="0"/>
          <w:numId w:val="0"/>
        </w:numPr>
        <w:kinsoku/>
        <w:wordWrap/>
        <w:overflowPunct/>
        <w:topLinePunct w:val="0"/>
        <w:autoSpaceDE/>
        <w:autoSpaceDN/>
        <w:bidi w:val="0"/>
        <w:adjustRightInd/>
        <w:snapToGrid/>
        <w:spacing w:before="30" w:after="140" w:line="560" w:lineRule="exact"/>
        <w:ind w:firstLine="640" w:firstLineChars="200"/>
        <w:textAlignment w:val="auto"/>
        <w:outlineLvl w:val="2"/>
        <w:rPr>
          <w:rFonts w:hint="default" w:ascii="仿宋_GB2312" w:eastAsia="仿宋_GB2312" w:cs="仿宋_GB2312"/>
          <w:b w:val="0"/>
          <w:bCs w:val="0"/>
          <w:color w:val="000000"/>
          <w:sz w:val="32"/>
          <w:szCs w:val="32"/>
          <w:lang w:val="en-US" w:eastAsia="zh-CN" w:bidi="ar-SA"/>
        </w:rPr>
      </w:pPr>
      <w:bookmarkStart w:id="19" w:name="_Toc21231"/>
      <w:bookmarkStart w:id="20" w:name="_Toc1737"/>
      <w:bookmarkStart w:id="21" w:name="_Toc31"/>
      <w:r>
        <w:rPr>
          <w:rFonts w:hint="eastAsia" w:ascii="仿宋_GB2312" w:eastAsia="仿宋_GB2312" w:cs="仿宋_GB2312"/>
          <w:b w:val="0"/>
          <w:bCs w:val="0"/>
          <w:color w:val="000000"/>
          <w:sz w:val="32"/>
          <w:szCs w:val="32"/>
          <w:lang w:eastAsia="zh-CN" w:bidi="ar-SA"/>
        </w:rPr>
        <w:t>茂县国有资产管理中心下属二级预算单位</w:t>
      </w:r>
      <w:r>
        <w:rPr>
          <w:rFonts w:hint="default" w:ascii="Times New Roman" w:hAnsi="Times New Roman" w:eastAsia="仿宋_GB2312" w:cs="Times New Roman"/>
          <w:b w:val="0"/>
          <w:bCs w:val="0"/>
          <w:color w:val="000000"/>
          <w:sz w:val="32"/>
          <w:szCs w:val="32"/>
          <w:lang w:val="en-US" w:eastAsia="zh-CN" w:bidi="ar-SA"/>
        </w:rPr>
        <w:t>0</w:t>
      </w:r>
      <w:r>
        <w:rPr>
          <w:rFonts w:hint="eastAsia" w:ascii="仿宋_GB2312" w:eastAsia="仿宋_GB2312" w:cs="仿宋_GB2312"/>
          <w:b w:val="0"/>
          <w:bCs w:val="0"/>
          <w:color w:val="000000"/>
          <w:sz w:val="32"/>
          <w:szCs w:val="32"/>
          <w:lang w:val="en-US" w:eastAsia="zh-CN" w:bidi="ar-SA"/>
        </w:rPr>
        <w:t>个</w:t>
      </w:r>
      <w:r>
        <w:rPr>
          <w:rFonts w:hint="eastAsia" w:ascii="仿宋_GB2312" w:eastAsia="仿宋_GB2312" w:cs="仿宋_GB2312"/>
          <w:b w:val="0"/>
          <w:bCs w:val="0"/>
          <w:color w:val="000000"/>
          <w:sz w:val="32"/>
          <w:szCs w:val="32"/>
          <w:lang w:eastAsia="zh-CN" w:bidi="ar-SA"/>
        </w:rPr>
        <w:t>，</w:t>
      </w:r>
      <w:bookmarkEnd w:id="19"/>
      <w:bookmarkEnd w:id="20"/>
      <w:bookmarkEnd w:id="21"/>
      <w:r>
        <w:rPr>
          <w:rFonts w:hint="eastAsia" w:ascii="仿宋_GB2312" w:eastAsia="仿宋_GB2312" w:cs="仿宋_GB2312"/>
          <w:b w:val="0"/>
          <w:bCs w:val="0"/>
          <w:color w:val="000000"/>
          <w:sz w:val="32"/>
          <w:szCs w:val="32"/>
          <w:lang w:eastAsia="zh-CN" w:bidi="ar-SA"/>
        </w:rPr>
        <w:t>其中行政单位</w:t>
      </w:r>
      <w:r>
        <w:rPr>
          <w:rFonts w:hint="eastAsia" w:ascii="Times New Roman" w:hAnsi="Times New Roman" w:eastAsia="仿宋_GB2312" w:cs="Times New Roman"/>
          <w:b w:val="0"/>
          <w:bCs w:val="0"/>
          <w:color w:val="000000"/>
          <w:sz w:val="32"/>
          <w:szCs w:val="32"/>
          <w:lang w:val="en-US" w:eastAsia="zh-CN" w:bidi="ar-SA"/>
        </w:rPr>
        <w:t>0</w:t>
      </w:r>
      <w:r>
        <w:rPr>
          <w:rFonts w:hint="eastAsia" w:ascii="仿宋_GB2312" w:eastAsia="仿宋_GB2312" w:cs="仿宋_GB2312"/>
          <w:b w:val="0"/>
          <w:bCs w:val="0"/>
          <w:color w:val="000000"/>
          <w:sz w:val="32"/>
          <w:szCs w:val="32"/>
          <w:lang w:val="en-US" w:eastAsia="zh-CN" w:bidi="ar-SA"/>
        </w:rPr>
        <w:t>个，参照公务员法管理的事业单位</w:t>
      </w:r>
      <w:r>
        <w:rPr>
          <w:rFonts w:hint="eastAsia" w:ascii="Times New Roman" w:hAnsi="Times New Roman" w:eastAsia="仿宋_GB2312" w:cs="Times New Roman"/>
          <w:b w:val="0"/>
          <w:bCs w:val="0"/>
          <w:color w:val="000000"/>
          <w:sz w:val="32"/>
          <w:szCs w:val="32"/>
          <w:lang w:val="en-US" w:eastAsia="zh-CN" w:bidi="ar-SA"/>
        </w:rPr>
        <w:t>0</w:t>
      </w:r>
      <w:r>
        <w:rPr>
          <w:rFonts w:hint="eastAsia" w:ascii="仿宋_GB2312" w:eastAsia="仿宋_GB2312" w:cs="仿宋_GB2312"/>
          <w:b w:val="0"/>
          <w:bCs w:val="0"/>
          <w:color w:val="000000"/>
          <w:sz w:val="32"/>
          <w:szCs w:val="32"/>
          <w:lang w:val="en-US" w:eastAsia="zh-CN" w:bidi="ar-SA"/>
        </w:rPr>
        <w:t>个，其他事业单位</w:t>
      </w:r>
      <w:r>
        <w:rPr>
          <w:rFonts w:hint="eastAsia" w:ascii="Times New Roman" w:hAnsi="Times New Roman" w:eastAsia="仿宋_GB2312" w:cs="Times New Roman"/>
          <w:b w:val="0"/>
          <w:bCs w:val="0"/>
          <w:color w:val="000000"/>
          <w:sz w:val="32"/>
          <w:szCs w:val="32"/>
          <w:lang w:val="en-US" w:eastAsia="zh-CN" w:bidi="ar-SA"/>
        </w:rPr>
        <w:t>0</w:t>
      </w:r>
      <w:r>
        <w:rPr>
          <w:rFonts w:hint="eastAsia" w:ascii="仿宋_GB2312" w:eastAsia="仿宋_GB2312" w:cs="仿宋_GB2312"/>
          <w:b w:val="0"/>
          <w:bCs w:val="0"/>
          <w:color w:val="000000"/>
          <w:sz w:val="32"/>
          <w:szCs w:val="32"/>
          <w:lang w:val="en-US" w:eastAsia="zh-CN" w:bidi="ar-SA"/>
        </w:rPr>
        <w:t>个。</w:t>
      </w:r>
    </w:p>
    <w:p w14:paraId="6E500ECD">
      <w:pPr>
        <w:pStyle w:val="3"/>
        <w:keepNext/>
        <w:keepLines/>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Times New Roman" w:hAnsi="Times New Roman" w:eastAsia="方正小标宋简体" w:cs="方正小标宋简体"/>
          <w:b w:val="0"/>
          <w:color w:val="auto"/>
          <w:highlight w:val="none"/>
        </w:rPr>
      </w:pPr>
      <w:bookmarkStart w:id="22" w:name="_Toc15377204"/>
      <w:bookmarkStart w:id="23" w:name="_Toc15396602"/>
    </w:p>
    <w:p w14:paraId="3EB115C7">
      <w:pPr>
        <w:pStyle w:val="3"/>
        <w:keepNext/>
        <w:keepLines/>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Times New Roman" w:hAnsi="Times New Roman" w:eastAsia="方正小标宋简体" w:cs="方正小标宋简体"/>
          <w:b w:val="0"/>
          <w:color w:val="auto"/>
          <w:highlight w:val="none"/>
        </w:rPr>
      </w:pPr>
    </w:p>
    <w:p w14:paraId="0F095E04">
      <w:pPr>
        <w:pStyle w:val="3"/>
        <w:keepNext/>
        <w:keepLines/>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Times New Roman" w:hAnsi="Times New Roman" w:eastAsia="方正小标宋简体" w:cs="方正小标宋简体"/>
          <w:b w:val="0"/>
          <w:color w:val="auto"/>
          <w:highlight w:val="none"/>
        </w:rPr>
      </w:pPr>
    </w:p>
    <w:p w14:paraId="341779D7">
      <w:pPr>
        <w:pStyle w:val="3"/>
        <w:jc w:val="center"/>
        <w:outlineLvl w:val="9"/>
        <w:rPr>
          <w:rFonts w:hint="eastAsia" w:ascii="Times New Roman" w:hAnsi="Times New Roman" w:eastAsia="方正小标宋简体" w:cs="方正小标宋简体"/>
          <w:b w:val="0"/>
          <w:color w:val="auto"/>
          <w:highlight w:val="none"/>
        </w:rPr>
      </w:pPr>
    </w:p>
    <w:p w14:paraId="31939D01">
      <w:pPr>
        <w:rPr>
          <w:rFonts w:hint="eastAsia"/>
        </w:rPr>
      </w:pPr>
    </w:p>
    <w:p w14:paraId="27F38DEF">
      <w:pPr>
        <w:pStyle w:val="4"/>
        <w:pageBreakBefore w:val="0"/>
        <w:widowControl w:val="0"/>
        <w:kinsoku/>
        <w:wordWrap/>
        <w:overflowPunct/>
        <w:topLinePunct w:val="0"/>
        <w:autoSpaceDE/>
        <w:autoSpaceDN/>
        <w:bidi w:val="0"/>
        <w:adjustRightInd/>
        <w:snapToGrid/>
        <w:spacing w:line="560" w:lineRule="exact"/>
        <w:ind w:firstLine="440" w:firstLineChars="100"/>
        <w:textAlignment w:val="auto"/>
        <w:outlineLvl w:val="9"/>
        <w:rPr>
          <w:rFonts w:hint="eastAsia" w:ascii="方正小标宋简体" w:hAnsi="方正小标宋简体" w:eastAsia="方正小标宋简体" w:cs="方正小标宋简体"/>
          <w:b w:val="0"/>
          <w:bCs w:val="0"/>
          <w:sz w:val="44"/>
          <w:szCs w:val="44"/>
        </w:rPr>
        <w:sectPr>
          <w:footerReference r:id="rId5" w:type="first"/>
          <w:headerReference r:id="rId3" w:type="default"/>
          <w:footerReference r:id="rId4" w:type="default"/>
          <w:pgSz w:w="11906" w:h="16838"/>
          <w:pgMar w:top="1440" w:right="1800" w:bottom="1440" w:left="1800" w:header="851" w:footer="992" w:gutter="0"/>
          <w:pgNumType w:fmt="decimal"/>
          <w:cols w:space="425" w:num="1"/>
          <w:titlePg/>
          <w:docGrid w:type="lines" w:linePitch="312" w:charSpace="0"/>
        </w:sectPr>
      </w:pPr>
    </w:p>
    <w:p w14:paraId="003EF7D2">
      <w:pPr>
        <w:pStyle w:val="3"/>
        <w:bidi w:val="0"/>
        <w:jc w:val="center"/>
        <w:rPr>
          <w:rFonts w:hint="eastAsia"/>
        </w:rPr>
      </w:pPr>
      <w:bookmarkStart w:id="24" w:name="_Toc31576"/>
      <w:r>
        <w:rPr>
          <w:rFonts w:hint="eastAsia"/>
        </w:rPr>
        <w:t>第二部分</w:t>
      </w:r>
      <w:r>
        <w:rPr>
          <w:rFonts w:hint="eastAsia"/>
          <w:lang w:val="en-US" w:eastAsia="zh-CN"/>
        </w:rPr>
        <w:t xml:space="preserve"> </w:t>
      </w:r>
      <w:r>
        <w:rPr>
          <w:rFonts w:hint="eastAsia"/>
        </w:rPr>
        <w:t xml:space="preserve"> </w:t>
      </w:r>
      <w:r>
        <w:rPr>
          <w:rFonts w:hint="eastAsia"/>
          <w:lang w:val="en-US" w:eastAsia="zh-CN"/>
        </w:rPr>
        <w:t>2025年度</w:t>
      </w:r>
      <w:r>
        <w:rPr>
          <w:rFonts w:hint="eastAsia"/>
        </w:rPr>
        <w:t>部门决算情况说明</w:t>
      </w:r>
      <w:bookmarkEnd w:id="22"/>
      <w:bookmarkEnd w:id="23"/>
      <w:bookmarkEnd w:id="24"/>
    </w:p>
    <w:p w14:paraId="2C0F6AC4">
      <w:pPr>
        <w:pStyle w:val="2"/>
        <w:keepNext/>
        <w:keepLines/>
        <w:pageBreakBefore w:val="0"/>
        <w:widowControl w:val="0"/>
        <w:numPr>
          <w:ilvl w:val="0"/>
          <w:numId w:val="0"/>
        </w:numPr>
        <w:kinsoku/>
        <w:wordWrap/>
        <w:overflowPunct/>
        <w:topLinePunct w:val="0"/>
        <w:autoSpaceDE/>
        <w:autoSpaceDN/>
        <w:bidi w:val="0"/>
        <w:adjustRightInd/>
        <w:snapToGrid/>
        <w:spacing w:before="30" w:after="140" w:line="560" w:lineRule="exact"/>
        <w:ind w:firstLine="640" w:firstLineChars="200"/>
        <w:textAlignment w:val="auto"/>
        <w:outlineLvl w:val="1"/>
        <w:rPr>
          <w:rFonts w:hint="eastAsia" w:eastAsia="黑体"/>
          <w:b w:val="0"/>
          <w:color w:val="auto"/>
          <w:highlight w:val="none"/>
          <w:lang w:eastAsia="zh-CN"/>
        </w:rPr>
      </w:pPr>
      <w:bookmarkStart w:id="25" w:name="_Toc15377205"/>
      <w:bookmarkStart w:id="26" w:name="_Toc15396603"/>
      <w:bookmarkStart w:id="27" w:name="_Toc14446"/>
      <w:r>
        <w:rPr>
          <w:rFonts w:hint="eastAsia" w:eastAsia="黑体"/>
          <w:b w:val="0"/>
          <w:color w:val="auto"/>
          <w:highlight w:val="none"/>
          <w:lang w:eastAsia="zh-CN"/>
        </w:rPr>
        <w:t>一、收入支出决算总体情况说明</w:t>
      </w:r>
      <w:bookmarkEnd w:id="25"/>
      <w:bookmarkEnd w:id="26"/>
      <w:bookmarkEnd w:id="27"/>
    </w:p>
    <w:p w14:paraId="6A5E17D0">
      <w:pPr>
        <w:pStyle w:val="27"/>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1"/>
        <w:rPr>
          <w:rFonts w:hint="eastAsia" w:ascii="仿宋_GB2312" w:hAnsi="仿宋_GB2312" w:eastAsia="仿宋_GB2312" w:cs="仿宋_GB2312"/>
          <w:color w:val="auto"/>
          <w:sz w:val="32"/>
          <w:szCs w:val="32"/>
          <w:highlight w:val="none"/>
          <w:lang w:val="en-US" w:eastAsia="zh-CN"/>
        </w:rPr>
      </w:pPr>
      <w:bookmarkStart w:id="28" w:name="_Toc31632"/>
      <w:bookmarkStart w:id="29" w:name="_Toc23964"/>
      <w:bookmarkStart w:id="30" w:name="_Toc31044"/>
      <w:r>
        <w:rPr>
          <w:rFonts w:hint="eastAsia" w:ascii="Times New Roman" w:hAnsi="Times New Roman" w:eastAsia="仿宋_GB2312" w:cs="Times New Roman"/>
          <w:b w:val="0"/>
          <w:bCs w:val="0"/>
          <w:color w:val="000000"/>
          <w:kern w:val="2"/>
          <w:sz w:val="32"/>
          <w:szCs w:val="32"/>
          <w:lang w:val="en-US" w:eastAsia="zh-CN" w:bidi="ar-SA"/>
        </w:rPr>
        <w:t>2025</w:t>
      </w:r>
      <w:r>
        <w:rPr>
          <w:rFonts w:hint="eastAsia" w:ascii="仿宋_GB2312" w:hAnsi="仿宋_GB2312" w:eastAsia="仿宋_GB2312" w:cs="仿宋_GB2312"/>
          <w:color w:val="auto"/>
          <w:sz w:val="32"/>
          <w:szCs w:val="32"/>
          <w:highlight w:val="none"/>
          <w:lang w:eastAsia="zh-CN"/>
        </w:rPr>
        <w:t>年度收入</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支出</w:t>
      </w:r>
      <w:r>
        <w:rPr>
          <w:rFonts w:hint="eastAsia" w:ascii="仿宋_GB2312" w:hAnsi="仿宋_GB2312" w:eastAsia="仿宋_GB2312" w:cs="仿宋_GB2312"/>
          <w:color w:val="auto"/>
          <w:sz w:val="32"/>
          <w:szCs w:val="32"/>
          <w:highlight w:val="none"/>
        </w:rPr>
        <w:t>总计</w:t>
      </w:r>
      <w:r>
        <w:rPr>
          <w:rFonts w:hint="eastAsia" w:ascii="仿宋_GB2312" w:hAnsi="仿宋_GB2312" w:eastAsia="仿宋_GB2312" w:cs="仿宋_GB2312"/>
          <w:color w:val="auto"/>
          <w:sz w:val="32"/>
          <w:szCs w:val="32"/>
          <w:highlight w:val="none"/>
          <w:lang w:eastAsia="zh-CN"/>
        </w:rPr>
        <w:t>均为</w:t>
      </w:r>
      <w:r>
        <w:rPr>
          <w:rFonts w:hint="eastAsia" w:ascii="Times New Roman" w:hAnsi="Times New Roman" w:eastAsia="仿宋_GB2312" w:cs="Times New Roman"/>
          <w:b w:val="0"/>
          <w:bCs w:val="0"/>
          <w:color w:val="000000"/>
          <w:kern w:val="2"/>
          <w:sz w:val="32"/>
          <w:szCs w:val="32"/>
          <w:lang w:val="en-US" w:eastAsia="zh-CN" w:bidi="ar-SA"/>
        </w:rPr>
        <w:t>523.64</w:t>
      </w:r>
      <w:r>
        <w:rPr>
          <w:rFonts w:hint="eastAsia" w:ascii="仿宋_GB2312" w:hAnsi="仿宋_GB2312" w:eastAsia="仿宋_GB2312" w:cs="仿宋_GB2312"/>
          <w:color w:val="auto"/>
          <w:sz w:val="32"/>
          <w:szCs w:val="32"/>
          <w:highlight w:val="none"/>
        </w:rPr>
        <w:t>万元。与</w:t>
      </w:r>
      <w:r>
        <w:rPr>
          <w:rFonts w:hint="eastAsia" w:ascii="Times New Roman" w:hAnsi="Times New Roman" w:eastAsia="仿宋_GB2312" w:cs="Times New Roman"/>
          <w:b w:val="0"/>
          <w:bCs w:val="0"/>
          <w:color w:val="000000"/>
          <w:kern w:val="2"/>
          <w:sz w:val="32"/>
          <w:szCs w:val="32"/>
          <w:lang w:val="en-US" w:eastAsia="zh-CN" w:bidi="ar-SA"/>
        </w:rPr>
        <w:t>2024</w:t>
      </w:r>
      <w:r>
        <w:rPr>
          <w:rFonts w:hint="eastAsia" w:ascii="仿宋_GB2312" w:hAnsi="仿宋_GB2312" w:eastAsia="仿宋_GB2312" w:cs="仿宋_GB2312"/>
          <w:color w:val="auto"/>
          <w:sz w:val="32"/>
          <w:szCs w:val="32"/>
          <w:highlight w:val="none"/>
        </w:rPr>
        <w:t>年</w:t>
      </w:r>
      <w:r>
        <w:rPr>
          <w:rFonts w:hint="eastAsia" w:ascii="仿宋_GB2312" w:hAnsi="仿宋_GB2312" w:eastAsia="仿宋_GB2312" w:cs="仿宋_GB2312"/>
          <w:color w:val="auto"/>
          <w:sz w:val="32"/>
          <w:szCs w:val="32"/>
          <w:highlight w:val="none"/>
          <w:lang w:eastAsia="zh-CN"/>
        </w:rPr>
        <w:t>度</w:t>
      </w:r>
      <w:r>
        <w:rPr>
          <w:rFonts w:hint="eastAsia" w:ascii="仿宋_GB2312" w:hAnsi="仿宋_GB2312" w:eastAsia="仿宋_GB2312" w:cs="仿宋_GB2312"/>
          <w:color w:val="auto"/>
          <w:sz w:val="32"/>
          <w:szCs w:val="32"/>
          <w:highlight w:val="none"/>
        </w:rPr>
        <w:t>相比，</w:t>
      </w:r>
      <w:r>
        <w:rPr>
          <w:rFonts w:hint="eastAsia" w:ascii="仿宋_GB2312" w:hAnsi="仿宋_GB2312" w:eastAsia="仿宋_GB2312" w:cs="仿宋_GB2312"/>
          <w:color w:val="auto"/>
          <w:sz w:val="32"/>
          <w:szCs w:val="32"/>
          <w:highlight w:val="none"/>
          <w:lang w:eastAsia="zh-CN"/>
        </w:rPr>
        <w:t>收入</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支出</w:t>
      </w:r>
      <w:r>
        <w:rPr>
          <w:rFonts w:hint="eastAsia" w:ascii="仿宋_GB2312" w:hAnsi="仿宋_GB2312" w:eastAsia="仿宋_GB2312" w:cs="仿宋_GB2312"/>
          <w:color w:val="auto"/>
          <w:sz w:val="32"/>
          <w:szCs w:val="32"/>
          <w:highlight w:val="none"/>
        </w:rPr>
        <w:t>总计各减少</w:t>
      </w:r>
      <w:r>
        <w:rPr>
          <w:rFonts w:hint="eastAsia" w:ascii="Times New Roman" w:hAnsi="Times New Roman" w:eastAsia="仿宋_GB2312" w:cs="Times New Roman"/>
          <w:b w:val="0"/>
          <w:bCs w:val="0"/>
          <w:color w:val="000000"/>
          <w:kern w:val="2"/>
          <w:sz w:val="32"/>
          <w:szCs w:val="32"/>
          <w:lang w:val="en-US" w:eastAsia="zh-CN" w:bidi="ar-SA"/>
        </w:rPr>
        <w:t>1203.48</w:t>
      </w:r>
      <w:r>
        <w:rPr>
          <w:rFonts w:hint="eastAsia" w:ascii="仿宋_GB2312" w:hAnsi="仿宋_GB2312" w:eastAsia="仿宋_GB2312" w:cs="仿宋_GB2312"/>
          <w:color w:val="auto"/>
          <w:sz w:val="32"/>
          <w:szCs w:val="32"/>
          <w:highlight w:val="none"/>
        </w:rPr>
        <w:t>万元，下降</w:t>
      </w:r>
      <w:r>
        <w:rPr>
          <w:rFonts w:hint="eastAsia" w:ascii="Times New Roman" w:hAnsi="Times New Roman" w:eastAsia="仿宋_GB2312" w:cs="Times New Roman"/>
          <w:b w:val="0"/>
          <w:bCs w:val="0"/>
          <w:color w:val="000000"/>
          <w:kern w:val="2"/>
          <w:sz w:val="32"/>
          <w:szCs w:val="32"/>
          <w:lang w:val="en-US" w:eastAsia="zh-CN" w:bidi="ar-SA"/>
        </w:rPr>
        <w:t>69.68%</w:t>
      </w:r>
      <w:r>
        <w:rPr>
          <w:rFonts w:hint="eastAsia" w:ascii="仿宋_GB2312" w:hAnsi="仿宋_GB2312" w:eastAsia="仿宋_GB2312" w:cs="仿宋_GB2312"/>
          <w:color w:val="auto"/>
          <w:sz w:val="32"/>
          <w:szCs w:val="32"/>
          <w:highlight w:val="none"/>
        </w:rPr>
        <w:t>。主要变动原因是</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人员变动，项目减少</w:t>
      </w:r>
      <w:r>
        <w:rPr>
          <w:rFonts w:hint="eastAsia" w:ascii="仿宋_GB2312" w:hAnsi="仿宋_GB2312" w:eastAsia="仿宋_GB2312" w:cs="仿宋_GB2312"/>
          <w:color w:val="auto"/>
          <w:sz w:val="32"/>
          <w:szCs w:val="32"/>
          <w:highlight w:val="none"/>
          <w:lang w:eastAsia="zh-CN"/>
        </w:rPr>
        <w:t>。</w:t>
      </w:r>
      <w:bookmarkEnd w:id="28"/>
      <w:bookmarkEnd w:id="29"/>
      <w:bookmarkEnd w:id="30"/>
    </w:p>
    <w:p w14:paraId="45B20FC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p>
    <w:p w14:paraId="2FF21C6B">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ascii="仿宋" w:eastAsia="仿宋"/>
          <w:color w:val="auto"/>
          <w:sz w:val="32"/>
          <w:szCs w:val="32"/>
          <w:highlight w:val="none"/>
          <w:lang w:eastAsia="zh-CN"/>
        </w:rPr>
      </w:pPr>
      <w:bookmarkStart w:id="31" w:name="_Toc15396604"/>
      <w:bookmarkStart w:id="32" w:name="_Toc15377206"/>
      <w:r>
        <w:rPr>
          <w:rFonts w:ascii="仿宋" w:eastAsia="仿宋"/>
          <w:color w:val="auto"/>
          <w:sz w:val="32"/>
          <w:szCs w:val="32"/>
          <w:highlight w:val="none"/>
          <w:lang w:eastAsia="zh-CN"/>
        </w:rPr>
        <w:object>
          <v:shape id="_x0000_i1025" o:spt="75" alt="457466939.emf" type="#_x0000_t75" style="height:176.25pt;width:293.05pt;" o:ole="t" filled="f" o:preferrelative="t" stroked="f" coordsize="21600,21600">
            <v:path/>
            <v:fill on="f" focussize="0,0"/>
            <v:stroke on="f"/>
            <v:imagedata r:id="rId14" o:title=""/>
            <o:lock v:ext="edit" aspectratio="t"/>
            <w10:wrap type="none"/>
            <w10:anchorlock/>
          </v:shape>
          <o:OLEObject Type="Embed" ProgID="Excel.Chart.8" ShapeID="_x0000_i1025" DrawAspect="Content" ObjectID="_1468075725" r:id="rId13">
            <o:LockedField>false</o:LockedField>
          </o:OLEObject>
        </w:object>
      </w:r>
    </w:p>
    <w:p w14:paraId="4FD4E05E">
      <w:pPr>
        <w:pStyle w:val="2"/>
        <w:keepNext/>
        <w:keepLines/>
        <w:pageBreakBefore w:val="0"/>
        <w:widowControl w:val="0"/>
        <w:numPr>
          <w:ilvl w:val="0"/>
          <w:numId w:val="0"/>
        </w:numPr>
        <w:kinsoku/>
        <w:wordWrap/>
        <w:overflowPunct/>
        <w:topLinePunct w:val="0"/>
        <w:autoSpaceDE/>
        <w:autoSpaceDN/>
        <w:bidi w:val="0"/>
        <w:adjustRightInd/>
        <w:snapToGrid/>
        <w:spacing w:before="30" w:after="140" w:line="576" w:lineRule="exact"/>
        <w:ind w:firstLine="640" w:firstLineChars="200"/>
        <w:textAlignment w:val="auto"/>
        <w:outlineLvl w:val="1"/>
        <w:rPr>
          <w:rFonts w:hint="eastAsia" w:eastAsia="黑体"/>
          <w:b w:val="0"/>
          <w:color w:val="auto"/>
          <w:highlight w:val="none"/>
          <w:lang w:eastAsia="zh-CN"/>
        </w:rPr>
      </w:pPr>
      <w:bookmarkStart w:id="33" w:name="_Toc9709"/>
      <w:r>
        <w:rPr>
          <w:rFonts w:hint="eastAsia" w:eastAsia="黑体"/>
          <w:b w:val="0"/>
          <w:color w:val="auto"/>
          <w:highlight w:val="none"/>
          <w:lang w:eastAsia="zh-CN"/>
        </w:rPr>
        <w:t>二、收入决算情况说明</w:t>
      </w:r>
      <w:bookmarkEnd w:id="31"/>
      <w:bookmarkEnd w:id="32"/>
      <w:bookmarkEnd w:id="33"/>
    </w:p>
    <w:p w14:paraId="4E2B49BC">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仿宋_GB2312" w:hAnsi="仿宋_GB2312" w:eastAsia="仿宋_GB2312" w:cs="仿宋_GB2312"/>
          <w:color w:val="auto"/>
          <w:sz w:val="32"/>
          <w:szCs w:val="32"/>
          <w:highlight w:val="none"/>
          <w:lang w:val="en-US" w:eastAsia="zh-CN"/>
        </w:rPr>
      </w:pPr>
      <w:bookmarkStart w:id="34" w:name="_Toc32216"/>
      <w:bookmarkStart w:id="35" w:name="_Toc16333"/>
      <w:bookmarkStart w:id="36" w:name="_Toc22884"/>
      <w:r>
        <w:rPr>
          <w:rFonts w:hint="eastAsia" w:ascii="Times New Roman" w:hAnsi="Times New Roman" w:eastAsia="仿宋_GB2312" w:cs="Times New Roman"/>
          <w:b w:val="0"/>
          <w:bCs w:val="0"/>
          <w:color w:val="000000"/>
          <w:kern w:val="2"/>
          <w:sz w:val="32"/>
          <w:szCs w:val="32"/>
          <w:lang w:val="en-US" w:eastAsia="zh-CN" w:bidi="ar-SA"/>
        </w:rPr>
        <w:pict>
          <v:shape id="Object 6" o:spid="_x0000_s2050" o:spt="75" type="#_x0000_t75" style="position:absolute;left:0pt;margin-left:44.5pt;margin-top:95.8pt;height:185.1pt;width:307.85pt;z-index:-251657216;mso-width-relative:page;mso-height-relative:page;" o:ole="t" filled="f" o:preferrelative="t" stroked="f" coordsize="21600,21600">
            <v:path/>
            <v:fill on="f" focussize="0,0"/>
            <v:stroke on="f"/>
            <v:imagedata r:id="rId16" o:title=""/>
            <o:lock v:ext="edit" aspectratio="t"/>
          </v:shape>
          <o:OLEObject Type="Embed" ProgID="Excel.Chart.8" ShapeID="Object 6" DrawAspect="Content" ObjectID="_1468075726" r:id="rId15">
            <o:LockedField>false</o:LockedField>
          </o:OLEObject>
        </w:pict>
      </w:r>
      <w:r>
        <w:rPr>
          <w:rFonts w:hint="eastAsia" w:ascii="Times New Roman" w:hAnsi="Times New Roman" w:eastAsia="仿宋_GB2312" w:cs="Times New Roman"/>
          <w:b w:val="0"/>
          <w:bCs w:val="0"/>
          <w:color w:val="000000"/>
          <w:kern w:val="2"/>
          <w:sz w:val="32"/>
          <w:szCs w:val="32"/>
          <w:lang w:val="en-US" w:eastAsia="zh-CN" w:bidi="ar-SA"/>
        </w:rPr>
        <w:t>2025</w:t>
      </w:r>
      <w:r>
        <w:rPr>
          <w:rFonts w:hint="eastAsia" w:ascii="仿宋_GB2312" w:hAnsi="仿宋_GB2312" w:eastAsia="仿宋_GB2312" w:cs="仿宋_GB2312"/>
          <w:color w:val="auto"/>
          <w:sz w:val="32"/>
          <w:szCs w:val="32"/>
          <w:highlight w:val="none"/>
          <w:lang w:eastAsia="zh-CN"/>
        </w:rPr>
        <w:t>年度本年收入合计</w:t>
      </w:r>
      <w:r>
        <w:rPr>
          <w:rFonts w:hint="eastAsia" w:ascii="Times New Roman" w:hAnsi="Times New Roman" w:eastAsia="仿宋_GB2312" w:cs="Times New Roman"/>
          <w:b w:val="0"/>
          <w:bCs w:val="0"/>
          <w:color w:val="000000"/>
          <w:kern w:val="2"/>
          <w:sz w:val="32"/>
          <w:szCs w:val="32"/>
          <w:lang w:val="en-US" w:eastAsia="zh-CN" w:bidi="ar-SA"/>
        </w:rPr>
        <w:t>523.64</w:t>
      </w:r>
      <w:r>
        <w:rPr>
          <w:rFonts w:hint="eastAsia" w:ascii="仿宋_GB2312" w:hAnsi="仿宋_GB2312" w:eastAsia="仿宋_GB2312" w:cs="仿宋_GB2312"/>
          <w:color w:val="auto"/>
          <w:sz w:val="32"/>
          <w:szCs w:val="32"/>
          <w:highlight w:val="none"/>
          <w:lang w:eastAsia="zh-CN"/>
        </w:rPr>
        <w:t>万元，其中：一般公共预算财政拨款收入</w:t>
      </w:r>
      <w:r>
        <w:rPr>
          <w:rFonts w:hint="eastAsia" w:ascii="Times New Roman" w:hAnsi="Times New Roman" w:eastAsia="仿宋_GB2312" w:cs="Times New Roman"/>
          <w:b w:val="0"/>
          <w:bCs w:val="0"/>
          <w:color w:val="000000"/>
          <w:kern w:val="2"/>
          <w:sz w:val="32"/>
          <w:szCs w:val="32"/>
          <w:lang w:val="en-US" w:eastAsia="zh-CN" w:bidi="ar-SA"/>
        </w:rPr>
        <w:t>522.64</w:t>
      </w:r>
      <w:r>
        <w:rPr>
          <w:rFonts w:hint="eastAsia" w:ascii="仿宋_GB2312" w:hAnsi="仿宋_GB2312" w:eastAsia="仿宋_GB2312" w:cs="仿宋_GB2312"/>
          <w:color w:val="auto"/>
          <w:sz w:val="32"/>
          <w:szCs w:val="32"/>
          <w:highlight w:val="none"/>
          <w:lang w:eastAsia="zh-CN"/>
        </w:rPr>
        <w:t>万元，占</w:t>
      </w:r>
      <w:r>
        <w:rPr>
          <w:rFonts w:hint="eastAsia" w:ascii="Times New Roman" w:hAnsi="Times New Roman" w:eastAsia="仿宋_GB2312" w:cs="Times New Roman"/>
          <w:b w:val="0"/>
          <w:bCs w:val="0"/>
          <w:color w:val="000000"/>
          <w:kern w:val="2"/>
          <w:sz w:val="32"/>
          <w:szCs w:val="32"/>
          <w:lang w:val="en-US" w:eastAsia="zh-CN" w:bidi="ar-SA"/>
        </w:rPr>
        <w:t>99.81%</w:t>
      </w:r>
      <w:r>
        <w:rPr>
          <w:rFonts w:hint="eastAsia" w:ascii="仿宋_GB2312" w:hAnsi="仿宋_GB2312" w:eastAsia="仿宋_GB2312" w:cs="仿宋_GB2312"/>
          <w:color w:val="auto"/>
          <w:sz w:val="32"/>
          <w:szCs w:val="32"/>
          <w:highlight w:val="none"/>
          <w:lang w:eastAsia="zh-CN"/>
        </w:rPr>
        <w:t>；国有资本经营预算财政拨款收入</w:t>
      </w:r>
      <w:r>
        <w:rPr>
          <w:rFonts w:hint="eastAsia" w:ascii="Times New Roman" w:hAnsi="Times New Roman" w:eastAsia="仿宋_GB2312" w:cs="Times New Roman"/>
          <w:b w:val="0"/>
          <w:bCs w:val="0"/>
          <w:color w:val="000000"/>
          <w:kern w:val="2"/>
          <w:sz w:val="32"/>
          <w:szCs w:val="32"/>
          <w:lang w:val="en-US" w:eastAsia="zh-CN" w:bidi="ar-SA"/>
        </w:rPr>
        <w:t>1</w:t>
      </w:r>
      <w:r>
        <w:rPr>
          <w:rFonts w:hint="eastAsia" w:ascii="仿宋_GB2312" w:hAnsi="仿宋_GB2312" w:eastAsia="仿宋_GB2312" w:cs="仿宋_GB2312"/>
          <w:color w:val="auto"/>
          <w:sz w:val="32"/>
          <w:szCs w:val="32"/>
          <w:highlight w:val="none"/>
          <w:lang w:eastAsia="zh-CN"/>
        </w:rPr>
        <w:t>万元，占</w:t>
      </w:r>
      <w:r>
        <w:rPr>
          <w:rFonts w:hint="eastAsia" w:ascii="Times New Roman" w:hAnsi="Times New Roman" w:eastAsia="仿宋_GB2312" w:cs="Times New Roman"/>
          <w:b w:val="0"/>
          <w:bCs w:val="0"/>
          <w:color w:val="000000"/>
          <w:kern w:val="2"/>
          <w:sz w:val="32"/>
          <w:szCs w:val="32"/>
          <w:lang w:val="en-US" w:eastAsia="zh-CN" w:bidi="ar-SA"/>
        </w:rPr>
        <w:t>0.19%</w:t>
      </w:r>
      <w:r>
        <w:rPr>
          <w:rFonts w:hint="eastAsia" w:ascii="仿宋_GB2312" w:hAnsi="仿宋_GB2312" w:eastAsia="仿宋_GB2312" w:cs="仿宋_GB2312"/>
          <w:color w:val="auto"/>
          <w:sz w:val="32"/>
          <w:szCs w:val="32"/>
          <w:highlight w:val="none"/>
          <w:lang w:eastAsia="zh-CN"/>
        </w:rPr>
        <w:t>。</w:t>
      </w:r>
      <w:bookmarkEnd w:id="34"/>
      <w:bookmarkEnd w:id="35"/>
      <w:bookmarkEnd w:id="36"/>
    </w:p>
    <w:p w14:paraId="2AEA738E">
      <w:pPr>
        <w:pStyle w:val="2"/>
        <w:keepNext/>
        <w:keepLines/>
        <w:pageBreakBefore w:val="0"/>
        <w:widowControl w:val="0"/>
        <w:numPr>
          <w:ilvl w:val="0"/>
          <w:numId w:val="0"/>
        </w:numPr>
        <w:kinsoku/>
        <w:wordWrap/>
        <w:overflowPunct/>
        <w:topLinePunct w:val="0"/>
        <w:autoSpaceDE/>
        <w:autoSpaceDN/>
        <w:bidi w:val="0"/>
        <w:adjustRightInd/>
        <w:snapToGrid/>
        <w:spacing w:before="30" w:after="140" w:line="576" w:lineRule="exact"/>
        <w:ind w:firstLine="640" w:firstLineChars="200"/>
        <w:textAlignment w:val="auto"/>
        <w:outlineLvl w:val="9"/>
        <w:rPr>
          <w:rFonts w:hint="eastAsia" w:eastAsia="黑体"/>
          <w:b w:val="0"/>
          <w:color w:val="auto"/>
          <w:highlight w:val="none"/>
          <w:lang w:eastAsia="zh-CN"/>
        </w:rPr>
        <w:sectPr>
          <w:footerReference r:id="rId7" w:type="first"/>
          <w:footerReference r:id="rId6" w:type="default"/>
          <w:pgSz w:w="11906" w:h="16838"/>
          <w:pgMar w:top="1440" w:right="1800" w:bottom="1440" w:left="1800" w:header="851" w:footer="992" w:gutter="0"/>
          <w:pgNumType w:fmt="decimal" w:start="5"/>
          <w:cols w:space="425" w:num="1"/>
          <w:titlePg/>
          <w:docGrid w:type="lines" w:linePitch="312" w:charSpace="0"/>
        </w:sectPr>
      </w:pPr>
    </w:p>
    <w:p w14:paraId="70097DAF">
      <w:pPr>
        <w:pStyle w:val="2"/>
        <w:keepNext/>
        <w:keepLines/>
        <w:pageBreakBefore w:val="0"/>
        <w:widowControl w:val="0"/>
        <w:numPr>
          <w:ilvl w:val="0"/>
          <w:numId w:val="0"/>
        </w:numPr>
        <w:kinsoku/>
        <w:wordWrap/>
        <w:overflowPunct/>
        <w:topLinePunct w:val="0"/>
        <w:autoSpaceDE/>
        <w:autoSpaceDN/>
        <w:bidi w:val="0"/>
        <w:adjustRightInd/>
        <w:snapToGrid/>
        <w:spacing w:before="30" w:after="140" w:line="576" w:lineRule="exact"/>
        <w:ind w:firstLine="640" w:firstLineChars="200"/>
        <w:textAlignment w:val="auto"/>
        <w:outlineLvl w:val="1"/>
        <w:rPr>
          <w:rFonts w:hint="eastAsia" w:eastAsia="黑体"/>
          <w:b w:val="0"/>
          <w:color w:val="auto"/>
          <w:highlight w:val="none"/>
          <w:lang w:eastAsia="zh-CN"/>
        </w:rPr>
      </w:pPr>
      <w:bookmarkStart w:id="37" w:name="_Toc6701"/>
      <w:r>
        <w:rPr>
          <w:rFonts w:hint="eastAsia" w:eastAsia="黑体"/>
          <w:b w:val="0"/>
          <w:color w:val="auto"/>
          <w:highlight w:val="none"/>
          <w:lang w:eastAsia="zh-CN"/>
        </w:rPr>
        <w:t>三、支出决算情况说明</w:t>
      </w:r>
      <w:bookmarkEnd w:id="37"/>
    </w:p>
    <w:p w14:paraId="0204D378">
      <w:pPr>
        <w:pStyle w:val="2"/>
        <w:keepNext/>
        <w:keepLines/>
        <w:pageBreakBefore w:val="0"/>
        <w:widowControl w:val="0"/>
        <w:numPr>
          <w:ilvl w:val="0"/>
          <w:numId w:val="0"/>
        </w:numPr>
        <w:kinsoku/>
        <w:wordWrap/>
        <w:overflowPunct/>
        <w:topLinePunct w:val="0"/>
        <w:autoSpaceDE/>
        <w:autoSpaceDN/>
        <w:bidi w:val="0"/>
        <w:adjustRightInd/>
        <w:snapToGrid/>
        <w:spacing w:before="30" w:after="140" w:line="576" w:lineRule="exact"/>
        <w:ind w:firstLine="640" w:firstLineChars="200"/>
        <w:textAlignment w:val="auto"/>
        <w:outlineLvl w:val="2"/>
        <w:rPr>
          <w:rFonts w:hint="eastAsia" w:ascii="仿宋_GB2312" w:hAnsi="仿宋_GB2312" w:eastAsia="仿宋_GB2312" w:cs="仿宋_GB2312"/>
          <w:b w:val="0"/>
          <w:color w:val="auto"/>
          <w:highlight w:val="none"/>
          <w:lang w:val="en-US" w:eastAsia="zh-CN"/>
        </w:rPr>
      </w:pPr>
      <w:bookmarkStart w:id="38" w:name="_Toc15377207"/>
      <w:bookmarkStart w:id="39" w:name="_Toc15396605"/>
      <w:r>
        <w:rPr>
          <w:rFonts w:hint="eastAsia" w:ascii="Times New Roman" w:hAnsi="Times New Roman" w:eastAsia="仿宋_GB2312" w:cs="Times New Roman"/>
          <w:b w:val="0"/>
          <w:bCs w:val="0"/>
          <w:color w:val="000000"/>
          <w:kern w:val="2"/>
          <w:sz w:val="32"/>
          <w:szCs w:val="32"/>
          <w:lang w:val="en-US" w:eastAsia="zh-CN" w:bidi="ar-SA"/>
        </w:rPr>
        <w:t xml:space="preserve"> 2025</w:t>
      </w:r>
      <w:r>
        <w:rPr>
          <w:rFonts w:hint="eastAsia" w:ascii="仿宋_GB2312" w:hAnsi="仿宋_GB2312" w:eastAsia="仿宋_GB2312" w:cs="仿宋_GB2312"/>
          <w:b w:val="0"/>
          <w:color w:val="auto"/>
          <w:highlight w:val="none"/>
          <w:lang w:val="en-US" w:eastAsia="zh-CN"/>
        </w:rPr>
        <w:t>年度支出合计</w:t>
      </w:r>
      <w:r>
        <w:rPr>
          <w:rFonts w:hint="eastAsia" w:ascii="Times New Roman" w:hAnsi="Times New Roman" w:eastAsia="仿宋_GB2312" w:cs="Times New Roman"/>
          <w:b w:val="0"/>
          <w:bCs w:val="0"/>
          <w:color w:val="000000"/>
          <w:kern w:val="2"/>
          <w:sz w:val="32"/>
          <w:szCs w:val="32"/>
          <w:lang w:val="en-US" w:eastAsia="zh-CN" w:bidi="ar-SA"/>
        </w:rPr>
        <w:t>523.64</w:t>
      </w:r>
      <w:r>
        <w:rPr>
          <w:rFonts w:hint="eastAsia" w:ascii="仿宋_GB2312" w:hAnsi="仿宋_GB2312" w:eastAsia="仿宋_GB2312" w:cs="仿宋_GB2312"/>
          <w:b w:val="0"/>
          <w:color w:val="auto"/>
          <w:highlight w:val="none"/>
          <w:lang w:val="en-US" w:eastAsia="zh-CN"/>
        </w:rPr>
        <w:t>万元，其中：基本支出</w:t>
      </w:r>
      <w:r>
        <w:rPr>
          <w:rFonts w:hint="eastAsia" w:ascii="Times New Roman" w:hAnsi="Times New Roman" w:eastAsia="仿宋_GB2312" w:cs="Times New Roman"/>
          <w:b w:val="0"/>
          <w:bCs w:val="0"/>
          <w:color w:val="000000"/>
          <w:kern w:val="2"/>
          <w:sz w:val="32"/>
          <w:szCs w:val="32"/>
          <w:lang w:val="en-US" w:eastAsia="zh-CN" w:bidi="ar-SA"/>
        </w:rPr>
        <w:t>324.09</w:t>
      </w:r>
      <w:r>
        <w:rPr>
          <w:rFonts w:hint="eastAsia" w:ascii="仿宋_GB2312" w:hAnsi="仿宋_GB2312" w:eastAsia="仿宋_GB2312" w:cs="仿宋_GB2312"/>
          <w:b w:val="0"/>
          <w:color w:val="auto"/>
          <w:highlight w:val="none"/>
          <w:lang w:val="en-US" w:eastAsia="zh-CN"/>
        </w:rPr>
        <w:t>万元，占</w:t>
      </w:r>
      <w:r>
        <w:rPr>
          <w:rFonts w:hint="eastAsia" w:ascii="Times New Roman" w:hAnsi="Times New Roman" w:eastAsia="仿宋_GB2312" w:cs="Times New Roman"/>
          <w:b w:val="0"/>
          <w:bCs w:val="0"/>
          <w:color w:val="000000"/>
          <w:kern w:val="2"/>
          <w:sz w:val="32"/>
          <w:szCs w:val="32"/>
          <w:lang w:val="en-US" w:eastAsia="zh-CN" w:bidi="ar-SA"/>
        </w:rPr>
        <w:t>61.89%</w:t>
      </w:r>
      <w:r>
        <w:rPr>
          <w:rFonts w:hint="eastAsia" w:ascii="仿宋_GB2312" w:hAnsi="仿宋_GB2312" w:eastAsia="仿宋_GB2312" w:cs="仿宋_GB2312"/>
          <w:b w:val="0"/>
          <w:color w:val="auto"/>
          <w:highlight w:val="none"/>
          <w:lang w:val="en-US" w:eastAsia="zh-CN"/>
        </w:rPr>
        <w:t>；项目支出</w:t>
      </w:r>
      <w:r>
        <w:rPr>
          <w:rFonts w:hint="eastAsia" w:ascii="Times New Roman" w:hAnsi="Times New Roman" w:eastAsia="仿宋_GB2312" w:cs="Times New Roman"/>
          <w:b w:val="0"/>
          <w:bCs w:val="0"/>
          <w:color w:val="000000"/>
          <w:kern w:val="2"/>
          <w:sz w:val="32"/>
          <w:szCs w:val="32"/>
          <w:lang w:val="en-US" w:eastAsia="zh-CN" w:bidi="ar-SA"/>
        </w:rPr>
        <w:t>199.55</w:t>
      </w:r>
      <w:r>
        <w:rPr>
          <w:rFonts w:hint="eastAsia" w:ascii="仿宋_GB2312" w:hAnsi="仿宋_GB2312" w:eastAsia="仿宋_GB2312" w:cs="仿宋_GB2312"/>
          <w:b w:val="0"/>
          <w:color w:val="auto"/>
          <w:highlight w:val="none"/>
          <w:lang w:val="en-US" w:eastAsia="zh-CN"/>
        </w:rPr>
        <w:t>万元，占</w:t>
      </w:r>
      <w:r>
        <w:rPr>
          <w:rFonts w:hint="eastAsia" w:ascii="Times New Roman" w:hAnsi="Times New Roman" w:eastAsia="仿宋_GB2312" w:cs="Times New Roman"/>
          <w:b w:val="0"/>
          <w:bCs w:val="0"/>
          <w:color w:val="000000"/>
          <w:kern w:val="2"/>
          <w:sz w:val="32"/>
          <w:szCs w:val="32"/>
          <w:lang w:val="en-US" w:eastAsia="zh-CN" w:bidi="ar-SA"/>
        </w:rPr>
        <w:t>38.11%</w:t>
      </w:r>
      <w:r>
        <w:rPr>
          <w:rFonts w:hint="eastAsia" w:ascii="仿宋_GB2312" w:hAnsi="仿宋_GB2312" w:eastAsia="仿宋_GB2312" w:cs="仿宋_GB2312"/>
          <w:b w:val="0"/>
          <w:color w:val="auto"/>
          <w:highlight w:val="none"/>
          <w:lang w:val="en-US" w:eastAsia="zh-CN"/>
        </w:rPr>
        <w:t>。</w:t>
      </w:r>
    </w:p>
    <w:p w14:paraId="0E9CDCC9">
      <w:pPr>
        <w:pStyle w:val="2"/>
        <w:keepNext/>
        <w:keepLines/>
        <w:pageBreakBefore w:val="0"/>
        <w:widowControl w:val="0"/>
        <w:numPr>
          <w:ilvl w:val="0"/>
          <w:numId w:val="0"/>
        </w:numPr>
        <w:kinsoku/>
        <w:wordWrap/>
        <w:overflowPunct/>
        <w:topLinePunct w:val="0"/>
        <w:autoSpaceDE/>
        <w:autoSpaceDN/>
        <w:bidi w:val="0"/>
        <w:adjustRightInd/>
        <w:snapToGrid/>
        <w:spacing w:before="30" w:after="140" w:line="576" w:lineRule="exact"/>
        <w:textAlignment w:val="auto"/>
        <w:outlineLvl w:val="9"/>
        <w:rPr>
          <w:rFonts w:hint="eastAsia" w:eastAsia="黑体"/>
          <w:b w:val="0"/>
          <w:color w:val="auto"/>
          <w:highlight w:val="none"/>
          <w:lang w:eastAsia="zh-CN"/>
        </w:rPr>
      </w:pPr>
      <w:r>
        <w:pict>
          <v:shape id="Object 7" o:spid="_x0000_s2051" o:spt="75" type="#_x0000_t75" style="position:absolute;left:0pt;margin-left:35.45pt;margin-top:1.15pt;height:187.35pt;width:341.05pt;mso-wrap-distance-bottom:0pt;mso-wrap-distance-left:9pt;mso-wrap-distance-right:9pt;mso-wrap-distance-top:0pt;z-index:251660288;mso-width-relative:page;mso-height-relative:page;" o:ole="t" filled="f" o:preferrelative="t" stroked="f" coordsize="21600,21600">
            <v:path/>
            <v:fill on="f" focussize="0,0"/>
            <v:stroke on="f"/>
            <v:imagedata r:id="rId18" o:title=""/>
            <o:lock v:ext="edit" aspectratio="t"/>
            <w10:wrap type="square"/>
          </v:shape>
          <o:OLEObject Type="Embed" ProgID="Excel.Chart.8" ShapeID="Object 7" DrawAspect="Content" ObjectID="_1468075727" r:id="rId17">
            <o:LockedField>false</o:LockedField>
          </o:OLEObject>
        </w:pict>
      </w:r>
    </w:p>
    <w:p w14:paraId="7F18EB44">
      <w:pPr>
        <w:pStyle w:val="2"/>
        <w:keepNext/>
        <w:keepLines/>
        <w:pageBreakBefore w:val="0"/>
        <w:widowControl w:val="0"/>
        <w:numPr>
          <w:ilvl w:val="0"/>
          <w:numId w:val="0"/>
        </w:numPr>
        <w:kinsoku/>
        <w:wordWrap/>
        <w:overflowPunct/>
        <w:topLinePunct w:val="0"/>
        <w:autoSpaceDE/>
        <w:autoSpaceDN/>
        <w:bidi w:val="0"/>
        <w:adjustRightInd/>
        <w:snapToGrid/>
        <w:spacing w:before="30" w:after="140" w:line="576" w:lineRule="exact"/>
        <w:textAlignment w:val="auto"/>
        <w:outlineLvl w:val="9"/>
        <w:rPr>
          <w:rFonts w:hint="eastAsia" w:eastAsia="黑体"/>
          <w:b w:val="0"/>
          <w:color w:val="auto"/>
          <w:highlight w:val="none"/>
          <w:lang w:eastAsia="zh-CN"/>
        </w:rPr>
      </w:pPr>
    </w:p>
    <w:bookmarkEnd w:id="38"/>
    <w:bookmarkEnd w:id="39"/>
    <w:p w14:paraId="159A7971">
      <w:pPr>
        <w:pStyle w:val="2"/>
        <w:keepNext/>
        <w:keepLines/>
        <w:pageBreakBefore w:val="0"/>
        <w:widowControl w:val="0"/>
        <w:numPr>
          <w:ilvl w:val="0"/>
          <w:numId w:val="0"/>
        </w:numPr>
        <w:kinsoku/>
        <w:wordWrap/>
        <w:overflowPunct/>
        <w:topLinePunct w:val="0"/>
        <w:autoSpaceDE/>
        <w:autoSpaceDN/>
        <w:bidi w:val="0"/>
        <w:adjustRightInd/>
        <w:snapToGrid/>
        <w:spacing w:before="30" w:after="140" w:line="576" w:lineRule="exact"/>
        <w:textAlignment w:val="auto"/>
        <w:outlineLvl w:val="9"/>
        <w:rPr>
          <w:rFonts w:hint="eastAsia" w:eastAsia="黑体"/>
          <w:b w:val="0"/>
          <w:color w:val="auto"/>
          <w:highlight w:val="none"/>
          <w:lang w:eastAsia="zh-CN"/>
        </w:rPr>
      </w:pPr>
    </w:p>
    <w:p w14:paraId="4E1CC437">
      <w:pPr>
        <w:pStyle w:val="27"/>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960" w:firstLineChars="300"/>
        <w:textAlignment w:val="auto"/>
        <w:outlineLvl w:val="9"/>
        <w:rPr>
          <w:rFonts w:hint="eastAsia" w:ascii="仿宋_GB2312" w:hAnsi="仿宋_GB2312" w:eastAsia="仿宋_GB2312" w:cs="仿宋_GB2312"/>
          <w:color w:val="auto"/>
          <w:sz w:val="32"/>
          <w:szCs w:val="32"/>
          <w:highlight w:val="none"/>
          <w:lang w:eastAsia="zh-CN"/>
        </w:rPr>
      </w:pPr>
    </w:p>
    <w:p w14:paraId="0F9664CA">
      <w:pPr>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lang w:eastAsia="zh-CN"/>
        </w:rPr>
      </w:pPr>
    </w:p>
    <w:p w14:paraId="681B1F74">
      <w:pPr>
        <w:pStyle w:val="2"/>
        <w:keepNext/>
        <w:keepLines/>
        <w:pageBreakBefore w:val="0"/>
        <w:widowControl w:val="0"/>
        <w:numPr>
          <w:ilvl w:val="0"/>
          <w:numId w:val="0"/>
        </w:numPr>
        <w:kinsoku/>
        <w:wordWrap/>
        <w:overflowPunct/>
        <w:topLinePunct w:val="0"/>
        <w:autoSpaceDE/>
        <w:autoSpaceDN/>
        <w:bidi w:val="0"/>
        <w:adjustRightInd/>
        <w:snapToGrid/>
        <w:spacing w:before="30" w:after="140" w:line="576" w:lineRule="exact"/>
        <w:ind w:firstLine="640" w:firstLineChars="200"/>
        <w:textAlignment w:val="auto"/>
        <w:outlineLvl w:val="1"/>
        <w:rPr>
          <w:rFonts w:hint="eastAsia" w:eastAsia="黑体"/>
          <w:b w:val="0"/>
          <w:color w:val="auto"/>
          <w:highlight w:val="none"/>
          <w:lang w:eastAsia="zh-CN"/>
        </w:rPr>
      </w:pPr>
      <w:bookmarkStart w:id="40" w:name="_Toc15396606"/>
      <w:bookmarkStart w:id="41" w:name="_Toc15377208"/>
      <w:bookmarkStart w:id="42" w:name="_Toc29917"/>
      <w:r>
        <w:rPr>
          <w:rFonts w:hint="eastAsia" w:eastAsia="黑体"/>
          <w:b w:val="0"/>
          <w:color w:val="auto"/>
          <w:highlight w:val="none"/>
          <w:lang w:eastAsia="zh-CN"/>
        </w:rPr>
        <w:t>四、财政拨款收入支出决算总体情况说明</w:t>
      </w:r>
      <w:bookmarkEnd w:id="40"/>
      <w:bookmarkEnd w:id="41"/>
      <w:bookmarkEnd w:id="42"/>
    </w:p>
    <w:p w14:paraId="739CF3E0">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_GB2312" w:hAnsi="仿宋_GB2312" w:eastAsia="仿宋_GB2312" w:cs="仿宋_GB2312"/>
          <w:color w:val="auto"/>
          <w:sz w:val="32"/>
          <w:szCs w:val="32"/>
          <w:highlight w:val="none"/>
          <w:lang w:val="en-US" w:eastAsia="zh-CN"/>
        </w:rPr>
      </w:pPr>
      <w:bookmarkStart w:id="43" w:name="_Toc16886"/>
      <w:bookmarkStart w:id="44" w:name="_Toc29250"/>
      <w:bookmarkStart w:id="45" w:name="_Toc26750"/>
      <w:r>
        <w:rPr>
          <w:rFonts w:hint="eastAsia" w:ascii="Times New Roman" w:hAnsi="Times New Roman" w:eastAsia="仿宋_GB2312" w:cs="Times New Roman"/>
          <w:b w:val="0"/>
          <w:bCs w:val="0"/>
          <w:color w:val="000000"/>
          <w:kern w:val="2"/>
          <w:sz w:val="32"/>
          <w:szCs w:val="32"/>
          <w:lang w:val="en-US" w:eastAsia="zh-CN" w:bidi="ar-SA"/>
        </w:rPr>
        <w:pict>
          <v:shape id="Object 8" o:spid="_x0000_s2057" o:spt="75" type="#_x0000_t75" style="position:absolute;left:0pt;margin-left:9pt;margin-top:133.3pt;height:214.45pt;width:424.6pt;mso-wrap-distance-bottom:0pt;mso-wrap-distance-top:0pt;z-index:251663360;mso-width-relative:page;mso-height-relative:page;" o:ole="t" filled="f" o:preferrelative="t" stroked="f" coordsize="21600,21600">
            <v:path/>
            <v:fill on="f" focussize="0,0"/>
            <v:stroke on="f"/>
            <v:imagedata r:id="rId20" o:title=""/>
            <o:lock v:ext="edit" aspectratio="t"/>
            <w10:wrap type="topAndBottom"/>
          </v:shape>
          <o:OLEObject Type="Embed" ProgID="Excel.Chart.8" ShapeID="Object 8" DrawAspect="Content" ObjectID="_1468075728" r:id="rId19">
            <o:LockedField>false</o:LockedField>
          </o:OLEObject>
        </w:pict>
      </w:r>
      <w:r>
        <w:rPr>
          <w:rFonts w:hint="eastAsia" w:ascii="Times New Roman" w:hAnsi="Times New Roman" w:eastAsia="仿宋_GB2312" w:cs="Times New Roman"/>
          <w:b w:val="0"/>
          <w:bCs w:val="0"/>
          <w:color w:val="000000"/>
          <w:kern w:val="2"/>
          <w:sz w:val="32"/>
          <w:szCs w:val="32"/>
          <w:lang w:val="en-US" w:eastAsia="zh-CN" w:bidi="ar-SA"/>
        </w:rPr>
        <w:t>2025</w:t>
      </w:r>
      <w:r>
        <w:rPr>
          <w:rFonts w:hint="eastAsia" w:ascii="仿宋_GB2312" w:hAnsi="仿宋_GB2312" w:eastAsia="仿宋_GB2312" w:cs="仿宋_GB2312"/>
          <w:color w:val="auto"/>
          <w:sz w:val="32"/>
          <w:szCs w:val="32"/>
          <w:highlight w:val="none"/>
          <w:lang w:val="en-US" w:eastAsia="zh-CN"/>
        </w:rPr>
        <w:t>年度财政拨款收入、支出总计均为</w:t>
      </w:r>
      <w:r>
        <w:rPr>
          <w:rFonts w:hint="eastAsia" w:ascii="Times New Roman" w:hAnsi="Times New Roman" w:eastAsia="仿宋_GB2312" w:cs="Times New Roman"/>
          <w:b w:val="0"/>
          <w:bCs w:val="0"/>
          <w:color w:val="000000"/>
          <w:kern w:val="2"/>
          <w:sz w:val="32"/>
          <w:szCs w:val="32"/>
          <w:lang w:val="en-US" w:eastAsia="zh-CN" w:bidi="ar-SA"/>
        </w:rPr>
        <w:t>523.64</w:t>
      </w:r>
      <w:r>
        <w:rPr>
          <w:rFonts w:hint="eastAsia" w:ascii="仿宋_GB2312" w:hAnsi="仿宋_GB2312" w:eastAsia="仿宋_GB2312" w:cs="仿宋_GB2312"/>
          <w:color w:val="auto"/>
          <w:sz w:val="32"/>
          <w:szCs w:val="32"/>
          <w:highlight w:val="none"/>
          <w:lang w:val="en-US" w:eastAsia="zh-CN"/>
        </w:rPr>
        <w:t>万元。与</w:t>
      </w:r>
      <w:r>
        <w:rPr>
          <w:rFonts w:hint="eastAsia" w:ascii="Times New Roman" w:hAnsi="Times New Roman" w:eastAsia="仿宋_GB2312" w:cs="Times New Roman"/>
          <w:b w:val="0"/>
          <w:bCs w:val="0"/>
          <w:color w:val="000000"/>
          <w:kern w:val="2"/>
          <w:sz w:val="32"/>
          <w:szCs w:val="32"/>
          <w:lang w:val="en-US" w:eastAsia="zh-CN" w:bidi="ar-SA"/>
        </w:rPr>
        <w:t>2024</w:t>
      </w:r>
      <w:r>
        <w:rPr>
          <w:rFonts w:hint="eastAsia" w:ascii="仿宋_GB2312" w:hAnsi="仿宋_GB2312" w:eastAsia="仿宋_GB2312" w:cs="仿宋_GB2312"/>
          <w:color w:val="auto"/>
          <w:sz w:val="32"/>
          <w:szCs w:val="32"/>
          <w:highlight w:val="none"/>
          <w:lang w:val="en-US" w:eastAsia="zh-CN"/>
        </w:rPr>
        <w:t>年度相比，财政拨款收入总计、支出总计各减少</w:t>
      </w:r>
      <w:r>
        <w:rPr>
          <w:rFonts w:hint="eastAsia" w:ascii="Times New Roman" w:hAnsi="Times New Roman" w:eastAsia="仿宋_GB2312" w:cs="Times New Roman"/>
          <w:b w:val="0"/>
          <w:bCs w:val="0"/>
          <w:color w:val="000000"/>
          <w:kern w:val="2"/>
          <w:sz w:val="32"/>
          <w:szCs w:val="32"/>
          <w:lang w:val="en-US" w:eastAsia="zh-CN" w:bidi="ar-SA"/>
        </w:rPr>
        <w:t>1203.48</w:t>
      </w:r>
      <w:r>
        <w:rPr>
          <w:rFonts w:hint="eastAsia" w:ascii="仿宋_GB2312" w:hAnsi="仿宋_GB2312" w:eastAsia="仿宋_GB2312" w:cs="仿宋_GB2312"/>
          <w:color w:val="auto"/>
          <w:sz w:val="32"/>
          <w:szCs w:val="32"/>
          <w:highlight w:val="none"/>
          <w:lang w:val="en-US" w:eastAsia="zh-CN"/>
        </w:rPr>
        <w:t>万元，下降</w:t>
      </w:r>
      <w:r>
        <w:rPr>
          <w:rFonts w:hint="eastAsia" w:ascii="Times New Roman" w:hAnsi="Times New Roman" w:eastAsia="仿宋_GB2312" w:cs="Times New Roman"/>
          <w:b w:val="0"/>
          <w:bCs w:val="0"/>
          <w:color w:val="000000"/>
          <w:kern w:val="2"/>
          <w:sz w:val="32"/>
          <w:szCs w:val="32"/>
          <w:lang w:val="en-US" w:eastAsia="zh-CN" w:bidi="ar-SA"/>
        </w:rPr>
        <w:t>69.68%</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rPr>
        <w:t>主要变动原因是</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人员变动，项目减少</w:t>
      </w:r>
      <w:r>
        <w:rPr>
          <w:rFonts w:hint="eastAsia" w:ascii="仿宋_GB2312" w:hAnsi="仿宋_GB2312" w:eastAsia="仿宋_GB2312" w:cs="仿宋_GB2312"/>
          <w:color w:val="auto"/>
          <w:sz w:val="32"/>
          <w:szCs w:val="32"/>
          <w:highlight w:val="none"/>
          <w:lang w:eastAsia="zh-CN"/>
        </w:rPr>
        <w:t>。</w:t>
      </w:r>
      <w:bookmarkEnd w:id="43"/>
      <w:bookmarkEnd w:id="44"/>
      <w:bookmarkEnd w:id="45"/>
    </w:p>
    <w:p w14:paraId="01438975">
      <w:pPr>
        <w:spacing w:line="600" w:lineRule="exact"/>
        <w:ind w:firstLine="640"/>
        <w:outlineLvl w:val="1"/>
        <w:rPr>
          <w:rStyle w:val="29"/>
          <w:rFonts w:hint="eastAsia" w:ascii="黑体" w:hAnsi="黑体" w:eastAsia="黑体" w:cs="黑体"/>
          <w:b w:val="0"/>
          <w:color w:val="auto"/>
          <w:highlight w:val="none"/>
        </w:rPr>
      </w:pPr>
      <w:bookmarkStart w:id="46" w:name="_Toc15396607"/>
      <w:bookmarkStart w:id="47" w:name="_Toc15377209"/>
      <w:bookmarkStart w:id="48" w:name="_Toc16034"/>
      <w:r>
        <w:rPr>
          <w:rStyle w:val="29"/>
          <w:rFonts w:hint="eastAsia" w:ascii="黑体" w:hAnsi="黑体" w:eastAsia="黑体" w:cs="黑体"/>
          <w:b w:val="0"/>
          <w:color w:val="auto"/>
          <w:highlight w:val="none"/>
          <w:lang w:eastAsia="zh-CN"/>
        </w:rPr>
        <w:t>五、</w:t>
      </w:r>
      <w:r>
        <w:rPr>
          <w:rStyle w:val="29"/>
          <w:rFonts w:hint="eastAsia" w:ascii="黑体" w:hAnsi="黑体" w:eastAsia="黑体" w:cs="黑体"/>
          <w:b w:val="0"/>
          <w:color w:val="auto"/>
          <w:highlight w:val="none"/>
        </w:rPr>
        <w:t>一般公共预算财政拨款支出决算情况说明</w:t>
      </w:r>
      <w:bookmarkEnd w:id="46"/>
      <w:bookmarkEnd w:id="47"/>
      <w:bookmarkEnd w:id="48"/>
    </w:p>
    <w:p w14:paraId="2596FF4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2"/>
        <w:rPr>
          <w:rFonts w:hint="eastAsia" w:ascii="Times New Roman" w:hAnsi="Times New Roman" w:eastAsia="楷体_GB2312" w:cs="楷体_GB2312"/>
          <w:b/>
          <w:color w:val="auto"/>
          <w:sz w:val="32"/>
          <w:szCs w:val="32"/>
          <w:highlight w:val="none"/>
        </w:rPr>
      </w:pPr>
      <w:bookmarkStart w:id="49"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49"/>
    </w:p>
    <w:p w14:paraId="129048A3">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color w:val="auto"/>
          <w:sz w:val="32"/>
          <w:szCs w:val="32"/>
          <w:highlight w:val="none"/>
          <w:lang w:eastAsia="zh-CN"/>
        </w:rPr>
      </w:pPr>
      <w:r>
        <w:rPr>
          <w:rFonts w:hint="eastAsia" w:ascii="Times New Roman" w:hAnsi="Times New Roman" w:eastAsia="仿宋_GB2312" w:cs="Times New Roman"/>
          <w:b w:val="0"/>
          <w:bCs w:val="0"/>
          <w:color w:val="000000"/>
          <w:kern w:val="2"/>
          <w:sz w:val="32"/>
          <w:szCs w:val="32"/>
          <w:lang w:val="en-US" w:eastAsia="zh-CN" w:bidi="ar-SA"/>
        </w:rPr>
        <w:t>2025</w:t>
      </w:r>
      <w:r>
        <w:rPr>
          <w:rFonts w:hint="eastAsia" w:ascii="仿宋_GB2312" w:hAnsi="仿宋_GB2312" w:eastAsia="仿宋_GB2312" w:cs="仿宋_GB2312"/>
          <w:color w:val="auto"/>
          <w:kern w:val="2"/>
          <w:sz w:val="32"/>
          <w:szCs w:val="32"/>
          <w:highlight w:val="none"/>
          <w:lang w:val="en-US" w:eastAsia="zh-CN" w:bidi="ar-SA"/>
        </w:rPr>
        <w:t>年度一般公共预算财政拨款支出</w:t>
      </w:r>
      <w:r>
        <w:rPr>
          <w:rFonts w:hint="eastAsia" w:ascii="Times New Roman" w:hAnsi="Times New Roman" w:eastAsia="仿宋_GB2312" w:cs="Times New Roman"/>
          <w:b w:val="0"/>
          <w:bCs w:val="0"/>
          <w:color w:val="000000"/>
          <w:kern w:val="2"/>
          <w:sz w:val="32"/>
          <w:szCs w:val="32"/>
          <w:lang w:val="en-US" w:eastAsia="zh-CN" w:bidi="ar-SA"/>
        </w:rPr>
        <w:t>522.64</w:t>
      </w:r>
      <w:r>
        <w:rPr>
          <w:rFonts w:hint="eastAsia" w:ascii="仿宋_GB2312" w:hAnsi="仿宋_GB2312" w:eastAsia="仿宋_GB2312" w:cs="仿宋_GB2312"/>
          <w:color w:val="auto"/>
          <w:kern w:val="2"/>
          <w:sz w:val="32"/>
          <w:szCs w:val="32"/>
          <w:highlight w:val="none"/>
          <w:lang w:val="en-US" w:eastAsia="zh-CN" w:bidi="ar-SA"/>
        </w:rPr>
        <w:t xml:space="preserve"> 万元，占本年支出合计的</w:t>
      </w:r>
      <w:r>
        <w:rPr>
          <w:rFonts w:hint="eastAsia" w:ascii="Times New Roman" w:hAnsi="Times New Roman" w:eastAsia="仿宋_GB2312" w:cs="Times New Roman"/>
          <w:b w:val="0"/>
          <w:bCs w:val="0"/>
          <w:color w:val="000000"/>
          <w:kern w:val="2"/>
          <w:sz w:val="32"/>
          <w:szCs w:val="32"/>
          <w:lang w:val="en-US" w:eastAsia="zh-CN" w:bidi="ar-SA"/>
        </w:rPr>
        <w:t>99.81%</w:t>
      </w:r>
      <w:r>
        <w:rPr>
          <w:rFonts w:hint="eastAsia" w:ascii="仿宋_GB2312" w:hAnsi="仿宋_GB2312" w:eastAsia="仿宋_GB2312" w:cs="仿宋_GB2312"/>
          <w:color w:val="auto"/>
          <w:kern w:val="2"/>
          <w:sz w:val="32"/>
          <w:szCs w:val="32"/>
          <w:highlight w:val="none"/>
          <w:lang w:val="en-US" w:eastAsia="zh-CN" w:bidi="ar-SA"/>
        </w:rPr>
        <w:t>。与</w:t>
      </w:r>
      <w:r>
        <w:rPr>
          <w:rFonts w:hint="eastAsia" w:ascii="Times New Roman" w:hAnsi="Times New Roman" w:eastAsia="仿宋_GB2312" w:cs="Times New Roman"/>
          <w:b w:val="0"/>
          <w:bCs w:val="0"/>
          <w:color w:val="000000"/>
          <w:kern w:val="2"/>
          <w:sz w:val="32"/>
          <w:szCs w:val="32"/>
          <w:lang w:val="en-US" w:eastAsia="zh-CN" w:bidi="ar-SA"/>
        </w:rPr>
        <w:t>2024</w:t>
      </w:r>
      <w:r>
        <w:rPr>
          <w:rFonts w:hint="eastAsia" w:ascii="仿宋_GB2312" w:hAnsi="仿宋_GB2312" w:eastAsia="仿宋_GB2312" w:cs="仿宋_GB2312"/>
          <w:color w:val="auto"/>
          <w:kern w:val="2"/>
          <w:sz w:val="32"/>
          <w:szCs w:val="32"/>
          <w:highlight w:val="none"/>
          <w:lang w:val="en-US" w:eastAsia="zh-CN" w:bidi="ar-SA"/>
        </w:rPr>
        <w:t>年度相比，一般公共预算财政拨款支出减少</w:t>
      </w:r>
      <w:r>
        <w:rPr>
          <w:rFonts w:hint="eastAsia" w:ascii="Times New Roman" w:hAnsi="Times New Roman" w:eastAsia="仿宋_GB2312" w:cs="Times New Roman"/>
          <w:b w:val="0"/>
          <w:bCs w:val="0"/>
          <w:color w:val="000000"/>
          <w:kern w:val="2"/>
          <w:sz w:val="32"/>
          <w:szCs w:val="32"/>
          <w:lang w:val="en-US" w:eastAsia="zh-CN" w:bidi="ar-SA"/>
        </w:rPr>
        <w:t>1203.78</w:t>
      </w:r>
      <w:r>
        <w:rPr>
          <w:rFonts w:hint="eastAsia" w:ascii="仿宋_GB2312" w:hAnsi="仿宋_GB2312" w:eastAsia="仿宋_GB2312" w:cs="仿宋_GB2312"/>
          <w:color w:val="auto"/>
          <w:kern w:val="2"/>
          <w:sz w:val="32"/>
          <w:szCs w:val="32"/>
          <w:highlight w:val="none"/>
          <w:lang w:val="en-US" w:eastAsia="zh-CN" w:bidi="ar-SA"/>
        </w:rPr>
        <w:t>万元，下降</w:t>
      </w:r>
      <w:r>
        <w:rPr>
          <w:rFonts w:hint="eastAsia" w:ascii="Times New Roman" w:hAnsi="Times New Roman" w:eastAsia="仿宋_GB2312" w:cs="Times New Roman"/>
          <w:b w:val="0"/>
          <w:bCs w:val="0"/>
          <w:color w:val="000000"/>
          <w:kern w:val="2"/>
          <w:sz w:val="32"/>
          <w:szCs w:val="32"/>
          <w:lang w:val="en-US" w:eastAsia="zh-CN" w:bidi="ar-SA"/>
        </w:rPr>
        <w:t>69.73%</w:t>
      </w:r>
      <w:r>
        <w:rPr>
          <w:rFonts w:hint="eastAsia" w:ascii="仿宋_GB2312" w:hAnsi="仿宋_GB2312" w:eastAsia="仿宋_GB2312" w:cs="仿宋_GB2312"/>
          <w:color w:val="auto"/>
          <w:kern w:val="2"/>
          <w:sz w:val="32"/>
          <w:szCs w:val="32"/>
          <w:highlight w:val="none"/>
          <w:lang w:val="en-US" w:eastAsia="zh-CN" w:bidi="ar-SA"/>
        </w:rPr>
        <w:t>。</w:t>
      </w:r>
      <w:r>
        <w:rPr>
          <w:rFonts w:hint="eastAsia" w:ascii="仿宋_GB2312" w:hAnsi="仿宋_GB2312" w:eastAsia="仿宋_GB2312" w:cs="仿宋_GB2312"/>
          <w:color w:val="auto"/>
          <w:sz w:val="32"/>
          <w:szCs w:val="32"/>
          <w:highlight w:val="none"/>
        </w:rPr>
        <w:t>主要变动原因是</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人员变动，项目减少</w:t>
      </w:r>
      <w:r>
        <w:rPr>
          <w:rFonts w:hint="eastAsia" w:ascii="仿宋_GB2312" w:hAnsi="仿宋_GB2312" w:eastAsia="仿宋_GB2312" w:cs="仿宋_GB2312"/>
          <w:color w:val="auto"/>
          <w:sz w:val="32"/>
          <w:szCs w:val="32"/>
          <w:highlight w:val="none"/>
          <w:lang w:eastAsia="zh-CN"/>
        </w:rPr>
        <w:t>。</w:t>
      </w:r>
    </w:p>
    <w:p w14:paraId="38CD3605">
      <w:pPr>
        <w:pStyle w:val="19"/>
        <w:outlineLvl w:val="9"/>
        <w:rPr>
          <w:rFonts w:hint="eastAsia" w:ascii="仿宋_GB2312" w:hAnsi="仿宋_GB2312" w:eastAsia="仿宋_GB2312" w:cs="仿宋_GB2312"/>
          <w:color w:val="auto"/>
          <w:sz w:val="32"/>
          <w:szCs w:val="32"/>
          <w:highlight w:val="none"/>
          <w:lang w:eastAsia="zh-CN"/>
        </w:rPr>
      </w:pPr>
      <w:r>
        <w:pict>
          <v:shape id="Object 9" o:spid="_x0000_s2053" o:spt="75" type="#_x0000_t75" style="position:absolute;left:0pt;margin-left:20.2pt;margin-top:6.9pt;height:221.45pt;width:352.35pt;mso-wrap-distance-bottom:0pt;mso-wrap-distance-left:9pt;mso-wrap-distance-right:9pt;mso-wrap-distance-top:0pt;z-index:251661312;mso-width-relative:page;mso-height-relative:page;" o:ole="t" filled="f" o:preferrelative="t" stroked="f" coordsize="21600,21600">
            <v:path/>
            <v:fill on="f" focussize="0,0"/>
            <v:stroke on="f"/>
            <v:imagedata r:id="rId22" cropbottom="-10f" o:title=""/>
            <o:lock v:ext="edit" aspectratio="f"/>
            <w10:wrap type="square"/>
          </v:shape>
          <o:OLEObject Type="Embed" ProgID="Excel.Chart.8" ShapeID="Object 9" DrawAspect="Content" ObjectID="_1468075729" r:id="rId21">
            <o:LockedField>false</o:LockedField>
          </o:OLEObject>
        </w:pict>
      </w:r>
    </w:p>
    <w:p w14:paraId="13155E88">
      <w:pPr>
        <w:rPr>
          <w:rFonts w:hint="eastAsia" w:ascii="仿宋_GB2312" w:hAnsi="仿宋_GB2312" w:eastAsia="仿宋_GB2312" w:cs="仿宋_GB2312"/>
          <w:color w:val="auto"/>
          <w:sz w:val="32"/>
          <w:szCs w:val="32"/>
          <w:highlight w:val="none"/>
          <w:lang w:eastAsia="zh-CN"/>
        </w:rPr>
      </w:pPr>
    </w:p>
    <w:p w14:paraId="4DBBD7EE">
      <w:pPr>
        <w:pStyle w:val="19"/>
        <w:outlineLvl w:val="9"/>
        <w:rPr>
          <w:rFonts w:hint="eastAsia" w:ascii="仿宋_GB2312" w:hAnsi="仿宋_GB2312" w:eastAsia="仿宋_GB2312" w:cs="仿宋_GB2312"/>
          <w:color w:val="auto"/>
          <w:sz w:val="32"/>
          <w:szCs w:val="32"/>
          <w:highlight w:val="none"/>
          <w:lang w:eastAsia="zh-CN"/>
        </w:rPr>
      </w:pPr>
    </w:p>
    <w:p w14:paraId="5819A467">
      <w:pPr>
        <w:rPr>
          <w:rFonts w:hint="eastAsia" w:ascii="仿宋_GB2312" w:hAnsi="仿宋_GB2312" w:eastAsia="仿宋_GB2312" w:cs="仿宋_GB2312"/>
          <w:color w:val="auto"/>
          <w:sz w:val="32"/>
          <w:szCs w:val="32"/>
          <w:highlight w:val="none"/>
          <w:lang w:eastAsia="zh-CN"/>
        </w:rPr>
      </w:pPr>
    </w:p>
    <w:p w14:paraId="3B1F1208">
      <w:pPr>
        <w:pStyle w:val="19"/>
        <w:outlineLvl w:val="9"/>
        <w:rPr>
          <w:rFonts w:hint="eastAsia"/>
          <w:lang w:eastAsia="zh-CN"/>
        </w:rPr>
      </w:pPr>
    </w:p>
    <w:p w14:paraId="69D733F9">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bookmarkStart w:id="50" w:name="_Toc15377211"/>
    </w:p>
    <w:p w14:paraId="272E1DBE">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（二）一般公共预算财政拨款支出决算结构情况</w:t>
      </w:r>
      <w:bookmarkEnd w:id="50"/>
    </w:p>
    <w:p w14:paraId="2721FF3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Times New Roman"/>
          <w:b w:val="0"/>
          <w:bCs w:val="0"/>
          <w:color w:val="000000"/>
          <w:kern w:val="2"/>
          <w:sz w:val="32"/>
          <w:szCs w:val="32"/>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年度一般公共预算财政拨款支出</w:t>
      </w:r>
      <w:r>
        <w:rPr>
          <w:rFonts w:hint="eastAsia" w:ascii="Times New Roman" w:hAnsi="Times New Roman" w:eastAsia="仿宋_GB2312" w:cs="Times New Roman"/>
          <w:b w:val="0"/>
          <w:bCs w:val="0"/>
          <w:color w:val="000000"/>
          <w:kern w:val="2"/>
          <w:sz w:val="32"/>
          <w:szCs w:val="32"/>
          <w:lang w:val="en-US" w:eastAsia="zh-CN" w:bidi="ar-SA"/>
        </w:rPr>
        <w:t>522.64</w:t>
      </w:r>
      <w:r>
        <w:rPr>
          <w:rFonts w:hint="eastAsia" w:ascii="仿宋_GB2312" w:hAnsi="仿宋_GB2312"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hint="eastAsia" w:ascii="Times New Roman" w:hAnsi="Times New Roman" w:eastAsia="仿宋_GB2312" w:cs="Times New Roman"/>
          <w:b w:val="0"/>
          <w:bCs w:val="0"/>
          <w:color w:val="000000"/>
          <w:kern w:val="2"/>
          <w:sz w:val="32"/>
          <w:szCs w:val="32"/>
          <w:lang w:val="en-US" w:eastAsia="zh-CN" w:bidi="ar-SA"/>
        </w:rPr>
        <w:t>435.79</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ascii="Times New Roman" w:hAnsi="Times New Roman" w:eastAsia="仿宋_GB2312" w:cs="Times New Roman"/>
          <w:b w:val="0"/>
          <w:bCs w:val="0"/>
          <w:color w:val="000000"/>
          <w:kern w:val="2"/>
          <w:sz w:val="32"/>
          <w:szCs w:val="32"/>
          <w:lang w:val="en-US" w:eastAsia="zh-CN" w:bidi="ar-SA"/>
        </w:rPr>
        <w:t>83.38%</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ascii="Times New Roman" w:hAnsi="Times New Roman" w:eastAsia="仿宋_GB2312" w:cs="Times New Roman"/>
          <w:b w:val="0"/>
          <w:bCs w:val="0"/>
          <w:color w:val="000000"/>
          <w:kern w:val="2"/>
          <w:sz w:val="32"/>
          <w:szCs w:val="32"/>
          <w:lang w:val="en-US" w:eastAsia="zh-CN" w:bidi="ar-SA"/>
        </w:rPr>
        <w:t>43.51</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ascii="Times New Roman" w:hAnsi="Times New Roman" w:eastAsia="仿宋_GB2312" w:cs="Times New Roman"/>
          <w:b w:val="0"/>
          <w:bCs w:val="0"/>
          <w:color w:val="000000"/>
          <w:kern w:val="2"/>
          <w:sz w:val="32"/>
          <w:szCs w:val="32"/>
          <w:lang w:val="en-US" w:eastAsia="zh-CN" w:bidi="ar-SA"/>
        </w:rPr>
        <w:t>8.33%</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ascii="Times New Roman" w:hAnsi="Times New Roman" w:eastAsia="仿宋_GB2312" w:cs="Times New Roman"/>
          <w:b w:val="0"/>
          <w:bCs w:val="0"/>
          <w:color w:val="000000"/>
          <w:kern w:val="2"/>
          <w:sz w:val="32"/>
          <w:szCs w:val="32"/>
          <w:lang w:val="en-US" w:eastAsia="zh-CN" w:bidi="ar-SA"/>
        </w:rPr>
        <w:t>17.13</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ascii="Times New Roman" w:hAnsi="Times New Roman" w:eastAsia="仿宋_GB2312" w:cs="Times New Roman"/>
          <w:b w:val="0"/>
          <w:bCs w:val="0"/>
          <w:color w:val="000000"/>
          <w:kern w:val="2"/>
          <w:sz w:val="32"/>
          <w:szCs w:val="32"/>
          <w:lang w:val="en-US" w:eastAsia="zh-CN" w:bidi="ar-SA"/>
        </w:rPr>
        <w:t>3.28%</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ascii="Times New Roman" w:hAnsi="Times New Roman" w:eastAsia="仿宋_GB2312" w:cs="Times New Roman"/>
          <w:b w:val="0"/>
          <w:bCs w:val="0"/>
          <w:color w:val="000000"/>
          <w:kern w:val="2"/>
          <w:sz w:val="32"/>
          <w:szCs w:val="32"/>
          <w:lang w:val="en-US" w:eastAsia="zh-CN" w:bidi="ar-SA"/>
        </w:rPr>
        <w:t>26.21</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ascii="Times New Roman" w:hAnsi="Times New Roman" w:eastAsia="仿宋_GB2312" w:cs="Times New Roman"/>
          <w:b w:val="0"/>
          <w:bCs w:val="0"/>
          <w:color w:val="000000"/>
          <w:kern w:val="2"/>
          <w:sz w:val="32"/>
          <w:szCs w:val="32"/>
          <w:lang w:val="en-US" w:eastAsia="zh-CN" w:bidi="ar-SA"/>
        </w:rPr>
        <w:t>5.01%</w:t>
      </w:r>
      <w:r>
        <w:rPr>
          <w:rFonts w:hint="eastAsia" w:ascii="仿宋_GB2312" w:hAnsi="仿宋_GB2312" w:eastAsia="仿宋_GB2312" w:cs="仿宋_GB2312"/>
          <w:sz w:val="32"/>
          <w:szCs w:val="32"/>
          <w:lang w:val="en-US" w:eastAsia="zh-CN"/>
        </w:rPr>
        <w:t>。</w:t>
      </w:r>
    </w:p>
    <w:p w14:paraId="7C1B2B66">
      <w:pPr>
        <w:pStyle w:val="2"/>
        <w:outlineLvl w:val="9"/>
        <w:rPr>
          <w:rFonts w:hint="eastAsia" w:ascii="Times New Roman" w:hAnsi="Times New Roman" w:eastAsia="仿宋_GB2312" w:cs="仿宋_GB2312"/>
          <w:color w:val="auto"/>
          <w:kern w:val="2"/>
          <w:sz w:val="32"/>
          <w:szCs w:val="32"/>
          <w:highlight w:val="none"/>
          <w:lang w:val="en-US" w:eastAsia="zh-CN" w:bidi="ar-SA"/>
        </w:rPr>
      </w:pPr>
    </w:p>
    <w:p w14:paraId="7D13EF6F">
      <w:pPr>
        <w:rPr>
          <w:rFonts w:hint="eastAsia"/>
          <w:lang w:val="en-US" w:eastAsia="zh-CN"/>
        </w:rPr>
      </w:pPr>
    </w:p>
    <w:p w14:paraId="168DD970">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bookmarkStart w:id="51" w:name="_Toc15377212"/>
    </w:p>
    <w:p w14:paraId="6FA81B58">
      <w:pPr>
        <w:spacing w:line="600" w:lineRule="exact"/>
        <w:ind w:firstLine="420" w:firstLineChars="200"/>
        <w:outlineLvl w:val="9"/>
        <w:rPr>
          <w:rFonts w:hint="eastAsia" w:ascii="Times New Roman" w:hAnsi="Times New Roman" w:eastAsia="楷体_GB2312" w:cs="楷体_GB2312"/>
          <w:b/>
          <w:color w:val="auto"/>
          <w:sz w:val="32"/>
          <w:szCs w:val="32"/>
          <w:highlight w:val="none"/>
        </w:rPr>
      </w:pPr>
      <w:r>
        <w:pict>
          <v:shape id="_x0000_s2054" o:spid="_x0000_s2054" o:spt="75" alt="image1" type="#_x0000_t75" style="position:absolute;left:0pt;margin-left:19.9pt;margin-top:17.2pt;height:199.75pt;width:350.85pt;mso-wrap-distance-bottom:0pt;mso-wrap-distance-left:9pt;mso-wrap-distance-right:9pt;mso-wrap-distance-top:0pt;z-index:251662336;mso-width-relative:page;mso-height-relative:page;" o:ole="t" filled="f" o:preferrelative="t" stroked="f" coordsize="21600,21600">
            <v:path/>
            <v:fill on="f" focussize="0,0"/>
            <v:stroke on="f"/>
            <v:imagedata r:id="rId24" o:title=""/>
            <o:lock v:ext="edit" aspectratio="t"/>
            <w10:wrap type="square"/>
          </v:shape>
          <o:OLEObject Type="Embed" ProgID="Excel.Chart.8" ShapeID="_x0000_s2054" DrawAspect="Content" ObjectID="_1468075730" r:id="rId23">
            <o:LockedField>false</o:LockedField>
          </o:OLEObject>
        </w:pict>
      </w:r>
    </w:p>
    <w:p w14:paraId="63982790">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p>
    <w:p w14:paraId="62EEEF13">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p>
    <w:p w14:paraId="13A8D812">
      <w:pPr>
        <w:spacing w:line="600" w:lineRule="exact"/>
        <w:outlineLvl w:val="9"/>
        <w:rPr>
          <w:rFonts w:hint="eastAsia" w:ascii="Times New Roman" w:hAnsi="Times New Roman" w:eastAsia="楷体_GB2312" w:cs="楷体_GB2312"/>
          <w:b/>
          <w:color w:val="auto"/>
          <w:sz w:val="32"/>
          <w:szCs w:val="32"/>
          <w:highlight w:val="none"/>
        </w:rPr>
      </w:pPr>
    </w:p>
    <w:p w14:paraId="588071F0">
      <w:pPr>
        <w:spacing w:line="600" w:lineRule="exact"/>
        <w:outlineLvl w:val="9"/>
        <w:rPr>
          <w:rFonts w:hint="eastAsia" w:ascii="Times New Roman" w:hAnsi="Times New Roman" w:eastAsia="楷体_GB2312" w:cs="楷体_GB2312"/>
          <w:b/>
          <w:color w:val="auto"/>
          <w:sz w:val="32"/>
          <w:szCs w:val="32"/>
          <w:highlight w:val="none"/>
        </w:rPr>
      </w:pPr>
    </w:p>
    <w:p w14:paraId="5C6D8A29">
      <w:pPr>
        <w:spacing w:line="600" w:lineRule="exact"/>
        <w:ind w:firstLine="964" w:firstLineChars="300"/>
        <w:outlineLvl w:val="9"/>
        <w:rPr>
          <w:rFonts w:hint="eastAsia" w:eastAsia="楷体_GB2312" w:cs="楷体_GB2312"/>
          <w:b/>
          <w:color w:val="auto"/>
          <w:sz w:val="32"/>
          <w:szCs w:val="32"/>
          <w:highlight w:val="none"/>
          <w:lang w:val="en-US" w:eastAsia="zh-CN"/>
        </w:rPr>
      </w:pPr>
      <w:r>
        <w:rPr>
          <w:rFonts w:hint="eastAsia" w:eastAsia="楷体_GB2312" w:cs="楷体_GB2312"/>
          <w:b/>
          <w:color w:val="auto"/>
          <w:sz w:val="32"/>
          <w:szCs w:val="32"/>
          <w:highlight w:val="none"/>
          <w:lang w:val="en-US" w:eastAsia="zh-CN"/>
        </w:rPr>
        <w:t xml:space="preserve">        </w:t>
      </w:r>
    </w:p>
    <w:p w14:paraId="7184FDD8">
      <w:pPr>
        <w:spacing w:line="600" w:lineRule="exact"/>
        <w:ind w:firstLine="964" w:firstLineChars="300"/>
        <w:outlineLvl w:val="9"/>
        <w:rPr>
          <w:rFonts w:hint="eastAsia" w:eastAsia="楷体_GB2312" w:cs="楷体_GB2312"/>
          <w:b/>
          <w:color w:val="auto"/>
          <w:sz w:val="32"/>
          <w:szCs w:val="32"/>
          <w:highlight w:val="none"/>
          <w:lang w:val="en-US" w:eastAsia="zh-CN"/>
        </w:rPr>
      </w:pPr>
    </w:p>
    <w:p w14:paraId="122EDE70">
      <w:pPr>
        <w:spacing w:line="600" w:lineRule="exact"/>
        <w:ind w:firstLine="964" w:firstLineChars="300"/>
        <w:outlineLvl w:val="9"/>
        <w:rPr>
          <w:rFonts w:hint="eastAsia" w:eastAsia="楷体_GB2312" w:cs="楷体_GB2312"/>
          <w:b/>
          <w:color w:val="auto"/>
          <w:sz w:val="32"/>
          <w:szCs w:val="32"/>
          <w:highlight w:val="none"/>
          <w:lang w:val="en-US" w:eastAsia="zh-CN"/>
        </w:rPr>
      </w:pPr>
    </w:p>
    <w:p w14:paraId="08844307">
      <w:pPr>
        <w:spacing w:line="600" w:lineRule="exact"/>
        <w:ind w:firstLine="321" w:firstLineChars="1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（三）一般公共预算财政拨款支出决算具体情况</w:t>
      </w:r>
      <w:bookmarkEnd w:id="51"/>
    </w:p>
    <w:p w14:paraId="39449AA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52" w:name="_Toc15377213"/>
      <w:bookmarkStart w:id="53" w:name="_Toc15377444"/>
      <w:bookmarkStart w:id="54" w:name="_Toc15378460"/>
      <w:r>
        <w:rPr>
          <w:rFonts w:hint="eastAsia" w:ascii="Times New Roman" w:hAnsi="Times New Roman" w:eastAsia="仿宋_GB2312" w:cs="Times New Roman"/>
          <w:b w:val="0"/>
          <w:bCs w:val="0"/>
          <w:color w:val="000000"/>
          <w:kern w:val="2"/>
          <w:sz w:val="32"/>
          <w:szCs w:val="32"/>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年度一般公共预算财政拨款支出决算数为</w:t>
      </w:r>
      <w:r>
        <w:rPr>
          <w:rFonts w:hint="eastAsia" w:ascii="Times New Roman" w:hAnsi="Times New Roman" w:eastAsia="仿宋_GB2312" w:cs="Times New Roman"/>
          <w:b w:val="0"/>
          <w:bCs w:val="0"/>
          <w:color w:val="000000"/>
          <w:kern w:val="2"/>
          <w:sz w:val="32"/>
          <w:szCs w:val="32"/>
          <w:lang w:val="en-US" w:eastAsia="zh-CN" w:bidi="ar-SA"/>
        </w:rPr>
        <w:t>522.64</w:t>
      </w:r>
      <w:r>
        <w:rPr>
          <w:rFonts w:hint="eastAsia" w:eastAsia="仿宋_GB2312" w:cs="仿宋_GB2312"/>
          <w:color w:val="auto"/>
          <w:kern w:val="2"/>
          <w:sz w:val="32"/>
          <w:szCs w:val="32"/>
          <w:highlight w:val="none"/>
          <w:lang w:val="en-US" w:eastAsia="zh-CN" w:bidi="ar-SA"/>
        </w:rPr>
        <w:t>万元</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ascii="Times New Roman" w:hAnsi="Times New Roman" w:eastAsia="仿宋_GB2312" w:cs="Times New Roman"/>
          <w:b w:val="0"/>
          <w:bCs w:val="0"/>
          <w:color w:val="000000"/>
          <w:kern w:val="2"/>
          <w:sz w:val="32"/>
          <w:szCs w:val="32"/>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52"/>
      <w:bookmarkEnd w:id="53"/>
      <w:bookmarkEnd w:id="54"/>
    </w:p>
    <w:p w14:paraId="7E3124D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w:t>
      </w:r>
      <w:r>
        <w:rPr>
          <w:rFonts w:hint="eastAsia" w:eastAsia="仿宋_GB2312" w:cs="仿宋_GB2312"/>
          <w:color w:val="auto"/>
          <w:kern w:val="2"/>
          <w:sz w:val="32"/>
          <w:szCs w:val="32"/>
          <w:highlight w:val="none"/>
          <w:lang w:val="en-US" w:eastAsia="zh-CN" w:bidi="ar-SA"/>
        </w:rPr>
        <w:t>类</w:t>
      </w:r>
      <w:r>
        <w:rPr>
          <w:rFonts w:hint="eastAsia" w:ascii="Times New Roman" w:hAnsi="Times New Roman" w:eastAsia="仿宋_GB2312" w:cs="仿宋_GB2312"/>
          <w:color w:val="auto"/>
          <w:kern w:val="2"/>
          <w:sz w:val="32"/>
          <w:szCs w:val="32"/>
          <w:highlight w:val="none"/>
          <w:lang w:val="en-US" w:eastAsia="zh-CN" w:bidi="ar-SA"/>
        </w:rPr>
        <w:t>）政府办公厅（室）及相关机构事务（</w:t>
      </w:r>
      <w:r>
        <w:rPr>
          <w:rFonts w:hint="eastAsia" w:eastAsia="仿宋_GB2312" w:cs="仿宋_GB2312"/>
          <w:color w:val="auto"/>
          <w:kern w:val="2"/>
          <w:sz w:val="32"/>
          <w:szCs w:val="32"/>
          <w:highlight w:val="none"/>
          <w:lang w:val="en-US" w:eastAsia="zh-CN" w:bidi="ar-SA"/>
        </w:rPr>
        <w:t>款</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事业</w:t>
      </w:r>
      <w:r>
        <w:rPr>
          <w:rFonts w:hint="eastAsia" w:ascii="Times New Roman" w:hAnsi="Times New Roman" w:eastAsia="仿宋_GB2312" w:cs="仿宋_GB2312"/>
          <w:color w:val="auto"/>
          <w:kern w:val="2"/>
          <w:sz w:val="32"/>
          <w:szCs w:val="32"/>
          <w:highlight w:val="none"/>
          <w:lang w:val="en-US" w:eastAsia="zh-CN" w:bidi="ar-SA"/>
        </w:rPr>
        <w:t>运行（</w:t>
      </w:r>
      <w:r>
        <w:rPr>
          <w:rFonts w:hint="eastAsia" w:eastAsia="仿宋_GB2312" w:cs="仿宋_GB2312"/>
          <w:color w:val="auto"/>
          <w:kern w:val="2"/>
          <w:sz w:val="32"/>
          <w:szCs w:val="32"/>
          <w:highlight w:val="none"/>
          <w:lang w:val="en-US" w:eastAsia="zh-CN" w:bidi="ar-SA"/>
        </w:rPr>
        <w:t>项</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ascii="Times New Roman" w:hAnsi="Times New Roman" w:eastAsia="仿宋_GB2312" w:cs="Times New Roman"/>
          <w:b w:val="0"/>
          <w:bCs w:val="0"/>
          <w:color w:val="000000"/>
          <w:kern w:val="2"/>
          <w:sz w:val="32"/>
          <w:szCs w:val="32"/>
          <w:lang w:val="en-US" w:eastAsia="zh-CN" w:bidi="ar-SA"/>
        </w:rPr>
        <w:t>198.55</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，决算与预算数持平。</w:t>
      </w:r>
    </w:p>
    <w:p w14:paraId="1953B341">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一般公共服务（</w:t>
      </w:r>
      <w:r>
        <w:rPr>
          <w:rFonts w:hint="eastAsia" w:eastAsia="仿宋_GB2312" w:cs="仿宋_GB2312"/>
          <w:color w:val="auto"/>
          <w:kern w:val="2"/>
          <w:sz w:val="32"/>
          <w:szCs w:val="32"/>
          <w:highlight w:val="none"/>
          <w:lang w:val="en-US" w:eastAsia="zh-CN" w:bidi="ar-SA"/>
        </w:rPr>
        <w:t>类</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财政事务（款）事业运行（项）：</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237.24</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，决算与预算数持平。</w:t>
      </w:r>
    </w:p>
    <w:p w14:paraId="7B2DE47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类</w:t>
      </w:r>
      <w:r>
        <w:rPr>
          <w:rFonts w:hint="eastAsia" w:ascii="Times New Roman" w:hAnsi="Times New Roman" w:eastAsia="仿宋_GB2312" w:cs="仿宋_GB2312"/>
          <w:color w:val="auto"/>
          <w:kern w:val="2"/>
          <w:sz w:val="32"/>
          <w:szCs w:val="32"/>
          <w:highlight w:val="none"/>
          <w:lang w:val="en-US" w:eastAsia="zh-CN" w:bidi="ar-SA"/>
        </w:rPr>
        <w:t>）行政事业单位养老支出（</w:t>
      </w:r>
      <w:r>
        <w:rPr>
          <w:rFonts w:hint="eastAsia" w:eastAsia="仿宋_GB2312" w:cs="仿宋_GB2312"/>
          <w:color w:val="auto"/>
          <w:kern w:val="2"/>
          <w:sz w:val="32"/>
          <w:szCs w:val="32"/>
          <w:highlight w:val="none"/>
          <w:lang w:val="en-US" w:eastAsia="zh-CN" w:bidi="ar-SA"/>
        </w:rPr>
        <w:t>款</w:t>
      </w:r>
      <w:r>
        <w:rPr>
          <w:rFonts w:hint="eastAsia" w:ascii="Times New Roman" w:hAnsi="Times New Roman" w:eastAsia="仿宋_GB2312" w:cs="仿宋_GB2312"/>
          <w:color w:val="auto"/>
          <w:kern w:val="2"/>
          <w:sz w:val="32"/>
          <w:szCs w:val="32"/>
          <w:highlight w:val="none"/>
          <w:lang w:val="en-US" w:eastAsia="zh-CN" w:bidi="ar-SA"/>
        </w:rPr>
        <w:t>）机关事业单位基本养老保险缴费支出（</w:t>
      </w:r>
      <w:r>
        <w:rPr>
          <w:rFonts w:hint="eastAsia" w:eastAsia="仿宋_GB2312" w:cs="仿宋_GB2312"/>
          <w:color w:val="auto"/>
          <w:kern w:val="2"/>
          <w:sz w:val="32"/>
          <w:szCs w:val="32"/>
          <w:highlight w:val="none"/>
          <w:lang w:val="en-US" w:eastAsia="zh-CN" w:bidi="ar-SA"/>
        </w:rPr>
        <w:t>项</w:t>
      </w:r>
      <w:r>
        <w:rPr>
          <w:rFonts w:hint="eastAsia" w:ascii="Times New Roman" w:hAnsi="Times New Roman" w:eastAsia="仿宋_GB2312" w:cs="仿宋_GB2312"/>
          <w:color w:val="auto"/>
          <w:kern w:val="2"/>
          <w:sz w:val="32"/>
          <w:szCs w:val="32"/>
          <w:highlight w:val="none"/>
          <w:lang w:val="en-US" w:eastAsia="zh-CN" w:bidi="ar-SA"/>
        </w:rPr>
        <w:t>）: 支出决算为</w:t>
      </w:r>
      <w:r>
        <w:rPr>
          <w:rFonts w:hint="eastAsia" w:eastAsia="仿宋_GB2312" w:cs="仿宋_GB2312"/>
          <w:color w:val="auto"/>
          <w:kern w:val="2"/>
          <w:sz w:val="32"/>
          <w:szCs w:val="32"/>
          <w:highlight w:val="none"/>
          <w:lang w:val="en-US" w:eastAsia="zh-CN" w:bidi="ar-SA"/>
        </w:rPr>
        <w:t>29.43</w:t>
      </w:r>
      <w:r>
        <w:rPr>
          <w:rFonts w:hint="eastAsia" w:ascii="Times New Roman" w:hAnsi="Times New Roman" w:eastAsia="仿宋_GB2312" w:cs="仿宋_GB2312"/>
          <w:color w:val="auto"/>
          <w:kern w:val="2"/>
          <w:sz w:val="32"/>
          <w:szCs w:val="32"/>
          <w:highlight w:val="none"/>
          <w:lang w:val="en-US" w:eastAsia="zh-CN" w:bidi="ar-SA"/>
        </w:rPr>
        <w:t>万元，完成预算100%</w:t>
      </w:r>
      <w:r>
        <w:rPr>
          <w:rFonts w:hint="eastAsia" w:eastAsia="仿宋_GB2312" w:cs="仿宋_GB2312"/>
          <w:color w:val="auto"/>
          <w:kern w:val="2"/>
          <w:sz w:val="32"/>
          <w:szCs w:val="32"/>
          <w:highlight w:val="none"/>
          <w:lang w:val="en-US" w:eastAsia="zh-CN" w:bidi="ar-SA"/>
        </w:rPr>
        <w:t>，决算与预算数持平。</w:t>
      </w:r>
    </w:p>
    <w:p w14:paraId="5B6D6C5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.社会保障和就业（</w:t>
      </w:r>
      <w:r>
        <w:rPr>
          <w:rFonts w:hint="eastAsia" w:eastAsia="仿宋_GB2312" w:cs="仿宋_GB2312"/>
          <w:color w:val="auto"/>
          <w:kern w:val="2"/>
          <w:sz w:val="32"/>
          <w:szCs w:val="32"/>
          <w:highlight w:val="none"/>
          <w:lang w:val="en-US" w:eastAsia="zh-CN" w:bidi="ar-SA"/>
        </w:rPr>
        <w:t>类</w:t>
      </w:r>
      <w:r>
        <w:rPr>
          <w:rFonts w:hint="eastAsia" w:ascii="Times New Roman" w:hAnsi="Times New Roman" w:eastAsia="仿宋_GB2312" w:cs="仿宋_GB2312"/>
          <w:color w:val="auto"/>
          <w:kern w:val="2"/>
          <w:sz w:val="32"/>
          <w:szCs w:val="32"/>
          <w:highlight w:val="none"/>
          <w:lang w:val="en-US" w:eastAsia="zh-CN" w:bidi="ar-SA"/>
        </w:rPr>
        <w:t>）行政事业单位养老支出（</w:t>
      </w:r>
      <w:r>
        <w:rPr>
          <w:rFonts w:hint="eastAsia" w:eastAsia="仿宋_GB2312" w:cs="仿宋_GB2312"/>
          <w:color w:val="auto"/>
          <w:kern w:val="2"/>
          <w:sz w:val="32"/>
          <w:szCs w:val="32"/>
          <w:highlight w:val="none"/>
          <w:lang w:val="en-US" w:eastAsia="zh-CN" w:bidi="ar-SA"/>
        </w:rPr>
        <w:t>款</w:t>
      </w:r>
      <w:r>
        <w:rPr>
          <w:rFonts w:hint="eastAsia" w:ascii="Times New Roman" w:hAnsi="Times New Roman" w:eastAsia="仿宋_GB2312" w:cs="仿宋_GB2312"/>
          <w:color w:val="auto"/>
          <w:kern w:val="2"/>
          <w:sz w:val="32"/>
          <w:szCs w:val="32"/>
          <w:highlight w:val="none"/>
          <w:lang w:val="en-US" w:eastAsia="zh-CN" w:bidi="ar-SA"/>
        </w:rPr>
        <w:t>）机关事业单位职业年金缴费支出（</w:t>
      </w:r>
      <w:r>
        <w:rPr>
          <w:rFonts w:hint="eastAsia" w:eastAsia="仿宋_GB2312" w:cs="仿宋_GB2312"/>
          <w:color w:val="auto"/>
          <w:kern w:val="2"/>
          <w:sz w:val="32"/>
          <w:szCs w:val="32"/>
          <w:highlight w:val="none"/>
          <w:lang w:val="en-US" w:eastAsia="zh-CN" w:bidi="ar-SA"/>
        </w:rPr>
        <w:t>项</w:t>
      </w:r>
      <w:r>
        <w:rPr>
          <w:rFonts w:hint="eastAsia" w:ascii="Times New Roman" w:hAnsi="Times New Roman" w:eastAsia="仿宋_GB2312" w:cs="仿宋_GB2312"/>
          <w:color w:val="auto"/>
          <w:kern w:val="2"/>
          <w:sz w:val="32"/>
          <w:szCs w:val="32"/>
          <w:highlight w:val="none"/>
          <w:lang w:val="en-US" w:eastAsia="zh-CN" w:bidi="ar-SA"/>
        </w:rPr>
        <w:t>）: 支出决算为</w:t>
      </w:r>
      <w:r>
        <w:rPr>
          <w:rFonts w:hint="eastAsia" w:eastAsia="仿宋_GB2312" w:cs="仿宋_GB2312"/>
          <w:color w:val="auto"/>
          <w:kern w:val="2"/>
          <w:sz w:val="32"/>
          <w:szCs w:val="32"/>
          <w:highlight w:val="none"/>
          <w:lang w:val="en-US" w:eastAsia="zh-CN" w:bidi="ar-SA"/>
        </w:rPr>
        <w:t>14.08</w:t>
      </w:r>
      <w:r>
        <w:rPr>
          <w:rFonts w:hint="eastAsia" w:ascii="Times New Roman" w:hAnsi="Times New Roman" w:eastAsia="仿宋_GB2312" w:cs="仿宋_GB2312"/>
          <w:color w:val="auto"/>
          <w:kern w:val="2"/>
          <w:sz w:val="32"/>
          <w:szCs w:val="32"/>
          <w:highlight w:val="none"/>
          <w:lang w:val="en-US" w:eastAsia="zh-CN" w:bidi="ar-SA"/>
        </w:rPr>
        <w:t>万元，完成预算100%</w:t>
      </w:r>
      <w:r>
        <w:rPr>
          <w:rFonts w:hint="eastAsia" w:eastAsia="仿宋_GB2312" w:cs="仿宋_GB2312"/>
          <w:color w:val="auto"/>
          <w:kern w:val="2"/>
          <w:sz w:val="32"/>
          <w:szCs w:val="32"/>
          <w:highlight w:val="none"/>
          <w:lang w:val="en-US" w:eastAsia="zh-CN" w:bidi="ar-SA"/>
        </w:rPr>
        <w:t>，决算与预算数持平。</w:t>
      </w:r>
    </w:p>
    <w:p w14:paraId="5911A03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.卫生健康（</w:t>
      </w:r>
      <w:r>
        <w:rPr>
          <w:rFonts w:hint="eastAsia" w:eastAsia="仿宋_GB2312" w:cs="仿宋_GB2312"/>
          <w:color w:val="auto"/>
          <w:kern w:val="2"/>
          <w:sz w:val="32"/>
          <w:szCs w:val="32"/>
          <w:highlight w:val="none"/>
          <w:lang w:val="en-US" w:eastAsia="zh-CN" w:bidi="ar-SA"/>
        </w:rPr>
        <w:t>类</w:t>
      </w:r>
      <w:r>
        <w:rPr>
          <w:rFonts w:hint="eastAsia" w:ascii="Times New Roman" w:hAnsi="Times New Roman" w:eastAsia="仿宋_GB2312" w:cs="仿宋_GB2312"/>
          <w:color w:val="auto"/>
          <w:kern w:val="2"/>
          <w:sz w:val="32"/>
          <w:szCs w:val="32"/>
          <w:highlight w:val="none"/>
          <w:lang w:val="en-US" w:eastAsia="zh-CN" w:bidi="ar-SA"/>
        </w:rPr>
        <w:t>）行政事业单位医疗（</w:t>
      </w:r>
      <w:r>
        <w:rPr>
          <w:rFonts w:hint="eastAsia" w:eastAsia="仿宋_GB2312" w:cs="仿宋_GB2312"/>
          <w:color w:val="auto"/>
          <w:kern w:val="2"/>
          <w:sz w:val="32"/>
          <w:szCs w:val="32"/>
          <w:highlight w:val="none"/>
          <w:lang w:val="en-US" w:eastAsia="zh-CN" w:bidi="ar-SA"/>
        </w:rPr>
        <w:t>款</w:t>
      </w:r>
      <w:r>
        <w:rPr>
          <w:rFonts w:hint="eastAsia" w:ascii="Times New Roman" w:hAnsi="Times New Roman" w:eastAsia="仿宋_GB2312" w:cs="仿宋_GB2312"/>
          <w:color w:val="auto"/>
          <w:kern w:val="2"/>
          <w:sz w:val="32"/>
          <w:szCs w:val="32"/>
          <w:highlight w:val="none"/>
          <w:lang w:val="en-US" w:eastAsia="zh-CN" w:bidi="ar-SA"/>
        </w:rPr>
        <w:t>）行政单位医疗（</w:t>
      </w:r>
      <w:r>
        <w:rPr>
          <w:rFonts w:hint="eastAsia" w:eastAsia="仿宋_GB2312" w:cs="仿宋_GB2312"/>
          <w:color w:val="auto"/>
          <w:kern w:val="2"/>
          <w:sz w:val="32"/>
          <w:szCs w:val="32"/>
          <w:highlight w:val="none"/>
          <w:lang w:val="en-US" w:eastAsia="zh-CN" w:bidi="ar-SA"/>
        </w:rPr>
        <w:t>项</w:t>
      </w:r>
      <w:r>
        <w:rPr>
          <w:rFonts w:hint="eastAsia" w:ascii="Times New Roman" w:hAnsi="Times New Roman" w:eastAsia="仿宋_GB2312" w:cs="仿宋_GB2312"/>
          <w:color w:val="auto"/>
          <w:kern w:val="2"/>
          <w:sz w:val="32"/>
          <w:szCs w:val="32"/>
          <w:highlight w:val="none"/>
          <w:lang w:val="en-US" w:eastAsia="zh-CN" w:bidi="ar-SA"/>
        </w:rPr>
        <w:t>）: 支出决算为</w:t>
      </w:r>
      <w:r>
        <w:rPr>
          <w:rFonts w:hint="eastAsia" w:eastAsia="仿宋_GB2312" w:cs="仿宋_GB2312"/>
          <w:color w:val="auto"/>
          <w:kern w:val="2"/>
          <w:sz w:val="32"/>
          <w:szCs w:val="32"/>
          <w:highlight w:val="none"/>
          <w:lang w:val="en-US" w:eastAsia="zh-CN" w:bidi="ar-SA"/>
        </w:rPr>
        <w:t>17.13</w:t>
      </w:r>
      <w:r>
        <w:rPr>
          <w:rFonts w:hint="eastAsia" w:ascii="Times New Roman" w:hAnsi="Times New Roman" w:eastAsia="仿宋_GB2312" w:cs="仿宋_GB2312"/>
          <w:color w:val="auto"/>
          <w:kern w:val="2"/>
          <w:sz w:val="32"/>
          <w:szCs w:val="32"/>
          <w:highlight w:val="none"/>
          <w:lang w:val="en-US" w:eastAsia="zh-CN" w:bidi="ar-SA"/>
        </w:rPr>
        <w:t>万元，完成预算100%</w:t>
      </w:r>
      <w:r>
        <w:rPr>
          <w:rFonts w:hint="eastAsia" w:eastAsia="仿宋_GB2312" w:cs="仿宋_GB2312"/>
          <w:color w:val="auto"/>
          <w:kern w:val="2"/>
          <w:sz w:val="32"/>
          <w:szCs w:val="32"/>
          <w:highlight w:val="none"/>
          <w:lang w:val="en-US" w:eastAsia="zh-CN" w:bidi="ar-SA"/>
        </w:rPr>
        <w:t>，决算与预算数持平。</w:t>
      </w:r>
    </w:p>
    <w:p w14:paraId="274FC04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6.住房保障支出（</w:t>
      </w:r>
      <w:r>
        <w:rPr>
          <w:rFonts w:hint="eastAsia" w:eastAsia="仿宋_GB2312" w:cs="仿宋_GB2312"/>
          <w:color w:val="auto"/>
          <w:kern w:val="2"/>
          <w:sz w:val="32"/>
          <w:szCs w:val="32"/>
          <w:highlight w:val="none"/>
          <w:lang w:val="en-US" w:eastAsia="zh-CN" w:bidi="ar-SA"/>
        </w:rPr>
        <w:t>类</w:t>
      </w:r>
      <w:r>
        <w:rPr>
          <w:rFonts w:hint="eastAsia" w:ascii="Times New Roman" w:hAnsi="Times New Roman" w:eastAsia="仿宋_GB2312" w:cs="仿宋_GB2312"/>
          <w:color w:val="auto"/>
          <w:kern w:val="2"/>
          <w:sz w:val="32"/>
          <w:szCs w:val="32"/>
          <w:highlight w:val="none"/>
          <w:lang w:val="en-US" w:eastAsia="zh-CN" w:bidi="ar-SA"/>
        </w:rPr>
        <w:t>）住房改革支出（</w:t>
      </w:r>
      <w:r>
        <w:rPr>
          <w:rFonts w:hint="eastAsia" w:eastAsia="仿宋_GB2312" w:cs="仿宋_GB2312"/>
          <w:color w:val="auto"/>
          <w:kern w:val="2"/>
          <w:sz w:val="32"/>
          <w:szCs w:val="32"/>
          <w:highlight w:val="none"/>
          <w:lang w:val="en-US" w:eastAsia="zh-CN" w:bidi="ar-SA"/>
        </w:rPr>
        <w:t>款</w:t>
      </w:r>
      <w:r>
        <w:rPr>
          <w:rFonts w:hint="eastAsia" w:ascii="Times New Roman" w:hAnsi="Times New Roman" w:eastAsia="仿宋_GB2312" w:cs="仿宋_GB2312"/>
          <w:color w:val="auto"/>
          <w:kern w:val="2"/>
          <w:sz w:val="32"/>
          <w:szCs w:val="32"/>
          <w:highlight w:val="none"/>
          <w:lang w:val="en-US" w:eastAsia="zh-CN" w:bidi="ar-SA"/>
        </w:rPr>
        <w:t>）住房公积金（</w:t>
      </w:r>
      <w:r>
        <w:rPr>
          <w:rFonts w:hint="eastAsia" w:eastAsia="仿宋_GB2312" w:cs="仿宋_GB2312"/>
          <w:color w:val="auto"/>
          <w:kern w:val="2"/>
          <w:sz w:val="32"/>
          <w:szCs w:val="32"/>
          <w:highlight w:val="none"/>
          <w:lang w:val="en-US" w:eastAsia="zh-CN" w:bidi="ar-SA"/>
        </w:rPr>
        <w:t>项</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26.21</w:t>
      </w:r>
      <w:r>
        <w:rPr>
          <w:rFonts w:hint="eastAsia" w:ascii="Times New Roman" w:hAnsi="Times New Roman" w:eastAsia="仿宋_GB2312" w:cs="仿宋_GB2312"/>
          <w:color w:val="auto"/>
          <w:kern w:val="2"/>
          <w:sz w:val="32"/>
          <w:szCs w:val="32"/>
          <w:highlight w:val="none"/>
          <w:lang w:val="en-US" w:eastAsia="zh-CN" w:bidi="ar-SA"/>
        </w:rPr>
        <w:t>万元，完成预算100%</w:t>
      </w:r>
      <w:r>
        <w:rPr>
          <w:rFonts w:hint="eastAsia" w:eastAsia="仿宋_GB2312" w:cs="仿宋_GB2312"/>
          <w:color w:val="auto"/>
          <w:kern w:val="2"/>
          <w:sz w:val="32"/>
          <w:szCs w:val="32"/>
          <w:highlight w:val="none"/>
          <w:lang w:val="en-US" w:eastAsia="zh-CN" w:bidi="ar-SA"/>
        </w:rPr>
        <w:t>，决算与预算数持平。</w:t>
      </w:r>
    </w:p>
    <w:p w14:paraId="2CF91646">
      <w:pPr>
        <w:tabs>
          <w:tab w:val="right" w:pos="8306"/>
        </w:tabs>
        <w:spacing w:line="600" w:lineRule="exact"/>
        <w:ind w:firstLine="640"/>
        <w:outlineLvl w:val="1"/>
        <w:rPr>
          <w:rStyle w:val="29"/>
          <w:rFonts w:ascii="Times New Roman" w:hAnsi="Times New Roman"/>
          <w:color w:val="auto"/>
          <w:highlight w:val="none"/>
        </w:rPr>
      </w:pPr>
      <w:bookmarkStart w:id="55" w:name="_Toc15377214"/>
      <w:bookmarkStart w:id="56" w:name="_Toc27240"/>
      <w:bookmarkStart w:id="57"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般公共预算财政拨款基本支出决算情况说明</w:t>
      </w:r>
      <w:bookmarkEnd w:id="55"/>
      <w:bookmarkEnd w:id="56"/>
      <w:bookmarkEnd w:id="57"/>
      <w:r>
        <w:rPr>
          <w:rStyle w:val="29"/>
          <w:rFonts w:ascii="Times New Roman" w:hAnsi="Times New Roman" w:eastAsia="黑体"/>
          <w:b w:val="0"/>
          <w:color w:val="auto"/>
          <w:highlight w:val="none"/>
        </w:rPr>
        <w:tab/>
      </w:r>
    </w:p>
    <w:p w14:paraId="012243E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年度一般公共预算财政拨款基本支出</w:t>
      </w:r>
      <w:r>
        <w:rPr>
          <w:rFonts w:hint="eastAsia" w:eastAsia="仿宋_GB2312" w:cs="仿宋_GB2312"/>
          <w:color w:val="auto"/>
          <w:kern w:val="2"/>
          <w:sz w:val="32"/>
          <w:szCs w:val="32"/>
          <w:highlight w:val="none"/>
          <w:lang w:val="en-US" w:eastAsia="zh-CN" w:bidi="ar-SA"/>
        </w:rPr>
        <w:t>324.09</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元，其中：</w:t>
      </w:r>
    </w:p>
    <w:p w14:paraId="470992F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Times New Roman" w:hAnsi="Times New Roman" w:eastAsia="仿宋_GB2312" w:cs="Times New Roman"/>
          <w:b w:val="0"/>
          <w:bCs w:val="0"/>
          <w:color w:val="000000"/>
          <w:kern w:val="2"/>
          <w:sz w:val="32"/>
          <w:szCs w:val="32"/>
          <w:lang w:val="en-US" w:eastAsia="zh-CN" w:bidi="ar-SA"/>
        </w:rPr>
        <w:t>317.18</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元，主要包括：基本工资、津贴补贴、绩效工资、机关事业单位基本养老保险缴费、职业年金缴费、</w:t>
      </w:r>
      <w:r>
        <w:rPr>
          <w:rFonts w:hint="eastAsia" w:eastAsia="仿宋_GB2312" w:cs="仿宋_GB2312"/>
          <w:color w:val="auto"/>
          <w:kern w:val="2"/>
          <w:sz w:val="32"/>
          <w:szCs w:val="32"/>
          <w:highlight w:val="none"/>
          <w:lang w:val="en-US" w:eastAsia="zh-CN" w:bidi="ar-SA"/>
        </w:rPr>
        <w:t>职工基本医疗保险缴费、</w:t>
      </w:r>
      <w:r>
        <w:rPr>
          <w:rFonts w:hint="eastAsia" w:ascii="Times New Roman" w:hAnsi="Times New Roman" w:eastAsia="仿宋_GB2312" w:cs="仿宋_GB2312"/>
          <w:color w:val="auto"/>
          <w:kern w:val="2"/>
          <w:sz w:val="32"/>
          <w:szCs w:val="32"/>
          <w:highlight w:val="none"/>
          <w:lang w:val="en-US" w:eastAsia="zh-CN" w:bidi="ar-SA"/>
        </w:rPr>
        <w:t>其他社会保障缴费、医疗费补助、住房公积金等。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eastAsia="仿宋_GB2312" w:cs="仿宋_GB2312"/>
          <w:color w:val="auto"/>
          <w:kern w:val="2"/>
          <w:sz w:val="32"/>
          <w:szCs w:val="32"/>
          <w:highlight w:val="none"/>
          <w:lang w:val="en-US" w:eastAsia="zh-CN" w:bidi="ar-SA"/>
        </w:rPr>
        <w:t>6.91</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元，主要包括：办公费、邮电费、差旅费、培训费、</w:t>
      </w:r>
      <w:r>
        <w:rPr>
          <w:rFonts w:hint="eastAsia" w:eastAsia="仿宋_GB2312" w:cs="仿宋_GB2312"/>
          <w:color w:val="auto"/>
          <w:kern w:val="2"/>
          <w:sz w:val="32"/>
          <w:szCs w:val="32"/>
          <w:highlight w:val="none"/>
          <w:lang w:val="en-US" w:eastAsia="zh-CN" w:bidi="ar-SA"/>
        </w:rPr>
        <w:t>维修（护）费、福利费、</w:t>
      </w:r>
      <w:r>
        <w:rPr>
          <w:rFonts w:hint="eastAsia" w:ascii="Times New Roman" w:hAnsi="Times New Roman" w:eastAsia="仿宋_GB2312" w:cs="仿宋_GB2312"/>
          <w:color w:val="auto"/>
          <w:kern w:val="2"/>
          <w:sz w:val="32"/>
          <w:szCs w:val="32"/>
          <w:highlight w:val="none"/>
          <w:lang w:val="en-US" w:eastAsia="zh-CN" w:bidi="ar-SA"/>
        </w:rPr>
        <w:t>其他</w:t>
      </w:r>
      <w:r>
        <w:rPr>
          <w:rFonts w:hint="eastAsia" w:eastAsia="仿宋_GB2312" w:cs="仿宋_GB2312"/>
          <w:color w:val="auto"/>
          <w:kern w:val="2"/>
          <w:sz w:val="32"/>
          <w:szCs w:val="32"/>
          <w:highlight w:val="none"/>
          <w:lang w:val="en-US" w:eastAsia="zh-CN" w:bidi="ar-SA"/>
        </w:rPr>
        <w:t>商品和服务支出</w:t>
      </w:r>
      <w:r>
        <w:rPr>
          <w:rFonts w:hint="eastAsia" w:ascii="Times New Roman" w:hAnsi="Times New Roman" w:eastAsia="仿宋_GB2312" w:cs="仿宋_GB2312"/>
          <w:color w:val="auto"/>
          <w:kern w:val="2"/>
          <w:sz w:val="32"/>
          <w:szCs w:val="32"/>
          <w:highlight w:val="none"/>
          <w:lang w:val="en-US" w:eastAsia="zh-CN" w:bidi="ar-SA"/>
        </w:rPr>
        <w:t>等。</w:t>
      </w:r>
    </w:p>
    <w:p w14:paraId="208B4692">
      <w:pPr>
        <w:spacing w:line="600" w:lineRule="exact"/>
        <w:ind w:firstLine="640"/>
        <w:outlineLvl w:val="1"/>
        <w:rPr>
          <w:rStyle w:val="29"/>
          <w:rFonts w:ascii="Times New Roman" w:hAnsi="Times New Roman" w:eastAsia="黑体"/>
          <w:b w:val="0"/>
          <w:color w:val="auto"/>
          <w:highlight w:val="none"/>
        </w:rPr>
      </w:pPr>
      <w:bookmarkStart w:id="58" w:name="_Toc15377215"/>
      <w:bookmarkStart w:id="59" w:name="_Toc15396609"/>
      <w:bookmarkStart w:id="60" w:name="_Toc22698"/>
      <w:r>
        <w:rPr>
          <w:rFonts w:hint="eastAsia" w:ascii="Times New Roman" w:hAnsi="Times New Roman" w:eastAsia="黑体"/>
          <w:color w:val="auto"/>
          <w:sz w:val="32"/>
          <w:szCs w:val="32"/>
          <w:highlight w:val="none"/>
        </w:rPr>
        <w:t>七、</w:t>
      </w:r>
      <w:r>
        <w:rPr>
          <w:rStyle w:val="29"/>
          <w:rFonts w:hint="eastAsia" w:ascii="Times New Roman" w:hAnsi="Times New Roman" w:eastAsia="黑体"/>
          <w:b w:val="0"/>
          <w:color w:val="auto"/>
          <w:highlight w:val="none"/>
        </w:rPr>
        <w:t>财政拨</w:t>
      </w:r>
      <w:r>
        <w:rPr>
          <w:rStyle w:val="29"/>
          <w:rFonts w:hint="eastAsia" w:eastAsia="黑体"/>
          <w:b w:val="0"/>
          <w:color w:val="auto"/>
          <w:highlight w:val="none"/>
          <w:lang w:eastAsia="zh-CN"/>
        </w:rPr>
        <w:t>款“</w:t>
      </w:r>
      <w:r>
        <w:rPr>
          <w:rStyle w:val="29"/>
          <w:rFonts w:hint="eastAsia" w:ascii="Times New Roman" w:hAnsi="Times New Roman" w:eastAsia="黑体"/>
          <w:b w:val="0"/>
          <w:color w:val="auto"/>
          <w:highlight w:val="none"/>
        </w:rPr>
        <w:t>三公”经费支出决算情况说明</w:t>
      </w:r>
      <w:bookmarkEnd w:id="58"/>
      <w:bookmarkEnd w:id="59"/>
      <w:bookmarkEnd w:id="60"/>
    </w:p>
    <w:p w14:paraId="7008635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1" w:name="_Toc15377216"/>
      <w:r>
        <w:rPr>
          <w:rFonts w:hint="eastAsia" w:ascii="Times New Roman" w:hAnsi="Times New Roman" w:eastAsia="楷体_GB2312" w:cs="楷体_GB2312"/>
          <w:b/>
          <w:color w:val="auto"/>
          <w:sz w:val="32"/>
          <w:szCs w:val="32"/>
          <w:highlight w:val="none"/>
        </w:rPr>
        <w:t>（一）</w:t>
      </w:r>
      <w:r>
        <w:rPr>
          <w:rFonts w:hint="eastAsia" w:eastAsia="楷体_GB2312" w:cs="楷体_GB2312"/>
          <w:b/>
          <w:color w:val="auto"/>
          <w:sz w:val="32"/>
          <w:szCs w:val="32"/>
          <w:highlight w:val="none"/>
          <w:lang w:eastAsia="zh-CN"/>
        </w:rPr>
        <w:t>财政拨款</w:t>
      </w:r>
      <w:r>
        <w:rPr>
          <w:rFonts w:hint="eastAsia" w:ascii="Times New Roman" w:hAnsi="Times New Roman" w:eastAsia="楷体_GB2312" w:cs="楷体_GB2312"/>
          <w:b/>
          <w:color w:val="auto"/>
          <w:sz w:val="32"/>
          <w:szCs w:val="32"/>
          <w:highlight w:val="none"/>
        </w:rPr>
        <w:t>“三公”经费支出决算总体情况说明</w:t>
      </w:r>
      <w:bookmarkEnd w:id="61"/>
    </w:p>
    <w:p w14:paraId="4523B7B6">
      <w:pPr>
        <w:spacing w:line="600" w:lineRule="exact"/>
        <w:ind w:firstLine="640"/>
        <w:rPr>
          <w:rFonts w:hint="default"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Times New Roman"/>
          <w:b w:val="0"/>
          <w:bCs w:val="0"/>
          <w:color w:val="000000"/>
          <w:kern w:val="2"/>
          <w:sz w:val="32"/>
          <w:szCs w:val="32"/>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仿宋_GB2312" w:cs="仿宋_GB2312"/>
          <w:color w:val="auto"/>
          <w:kern w:val="2"/>
          <w:sz w:val="32"/>
          <w:szCs w:val="32"/>
          <w:highlight w:val="none"/>
          <w:lang w:val="en-US" w:eastAsia="zh-CN" w:bidi="ar-SA"/>
        </w:rPr>
        <w:t>财政拨款</w:t>
      </w:r>
      <w:r>
        <w:rPr>
          <w:rFonts w:hint="eastAsia" w:ascii="Times New Roman" w:hAnsi="Times New Roman" w:eastAsia="仿宋_GB2312" w:cs="仿宋_GB2312"/>
          <w:color w:val="auto"/>
          <w:kern w:val="2"/>
          <w:sz w:val="32"/>
          <w:szCs w:val="32"/>
          <w:highlight w:val="none"/>
          <w:lang w:val="en-US" w:eastAsia="zh-CN" w:bidi="ar-SA"/>
        </w:rPr>
        <w:t>“三公”经费支出决算为</w:t>
      </w:r>
      <w:r>
        <w:rPr>
          <w:rFonts w:hint="eastAsia" w:ascii="Times New Roman" w:hAnsi="Times New Roman" w:eastAsia="仿宋_GB2312" w:cs="Times New Roman"/>
          <w:b w:val="0"/>
          <w:bCs w:val="0"/>
          <w:color w:val="000000"/>
          <w:kern w:val="2"/>
          <w:sz w:val="32"/>
          <w:szCs w:val="32"/>
          <w:lang w:val="en-US" w:eastAsia="zh-CN" w:bidi="ar-SA"/>
        </w:rPr>
        <w:t>0</w:t>
      </w:r>
      <w:r>
        <w:rPr>
          <w:rFonts w:hint="eastAsia" w:ascii="仿宋_GB2312" w:hAnsi="仿宋_GB2312" w:eastAsia="仿宋_GB2312" w:cs="仿宋_GB2312"/>
          <w:color w:val="auto"/>
          <w:kern w:val="2"/>
          <w:sz w:val="32"/>
          <w:szCs w:val="32"/>
          <w:highlight w:val="none"/>
          <w:lang w:val="en-US" w:eastAsia="zh-CN" w:bidi="ar-SA"/>
        </w:rPr>
        <w:t>万元，完成预算数</w:t>
      </w:r>
      <w:r>
        <w:rPr>
          <w:rFonts w:hint="eastAsia" w:ascii="Times New Roman" w:hAnsi="Times New Roman" w:eastAsia="仿宋_GB2312" w:cs="Times New Roman"/>
          <w:b w:val="0"/>
          <w:bCs w:val="0"/>
          <w:color w:val="000000"/>
          <w:kern w:val="2"/>
          <w:sz w:val="32"/>
          <w:szCs w:val="32"/>
          <w:lang w:val="en-US" w:eastAsia="zh-CN" w:bidi="ar-SA"/>
        </w:rPr>
        <w:t>100%</w:t>
      </w:r>
      <w:r>
        <w:rPr>
          <w:rFonts w:hint="eastAsia" w:ascii="仿宋_GB2312" w:hAnsi="仿宋_GB2312" w:eastAsia="仿宋_GB2312" w:cs="仿宋_GB2312"/>
          <w:color w:val="auto"/>
          <w:kern w:val="2"/>
          <w:sz w:val="32"/>
          <w:szCs w:val="32"/>
          <w:highlight w:val="none"/>
          <w:lang w:val="en-US" w:eastAsia="zh-CN" w:bidi="ar-SA"/>
        </w:rPr>
        <w:t>，与</w:t>
      </w:r>
      <w:r>
        <w:rPr>
          <w:rFonts w:hint="eastAsia" w:ascii="Times New Roman" w:hAnsi="Times New Roman" w:eastAsia="仿宋_GB2312" w:cs="Times New Roman"/>
          <w:b w:val="0"/>
          <w:bCs w:val="0"/>
          <w:color w:val="000000"/>
          <w:kern w:val="2"/>
          <w:sz w:val="32"/>
          <w:szCs w:val="32"/>
          <w:lang w:val="en-US" w:eastAsia="zh-CN" w:bidi="ar-SA"/>
        </w:rPr>
        <w:t>2024</w:t>
      </w:r>
      <w:r>
        <w:rPr>
          <w:rFonts w:hint="eastAsia" w:ascii="仿宋_GB2312" w:hAnsi="仿宋_GB2312" w:eastAsia="仿宋_GB2312" w:cs="仿宋_GB2312"/>
          <w:color w:val="auto"/>
          <w:kern w:val="2"/>
          <w:sz w:val="32"/>
          <w:szCs w:val="32"/>
          <w:highlight w:val="none"/>
          <w:lang w:val="en-US" w:eastAsia="zh-CN" w:bidi="ar-SA"/>
        </w:rPr>
        <w:t>年相比无变化。决算数与预算数持平。</w:t>
      </w:r>
    </w:p>
    <w:p w14:paraId="53153896">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2" w:name="_Toc15377217"/>
      <w:r>
        <w:rPr>
          <w:rFonts w:hint="eastAsia" w:ascii="Times New Roman" w:hAnsi="Times New Roman" w:eastAsia="楷体_GB2312" w:cs="楷体_GB2312"/>
          <w:b/>
          <w:color w:val="auto"/>
          <w:sz w:val="32"/>
          <w:szCs w:val="32"/>
          <w:highlight w:val="none"/>
        </w:rPr>
        <w:t>（二）</w:t>
      </w:r>
      <w:r>
        <w:rPr>
          <w:rFonts w:hint="eastAsia" w:eastAsia="楷体_GB2312" w:cs="楷体_GB2312"/>
          <w:b/>
          <w:color w:val="auto"/>
          <w:sz w:val="32"/>
          <w:szCs w:val="32"/>
          <w:highlight w:val="none"/>
          <w:lang w:eastAsia="zh-CN"/>
        </w:rPr>
        <w:t>财政拨款</w:t>
      </w:r>
      <w:r>
        <w:rPr>
          <w:rFonts w:hint="eastAsia" w:ascii="Times New Roman" w:hAnsi="Times New Roman" w:eastAsia="楷体_GB2312" w:cs="楷体_GB2312"/>
          <w:b/>
          <w:color w:val="auto"/>
          <w:sz w:val="32"/>
          <w:szCs w:val="32"/>
          <w:highlight w:val="none"/>
        </w:rPr>
        <w:t>“三公”经费支出决算具体情况说明</w:t>
      </w:r>
      <w:bookmarkEnd w:id="62"/>
    </w:p>
    <w:p w14:paraId="2F497BF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Times New Roman"/>
          <w:b w:val="0"/>
          <w:bCs w:val="0"/>
          <w:color w:val="000000"/>
          <w:kern w:val="2"/>
          <w:sz w:val="32"/>
          <w:szCs w:val="32"/>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仿宋_GB2312" w:cs="仿宋_GB2312"/>
          <w:color w:val="auto"/>
          <w:kern w:val="2"/>
          <w:sz w:val="32"/>
          <w:szCs w:val="32"/>
          <w:highlight w:val="none"/>
          <w:lang w:val="en-US" w:eastAsia="zh-CN" w:bidi="ar-SA"/>
        </w:rPr>
        <w:t>财政拨款</w:t>
      </w:r>
      <w:r>
        <w:rPr>
          <w:rFonts w:hint="eastAsia" w:ascii="Times New Roman" w:hAnsi="Times New Roman" w:eastAsia="仿宋_GB2312" w:cs="仿宋_GB2312"/>
          <w:color w:val="auto"/>
          <w:kern w:val="2"/>
          <w:sz w:val="32"/>
          <w:szCs w:val="32"/>
          <w:highlight w:val="none"/>
          <w:lang w:val="en-US" w:eastAsia="zh-CN" w:bidi="ar-SA"/>
        </w:rPr>
        <w:t>“三公”经费支出决算中，因公出国（境）费支出决算</w:t>
      </w:r>
      <w:r>
        <w:rPr>
          <w:rFonts w:hint="eastAsia" w:ascii="Times New Roman" w:hAnsi="Times New Roman" w:eastAsia="仿宋_GB2312" w:cs="Times New Roman"/>
          <w:b w:val="0"/>
          <w:bCs w:val="0"/>
          <w:color w:val="000000"/>
          <w:kern w:val="2"/>
          <w:sz w:val="32"/>
          <w:szCs w:val="32"/>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，占0%；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公务用车购置及运行维护费支出决算0万元</w:t>
      </w:r>
      <w:r>
        <w:rPr>
          <w:rFonts w:hint="eastAsia" w:eastAsia="仿宋_GB2312" w:cs="仿宋_GB2312"/>
          <w:color w:val="auto"/>
          <w:kern w:val="2"/>
          <w:sz w:val="32"/>
          <w:szCs w:val="32"/>
          <w:highlight w:val="none"/>
          <w:lang w:val="en-US" w:eastAsia="zh-CN" w:bidi="ar-SA"/>
        </w:rPr>
        <w:t>，占0%;</w:t>
      </w:r>
      <w:r>
        <w:rPr>
          <w:rFonts w:hint="eastAsia" w:ascii="Times New Roman" w:hAnsi="Times New Roman" w:eastAsia="仿宋_GB2312" w:cs="仿宋_GB2312"/>
          <w:color w:val="auto"/>
          <w:kern w:val="2"/>
          <w:sz w:val="32"/>
          <w:szCs w:val="32"/>
          <w:highlight w:val="none"/>
          <w:lang w:val="en-US" w:eastAsia="zh-CN" w:bidi="ar-SA"/>
        </w:rPr>
        <w:t>公务接待费支出决算0万元</w:t>
      </w:r>
      <w:r>
        <w:rPr>
          <w:rFonts w:hint="eastAsia" w:eastAsia="仿宋_GB2312" w:cs="仿宋_GB2312"/>
          <w:color w:val="auto"/>
          <w:kern w:val="2"/>
          <w:sz w:val="32"/>
          <w:szCs w:val="32"/>
          <w:highlight w:val="none"/>
          <w:lang w:val="en-US" w:eastAsia="zh-CN" w:bidi="ar-SA"/>
        </w:rPr>
        <w:t>,占0%</w:t>
      </w:r>
      <w:r>
        <w:rPr>
          <w:rFonts w:hint="eastAsia" w:ascii="Times New Roman" w:hAnsi="Times New Roman" w:eastAsia="仿宋_GB2312" w:cs="仿宋_GB2312"/>
          <w:color w:val="auto"/>
          <w:kern w:val="2"/>
          <w:sz w:val="32"/>
          <w:szCs w:val="32"/>
          <w:highlight w:val="none"/>
          <w:lang w:val="en-US" w:eastAsia="zh-CN" w:bidi="ar-SA"/>
        </w:rPr>
        <w:t>。具体情况如下：</w:t>
      </w:r>
    </w:p>
    <w:p w14:paraId="5EF09911">
      <w:pPr>
        <w:numPr>
          <w:ilvl w:val="0"/>
          <w:numId w:val="0"/>
        </w:numPr>
        <w:spacing w:line="600" w:lineRule="exact"/>
        <w:ind w:firstLine="643" w:firstLineChars="200"/>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eastAsia="仿宋_GB2312" w:cs="仿宋_GB2312"/>
          <w:b/>
          <w:bCs/>
          <w:color w:val="auto"/>
          <w:kern w:val="2"/>
          <w:sz w:val="32"/>
          <w:szCs w:val="32"/>
          <w:highlight w:val="none"/>
          <w:lang w:val="en-US" w:eastAsia="zh-CN" w:bidi="ar-SA"/>
        </w:rPr>
        <w:t>1.</w:t>
      </w:r>
      <w:r>
        <w:rPr>
          <w:rFonts w:hint="eastAsia" w:ascii="Times New Roman" w:hAnsi="Times New Roman" w:eastAsia="仿宋_GB2312" w:cs="仿宋_GB2312"/>
          <w:b/>
          <w:bCs/>
          <w:color w:val="auto"/>
          <w:kern w:val="2"/>
          <w:sz w:val="32"/>
          <w:szCs w:val="32"/>
          <w:highlight w:val="none"/>
          <w:lang w:val="en-US" w:eastAsia="zh-CN" w:bidi="ar-SA"/>
        </w:rPr>
        <w:t>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ascii="仿宋_GB2312" w:hAnsi="仿宋_GB2312" w:eastAsia="仿宋_GB2312" w:cs="仿宋_GB2312"/>
          <w:b w:val="0"/>
          <w:bCs w:val="0"/>
          <w:color w:val="auto"/>
          <w:kern w:val="2"/>
          <w:sz w:val="32"/>
          <w:szCs w:val="32"/>
          <w:highlight w:val="none"/>
          <w:lang w:val="en-US" w:eastAsia="zh-CN" w:bidi="ar-SA"/>
        </w:rPr>
        <w:t>完成预算数</w:t>
      </w:r>
      <w:r>
        <w:rPr>
          <w:rFonts w:hint="eastAsia" w:ascii="Times New Roman" w:hAnsi="Times New Roman" w:eastAsia="仿宋_GB2312" w:cs="Times New Roman"/>
          <w:b w:val="0"/>
          <w:bCs w:val="0"/>
          <w:color w:val="000000"/>
          <w:kern w:val="2"/>
          <w:sz w:val="32"/>
          <w:szCs w:val="32"/>
          <w:lang w:val="en-US" w:eastAsia="zh-CN" w:bidi="ar-SA"/>
        </w:rPr>
        <w:t>100%</w:t>
      </w:r>
      <w:r>
        <w:rPr>
          <w:rFonts w:hint="eastAsia" w:ascii="仿宋_GB2312" w:hAnsi="仿宋_GB2312" w:eastAsia="仿宋_GB2312" w:cs="仿宋_GB2312"/>
          <w:b w:val="0"/>
          <w:bCs w:val="0"/>
          <w:color w:val="auto"/>
          <w:kern w:val="2"/>
          <w:sz w:val="32"/>
          <w:szCs w:val="32"/>
          <w:highlight w:val="none"/>
          <w:lang w:val="en-US" w:eastAsia="zh-CN" w:bidi="ar-SA"/>
        </w:rPr>
        <w:t>。全年安排因公出国（境）团组</w:t>
      </w:r>
      <w:r>
        <w:rPr>
          <w:rFonts w:hint="eastAsia" w:ascii="Times New Roman" w:hAnsi="Times New Roman" w:eastAsia="仿宋_GB2312" w:cs="Times New Roman"/>
          <w:b w:val="0"/>
          <w:bCs w:val="0"/>
          <w:color w:val="000000"/>
          <w:kern w:val="2"/>
          <w:sz w:val="32"/>
          <w:szCs w:val="32"/>
          <w:lang w:val="en-US" w:eastAsia="zh-CN" w:bidi="ar-SA"/>
        </w:rPr>
        <w:t>0</w:t>
      </w:r>
      <w:r>
        <w:rPr>
          <w:rFonts w:hint="eastAsia" w:ascii="仿宋_GB2312" w:hAnsi="仿宋_GB2312" w:eastAsia="仿宋_GB2312" w:cs="仿宋_GB2312"/>
          <w:b w:val="0"/>
          <w:bCs w:val="0"/>
          <w:color w:val="auto"/>
          <w:kern w:val="2"/>
          <w:sz w:val="32"/>
          <w:szCs w:val="32"/>
          <w:highlight w:val="none"/>
          <w:lang w:val="en-US" w:eastAsia="zh-CN" w:bidi="ar-SA"/>
        </w:rPr>
        <w:t>次，出国（境）</w:t>
      </w:r>
      <w:r>
        <w:rPr>
          <w:rFonts w:hint="eastAsia" w:ascii="Times New Roman" w:hAnsi="Times New Roman" w:eastAsia="仿宋_GB2312" w:cs="Times New Roman"/>
          <w:b w:val="0"/>
          <w:bCs w:val="0"/>
          <w:color w:val="000000"/>
          <w:kern w:val="2"/>
          <w:sz w:val="32"/>
          <w:szCs w:val="32"/>
          <w:lang w:val="en-US" w:eastAsia="zh-CN" w:bidi="ar-SA"/>
        </w:rPr>
        <w:t>0</w:t>
      </w:r>
      <w:r>
        <w:rPr>
          <w:rFonts w:hint="eastAsia" w:ascii="仿宋_GB2312" w:hAnsi="仿宋_GB2312" w:eastAsia="仿宋_GB2312" w:cs="仿宋_GB2312"/>
          <w:b w:val="0"/>
          <w:bCs w:val="0"/>
          <w:color w:val="auto"/>
          <w:kern w:val="2"/>
          <w:sz w:val="32"/>
          <w:szCs w:val="32"/>
          <w:highlight w:val="none"/>
          <w:lang w:val="en-US" w:eastAsia="zh-CN" w:bidi="ar-SA"/>
        </w:rPr>
        <w:t>人。</w:t>
      </w:r>
    </w:p>
    <w:p w14:paraId="56245FB3">
      <w:pPr>
        <w:numPr>
          <w:ilvl w:val="0"/>
          <w:numId w:val="0"/>
        </w:numPr>
        <w:spacing w:line="600" w:lineRule="exact"/>
        <w:ind w:firstLine="643" w:firstLineChars="200"/>
        <w:rPr>
          <w:rFonts w:hint="eastAsia" w:ascii="仿宋_GB2312" w:hAnsi="仿宋_GB2312"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0万</w:t>
      </w:r>
      <w:r>
        <w:rPr>
          <w:rFonts w:hint="eastAsia" w:ascii="Times New Roman" w:hAnsi="Times New Roman" w:eastAsia="仿宋_GB2312" w:cs="仿宋_GB2312"/>
          <w:b/>
          <w:bCs/>
          <w:color w:val="auto"/>
          <w:kern w:val="2"/>
          <w:sz w:val="32"/>
          <w:szCs w:val="32"/>
          <w:highlight w:val="none"/>
          <w:lang w:val="en-US" w:eastAsia="zh-CN" w:bidi="ar-SA"/>
        </w:rPr>
        <w:t>元</w:t>
      </w:r>
      <w:r>
        <w:rPr>
          <w:rFonts w:hint="eastAsia" w:eastAsia="仿宋_GB2312" w:cs="仿宋_GB2312"/>
          <w:b/>
          <w:bCs/>
          <w:color w:val="auto"/>
          <w:kern w:val="2"/>
          <w:sz w:val="32"/>
          <w:szCs w:val="32"/>
          <w:highlight w:val="none"/>
          <w:lang w:val="en-US" w:eastAsia="zh-CN" w:bidi="ar-SA"/>
        </w:rPr>
        <w:t>，</w:t>
      </w:r>
      <w:r>
        <w:rPr>
          <w:rFonts w:hint="eastAsia" w:ascii="仿宋_GB2312" w:hAnsi="仿宋_GB2312" w:eastAsia="仿宋_GB2312" w:cs="仿宋_GB2312"/>
          <w:b w:val="0"/>
          <w:bCs w:val="0"/>
          <w:color w:val="auto"/>
          <w:kern w:val="2"/>
          <w:sz w:val="32"/>
          <w:szCs w:val="32"/>
          <w:highlight w:val="none"/>
          <w:lang w:val="en-US" w:eastAsia="zh-CN" w:bidi="ar-SA"/>
        </w:rPr>
        <w:t>完成预算数100%</w:t>
      </w:r>
      <w:r>
        <w:rPr>
          <w:rFonts w:hint="eastAsia" w:ascii="仿宋_GB2312" w:hAnsi="仿宋_GB2312" w:eastAsia="仿宋_GB2312" w:cs="仿宋_GB2312"/>
          <w:color w:val="auto"/>
          <w:kern w:val="2"/>
          <w:sz w:val="32"/>
          <w:szCs w:val="32"/>
          <w:highlight w:val="none"/>
          <w:lang w:val="en-US" w:eastAsia="zh-CN" w:bidi="ar-SA"/>
        </w:rPr>
        <w:t>。</w:t>
      </w:r>
    </w:p>
    <w:p w14:paraId="1C331979">
      <w:pPr>
        <w:numPr>
          <w:ilvl w:val="0"/>
          <w:numId w:val="0"/>
        </w:numPr>
        <w:spacing w:line="600" w:lineRule="exact"/>
        <w:ind w:firstLine="643"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0万</w:t>
      </w:r>
      <w:r>
        <w:rPr>
          <w:rFonts w:hint="eastAsia" w:ascii="Times New Roman" w:hAnsi="Times New Roman" w:eastAsia="仿宋_GB2312" w:cs="仿宋_GB2312"/>
          <w:b/>
          <w:bCs/>
          <w:color w:val="auto"/>
          <w:kern w:val="2"/>
          <w:sz w:val="32"/>
          <w:szCs w:val="32"/>
          <w:highlight w:val="none"/>
          <w:lang w:val="en-US" w:eastAsia="zh-CN" w:bidi="ar-SA"/>
        </w:rPr>
        <w:t>元，</w:t>
      </w:r>
      <w:r>
        <w:rPr>
          <w:rFonts w:hint="eastAsia" w:ascii="仿宋_GB2312" w:hAnsi="仿宋_GB2312" w:eastAsia="仿宋_GB2312" w:cs="仿宋_GB2312"/>
          <w:b w:val="0"/>
          <w:bCs w:val="0"/>
          <w:color w:val="auto"/>
          <w:kern w:val="2"/>
          <w:sz w:val="32"/>
          <w:szCs w:val="32"/>
          <w:highlight w:val="none"/>
          <w:lang w:val="en-US" w:eastAsia="zh-CN" w:bidi="ar-SA"/>
        </w:rPr>
        <w:t>完成预算数</w:t>
      </w:r>
      <w:r>
        <w:rPr>
          <w:rFonts w:hint="eastAsia" w:ascii="Times New Roman" w:hAnsi="Times New Roman" w:eastAsia="仿宋_GB2312" w:cs="Times New Roman"/>
          <w:b w:val="0"/>
          <w:bCs w:val="0"/>
          <w:color w:val="000000"/>
          <w:kern w:val="2"/>
          <w:sz w:val="32"/>
          <w:szCs w:val="32"/>
          <w:lang w:val="en-US" w:eastAsia="zh-CN" w:bidi="ar-SA"/>
        </w:rPr>
        <w:t>100%</w:t>
      </w:r>
      <w:r>
        <w:rPr>
          <w:rFonts w:hint="eastAsia" w:ascii="仿宋_GB2312" w:hAnsi="仿宋_GB2312" w:eastAsia="仿宋_GB2312" w:cs="仿宋_GB2312"/>
          <w:color w:val="auto"/>
          <w:kern w:val="2"/>
          <w:sz w:val="32"/>
          <w:szCs w:val="32"/>
          <w:highlight w:val="none"/>
          <w:lang w:val="en-US" w:eastAsia="zh-CN" w:bidi="ar-SA"/>
        </w:rPr>
        <w:t>。</w:t>
      </w:r>
      <w:bookmarkStart w:id="63" w:name="_Toc15377218"/>
      <w:bookmarkStart w:id="64" w:name="_Toc15396610"/>
    </w:p>
    <w:p w14:paraId="2AD59DD5">
      <w:pPr>
        <w:spacing w:line="600" w:lineRule="exact"/>
        <w:ind w:firstLine="640"/>
        <w:outlineLvl w:val="1"/>
        <w:rPr>
          <w:rStyle w:val="29"/>
          <w:rFonts w:ascii="Times New Roman" w:hAnsi="Times New Roman" w:eastAsia="黑体"/>
          <w:color w:val="auto"/>
          <w:highlight w:val="none"/>
        </w:rPr>
      </w:pPr>
      <w:bookmarkStart w:id="65" w:name="_Toc29781"/>
      <w:r>
        <w:rPr>
          <w:rFonts w:hint="eastAsia" w:ascii="Times New Roman" w:hAnsi="Times New Roman" w:eastAsia="黑体"/>
          <w:color w:val="auto"/>
          <w:sz w:val="32"/>
          <w:szCs w:val="32"/>
          <w:highlight w:val="none"/>
        </w:rPr>
        <w:t>八、</w:t>
      </w:r>
      <w:r>
        <w:rPr>
          <w:rStyle w:val="29"/>
          <w:rFonts w:hint="eastAsia" w:ascii="Times New Roman" w:hAnsi="Times New Roman" w:eastAsia="黑体"/>
          <w:b w:val="0"/>
          <w:color w:val="auto"/>
          <w:highlight w:val="none"/>
        </w:rPr>
        <w:t>政府性基金预算支出决算情况说明</w:t>
      </w:r>
      <w:bookmarkEnd w:id="63"/>
      <w:bookmarkEnd w:id="64"/>
      <w:bookmarkEnd w:id="65"/>
    </w:p>
    <w:p w14:paraId="35DB06FD">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kern w:val="2"/>
          <w:sz w:val="32"/>
          <w:szCs w:val="32"/>
          <w:highlight w:val="none"/>
          <w:lang w:val="en-US" w:eastAsia="zh-CN" w:bidi="ar-SA"/>
        </w:rPr>
      </w:pPr>
      <w:bookmarkStart w:id="66" w:name="_Toc474"/>
      <w:bookmarkStart w:id="67" w:name="_Toc31856"/>
      <w:r>
        <w:rPr>
          <w:rFonts w:hint="eastAsia" w:ascii="Times New Roman" w:hAnsi="Times New Roman" w:eastAsia="仿宋_GB2312" w:cs="Times New Roman"/>
          <w:b w:val="0"/>
          <w:bCs w:val="0"/>
          <w:color w:val="000000"/>
          <w:kern w:val="2"/>
          <w:sz w:val="32"/>
          <w:szCs w:val="32"/>
          <w:lang w:val="en-US" w:eastAsia="zh-CN" w:bidi="ar-SA"/>
        </w:rPr>
        <w:t>2025</w:t>
      </w:r>
      <w:r>
        <w:rPr>
          <w:rFonts w:hint="eastAsia" w:ascii="仿宋_GB2312" w:hAnsi="仿宋_GB2312" w:eastAsia="仿宋_GB2312" w:cs="仿宋_GB2312"/>
          <w:color w:val="auto"/>
          <w:kern w:val="2"/>
          <w:sz w:val="32"/>
          <w:szCs w:val="32"/>
          <w:highlight w:val="none"/>
          <w:lang w:val="en-US" w:eastAsia="zh-CN" w:bidi="ar-SA"/>
        </w:rPr>
        <w:t>年度政府性基金预算财政拨款支出</w:t>
      </w:r>
      <w:r>
        <w:rPr>
          <w:rFonts w:hint="eastAsia" w:ascii="Times New Roman" w:hAnsi="Times New Roman" w:eastAsia="仿宋_GB2312" w:cs="Times New Roman"/>
          <w:b w:val="0"/>
          <w:bCs w:val="0"/>
          <w:color w:val="000000"/>
          <w:kern w:val="2"/>
          <w:sz w:val="32"/>
          <w:szCs w:val="32"/>
          <w:lang w:val="en-US" w:eastAsia="zh-CN" w:bidi="ar-SA"/>
        </w:rPr>
        <w:t>0</w:t>
      </w:r>
      <w:r>
        <w:rPr>
          <w:rFonts w:hint="eastAsia" w:ascii="仿宋_GB2312" w:hAnsi="仿宋_GB2312"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w:t>
      </w:r>
      <w:bookmarkEnd w:id="66"/>
      <w:bookmarkEnd w:id="67"/>
      <w:bookmarkStart w:id="68" w:name="_Toc15377219"/>
      <w:bookmarkStart w:id="69" w:name="_Toc15396611"/>
    </w:p>
    <w:p w14:paraId="15BB63BD">
      <w:pPr>
        <w:numPr>
          <w:ilvl w:val="0"/>
          <w:numId w:val="0"/>
        </w:numPr>
        <w:spacing w:line="600" w:lineRule="exact"/>
        <w:ind w:left="630" w:leftChars="0"/>
        <w:outlineLvl w:val="1"/>
        <w:rPr>
          <w:rStyle w:val="29"/>
          <w:rFonts w:ascii="Times New Roman" w:hAnsi="Times New Roman" w:eastAsia="黑体"/>
          <w:b w:val="0"/>
          <w:color w:val="auto"/>
          <w:highlight w:val="none"/>
        </w:rPr>
      </w:pPr>
      <w:bookmarkStart w:id="70" w:name="_Toc26487"/>
      <w:r>
        <w:rPr>
          <w:rStyle w:val="29"/>
          <w:rFonts w:hint="eastAsia" w:ascii="Times New Roman" w:hAnsi="Times New Roman" w:eastAsia="黑体"/>
          <w:b w:val="0"/>
          <w:color w:val="auto"/>
          <w:highlight w:val="none"/>
          <w:lang w:eastAsia="zh-CN"/>
        </w:rPr>
        <w:t>九、</w:t>
      </w:r>
      <w:r>
        <w:rPr>
          <w:rStyle w:val="29"/>
          <w:rFonts w:hint="eastAsia" w:ascii="Times New Roman" w:hAnsi="Times New Roman" w:eastAsia="黑体"/>
          <w:b w:val="0"/>
          <w:color w:val="auto"/>
          <w:highlight w:val="none"/>
        </w:rPr>
        <w:t>国有资本经营预算支出决算情况说明</w:t>
      </w:r>
      <w:bookmarkEnd w:id="68"/>
      <w:bookmarkEnd w:id="69"/>
      <w:bookmarkEnd w:id="70"/>
    </w:p>
    <w:p w14:paraId="79B4E3A7">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Times New Roman"/>
          <w:b w:val="0"/>
          <w:bCs w:val="0"/>
          <w:color w:val="000000"/>
          <w:kern w:val="2"/>
          <w:sz w:val="32"/>
          <w:szCs w:val="32"/>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年度国有资本经营预算财政拨款支出</w:t>
      </w:r>
      <w:r>
        <w:rPr>
          <w:rFonts w:hint="eastAsia" w:eastAsia="仿宋_GB2312" w:cs="仿宋_GB2312"/>
          <w:color w:val="auto"/>
          <w:kern w:val="2"/>
          <w:sz w:val="32"/>
          <w:szCs w:val="32"/>
          <w:highlight w:val="none"/>
          <w:lang w:val="en-US" w:eastAsia="zh-CN" w:bidi="ar-SA"/>
        </w:rPr>
        <w:t>1</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Times New Roman" w:hAnsi="Times New Roman" w:eastAsia="仿宋_GB2312" w:cs="Times New Roman"/>
          <w:b w:val="0"/>
          <w:bCs w:val="0"/>
          <w:color w:val="000000"/>
          <w:kern w:val="2"/>
          <w:sz w:val="32"/>
          <w:szCs w:val="32"/>
          <w:lang w:val="en-US" w:eastAsia="zh-CN" w:bidi="ar-SA"/>
        </w:rPr>
        <w:t>0.19%</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仿宋_GB2312" w:cs="仿宋_GB2312"/>
          <w:color w:val="auto"/>
          <w:kern w:val="2"/>
          <w:sz w:val="32"/>
          <w:szCs w:val="32"/>
          <w:highlight w:val="none"/>
          <w:lang w:val="en-US" w:eastAsia="zh-CN" w:bidi="ar-SA"/>
        </w:rPr>
        <w:t>相比，</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eastAsia="仿宋_GB2312" w:cs="仿宋_GB2312"/>
          <w:color w:val="auto"/>
          <w:kern w:val="2"/>
          <w:sz w:val="32"/>
          <w:szCs w:val="32"/>
          <w:highlight w:val="none"/>
          <w:lang w:val="en-US" w:eastAsia="zh-CN" w:bidi="ar-SA"/>
        </w:rPr>
        <w:t>增加0.3万元，增长42.86%。主要原因是：上级补助增加。</w:t>
      </w:r>
    </w:p>
    <w:p w14:paraId="2A7E70EC">
      <w:pPr>
        <w:numPr>
          <w:ilvl w:val="0"/>
          <w:numId w:val="0"/>
        </w:numPr>
        <w:spacing w:line="600" w:lineRule="exact"/>
        <w:ind w:left="630" w:leftChars="0"/>
        <w:outlineLvl w:val="1"/>
        <w:rPr>
          <w:rStyle w:val="29"/>
          <w:rFonts w:hint="eastAsia" w:ascii="Times New Roman" w:hAnsi="Times New Roman" w:eastAsia="黑体"/>
          <w:b w:val="0"/>
          <w:color w:val="auto"/>
          <w:highlight w:val="none"/>
        </w:rPr>
      </w:pPr>
      <w:bookmarkStart w:id="71" w:name="_Toc15396612"/>
      <w:bookmarkStart w:id="72" w:name="_Toc15377221"/>
      <w:bookmarkStart w:id="73" w:name="_Toc7756"/>
      <w:r>
        <w:rPr>
          <w:rStyle w:val="29"/>
          <w:rFonts w:hint="eastAsia" w:ascii="Times New Roman" w:hAnsi="Times New Roman" w:eastAsia="黑体"/>
          <w:b w:val="0"/>
          <w:color w:val="auto"/>
          <w:highlight w:val="none"/>
          <w:lang w:eastAsia="zh-CN"/>
        </w:rPr>
        <w:t>十、</w:t>
      </w:r>
      <w:r>
        <w:rPr>
          <w:rStyle w:val="29"/>
          <w:rFonts w:hint="eastAsia" w:ascii="Times New Roman" w:hAnsi="Times New Roman" w:eastAsia="黑体"/>
          <w:b w:val="0"/>
          <w:color w:val="auto"/>
          <w:highlight w:val="none"/>
        </w:rPr>
        <w:t>其他重要事项的情况说明</w:t>
      </w:r>
      <w:bookmarkEnd w:id="71"/>
      <w:bookmarkEnd w:id="72"/>
      <w:bookmarkEnd w:id="73"/>
    </w:p>
    <w:p w14:paraId="5BEEE3B1">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74" w:name="_Toc15377222"/>
      <w:r>
        <w:rPr>
          <w:rFonts w:hint="eastAsia" w:ascii="Times New Roman" w:hAnsi="Times New Roman" w:eastAsia="楷体_GB2312" w:cs="楷体_GB2312"/>
          <w:b/>
          <w:color w:val="auto"/>
          <w:sz w:val="32"/>
          <w:szCs w:val="32"/>
          <w:highlight w:val="none"/>
        </w:rPr>
        <w:t>（一）机关运行经费支出情况</w:t>
      </w:r>
      <w:bookmarkEnd w:id="74"/>
    </w:p>
    <w:p w14:paraId="4BD69025">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Times New Roman"/>
          <w:b w:val="0"/>
          <w:bCs w:val="0"/>
          <w:color w:val="000000"/>
          <w:kern w:val="2"/>
          <w:sz w:val="32"/>
          <w:szCs w:val="32"/>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ascii="仿宋_GB2312" w:hAnsi="仿宋_GB2312" w:eastAsia="仿宋_GB2312" w:cs="仿宋_GB2312"/>
          <w:color w:val="auto"/>
          <w:kern w:val="2"/>
          <w:sz w:val="32"/>
          <w:szCs w:val="32"/>
          <w:highlight w:val="none"/>
          <w:lang w:val="en-US" w:eastAsia="zh-CN" w:bidi="ar-SA"/>
        </w:rPr>
        <w:t>，茂县国有资产管理中心机关运行经费支出</w:t>
      </w:r>
      <w:r>
        <w:rPr>
          <w:rFonts w:hint="eastAsia" w:ascii="Times New Roman" w:hAnsi="Times New Roman" w:eastAsia="仿宋_GB2312" w:cs="Times New Roman"/>
          <w:b w:val="0"/>
          <w:bCs w:val="0"/>
          <w:color w:val="000000"/>
          <w:kern w:val="2"/>
          <w:sz w:val="32"/>
          <w:szCs w:val="32"/>
          <w:lang w:val="en-US" w:eastAsia="zh-CN" w:bidi="ar-SA"/>
        </w:rPr>
        <w:t>6.49</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w:t>
      </w:r>
      <w:r>
        <w:rPr>
          <w:rFonts w:hint="eastAsia" w:eastAsia="仿宋_GB2312" w:cs="仿宋_GB2312"/>
          <w:color w:val="auto"/>
          <w:kern w:val="2"/>
          <w:sz w:val="32"/>
          <w:szCs w:val="32"/>
          <w:highlight w:val="none"/>
          <w:lang w:val="en-US" w:eastAsia="zh-CN" w:bidi="ar-SA"/>
        </w:rPr>
        <w:t>与</w:t>
      </w: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仿宋_GB2312" w:cs="仿宋_GB2312"/>
          <w:color w:val="auto"/>
          <w:kern w:val="2"/>
          <w:sz w:val="32"/>
          <w:szCs w:val="32"/>
          <w:highlight w:val="none"/>
          <w:lang w:val="en-US" w:eastAsia="zh-CN" w:bidi="ar-SA"/>
        </w:rPr>
        <w:t>相比</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2.69</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70.80</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：人员增加12人。</w:t>
      </w:r>
    </w:p>
    <w:p w14:paraId="7D3BB6D3">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75" w:name="_Toc15377223"/>
      <w:r>
        <w:rPr>
          <w:rFonts w:hint="eastAsia" w:ascii="Times New Roman" w:hAnsi="Times New Roman" w:eastAsia="楷体_GB2312" w:cs="楷体_GB2312"/>
          <w:b/>
          <w:color w:val="auto"/>
          <w:sz w:val="32"/>
          <w:szCs w:val="32"/>
          <w:highlight w:val="none"/>
        </w:rPr>
        <w:t>（二）政府采购支出情况</w:t>
      </w:r>
      <w:bookmarkEnd w:id="75"/>
    </w:p>
    <w:p w14:paraId="2557EA3F">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Times New Roman"/>
          <w:b w:val="0"/>
          <w:bCs w:val="0"/>
          <w:color w:val="000000"/>
          <w:kern w:val="2"/>
          <w:sz w:val="32"/>
          <w:szCs w:val="32"/>
          <w:lang w:val="en-US" w:eastAsia="zh-CN" w:bidi="ar-SA"/>
        </w:rPr>
        <w:t>2025</w:t>
      </w:r>
      <w:r>
        <w:rPr>
          <w:rFonts w:hint="eastAsia" w:ascii="仿宋_GB2312" w:hAnsi="仿宋_GB2312" w:eastAsia="仿宋_GB2312" w:cs="仿宋_GB2312"/>
          <w:color w:val="auto"/>
          <w:kern w:val="2"/>
          <w:sz w:val="32"/>
          <w:szCs w:val="32"/>
          <w:highlight w:val="none"/>
          <w:lang w:val="en-US" w:eastAsia="zh-CN" w:bidi="ar-SA"/>
        </w:rPr>
        <w:t>年度，</w:t>
      </w:r>
      <w:r>
        <w:rPr>
          <w:rFonts w:hint="eastAsia" w:ascii="仿宋_GB2312" w:hAnsi="仿宋_GB2312" w:eastAsia="仿宋_GB2312" w:cs="仿宋_GB2312"/>
          <w:sz w:val="32"/>
          <w:szCs w:val="32"/>
        </w:rPr>
        <w:t>茂县国有资产管理中心</w:t>
      </w:r>
      <w:r>
        <w:rPr>
          <w:rFonts w:hint="eastAsia" w:ascii="仿宋_GB2312" w:hAnsi="仿宋_GB2312" w:eastAsia="仿宋_GB2312" w:cs="仿宋_GB2312"/>
          <w:color w:val="auto"/>
          <w:kern w:val="2"/>
          <w:sz w:val="32"/>
          <w:szCs w:val="32"/>
          <w:highlight w:val="none"/>
          <w:lang w:val="en-US" w:eastAsia="zh-CN" w:bidi="ar-SA"/>
        </w:rPr>
        <w:t>政府采购支出总额</w:t>
      </w:r>
      <w:r>
        <w:rPr>
          <w:rFonts w:hint="eastAsia" w:ascii="Times New Roman" w:hAnsi="Times New Roman" w:eastAsia="仿宋_GB2312" w:cs="Times New Roman"/>
          <w:b w:val="0"/>
          <w:bCs w:val="0"/>
          <w:color w:val="000000"/>
          <w:kern w:val="2"/>
          <w:sz w:val="32"/>
          <w:szCs w:val="32"/>
          <w:lang w:val="en-US" w:eastAsia="zh-CN" w:bidi="ar-SA"/>
        </w:rPr>
        <w:t>0</w:t>
      </w:r>
      <w:r>
        <w:rPr>
          <w:rFonts w:hint="eastAsia" w:ascii="仿宋_GB2312" w:hAnsi="仿宋_GB2312" w:eastAsia="仿宋_GB2312" w:cs="仿宋_GB2312"/>
          <w:color w:val="auto"/>
          <w:kern w:val="2"/>
          <w:sz w:val="32"/>
          <w:szCs w:val="32"/>
          <w:highlight w:val="none"/>
          <w:lang w:val="en-US" w:eastAsia="zh-CN" w:bidi="ar-SA"/>
        </w:rPr>
        <w:t>万元，其中：政府采购货物支出</w:t>
      </w:r>
      <w:r>
        <w:rPr>
          <w:rFonts w:hint="eastAsia" w:ascii="Times New Roman" w:hAnsi="Times New Roman" w:eastAsia="仿宋_GB2312" w:cs="Times New Roman"/>
          <w:b w:val="0"/>
          <w:bCs w:val="0"/>
          <w:color w:val="000000"/>
          <w:kern w:val="2"/>
          <w:sz w:val="32"/>
          <w:szCs w:val="32"/>
          <w:lang w:val="en-US" w:eastAsia="zh-CN" w:bidi="ar-SA"/>
        </w:rPr>
        <w:t>0</w:t>
      </w:r>
      <w:r>
        <w:rPr>
          <w:rFonts w:hint="eastAsia" w:ascii="仿宋_GB2312" w:hAnsi="仿宋_GB2312" w:eastAsia="仿宋_GB2312" w:cs="仿宋_GB2312"/>
          <w:color w:val="auto"/>
          <w:kern w:val="2"/>
          <w:sz w:val="32"/>
          <w:szCs w:val="32"/>
          <w:highlight w:val="none"/>
          <w:lang w:val="en-US" w:eastAsia="zh-CN" w:bidi="ar-SA"/>
        </w:rPr>
        <w:t>万元、政府采购工程支出</w:t>
      </w:r>
      <w:r>
        <w:rPr>
          <w:rFonts w:hint="eastAsia" w:ascii="Times New Roman" w:hAnsi="Times New Roman" w:eastAsia="仿宋_GB2312" w:cs="Times New Roman"/>
          <w:b w:val="0"/>
          <w:bCs w:val="0"/>
          <w:color w:val="000000"/>
          <w:kern w:val="2"/>
          <w:sz w:val="32"/>
          <w:szCs w:val="32"/>
          <w:lang w:val="en-US" w:eastAsia="zh-CN" w:bidi="ar-SA"/>
        </w:rPr>
        <w:t>0</w:t>
      </w:r>
      <w:r>
        <w:rPr>
          <w:rFonts w:hint="eastAsia" w:ascii="仿宋_GB2312" w:hAnsi="仿宋_GB2312" w:eastAsia="仿宋_GB2312" w:cs="仿宋_GB2312"/>
          <w:color w:val="auto"/>
          <w:kern w:val="2"/>
          <w:sz w:val="32"/>
          <w:szCs w:val="32"/>
          <w:highlight w:val="none"/>
          <w:lang w:val="en-US" w:eastAsia="zh-CN" w:bidi="ar-SA"/>
        </w:rPr>
        <w:t>万元、政府采购服务支出</w:t>
      </w:r>
      <w:r>
        <w:rPr>
          <w:rFonts w:hint="eastAsia" w:ascii="Times New Roman" w:hAnsi="Times New Roman" w:eastAsia="仿宋_GB2312" w:cs="Times New Roman"/>
          <w:b w:val="0"/>
          <w:bCs w:val="0"/>
          <w:color w:val="000000"/>
          <w:kern w:val="2"/>
          <w:sz w:val="32"/>
          <w:szCs w:val="32"/>
          <w:lang w:val="en-US" w:eastAsia="zh-CN" w:bidi="ar-SA"/>
        </w:rPr>
        <w:t>0</w:t>
      </w:r>
      <w:r>
        <w:rPr>
          <w:rFonts w:hint="eastAsia" w:ascii="仿宋_GB2312" w:hAnsi="仿宋_GB2312" w:eastAsia="仿宋_GB2312" w:cs="仿宋_GB2312"/>
          <w:color w:val="auto"/>
          <w:kern w:val="2"/>
          <w:sz w:val="32"/>
          <w:szCs w:val="32"/>
          <w:highlight w:val="none"/>
          <w:lang w:val="en-US" w:eastAsia="zh-CN" w:bidi="ar-SA"/>
        </w:rPr>
        <w:t>万元。</w:t>
      </w:r>
    </w:p>
    <w:p w14:paraId="70E52F82">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76" w:name="_Toc15377224"/>
      <w:r>
        <w:rPr>
          <w:rFonts w:hint="eastAsia" w:ascii="Times New Roman" w:hAnsi="Times New Roman" w:eastAsia="楷体_GB2312" w:cs="楷体_GB2312"/>
          <w:b/>
          <w:color w:val="auto"/>
          <w:sz w:val="32"/>
          <w:szCs w:val="32"/>
          <w:highlight w:val="none"/>
        </w:rPr>
        <w:t>（三）国有资产占有使用情况</w:t>
      </w:r>
      <w:bookmarkEnd w:id="76"/>
    </w:p>
    <w:p w14:paraId="7265BE28">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截至</w:t>
      </w:r>
      <w:r>
        <w:rPr>
          <w:rFonts w:hint="eastAsia" w:ascii="Times New Roman" w:hAnsi="Times New Roman" w:eastAsia="仿宋_GB2312" w:cs="Times New Roman"/>
          <w:b w:val="0"/>
          <w:bCs w:val="0"/>
          <w:color w:val="000000"/>
          <w:kern w:val="2"/>
          <w:sz w:val="32"/>
          <w:szCs w:val="32"/>
          <w:lang w:val="en-US" w:eastAsia="zh-CN" w:bidi="ar-SA"/>
        </w:rPr>
        <w:t>2025</w:t>
      </w:r>
      <w:r>
        <w:rPr>
          <w:rFonts w:hint="eastAsia" w:ascii="仿宋_GB2312" w:hAnsi="仿宋_GB2312" w:eastAsia="仿宋_GB2312" w:cs="仿宋_GB2312"/>
          <w:color w:val="auto"/>
          <w:kern w:val="2"/>
          <w:sz w:val="32"/>
          <w:szCs w:val="32"/>
          <w:highlight w:val="none"/>
          <w:lang w:val="en-US" w:eastAsia="zh-CN" w:bidi="ar-SA"/>
        </w:rPr>
        <w:t>年</w:t>
      </w:r>
      <w:r>
        <w:rPr>
          <w:rFonts w:hint="eastAsia" w:ascii="Times New Roman" w:hAnsi="Times New Roman" w:eastAsia="仿宋_GB2312" w:cs="Times New Roman"/>
          <w:b w:val="0"/>
          <w:bCs w:val="0"/>
          <w:color w:val="000000"/>
          <w:kern w:val="2"/>
          <w:sz w:val="32"/>
          <w:szCs w:val="32"/>
          <w:lang w:val="en-US" w:eastAsia="zh-CN" w:bidi="ar-SA"/>
        </w:rPr>
        <w:t>12</w:t>
      </w:r>
      <w:r>
        <w:rPr>
          <w:rFonts w:hint="eastAsia" w:ascii="仿宋_GB2312" w:hAnsi="仿宋_GB2312" w:eastAsia="仿宋_GB2312" w:cs="仿宋_GB2312"/>
          <w:color w:val="auto"/>
          <w:kern w:val="2"/>
          <w:sz w:val="32"/>
          <w:szCs w:val="32"/>
          <w:highlight w:val="none"/>
          <w:lang w:val="en-US" w:eastAsia="zh-CN" w:bidi="ar-SA"/>
        </w:rPr>
        <w:t>月</w:t>
      </w:r>
      <w:r>
        <w:rPr>
          <w:rFonts w:hint="eastAsia" w:ascii="Times New Roman" w:hAnsi="Times New Roman" w:eastAsia="仿宋_GB2312" w:cs="Times New Roman"/>
          <w:b w:val="0"/>
          <w:bCs w:val="0"/>
          <w:color w:val="000000"/>
          <w:kern w:val="2"/>
          <w:sz w:val="32"/>
          <w:szCs w:val="32"/>
          <w:lang w:val="en-US" w:eastAsia="zh-CN" w:bidi="ar-SA"/>
        </w:rPr>
        <w:t>31</w:t>
      </w:r>
      <w:r>
        <w:rPr>
          <w:rFonts w:hint="eastAsia" w:ascii="仿宋_GB2312" w:hAnsi="仿宋_GB2312" w:eastAsia="仿宋_GB2312" w:cs="仿宋_GB2312"/>
          <w:color w:val="auto"/>
          <w:kern w:val="2"/>
          <w:sz w:val="32"/>
          <w:szCs w:val="32"/>
          <w:highlight w:val="none"/>
          <w:lang w:val="en-US" w:eastAsia="zh-CN" w:bidi="ar-SA"/>
        </w:rPr>
        <w:t>日，</w:t>
      </w:r>
      <w:r>
        <w:rPr>
          <w:rFonts w:hint="eastAsia" w:ascii="仿宋_GB2312" w:hAnsi="仿宋_GB2312" w:eastAsia="仿宋_GB2312" w:cs="仿宋_GB2312"/>
          <w:sz w:val="32"/>
          <w:szCs w:val="32"/>
        </w:rPr>
        <w:t>茂县国有资产管理中心</w:t>
      </w:r>
      <w:r>
        <w:rPr>
          <w:rFonts w:hint="eastAsia" w:ascii="仿宋_GB2312" w:hAnsi="仿宋_GB2312" w:eastAsia="仿宋_GB2312" w:cs="仿宋_GB2312"/>
          <w:color w:val="auto"/>
          <w:kern w:val="2"/>
          <w:sz w:val="32"/>
          <w:szCs w:val="32"/>
          <w:highlight w:val="none"/>
          <w:lang w:val="en-US" w:eastAsia="zh-CN" w:bidi="ar-SA"/>
        </w:rPr>
        <w:t>共有车辆</w:t>
      </w:r>
      <w:r>
        <w:rPr>
          <w:rFonts w:hint="eastAsia" w:ascii="Times New Roman" w:hAnsi="Times New Roman" w:eastAsia="仿宋_GB2312" w:cs="Times New Roman"/>
          <w:b w:val="0"/>
          <w:bCs w:val="0"/>
          <w:color w:val="000000"/>
          <w:kern w:val="2"/>
          <w:sz w:val="32"/>
          <w:szCs w:val="32"/>
          <w:lang w:val="en-US" w:eastAsia="zh-CN" w:bidi="ar-SA"/>
        </w:rPr>
        <w:t>0</w:t>
      </w:r>
      <w:r>
        <w:rPr>
          <w:rFonts w:hint="eastAsia" w:ascii="仿宋_GB2312" w:hAnsi="仿宋_GB2312" w:eastAsia="仿宋_GB2312" w:cs="仿宋_GB2312"/>
          <w:color w:val="auto"/>
          <w:kern w:val="2"/>
          <w:sz w:val="32"/>
          <w:szCs w:val="32"/>
          <w:highlight w:val="none"/>
          <w:lang w:val="en-US" w:eastAsia="zh-CN" w:bidi="ar-SA"/>
        </w:rPr>
        <w:t>辆，其中：主要负责人用车</w:t>
      </w:r>
      <w:r>
        <w:rPr>
          <w:rFonts w:hint="eastAsia" w:ascii="Times New Roman" w:hAnsi="Times New Roman" w:eastAsia="仿宋_GB2312" w:cs="Times New Roman"/>
          <w:b w:val="0"/>
          <w:bCs w:val="0"/>
          <w:color w:val="000000"/>
          <w:kern w:val="2"/>
          <w:sz w:val="32"/>
          <w:szCs w:val="32"/>
          <w:lang w:val="en-US" w:eastAsia="zh-CN" w:bidi="ar-SA"/>
        </w:rPr>
        <w:t>0</w:t>
      </w:r>
      <w:r>
        <w:rPr>
          <w:rFonts w:hint="eastAsia" w:ascii="仿宋_GB2312" w:hAnsi="仿宋_GB2312" w:eastAsia="仿宋_GB2312" w:cs="仿宋_GB2312"/>
          <w:color w:val="auto"/>
          <w:kern w:val="2"/>
          <w:sz w:val="32"/>
          <w:szCs w:val="32"/>
          <w:highlight w:val="none"/>
          <w:lang w:val="en-US" w:eastAsia="zh-CN" w:bidi="ar-SA"/>
        </w:rPr>
        <w:t>辆、机要通信用车</w:t>
      </w:r>
      <w:r>
        <w:rPr>
          <w:rFonts w:hint="eastAsia" w:ascii="Times New Roman" w:hAnsi="Times New Roman" w:eastAsia="仿宋_GB2312" w:cs="Times New Roman"/>
          <w:b w:val="0"/>
          <w:bCs w:val="0"/>
          <w:color w:val="000000"/>
          <w:kern w:val="2"/>
          <w:sz w:val="32"/>
          <w:szCs w:val="32"/>
          <w:lang w:val="en-US" w:eastAsia="zh-CN" w:bidi="ar-SA"/>
        </w:rPr>
        <w:t>0</w:t>
      </w:r>
      <w:r>
        <w:rPr>
          <w:rFonts w:hint="eastAsia" w:ascii="仿宋_GB2312" w:hAnsi="仿宋_GB2312" w:eastAsia="仿宋_GB2312" w:cs="仿宋_GB2312"/>
          <w:color w:val="auto"/>
          <w:kern w:val="2"/>
          <w:sz w:val="32"/>
          <w:szCs w:val="32"/>
          <w:highlight w:val="none"/>
          <w:lang w:val="en-US" w:eastAsia="zh-CN" w:bidi="ar-SA"/>
        </w:rPr>
        <w:t>辆、应急保障用车</w:t>
      </w:r>
      <w:r>
        <w:rPr>
          <w:rFonts w:hint="eastAsia" w:ascii="Times New Roman" w:hAnsi="Times New Roman" w:eastAsia="仿宋_GB2312" w:cs="Times New Roman"/>
          <w:b w:val="0"/>
          <w:bCs w:val="0"/>
          <w:color w:val="000000"/>
          <w:kern w:val="2"/>
          <w:sz w:val="32"/>
          <w:szCs w:val="32"/>
          <w:lang w:val="en-US" w:eastAsia="zh-CN" w:bidi="ar-SA"/>
        </w:rPr>
        <w:t>0</w:t>
      </w:r>
      <w:r>
        <w:rPr>
          <w:rFonts w:hint="eastAsia" w:ascii="仿宋_GB2312" w:hAnsi="仿宋_GB2312" w:eastAsia="仿宋_GB2312" w:cs="仿宋_GB2312"/>
          <w:color w:val="auto"/>
          <w:kern w:val="2"/>
          <w:sz w:val="32"/>
          <w:szCs w:val="32"/>
          <w:highlight w:val="none"/>
          <w:lang w:val="en-US" w:eastAsia="zh-CN" w:bidi="ar-SA"/>
        </w:rPr>
        <w:t>辆、其他用车</w:t>
      </w:r>
      <w:r>
        <w:rPr>
          <w:rFonts w:hint="eastAsia" w:ascii="Times New Roman" w:hAnsi="Times New Roman" w:eastAsia="仿宋_GB2312" w:cs="Times New Roman"/>
          <w:b w:val="0"/>
          <w:bCs w:val="0"/>
          <w:color w:val="000000"/>
          <w:kern w:val="2"/>
          <w:sz w:val="32"/>
          <w:szCs w:val="32"/>
          <w:lang w:val="en-US" w:eastAsia="zh-CN" w:bidi="ar-SA"/>
        </w:rPr>
        <w:t>0</w:t>
      </w:r>
      <w:r>
        <w:rPr>
          <w:rFonts w:hint="eastAsia" w:ascii="仿宋_GB2312" w:hAnsi="仿宋_GB2312" w:eastAsia="仿宋_GB2312" w:cs="仿宋_GB2312"/>
          <w:color w:val="auto"/>
          <w:kern w:val="2"/>
          <w:sz w:val="32"/>
          <w:szCs w:val="32"/>
          <w:highlight w:val="none"/>
          <w:lang w:val="en-US" w:eastAsia="zh-CN" w:bidi="ar-SA"/>
        </w:rPr>
        <w:t>辆。</w:t>
      </w:r>
    </w:p>
    <w:p w14:paraId="048F146D">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7F51CBD3">
      <w:pPr>
        <w:pageBreakBefore w:val="0"/>
        <w:kinsoku/>
        <w:wordWrap/>
        <w:overflowPunct/>
        <w:topLinePunct w:val="0"/>
        <w:bidi w:val="0"/>
        <w:spacing w:line="576"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eastAsia="仿宋_GB2312" w:cs="仿宋_GB2312"/>
          <w:color w:val="auto"/>
          <w:kern w:val="2"/>
          <w:sz w:val="32"/>
          <w:szCs w:val="32"/>
          <w:highlight w:val="none"/>
          <w:lang w:val="en-US" w:eastAsia="zh-CN" w:bidi="ar-SA"/>
        </w:rPr>
        <w:t>茂县国有资产管理中心</w:t>
      </w:r>
      <w:r>
        <w:rPr>
          <w:rFonts w:hint="eastAsia" w:ascii="Times New Roman" w:hAnsi="Times New Roman" w:eastAsia="仿宋_GB2312" w:cs="仿宋_GB2312"/>
          <w:color w:val="auto"/>
          <w:kern w:val="2"/>
          <w:sz w:val="32"/>
          <w:szCs w:val="32"/>
          <w:highlight w:val="none"/>
          <w:lang w:val="en-US" w:eastAsia="zh-CN" w:bidi="ar-SA"/>
        </w:rPr>
        <w:t>在202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年度预算编制阶段，组织对</w:t>
      </w:r>
      <w:r>
        <w:rPr>
          <w:rFonts w:hint="eastAsia" w:eastAsia="仿宋_GB2312" w:cs="仿宋_GB2312"/>
          <w:color w:val="auto"/>
          <w:kern w:val="2"/>
          <w:sz w:val="32"/>
          <w:szCs w:val="32"/>
          <w:highlight w:val="none"/>
          <w:lang w:val="en-US" w:eastAsia="zh-CN" w:bidi="ar-SA"/>
        </w:rPr>
        <w:t>国有企业退休人员社会管理、清淤及淤积物处置</w:t>
      </w:r>
      <w:r>
        <w:rPr>
          <w:rFonts w:hint="eastAsia" w:ascii="Times New Roman" w:hAnsi="Times New Roman" w:eastAsia="仿宋_GB2312" w:cs="仿宋_GB2312"/>
          <w:color w:val="auto"/>
          <w:kern w:val="2"/>
          <w:sz w:val="32"/>
          <w:szCs w:val="32"/>
          <w:highlight w:val="none"/>
          <w:lang w:val="en-US" w:eastAsia="zh-CN" w:bidi="ar-SA"/>
        </w:rPr>
        <w:t>等</w:t>
      </w:r>
      <w:bookmarkStart w:id="113" w:name="_GoBack"/>
      <w:r>
        <w:rPr>
          <w:rFonts w:hint="eastAsia" w:ascii="Times New Roman" w:hAnsi="Times New Roman" w:eastAsia="仿宋_GB2312" w:cs="Times New Roman"/>
          <w:b w:val="0"/>
          <w:bCs w:val="0"/>
          <w:color w:val="000000"/>
          <w:kern w:val="2"/>
          <w:sz w:val="32"/>
          <w:szCs w:val="32"/>
          <w:lang w:val="en-US" w:eastAsia="zh-CN" w:bidi="ar-SA"/>
        </w:rPr>
        <w:t>5</w:t>
      </w:r>
      <w:bookmarkEnd w:id="113"/>
      <w:r>
        <w:rPr>
          <w:rFonts w:hint="eastAsia" w:ascii="Times New Roman" w:hAnsi="Times New Roman" w:eastAsia="仿宋_GB2312" w:cs="仿宋_GB2312"/>
          <w:color w:val="auto"/>
          <w:kern w:val="2"/>
          <w:sz w:val="32"/>
          <w:szCs w:val="32"/>
          <w:highlight w:val="none"/>
          <w:lang w:val="en-US" w:eastAsia="zh-CN" w:bidi="ar-SA"/>
        </w:rPr>
        <w:t>个项目开展了预算事前绩效评估</w:t>
      </w:r>
      <w:r>
        <w:rPr>
          <w:rFonts w:hint="eastAsia" w:ascii="仿宋_GB2312" w:hAnsi="仿宋_GB2312" w:eastAsia="仿宋_GB2312" w:cs="仿宋_GB2312"/>
          <w:color w:val="auto"/>
          <w:kern w:val="2"/>
          <w:sz w:val="32"/>
          <w:szCs w:val="32"/>
          <w:highlight w:val="none"/>
          <w:lang w:val="en-US" w:eastAsia="zh-CN" w:bidi="ar-SA"/>
        </w:rPr>
        <w:t>，对</w:t>
      </w:r>
      <w:r>
        <w:rPr>
          <w:rFonts w:hint="eastAsia" w:ascii="Times New Roman" w:hAnsi="Times New Roman" w:eastAsia="仿宋_GB2312" w:cs="Times New Roman"/>
          <w:b w:val="0"/>
          <w:bCs w:val="0"/>
          <w:color w:val="000000"/>
          <w:kern w:val="2"/>
          <w:sz w:val="32"/>
          <w:szCs w:val="32"/>
          <w:lang w:val="en-US" w:eastAsia="zh-CN" w:bidi="ar-SA"/>
        </w:rPr>
        <w:t>5</w:t>
      </w:r>
      <w:r>
        <w:rPr>
          <w:rFonts w:hint="eastAsia" w:ascii="仿宋_GB2312" w:hAnsi="仿宋_GB2312" w:eastAsia="仿宋_GB2312" w:cs="仿宋_GB2312"/>
          <w:color w:val="auto"/>
          <w:kern w:val="2"/>
          <w:sz w:val="32"/>
          <w:szCs w:val="32"/>
          <w:highlight w:val="none"/>
          <w:lang w:val="en-US" w:eastAsia="zh-CN" w:bidi="ar-SA"/>
        </w:rPr>
        <w:t>个项目编制了绩效目标，预算执行过程中，选取</w:t>
      </w:r>
      <w:r>
        <w:rPr>
          <w:rFonts w:hint="eastAsia" w:ascii="Times New Roman" w:hAnsi="Times New Roman" w:eastAsia="仿宋_GB2312" w:cs="Times New Roman"/>
          <w:b w:val="0"/>
          <w:bCs w:val="0"/>
          <w:color w:val="000000"/>
          <w:kern w:val="2"/>
          <w:sz w:val="32"/>
          <w:szCs w:val="32"/>
          <w:lang w:val="en-US" w:eastAsia="zh-CN" w:bidi="ar-SA"/>
        </w:rPr>
        <w:t>5</w:t>
      </w:r>
      <w:r>
        <w:rPr>
          <w:rFonts w:hint="eastAsia" w:ascii="仿宋_GB2312" w:hAnsi="仿宋_GB2312" w:eastAsia="仿宋_GB2312" w:cs="仿宋_GB2312"/>
          <w:color w:val="auto"/>
          <w:kern w:val="2"/>
          <w:sz w:val="32"/>
          <w:szCs w:val="32"/>
          <w:highlight w:val="none"/>
          <w:lang w:val="en-US" w:eastAsia="zh-CN" w:bidi="ar-SA"/>
        </w:rPr>
        <w:t>个项目开展绩效监控，</w:t>
      </w:r>
      <w:r>
        <w:rPr>
          <w:rFonts w:hint="default" w:ascii="Times New Roman" w:hAnsi="Times New Roman" w:eastAsia="仿宋_GB2312" w:cs="Times New Roman"/>
          <w:color w:val="auto"/>
          <w:sz w:val="32"/>
          <w:szCs w:val="32"/>
          <w:highlight w:val="none"/>
          <w:lang w:eastAsia="zh-CN"/>
        </w:rPr>
        <w:t>组织对</w:t>
      </w:r>
      <w:r>
        <w:rPr>
          <w:rFonts w:hint="eastAsia" w:ascii="Times New Roman" w:hAnsi="Times New Roman" w:eastAsia="仿宋_GB2312" w:cs="Times New Roman"/>
          <w:b w:val="0"/>
          <w:bCs w:val="0"/>
          <w:color w:val="000000"/>
          <w:kern w:val="2"/>
          <w:sz w:val="32"/>
          <w:szCs w:val="32"/>
          <w:lang w:val="en-US" w:eastAsia="zh-CN" w:bidi="ar-SA"/>
        </w:rPr>
        <w:t>5</w:t>
      </w:r>
      <w:r>
        <w:rPr>
          <w:rFonts w:hint="default" w:ascii="Times New Roman" w:hAnsi="Times New Roman" w:eastAsia="仿宋_GB2312" w:cs="Times New Roman"/>
          <w:color w:val="auto"/>
          <w:sz w:val="32"/>
          <w:szCs w:val="32"/>
          <w:highlight w:val="none"/>
          <w:lang w:val="en-US" w:eastAsia="zh-CN"/>
        </w:rPr>
        <w:t>个项目开展绩效自评，绩效自评表详见第四部分附件。</w:t>
      </w:r>
    </w:p>
    <w:p w14:paraId="04DC790F">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p>
    <w:p w14:paraId="6CF4175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77" w:name="_Toc15396614"/>
      <w:bookmarkStart w:id="78" w:name="_Toc15377226"/>
    </w:p>
    <w:p w14:paraId="13F66D6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D1F3BB8">
      <w:pPr>
        <w:pStyle w:val="3"/>
        <w:jc w:val="both"/>
        <w:outlineLvl w:val="9"/>
        <w:rPr>
          <w:rFonts w:hint="eastAsia" w:ascii="方正小标宋简体" w:hAnsi="方正小标宋简体" w:eastAsia="方正小标宋简体" w:cs="方正小标宋简体"/>
          <w:b w:val="0"/>
          <w:color w:val="auto"/>
          <w:highlight w:val="none"/>
        </w:rPr>
      </w:pPr>
      <w:bookmarkStart w:id="79" w:name="_Toc15396613"/>
      <w:bookmarkStart w:id="80" w:name="_Toc15377225"/>
    </w:p>
    <w:p w14:paraId="29D0187A">
      <w:pPr>
        <w:rPr>
          <w:rFonts w:hint="eastAsia"/>
        </w:rPr>
      </w:pPr>
    </w:p>
    <w:p w14:paraId="0FC9344B">
      <w:pPr>
        <w:pStyle w:val="3"/>
        <w:jc w:val="both"/>
        <w:outlineLvl w:val="9"/>
        <w:rPr>
          <w:rFonts w:hint="eastAsia" w:ascii="方正小标宋简体" w:hAnsi="方正小标宋简体" w:eastAsia="方正小标宋简体" w:cs="方正小标宋简体"/>
          <w:b w:val="0"/>
          <w:color w:val="auto"/>
          <w:highlight w:val="none"/>
          <w:lang w:val="en-US" w:eastAsia="zh-CN"/>
        </w:rPr>
      </w:pPr>
      <w:r>
        <w:rPr>
          <w:rFonts w:hint="eastAsia" w:ascii="方正小标宋简体" w:hAnsi="方正小标宋简体" w:eastAsia="方正小标宋简体" w:cs="方正小标宋简体"/>
          <w:b w:val="0"/>
          <w:color w:val="auto"/>
          <w:highlight w:val="none"/>
          <w:lang w:val="en-US" w:eastAsia="zh-CN"/>
        </w:rPr>
        <w:t xml:space="preserve">         </w:t>
      </w:r>
    </w:p>
    <w:p w14:paraId="04DCECFA">
      <w:pPr>
        <w:keepNext w:val="0"/>
        <w:keepLines w:val="0"/>
        <w:pageBreakBefore w:val="0"/>
        <w:kinsoku/>
        <w:wordWrap/>
        <w:overflowPunct/>
        <w:topLinePunct w:val="0"/>
        <w:autoSpaceDE/>
        <w:autoSpaceDN/>
        <w:bidi w:val="0"/>
        <w:spacing w:line="576" w:lineRule="exact"/>
        <w:jc w:val="left"/>
        <w:textAlignment w:val="auto"/>
        <w:outlineLvl w:val="9"/>
        <w:rPr>
          <w:rFonts w:hint="eastAsia" w:ascii="仿宋_GB2312" w:hAnsi="仿宋_GB2312" w:eastAsia="仿宋_GB2312" w:cs="仿宋_GB2312"/>
          <w:b w:val="0"/>
          <w:color w:val="auto"/>
          <w:sz w:val="32"/>
          <w:szCs w:val="32"/>
          <w:highlight w:val="none"/>
          <w:lang w:val="en-US" w:eastAsia="zh-CN"/>
        </w:rPr>
      </w:pPr>
    </w:p>
    <w:p w14:paraId="6EC7761E">
      <w:pPr>
        <w:pStyle w:val="19"/>
        <w:outlineLvl w:val="9"/>
        <w:rPr>
          <w:rFonts w:hint="eastAsia"/>
          <w:lang w:val="en-US" w:eastAsia="zh-CN"/>
        </w:rPr>
      </w:pPr>
    </w:p>
    <w:p w14:paraId="4450F993">
      <w:pPr>
        <w:pageBreakBefore w:val="0"/>
        <w:kinsoku/>
        <w:wordWrap/>
        <w:overflowPunct/>
        <w:topLinePunct w:val="0"/>
        <w:bidi w:val="0"/>
        <w:spacing w:line="576" w:lineRule="exact"/>
        <w:jc w:val="center"/>
        <w:textAlignment w:val="auto"/>
        <w:outlineLvl w:val="0"/>
        <w:rPr>
          <w:rFonts w:hint="eastAsia" w:ascii="Times New Roman" w:hAnsi="Times New Roman" w:eastAsia="黑体" w:cs="Times New Roman"/>
          <w:color w:val="auto"/>
          <w:sz w:val="44"/>
          <w:szCs w:val="44"/>
          <w:highlight w:val="none"/>
          <w:lang w:val="en-US" w:eastAsia="zh-CN"/>
        </w:rPr>
      </w:pPr>
      <w:bookmarkStart w:id="81" w:name="_Toc19521"/>
      <w:r>
        <w:rPr>
          <w:rFonts w:hint="eastAsia" w:ascii="Times New Roman" w:hAnsi="Times New Roman" w:eastAsia="黑体" w:cs="Times New Roman"/>
          <w:color w:val="auto"/>
          <w:sz w:val="44"/>
          <w:szCs w:val="44"/>
          <w:highlight w:val="none"/>
          <w:lang w:val="en-US" w:eastAsia="zh-CN"/>
        </w:rPr>
        <w:t>第三部分  名词解释</w:t>
      </w:r>
      <w:bookmarkEnd w:id="81"/>
    </w:p>
    <w:bookmarkEnd w:id="79"/>
    <w:bookmarkEnd w:id="80"/>
    <w:p w14:paraId="27693DF3">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p>
    <w:p w14:paraId="751CF3D5">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1.财政拨款收入：指单位从同级财政部门取得的财政预算资金。  </w:t>
      </w:r>
    </w:p>
    <w:p w14:paraId="78EF1F0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 xml:space="preserve">.年初结转和结余：指以前年度尚未完成、结转到本年按有关规定继续使用的资金。 </w:t>
      </w:r>
    </w:p>
    <w:p w14:paraId="4BB9984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.年末结转和结余：指单位按有关规定结转到下年或以后年度继续使用的资金。</w:t>
      </w:r>
    </w:p>
    <w:p w14:paraId="41E2D64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.一般公共服务（类）政府办公厅/室（款）行政运行（项）：指反映行政单位（包括实行公务员管理的事业单位）的基本支出。</w:t>
      </w:r>
    </w:p>
    <w:p w14:paraId="75C0ACD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.社会保障和就业支出（类）行政事业单位养老支出（款）机关事业单位基本养老保险缴费支出（项）：指部门实施养老保险制度由单位缴纳的基本养老保险费支出。</w:t>
      </w:r>
    </w:p>
    <w:p w14:paraId="5E97FF5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.社会保障和就业支出（类）行政事业单位养老支出（款）机关事业单位职业年金缴费支出（项）：指部门实施养老保险制度由单位缴纳的职业年金支出。</w:t>
      </w:r>
    </w:p>
    <w:p w14:paraId="2769A7E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7</w:t>
      </w:r>
      <w:r>
        <w:rPr>
          <w:rFonts w:hint="eastAsia" w:ascii="Times New Roman" w:hAnsi="Times New Roman" w:eastAsia="仿宋_GB2312" w:cs="仿宋_GB2312"/>
          <w:color w:val="auto"/>
          <w:kern w:val="2"/>
          <w:sz w:val="32"/>
          <w:szCs w:val="32"/>
          <w:highlight w:val="none"/>
          <w:lang w:val="en-US" w:eastAsia="zh-CN" w:bidi="ar-SA"/>
        </w:rPr>
        <w:t>.卫生健康(类)行政事业单位医疗（款）行政单位医疗（项）:指行政单位用于缴纳单位基本医疗保险支出。</w:t>
      </w:r>
    </w:p>
    <w:p w14:paraId="6CB107B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8</w:t>
      </w:r>
      <w:r>
        <w:rPr>
          <w:rFonts w:hint="eastAsia" w:ascii="Times New Roman" w:hAnsi="Times New Roman" w:eastAsia="仿宋_GB2312" w:cs="仿宋_GB2312"/>
          <w:color w:val="auto"/>
          <w:kern w:val="2"/>
          <w:sz w:val="32"/>
          <w:szCs w:val="32"/>
          <w:highlight w:val="none"/>
          <w:lang w:val="en-US" w:eastAsia="zh-CN" w:bidi="ar-SA"/>
        </w:rPr>
        <w:t>.住房保障支出（类）住房改革支出（款）住房公积金（项）：指反映行政事业单位按规定为职工缴纳的住房公积金。</w:t>
      </w:r>
    </w:p>
    <w:p w14:paraId="2F3A4C6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9.</w:t>
      </w:r>
      <w:r>
        <w:rPr>
          <w:rFonts w:hint="eastAsia" w:ascii="Times New Roman" w:hAnsi="Times New Roman" w:eastAsia="仿宋_GB2312" w:cs="仿宋_GB2312"/>
          <w:color w:val="auto"/>
          <w:kern w:val="2"/>
          <w:sz w:val="32"/>
          <w:szCs w:val="32"/>
          <w:highlight w:val="none"/>
          <w:lang w:val="en-US" w:eastAsia="zh-CN" w:bidi="ar-SA"/>
        </w:rPr>
        <w:t>基本支出：指为保障机构正常运转、完成日常工作任务而发生的人员支出和公用支出。</w:t>
      </w:r>
    </w:p>
    <w:p w14:paraId="2F61DBD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 xml:space="preserve">.项目支出：指在基本支出之外为完成特定行政任务和事业发展目标所发生的支出。 </w:t>
      </w:r>
    </w:p>
    <w:p w14:paraId="394B394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794E55C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3129B0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2D297E2">
      <w:pPr>
        <w:spacing w:line="600" w:lineRule="exact"/>
        <w:ind w:firstLine="2200" w:firstLineChars="500"/>
        <w:jc w:val="both"/>
        <w:rPr>
          <w:rFonts w:hint="eastAsia" w:ascii="Times New Roman" w:hAnsi="Times New Roman" w:eastAsia="黑体"/>
          <w:color w:val="auto"/>
          <w:sz w:val="44"/>
          <w:szCs w:val="44"/>
          <w:highlight w:val="none"/>
        </w:rPr>
      </w:pPr>
    </w:p>
    <w:p w14:paraId="21495BF6">
      <w:pPr>
        <w:spacing w:line="600" w:lineRule="exact"/>
        <w:ind w:firstLine="2200" w:firstLineChars="500"/>
        <w:jc w:val="both"/>
        <w:rPr>
          <w:rFonts w:hint="eastAsia" w:ascii="Times New Roman" w:hAnsi="Times New Roman" w:eastAsia="黑体"/>
          <w:color w:val="auto"/>
          <w:sz w:val="44"/>
          <w:szCs w:val="44"/>
          <w:highlight w:val="none"/>
        </w:rPr>
      </w:pPr>
    </w:p>
    <w:p w14:paraId="048D2B12">
      <w:pPr>
        <w:spacing w:line="600" w:lineRule="exact"/>
        <w:ind w:firstLine="2200" w:firstLineChars="500"/>
        <w:jc w:val="both"/>
        <w:rPr>
          <w:rFonts w:hint="eastAsia" w:ascii="Times New Roman" w:hAnsi="Times New Roman" w:eastAsia="黑体"/>
          <w:color w:val="auto"/>
          <w:sz w:val="44"/>
          <w:szCs w:val="44"/>
          <w:highlight w:val="none"/>
        </w:rPr>
      </w:pPr>
    </w:p>
    <w:p w14:paraId="3C20D0BE">
      <w:pPr>
        <w:spacing w:line="600" w:lineRule="exact"/>
        <w:ind w:firstLine="2200" w:firstLineChars="500"/>
        <w:jc w:val="both"/>
        <w:rPr>
          <w:rFonts w:hint="eastAsia" w:ascii="Times New Roman" w:hAnsi="Times New Roman" w:eastAsia="黑体"/>
          <w:color w:val="auto"/>
          <w:sz w:val="44"/>
          <w:szCs w:val="44"/>
          <w:highlight w:val="none"/>
        </w:rPr>
      </w:pPr>
    </w:p>
    <w:p w14:paraId="35F5A40C">
      <w:pPr>
        <w:spacing w:line="600" w:lineRule="exact"/>
        <w:ind w:firstLine="2200" w:firstLineChars="500"/>
        <w:jc w:val="both"/>
        <w:rPr>
          <w:rFonts w:hint="eastAsia" w:ascii="Times New Roman" w:hAnsi="Times New Roman" w:eastAsia="黑体"/>
          <w:color w:val="auto"/>
          <w:sz w:val="44"/>
          <w:szCs w:val="44"/>
          <w:highlight w:val="none"/>
        </w:rPr>
      </w:pPr>
    </w:p>
    <w:p w14:paraId="360549B9">
      <w:pPr>
        <w:spacing w:line="600" w:lineRule="exact"/>
        <w:ind w:firstLine="2200" w:firstLineChars="500"/>
        <w:jc w:val="both"/>
        <w:outlineLvl w:val="0"/>
        <w:rPr>
          <w:rStyle w:val="28"/>
          <w:rFonts w:hint="eastAsia" w:ascii="Times New Roman" w:hAnsi="Times New Roman" w:eastAsia="黑体"/>
          <w:b w:val="0"/>
          <w:color w:val="auto"/>
          <w:highlight w:val="none"/>
          <w:lang w:eastAsia="zh-CN"/>
        </w:rPr>
      </w:pPr>
      <w:bookmarkStart w:id="82" w:name="_Toc23665"/>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77"/>
      <w:bookmarkEnd w:id="82"/>
    </w:p>
    <w:p w14:paraId="653DC2F5">
      <w:pPr>
        <w:keepNext w:val="0"/>
        <w:keepLines w:val="0"/>
        <w:pageBreakBefore w:val="0"/>
        <w:kinsoku/>
        <w:wordWrap/>
        <w:overflowPunct/>
        <w:topLinePunct w:val="0"/>
        <w:autoSpaceDE/>
        <w:autoSpaceDN/>
        <w:bidi w:val="0"/>
        <w:spacing w:line="572" w:lineRule="exact"/>
        <w:jc w:val="left"/>
        <w:textAlignment w:val="auto"/>
        <w:outlineLvl w:val="9"/>
        <w:rPr>
          <w:rFonts w:hint="eastAsia" w:eastAsia="黑体" w:cs="黑体"/>
          <w:color w:val="auto"/>
          <w:sz w:val="32"/>
          <w:szCs w:val="32"/>
          <w:highlight w:val="none"/>
          <w:lang w:eastAsia="zh-CN"/>
        </w:rPr>
      </w:pPr>
    </w:p>
    <w:p w14:paraId="2028105E">
      <w:pPr>
        <w:keepNext w:val="0"/>
        <w:keepLines w:val="0"/>
        <w:pageBreakBefore w:val="0"/>
        <w:kinsoku/>
        <w:wordWrap/>
        <w:overflowPunct/>
        <w:topLinePunct w:val="0"/>
        <w:autoSpaceDE/>
        <w:autoSpaceDN/>
        <w:bidi w:val="0"/>
        <w:spacing w:line="572" w:lineRule="exact"/>
        <w:jc w:val="left"/>
        <w:textAlignment w:val="auto"/>
        <w:outlineLvl w:val="0"/>
        <w:rPr>
          <w:rFonts w:hint="default" w:ascii="Times New Roman" w:hAnsi="Times New Roman" w:eastAsia="黑体" w:cs="黑体"/>
          <w:color w:val="auto"/>
          <w:sz w:val="32"/>
          <w:szCs w:val="32"/>
          <w:highlight w:val="none"/>
          <w:lang w:val="en-US" w:eastAsia="zh-CN"/>
        </w:rPr>
      </w:pPr>
      <w:bookmarkStart w:id="83" w:name="_Toc23733"/>
      <w:bookmarkStart w:id="84" w:name="_Toc26979"/>
      <w:r>
        <w:rPr>
          <w:rFonts w:hint="eastAsia" w:eastAsia="黑体" w:cs="黑体"/>
          <w:color w:val="auto"/>
          <w:sz w:val="32"/>
          <w:szCs w:val="32"/>
          <w:highlight w:val="none"/>
          <w:lang w:eastAsia="zh-CN"/>
        </w:rPr>
        <w:t>附件</w:t>
      </w:r>
      <w:r>
        <w:rPr>
          <w:rFonts w:hint="eastAsia" w:eastAsia="黑体" w:cs="黑体"/>
          <w:color w:val="auto"/>
          <w:sz w:val="32"/>
          <w:szCs w:val="32"/>
          <w:highlight w:val="none"/>
          <w:lang w:val="en-US" w:eastAsia="zh-CN"/>
        </w:rPr>
        <w:t>1</w:t>
      </w:r>
      <w:bookmarkEnd w:id="83"/>
      <w:bookmarkEnd w:id="84"/>
    </w:p>
    <w:p w14:paraId="485861D9">
      <w:pPr>
        <w:tabs>
          <w:tab w:val="left" w:pos="813"/>
        </w:tabs>
        <w:spacing w:line="576" w:lineRule="exact"/>
        <w:jc w:val="center"/>
        <w:rPr>
          <w:rFonts w:hint="eastAsia" w:ascii="方正小标宋简体" w:eastAsia="方正小标宋简体" w:cs="方正小标宋简体"/>
          <w:b w:val="0"/>
          <w:bCs/>
          <w:sz w:val="44"/>
          <w:szCs w:val="44"/>
        </w:rPr>
      </w:pPr>
    </w:p>
    <w:p w14:paraId="6748F496">
      <w:pPr>
        <w:keepNext w:val="0"/>
        <w:keepLines w:val="0"/>
        <w:pageBreakBefore w:val="0"/>
        <w:widowControl/>
        <w:kinsoku/>
        <w:wordWrap/>
        <w:overflowPunct/>
        <w:topLinePunct w:val="0"/>
        <w:autoSpaceDE/>
        <w:autoSpaceDN/>
        <w:bidi w:val="0"/>
        <w:spacing w:line="576"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r>
        <w:rPr>
          <w:rFonts w:hint="default" w:ascii="Times New Roman" w:hAnsi="Times New Roman" w:eastAsia="方正小标宋简体" w:cs="Times New Roman"/>
          <w:b w:val="0"/>
          <w:bCs/>
          <w:sz w:val="44"/>
          <w:szCs w:val="44"/>
          <w:highlight w:val="none"/>
          <w:shd w:val="clear" w:color="auto" w:fill="FFFFFF"/>
        </w:rPr>
        <w:t>部门</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default"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报告范本</w:t>
      </w:r>
    </w:p>
    <w:p w14:paraId="342478F9">
      <w:pPr>
        <w:tabs>
          <w:tab w:val="left" w:pos="813"/>
        </w:tabs>
        <w:spacing w:line="576" w:lineRule="exact"/>
        <w:jc w:val="center"/>
        <w:rPr>
          <w:rFonts w:hint="eastAsia" w:ascii="方正小标宋简体" w:eastAsia="方正小标宋简体" w:cs="方正小标宋简体"/>
          <w:b w:val="0"/>
          <w:bCs/>
          <w:sz w:val="44"/>
          <w:szCs w:val="44"/>
        </w:rPr>
      </w:pPr>
    </w:p>
    <w:p w14:paraId="7928B654">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rPr>
          <w:sz w:val="32"/>
          <w:szCs w:val="32"/>
        </w:rPr>
      </w:pPr>
      <w:r>
        <w:rPr>
          <w:rFonts w:hint="eastAsia" w:eastAsia="黑体"/>
          <w:color w:val="000000"/>
          <w:kern w:val="0"/>
          <w:sz w:val="32"/>
          <w:szCs w:val="32"/>
          <w:shd w:val="clear" w:color="auto" w:fill="FFFFFF"/>
          <w:lang w:val="zh-CN"/>
        </w:rPr>
        <w:t>一、部门</w:t>
      </w:r>
      <w:r>
        <w:rPr>
          <w:rFonts w:eastAsia="黑体"/>
          <w:color w:val="000000"/>
          <w:kern w:val="0"/>
          <w:sz w:val="32"/>
          <w:szCs w:val="32"/>
          <w:shd w:val="clear" w:color="auto" w:fill="FFFFFF"/>
          <w:lang w:val="zh-CN"/>
        </w:rPr>
        <w:t>基本情况</w:t>
      </w:r>
    </w:p>
    <w:p w14:paraId="42A77C7A">
      <w:pPr>
        <w:keepNext w:val="0"/>
        <w:keepLines w:val="0"/>
        <w:pageBreakBefore w:val="0"/>
        <w:widowControl w:val="0"/>
        <w:kinsoku/>
        <w:wordWrap/>
        <w:overflowPunct/>
        <w:topLinePunct w:val="0"/>
        <w:autoSpaceDE/>
        <w:autoSpaceDN/>
        <w:bidi w:val="0"/>
        <w:adjustRightInd/>
        <w:spacing w:line="560" w:lineRule="exact"/>
        <w:ind w:firstLine="643" w:firstLineChars="200"/>
        <w:jc w:val="left"/>
        <w:textAlignment w:val="auto"/>
        <w:rPr>
          <w:rFonts w:eastAsia="楷体_GB2312"/>
          <w:b/>
          <w:bCs/>
          <w:color w:val="000000"/>
          <w:kern w:val="0"/>
          <w:sz w:val="32"/>
          <w:szCs w:val="32"/>
          <w:shd w:val="clear" w:color="auto" w:fill="FFFFFF"/>
          <w:lang w:val="zh-CN"/>
        </w:rPr>
      </w:pPr>
      <w:r>
        <w:rPr>
          <w:rFonts w:hint="eastAsia" w:eastAsia="楷体_GB2312"/>
          <w:b/>
          <w:bCs/>
          <w:color w:val="000000"/>
          <w:kern w:val="0"/>
          <w:sz w:val="32"/>
          <w:szCs w:val="32"/>
          <w:shd w:val="clear" w:color="auto" w:fill="FFFFFF"/>
          <w:lang w:val="zh-CN"/>
        </w:rPr>
        <w:t>（一）</w:t>
      </w:r>
      <w:r>
        <w:rPr>
          <w:rFonts w:eastAsia="楷体_GB2312"/>
          <w:b/>
          <w:bCs/>
          <w:color w:val="000000"/>
          <w:kern w:val="0"/>
          <w:sz w:val="32"/>
          <w:szCs w:val="32"/>
          <w:shd w:val="clear" w:color="auto" w:fill="FFFFFF"/>
          <w:lang w:val="zh-CN"/>
        </w:rPr>
        <w:t>机构组成</w:t>
      </w:r>
    </w:p>
    <w:p w14:paraId="363C1DDF">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sz w:val="32"/>
          <w:szCs w:val="32"/>
          <w:lang w:val="zh-CN"/>
        </w:rPr>
      </w:pPr>
      <w:r>
        <w:rPr>
          <w:rFonts w:hint="eastAsia" w:ascii="仿宋_GB2312" w:eastAsia="仿宋_GB2312"/>
          <w:sz w:val="32"/>
          <w:szCs w:val="32"/>
        </w:rPr>
        <w:t>茂县国有资产管理中心属于一级预算单位，下设综合办公室、业务股室。</w:t>
      </w:r>
    </w:p>
    <w:p w14:paraId="416532AF">
      <w:pPr>
        <w:keepNext w:val="0"/>
        <w:keepLines w:val="0"/>
        <w:pageBreakBefore w:val="0"/>
        <w:widowControl w:val="0"/>
        <w:numPr>
          <w:ilvl w:val="0"/>
          <w:numId w:val="1"/>
        </w:numPr>
        <w:kinsoku/>
        <w:wordWrap/>
        <w:overflowPunct/>
        <w:topLinePunct w:val="0"/>
        <w:autoSpaceDE/>
        <w:autoSpaceDN/>
        <w:bidi w:val="0"/>
        <w:adjustRightInd/>
        <w:spacing w:line="560" w:lineRule="exact"/>
        <w:ind w:left="20" w:firstLine="620"/>
        <w:jc w:val="left"/>
        <w:textAlignment w:val="auto"/>
        <w:rPr>
          <w:rFonts w:eastAsia="楷体_GB2312"/>
          <w:b/>
          <w:bCs/>
          <w:color w:val="000000"/>
          <w:kern w:val="0"/>
          <w:sz w:val="32"/>
          <w:szCs w:val="32"/>
          <w:shd w:val="clear" w:color="auto" w:fill="FFFFFF"/>
          <w:lang w:val="zh-CN"/>
        </w:rPr>
      </w:pPr>
      <w:r>
        <w:rPr>
          <w:rFonts w:eastAsia="楷体_GB2312"/>
          <w:b/>
          <w:bCs/>
          <w:color w:val="000000"/>
          <w:kern w:val="0"/>
          <w:sz w:val="32"/>
          <w:szCs w:val="32"/>
          <w:shd w:val="clear" w:color="auto" w:fill="FFFFFF"/>
          <w:lang w:val="zh-CN"/>
        </w:rPr>
        <w:t>机构职能</w:t>
      </w:r>
    </w:p>
    <w:p w14:paraId="0671484A">
      <w:pPr>
        <w:keepNext w:val="0"/>
        <w:keepLines w:val="0"/>
        <w:pageBreakBefore w:val="0"/>
        <w:widowControl w:val="0"/>
        <w:kinsoku/>
        <w:wordWrap/>
        <w:overflowPunct/>
        <w:topLinePunct w:val="0"/>
        <w:autoSpaceDE/>
        <w:autoSpaceDN/>
        <w:bidi w:val="0"/>
        <w:adjustRightInd/>
        <w:spacing w:line="560" w:lineRule="exact"/>
        <w:ind w:left="0" w:firstLine="620" w:firstLineChars="200"/>
        <w:jc w:val="left"/>
        <w:textAlignment w:val="auto"/>
        <w:rPr>
          <w:rFonts w:hint="eastAsia" w:eastAsia="仿宋_GB2312"/>
          <w:b/>
          <w:bCs/>
          <w:color w:val="000000"/>
          <w:kern w:val="0"/>
          <w:sz w:val="32"/>
          <w:szCs w:val="32"/>
          <w:shd w:val="clear" w:color="auto" w:fill="FFFFFF"/>
          <w:lang w:val="en-US" w:eastAsia="zh-CN"/>
        </w:rPr>
      </w:pPr>
      <w:r>
        <w:rPr>
          <w:rFonts w:hint="eastAsia" w:ascii="仿宋_GB2312" w:eastAsia="仿宋_GB2312" w:cs="仿宋"/>
          <w:color w:val="000000"/>
          <w:spacing w:val="-5"/>
          <w:sz w:val="32"/>
          <w:szCs w:val="32"/>
        </w:rPr>
        <w:t>茂县国有资产管理中心是代表县人民政府对监管企业依法履行出资人职责;负责指导县属国有企业改革和管理，加强全县国有企业改革和管理的宏观指导;负责对所监管企业负责人进行考核、任免并对其经营业绩进行奖惩;承担监督所监管企业国有资产保值增值指标体系，制定考核标准;负责所监管企业工资分配管理工作，制定所监管企业负责人收入分配政策并组织实施;承办县委和县政府交办的其他工作。</w:t>
      </w:r>
    </w:p>
    <w:p w14:paraId="1CEC63F2">
      <w:pPr>
        <w:keepNext w:val="0"/>
        <w:keepLines w:val="0"/>
        <w:pageBreakBefore w:val="0"/>
        <w:widowControl w:val="0"/>
        <w:kinsoku/>
        <w:wordWrap/>
        <w:overflowPunct/>
        <w:topLinePunct w:val="0"/>
        <w:autoSpaceDE/>
        <w:autoSpaceDN/>
        <w:bidi w:val="0"/>
        <w:adjustRightInd/>
        <w:spacing w:line="560" w:lineRule="exact"/>
        <w:ind w:firstLine="643" w:firstLineChars="200"/>
        <w:jc w:val="left"/>
        <w:textAlignment w:val="auto"/>
        <w:rPr>
          <w:rFonts w:eastAsia="楷体_GB2312"/>
          <w:b/>
          <w:bCs/>
          <w:color w:val="000000"/>
          <w:kern w:val="0"/>
          <w:sz w:val="32"/>
          <w:szCs w:val="32"/>
          <w:shd w:val="clear" w:color="auto" w:fill="FFFFFF"/>
          <w:lang w:val="zh-CN"/>
        </w:rPr>
      </w:pPr>
      <w:r>
        <w:rPr>
          <w:rFonts w:hint="eastAsia" w:eastAsia="楷体_GB2312"/>
          <w:b/>
          <w:bCs/>
          <w:color w:val="000000"/>
          <w:kern w:val="0"/>
          <w:sz w:val="32"/>
          <w:szCs w:val="32"/>
          <w:shd w:val="clear" w:color="auto" w:fill="FFFFFF"/>
          <w:lang w:val="zh-CN"/>
        </w:rPr>
        <w:t>（三）</w:t>
      </w:r>
      <w:r>
        <w:rPr>
          <w:rFonts w:eastAsia="楷体_GB2312"/>
          <w:b/>
          <w:bCs/>
          <w:color w:val="000000"/>
          <w:kern w:val="0"/>
          <w:sz w:val="32"/>
          <w:szCs w:val="32"/>
          <w:shd w:val="clear" w:color="auto" w:fill="FFFFFF"/>
          <w:lang w:val="zh-CN"/>
        </w:rPr>
        <w:t>人员概况</w:t>
      </w:r>
    </w:p>
    <w:p w14:paraId="4197CE43">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default" w:eastAsia="仿宋_GB2312"/>
          <w:lang w:val="en-US" w:eastAsia="zh-CN"/>
        </w:rPr>
      </w:pPr>
      <w:r>
        <w:rPr>
          <w:rFonts w:hint="eastAsia" w:ascii="仿宋_GB2312" w:eastAsia="仿宋_GB2312" w:cs="宋体"/>
          <w:kern w:val="0"/>
          <w:sz w:val="32"/>
          <w:szCs w:val="32"/>
          <w:lang w:eastAsia="zh-CN"/>
        </w:rPr>
        <w:t>截至</w:t>
      </w:r>
      <w:r>
        <w:rPr>
          <w:rFonts w:hint="eastAsia" w:ascii="仿宋_GB2312" w:eastAsia="仿宋_GB2312" w:cs="宋体"/>
          <w:kern w:val="0"/>
          <w:sz w:val="32"/>
          <w:szCs w:val="32"/>
          <w:lang w:val="en-US" w:eastAsia="zh-CN"/>
        </w:rPr>
        <w:t>2025年末，茂县国有资产管理中心</w:t>
      </w:r>
      <w:r>
        <w:rPr>
          <w:rFonts w:hint="eastAsia" w:ascii="仿宋_GB2312" w:eastAsia="仿宋_GB2312" w:cs="宋体"/>
          <w:kern w:val="0"/>
          <w:sz w:val="32"/>
          <w:szCs w:val="32"/>
        </w:rPr>
        <w:t>总编制</w:t>
      </w:r>
      <w:r>
        <w:rPr>
          <w:rFonts w:hint="eastAsia" w:ascii="仿宋_GB2312" w:cs="宋体"/>
          <w:kern w:val="0"/>
          <w:sz w:val="32"/>
          <w:szCs w:val="32"/>
          <w:lang w:val="en-US" w:eastAsia="zh-CN"/>
        </w:rPr>
        <w:t>18</w:t>
      </w:r>
      <w:r>
        <w:rPr>
          <w:rFonts w:hint="eastAsia" w:ascii="仿宋_GB2312" w:eastAsia="仿宋_GB2312" w:cs="宋体"/>
          <w:kern w:val="0"/>
          <w:sz w:val="32"/>
          <w:szCs w:val="32"/>
        </w:rPr>
        <w:t>名</w:t>
      </w:r>
      <w:r>
        <w:rPr>
          <w:rFonts w:ascii="仿宋_GB2312" w:eastAsia="仿宋_GB2312" w:cs="宋体"/>
          <w:kern w:val="0"/>
          <w:sz w:val="32"/>
          <w:szCs w:val="32"/>
        </w:rPr>
        <w:t>,</w:t>
      </w:r>
      <w:r>
        <w:rPr>
          <w:rFonts w:hint="eastAsia" w:ascii="仿宋_GB2312" w:eastAsia="仿宋_GB2312" w:cs="宋体"/>
          <w:kern w:val="0"/>
          <w:sz w:val="32"/>
          <w:szCs w:val="32"/>
        </w:rPr>
        <w:t>其中</w:t>
      </w:r>
      <w:r>
        <w:rPr>
          <w:rFonts w:ascii="仿宋_GB2312" w:eastAsia="仿宋_GB2312" w:cs="宋体"/>
          <w:kern w:val="0"/>
          <w:sz w:val="32"/>
          <w:szCs w:val="32"/>
        </w:rPr>
        <w:t>:</w:t>
      </w:r>
      <w:r>
        <w:rPr>
          <w:rFonts w:hint="eastAsia" w:ascii="仿宋_GB2312" w:cs="宋体"/>
          <w:kern w:val="0"/>
          <w:sz w:val="32"/>
          <w:szCs w:val="32"/>
          <w:lang w:eastAsia="zh-CN"/>
        </w:rPr>
        <w:t>事业</w:t>
      </w:r>
      <w:r>
        <w:rPr>
          <w:rFonts w:hint="eastAsia" w:ascii="仿宋_GB2312" w:eastAsia="仿宋_GB2312" w:cs="宋体"/>
          <w:kern w:val="0"/>
          <w:sz w:val="32"/>
          <w:szCs w:val="32"/>
        </w:rPr>
        <w:t>编制</w:t>
      </w:r>
      <w:r>
        <w:rPr>
          <w:rFonts w:hint="eastAsia" w:ascii="仿宋_GB2312" w:cs="宋体"/>
          <w:kern w:val="0"/>
          <w:sz w:val="32"/>
          <w:szCs w:val="32"/>
          <w:lang w:val="en-US" w:eastAsia="zh-CN"/>
        </w:rPr>
        <w:t>18</w:t>
      </w:r>
      <w:r>
        <w:rPr>
          <w:rFonts w:hint="eastAsia" w:ascii="仿宋_GB2312" w:eastAsia="仿宋_GB2312" w:cs="宋体"/>
          <w:kern w:val="0"/>
          <w:sz w:val="32"/>
          <w:szCs w:val="32"/>
        </w:rPr>
        <w:t>名。202</w:t>
      </w:r>
      <w:r>
        <w:rPr>
          <w:rFonts w:hint="eastAsia" w:ascii="仿宋_GB2312" w:cs="宋体"/>
          <w:kern w:val="0"/>
          <w:sz w:val="32"/>
          <w:szCs w:val="32"/>
          <w:lang w:val="en-US" w:eastAsia="zh-CN"/>
        </w:rPr>
        <w:t>5</w:t>
      </w:r>
      <w:r>
        <w:rPr>
          <w:rFonts w:hint="eastAsia" w:ascii="仿宋_GB2312" w:eastAsia="仿宋_GB2312" w:cs="宋体"/>
          <w:kern w:val="0"/>
          <w:sz w:val="32"/>
          <w:szCs w:val="32"/>
        </w:rPr>
        <w:t>年年末</w:t>
      </w:r>
      <w:r>
        <w:rPr>
          <w:rFonts w:hint="eastAsia" w:ascii="仿宋_GB2312" w:eastAsia="仿宋_GB2312" w:cs="宋体"/>
          <w:kern w:val="0"/>
          <w:sz w:val="32"/>
          <w:szCs w:val="32"/>
          <w:lang w:eastAsia="zh-CN"/>
        </w:rPr>
        <w:t>实有人</w:t>
      </w:r>
      <w:r>
        <w:rPr>
          <w:rFonts w:hint="eastAsia" w:ascii="仿宋_GB2312" w:eastAsia="仿宋_GB2312" w:cs="宋体"/>
          <w:kern w:val="0"/>
          <w:sz w:val="32"/>
          <w:szCs w:val="32"/>
        </w:rPr>
        <w:t>数</w:t>
      </w:r>
      <w:r>
        <w:rPr>
          <w:rFonts w:hint="eastAsia" w:ascii="仿宋_GB2312" w:cs="宋体"/>
          <w:kern w:val="0"/>
          <w:sz w:val="32"/>
          <w:szCs w:val="32"/>
          <w:lang w:val="en-US" w:eastAsia="zh-CN"/>
        </w:rPr>
        <w:t>18</w:t>
      </w:r>
      <w:r>
        <w:rPr>
          <w:rFonts w:hint="eastAsia" w:ascii="仿宋_GB2312" w:eastAsia="仿宋_GB2312" w:cs="宋体"/>
          <w:kern w:val="0"/>
          <w:sz w:val="32"/>
          <w:szCs w:val="32"/>
        </w:rPr>
        <w:t>，其中：</w:t>
      </w:r>
      <w:r>
        <w:rPr>
          <w:rFonts w:hint="eastAsia" w:ascii="仿宋_GB2312" w:cs="宋体"/>
          <w:kern w:val="0"/>
          <w:sz w:val="32"/>
          <w:szCs w:val="32"/>
          <w:lang w:eastAsia="zh-CN"/>
        </w:rPr>
        <w:t>事业</w:t>
      </w:r>
      <w:r>
        <w:rPr>
          <w:rFonts w:hint="eastAsia" w:ascii="仿宋_GB2312" w:eastAsia="仿宋_GB2312" w:cs="宋体"/>
          <w:kern w:val="0"/>
          <w:sz w:val="32"/>
          <w:szCs w:val="32"/>
        </w:rPr>
        <w:t>人员</w:t>
      </w:r>
      <w:r>
        <w:rPr>
          <w:rFonts w:hint="eastAsia" w:ascii="仿宋_GB2312" w:cs="宋体"/>
          <w:kern w:val="0"/>
          <w:sz w:val="32"/>
          <w:szCs w:val="32"/>
          <w:lang w:val="en-US" w:eastAsia="zh-CN"/>
        </w:rPr>
        <w:t>18名。</w:t>
      </w:r>
    </w:p>
    <w:p w14:paraId="580A3976">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rPr>
          <w:rFonts w:eastAsia="黑体"/>
          <w:color w:val="000000"/>
          <w:kern w:val="0"/>
          <w:sz w:val="32"/>
          <w:szCs w:val="32"/>
          <w:shd w:val="clear" w:color="auto" w:fill="FFFFFF"/>
        </w:rPr>
      </w:pPr>
      <w:r>
        <w:rPr>
          <w:rFonts w:eastAsia="黑体"/>
          <w:color w:val="000000"/>
          <w:kern w:val="0"/>
          <w:sz w:val="32"/>
          <w:szCs w:val="32"/>
          <w:shd w:val="clear" w:color="auto" w:fill="FFFFFF"/>
        </w:rPr>
        <w:t>二、部门资金收支情况</w:t>
      </w:r>
    </w:p>
    <w:p w14:paraId="51393133">
      <w:pPr>
        <w:keepNext w:val="0"/>
        <w:keepLines w:val="0"/>
        <w:pageBreakBefore w:val="0"/>
        <w:widowControl w:val="0"/>
        <w:kinsoku/>
        <w:wordWrap/>
        <w:overflowPunct/>
        <w:topLinePunct w:val="0"/>
        <w:autoSpaceDE/>
        <w:autoSpaceDN/>
        <w:bidi w:val="0"/>
        <w:adjustRightInd/>
        <w:spacing w:line="560" w:lineRule="exact"/>
        <w:ind w:firstLine="643" w:firstLineChars="200"/>
        <w:jc w:val="left"/>
        <w:textAlignment w:val="auto"/>
        <w:rPr>
          <w:rFonts w:hint="eastAsia" w:eastAsia="楷体_GB2312"/>
          <w:b/>
          <w:bCs/>
          <w:color w:val="000000"/>
          <w:kern w:val="0"/>
          <w:sz w:val="32"/>
          <w:szCs w:val="32"/>
          <w:shd w:val="clear" w:color="auto" w:fill="FFFFFF"/>
          <w:lang w:val="zh-CN"/>
        </w:rPr>
      </w:pPr>
      <w:r>
        <w:rPr>
          <w:rFonts w:eastAsia="楷体_GB2312"/>
          <w:b/>
          <w:bCs/>
          <w:color w:val="000000"/>
          <w:kern w:val="0"/>
          <w:sz w:val="32"/>
          <w:szCs w:val="32"/>
          <w:shd w:val="clear" w:color="auto" w:fill="FFFFFF"/>
          <w:lang w:val="zh-CN"/>
        </w:rPr>
        <w:t>（一）</w:t>
      </w:r>
      <w:r>
        <w:rPr>
          <w:rFonts w:hint="eastAsia" w:eastAsia="楷体_GB2312"/>
          <w:b/>
          <w:bCs/>
          <w:color w:val="000000"/>
          <w:kern w:val="0"/>
          <w:sz w:val="32"/>
          <w:szCs w:val="32"/>
          <w:shd w:val="clear" w:color="auto" w:fill="FFFFFF"/>
          <w:lang w:val="zh-CN"/>
        </w:rPr>
        <w:t>收入情况</w:t>
      </w:r>
    </w:p>
    <w:p w14:paraId="32CBA01C">
      <w:pPr>
        <w:pageBreakBefore w:val="0"/>
        <w:kinsoku/>
        <w:wordWrap/>
        <w:overflowPunct/>
        <w:topLinePunct w:val="0"/>
        <w:bidi w:val="0"/>
        <w:spacing w:line="576"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茂县国有资产管理中心2025年本年收入合计523.64万元，其中：一般公共预算财政拨款收入522.64万元，占99.81%；国有资本经营预算财政拨款收入1万元，占,0.19%；上级补助收入0万元；事业收入0万元；经营收入0万元；附属单位上缴收入0万元；其他收入0万元。</w:t>
      </w:r>
    </w:p>
    <w:p w14:paraId="6AFD74C8">
      <w:pPr>
        <w:keepNext w:val="0"/>
        <w:keepLines w:val="0"/>
        <w:pageBreakBefore w:val="0"/>
        <w:widowControl w:val="0"/>
        <w:kinsoku/>
        <w:wordWrap/>
        <w:overflowPunct/>
        <w:topLinePunct w:val="0"/>
        <w:autoSpaceDE/>
        <w:autoSpaceDN/>
        <w:bidi w:val="0"/>
        <w:adjustRightInd/>
        <w:spacing w:line="560" w:lineRule="exact"/>
        <w:ind w:firstLine="643" w:firstLineChars="200"/>
        <w:jc w:val="left"/>
        <w:textAlignment w:val="auto"/>
        <w:rPr>
          <w:rFonts w:hint="eastAsia" w:eastAsia="楷体_GB2312"/>
          <w:b/>
          <w:bCs/>
          <w:color w:val="000000"/>
          <w:kern w:val="0"/>
          <w:sz w:val="32"/>
          <w:szCs w:val="32"/>
          <w:shd w:val="clear" w:color="auto" w:fill="FFFFFF"/>
          <w:lang w:val="zh-CN"/>
        </w:rPr>
      </w:pPr>
      <w:r>
        <w:rPr>
          <w:rFonts w:hint="eastAsia" w:eastAsia="楷体_GB2312"/>
          <w:b/>
          <w:bCs/>
          <w:color w:val="000000"/>
          <w:kern w:val="0"/>
          <w:sz w:val="32"/>
          <w:szCs w:val="32"/>
          <w:shd w:val="clear" w:color="auto" w:fill="FFFFFF"/>
          <w:lang w:val="zh-CN"/>
        </w:rPr>
        <w:t>（二）支出情况</w:t>
      </w:r>
    </w:p>
    <w:p w14:paraId="7E5B829E">
      <w:pPr>
        <w:pageBreakBefore w:val="0"/>
        <w:kinsoku/>
        <w:wordWrap/>
        <w:overflowPunct/>
        <w:topLinePunct w:val="0"/>
        <w:bidi w:val="0"/>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lang w:val="en-US" w:eastAsia="zh-CN"/>
        </w:rPr>
        <w:t>茂县国有资产管理中心2025年本年支出合计523.64万元，其中：基本支出324.09万元，占61.89%；项目支出199.55万元，占38.11%；上缴上级支出0万元；经营支出0万元；对附属单位补助支出0万。</w:t>
      </w:r>
      <w:r>
        <w:rPr>
          <w:rFonts w:hint="eastAsia" w:ascii="仿宋_GB2312" w:hAnsi="仿宋" w:eastAsia="仿宋_GB2312"/>
          <w:sz w:val="32"/>
          <w:szCs w:val="32"/>
          <w:lang w:val="en-US" w:eastAsia="zh-CN"/>
        </w:rPr>
        <w:t xml:space="preserve"> </w:t>
      </w:r>
    </w:p>
    <w:p w14:paraId="58793810">
      <w:pPr>
        <w:keepNext w:val="0"/>
        <w:keepLines w:val="0"/>
        <w:pageBreakBefore w:val="0"/>
        <w:widowControl w:val="0"/>
        <w:numPr>
          <w:ilvl w:val="0"/>
          <w:numId w:val="1"/>
        </w:numPr>
        <w:kinsoku/>
        <w:wordWrap/>
        <w:overflowPunct/>
        <w:topLinePunct w:val="0"/>
        <w:autoSpaceDE/>
        <w:autoSpaceDN/>
        <w:bidi w:val="0"/>
        <w:adjustRightInd/>
        <w:spacing w:line="560" w:lineRule="exact"/>
        <w:ind w:left="20" w:firstLine="620"/>
        <w:jc w:val="left"/>
        <w:textAlignment w:val="auto"/>
        <w:rPr>
          <w:rFonts w:eastAsia="楷体_GB2312"/>
          <w:b/>
          <w:sz w:val="32"/>
          <w:szCs w:val="32"/>
        </w:rPr>
      </w:pPr>
      <w:r>
        <w:rPr>
          <w:rFonts w:eastAsia="楷体_GB2312"/>
          <w:b/>
          <w:sz w:val="32"/>
          <w:szCs w:val="32"/>
        </w:rPr>
        <w:t>结余分配和结转结余情况</w:t>
      </w:r>
    </w:p>
    <w:p w14:paraId="2C50CCC2">
      <w:pPr>
        <w:pageBreakBefore w:val="0"/>
        <w:kinsoku/>
        <w:wordWrap/>
        <w:overflowPunct/>
        <w:topLinePunct w:val="0"/>
        <w:bidi w:val="0"/>
        <w:spacing w:line="576" w:lineRule="exact"/>
        <w:ind w:firstLine="640" w:firstLineChars="200"/>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茂县国有资产管理中心2025年年末结转和结余资金0万元。</w:t>
      </w:r>
    </w:p>
    <w:p w14:paraId="58063F51">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rPr>
          <w:rFonts w:eastAsia="黑体"/>
          <w:color w:val="000000"/>
          <w:kern w:val="0"/>
          <w:sz w:val="32"/>
          <w:szCs w:val="32"/>
          <w:shd w:val="clear" w:color="auto" w:fill="FFFFFF"/>
        </w:rPr>
      </w:pPr>
      <w:r>
        <w:rPr>
          <w:rFonts w:eastAsia="黑体"/>
          <w:color w:val="000000"/>
          <w:kern w:val="0"/>
          <w:sz w:val="32"/>
          <w:szCs w:val="32"/>
          <w:shd w:val="clear" w:color="auto" w:fill="FFFFFF"/>
        </w:rPr>
        <w:t>三、部门预算绩效分析</w:t>
      </w:r>
    </w:p>
    <w:p w14:paraId="40756D12">
      <w:pPr>
        <w:keepNext w:val="0"/>
        <w:keepLines w:val="0"/>
        <w:pageBreakBefore w:val="0"/>
        <w:kinsoku/>
        <w:wordWrap/>
        <w:overflowPunct/>
        <w:topLinePunct w:val="0"/>
        <w:autoSpaceDE/>
        <w:autoSpaceDN/>
        <w:bidi w:val="0"/>
        <w:adjustRightInd w:val="0"/>
        <w:snapToGrid w:val="0"/>
        <w:spacing w:line="560" w:lineRule="exact"/>
        <w:ind w:firstLine="643" w:firstLineChars="200"/>
        <w:contextualSpacing/>
        <w:jc w:val="left"/>
        <w:textAlignment w:val="auto"/>
        <w:rPr>
          <w:rFonts w:eastAsia="楷体_GB2312"/>
          <w:b/>
          <w:bCs/>
          <w:color w:val="000000"/>
          <w:kern w:val="0"/>
          <w:sz w:val="32"/>
          <w:szCs w:val="32"/>
          <w:shd w:val="clear" w:color="auto" w:fill="FFFFFF"/>
          <w:lang w:val="zh-CN"/>
        </w:rPr>
      </w:pPr>
      <w:r>
        <w:rPr>
          <w:rFonts w:eastAsia="楷体_GB2312"/>
          <w:b/>
          <w:bCs/>
          <w:color w:val="000000"/>
          <w:kern w:val="0"/>
          <w:sz w:val="32"/>
          <w:szCs w:val="32"/>
          <w:shd w:val="clear" w:color="auto" w:fill="FFFFFF"/>
          <w:lang w:val="zh-CN"/>
        </w:rPr>
        <w:t>（一）</w:t>
      </w:r>
      <w:r>
        <w:rPr>
          <w:rFonts w:hint="eastAsia" w:eastAsia="楷体_GB2312"/>
          <w:b/>
          <w:bCs/>
          <w:color w:val="000000"/>
          <w:kern w:val="0"/>
          <w:sz w:val="32"/>
          <w:szCs w:val="32"/>
          <w:shd w:val="clear" w:color="auto" w:fill="FFFFFF"/>
          <w:lang w:val="zh-CN"/>
        </w:rPr>
        <w:t>部门预算</w:t>
      </w:r>
      <w:r>
        <w:rPr>
          <w:rFonts w:eastAsia="楷体_GB2312"/>
          <w:b/>
          <w:bCs/>
          <w:color w:val="000000"/>
          <w:kern w:val="0"/>
          <w:sz w:val="32"/>
          <w:szCs w:val="32"/>
          <w:shd w:val="clear" w:color="auto" w:fill="FFFFFF"/>
          <w:lang w:val="zh-CN"/>
        </w:rPr>
        <w:t>总体绩效分析</w:t>
      </w:r>
    </w:p>
    <w:p w14:paraId="2AB85E99">
      <w:pPr>
        <w:keepNext w:val="0"/>
        <w:keepLines w:val="0"/>
        <w:pageBreakBefore w:val="0"/>
        <w:kinsoku/>
        <w:wordWrap/>
        <w:overflowPunct/>
        <w:topLinePunct w:val="0"/>
        <w:autoSpaceDE/>
        <w:autoSpaceDN/>
        <w:bidi w:val="0"/>
        <w:spacing w:line="560" w:lineRule="exact"/>
        <w:ind w:firstLine="640" w:firstLineChars="200"/>
        <w:jc w:val="left"/>
        <w:textAlignment w:val="auto"/>
        <w:rPr>
          <w:rFonts w:hint="eastAsia" w:ascii="楷体_GB2312" w:eastAsia="楷体_GB2312" w:cs="楷体_GB2312"/>
          <w:color w:val="000000"/>
          <w:kern w:val="0"/>
          <w:sz w:val="32"/>
          <w:szCs w:val="32"/>
          <w:shd w:val="clear" w:color="auto" w:fill="FFFFFF"/>
          <w:lang w:val="zh-CN"/>
        </w:rPr>
      </w:pPr>
      <w:r>
        <w:rPr>
          <w:rFonts w:hint="eastAsia" w:ascii="楷体_GB2312" w:eastAsia="楷体_GB2312" w:cs="楷体_GB2312"/>
          <w:color w:val="000000"/>
          <w:kern w:val="0"/>
          <w:sz w:val="32"/>
          <w:szCs w:val="32"/>
          <w:shd w:val="clear" w:color="auto" w:fill="FFFFFF"/>
        </w:rPr>
        <w:t>1.</w:t>
      </w:r>
      <w:r>
        <w:rPr>
          <w:rFonts w:hint="eastAsia" w:ascii="楷体_GB2312" w:eastAsia="楷体_GB2312" w:cs="楷体_GB2312"/>
          <w:color w:val="000000"/>
          <w:kern w:val="0"/>
          <w:sz w:val="32"/>
          <w:szCs w:val="32"/>
          <w:shd w:val="clear" w:color="auto" w:fill="FFFFFF"/>
          <w:lang w:val="zh-CN"/>
        </w:rPr>
        <w:t>履职效能</w:t>
      </w:r>
    </w:p>
    <w:p w14:paraId="00E02725">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eastAsia" w:ascii="仿宋_GB2312" w:hAnsi="仿宋" w:eastAsia="仿宋_GB2312" w:cs="Times New Roman"/>
          <w:sz w:val="32"/>
          <w:szCs w:val="32"/>
          <w:highlight w:val="none"/>
          <w:lang w:val="en-US" w:eastAsia="zh-CN"/>
        </w:rPr>
      </w:pPr>
      <w:r>
        <w:rPr>
          <w:rFonts w:hint="eastAsia" w:ascii="仿宋_GB2312" w:eastAsia="仿宋_GB2312" w:cs="仿宋_GB2312"/>
          <w:b/>
          <w:bCs/>
          <w:sz w:val="32"/>
          <w:szCs w:val="32"/>
          <w:highlight w:val="none"/>
          <w:lang w:val="en-US" w:eastAsia="zh-CN"/>
        </w:rPr>
        <w:t>一是</w:t>
      </w:r>
      <w:r>
        <w:rPr>
          <w:rFonts w:hint="eastAsia" w:ascii="仿宋_GB2312" w:hAnsi="仿宋" w:eastAsia="仿宋_GB2312" w:cs="Times New Roman"/>
          <w:sz w:val="32"/>
          <w:szCs w:val="32"/>
          <w:highlight w:val="none"/>
          <w:lang w:val="en-US" w:eastAsia="zh-CN"/>
        </w:rPr>
        <w:t>扎实推进国企改革工作，增强企业核心竞争力。实地调研，找准问题；以问题为导向，制定改革方案。</w:t>
      </w:r>
      <w:r>
        <w:rPr>
          <w:rFonts w:hint="eastAsia" w:ascii="仿宋_GB2312" w:hAnsi="仿宋_GB2312" w:eastAsia="仿宋_GB2312" w:cs="仿宋_GB2312"/>
          <w:sz w:val="32"/>
          <w:szCs w:val="32"/>
          <w:highlight w:val="none"/>
          <w:lang w:eastAsia="zh-CN"/>
        </w:rPr>
        <w:t>二</w:t>
      </w:r>
      <w:r>
        <w:rPr>
          <w:rFonts w:hint="eastAsia" w:ascii="仿宋_GB2312" w:hAnsi="仿宋_GB2312" w:eastAsia="仿宋_GB2312" w:cs="仿宋_GB2312"/>
          <w:b/>
          <w:bCs/>
          <w:sz w:val="32"/>
          <w:szCs w:val="32"/>
          <w:highlight w:val="none"/>
          <w:lang w:eastAsia="zh-CN"/>
        </w:rPr>
        <w:t>是</w:t>
      </w:r>
      <w:r>
        <w:rPr>
          <w:rFonts w:hint="eastAsia" w:ascii="仿宋_GB2312" w:hAnsi="仿宋" w:eastAsia="仿宋_GB2312" w:cs="Times New Roman"/>
          <w:sz w:val="32"/>
          <w:szCs w:val="32"/>
          <w:highlight w:val="none"/>
          <w:lang w:val="en-US" w:eastAsia="zh-CN"/>
        </w:rPr>
        <w:t>强化国资监管体系，提升履职能力。推进企业人事改革，落实《茂县县属国有企业机构设置和人员管理办法》，规范企业机构设置和人员管理，核定企业员工总数，提高企业运行效率，促进企业健康发展；推进监事会改革工作，取消企业监事会，设立审计委员会，优化企业治理结构，提升监督水平。</w:t>
      </w:r>
      <w:r>
        <w:rPr>
          <w:rFonts w:hint="eastAsia" w:ascii="仿宋_GB2312" w:hAnsi="黑体" w:eastAsia="仿宋_GB2312" w:cs="仿宋_GB2312"/>
          <w:b/>
          <w:bCs/>
          <w:sz w:val="32"/>
          <w:szCs w:val="32"/>
          <w:highlight w:val="none"/>
          <w:lang w:eastAsia="zh-CN"/>
        </w:rPr>
        <w:t>三是</w:t>
      </w:r>
      <w:r>
        <w:rPr>
          <w:rFonts w:hint="eastAsia" w:ascii="仿宋_GB2312" w:hAnsi="仿宋" w:eastAsia="仿宋_GB2312" w:cs="Times New Roman"/>
          <w:sz w:val="32"/>
          <w:szCs w:val="32"/>
          <w:highlight w:val="none"/>
          <w:lang w:val="en-US" w:eastAsia="zh-CN"/>
        </w:rPr>
        <w:t>加强企业党的建设，提升风险防范能力。健全党组织议事决策机制，严格执行“三重一大”议事制度，并建立完善第一议题制度。</w:t>
      </w:r>
    </w:p>
    <w:p w14:paraId="4E466670">
      <w:pPr>
        <w:keepNext w:val="0"/>
        <w:keepLines w:val="0"/>
        <w:pageBreakBefore w:val="0"/>
        <w:kinsoku/>
        <w:wordWrap/>
        <w:overflowPunct/>
        <w:topLinePunct w:val="0"/>
        <w:autoSpaceDE/>
        <w:autoSpaceDN/>
        <w:bidi w:val="0"/>
        <w:spacing w:line="560" w:lineRule="exact"/>
        <w:ind w:firstLine="640" w:firstLineChars="200"/>
        <w:jc w:val="left"/>
        <w:textAlignment w:val="auto"/>
        <w:rPr>
          <w:rFonts w:hint="eastAsia" w:ascii="楷体_GB2312" w:eastAsia="楷体_GB2312" w:cs="楷体_GB2312"/>
          <w:color w:val="000000"/>
          <w:kern w:val="0"/>
          <w:sz w:val="32"/>
          <w:szCs w:val="32"/>
          <w:shd w:val="clear" w:color="auto" w:fill="FFFFFF"/>
          <w:lang w:val="zh-CN"/>
        </w:rPr>
      </w:pPr>
      <w:r>
        <w:rPr>
          <w:rFonts w:hint="eastAsia" w:ascii="楷体_GB2312" w:eastAsia="楷体_GB2312" w:cs="楷体_GB2312"/>
          <w:color w:val="000000"/>
          <w:kern w:val="0"/>
          <w:sz w:val="32"/>
          <w:szCs w:val="32"/>
          <w:shd w:val="clear" w:color="auto" w:fill="FFFFFF"/>
          <w:lang w:val="en-US" w:eastAsia="zh-CN"/>
        </w:rPr>
        <w:t>2.</w:t>
      </w:r>
      <w:r>
        <w:rPr>
          <w:rFonts w:hint="eastAsia" w:ascii="楷体_GB2312" w:eastAsia="楷体_GB2312" w:cs="楷体_GB2312"/>
          <w:color w:val="000000"/>
          <w:kern w:val="0"/>
          <w:sz w:val="32"/>
          <w:szCs w:val="32"/>
          <w:shd w:val="clear" w:color="auto" w:fill="FFFFFF"/>
          <w:lang w:val="zh-CN"/>
        </w:rPr>
        <w:t>预算管理</w:t>
      </w:r>
    </w:p>
    <w:p w14:paraId="0AC4491F">
      <w:pPr>
        <w:keepNext w:val="0"/>
        <w:keepLines w:val="0"/>
        <w:pageBreakBefore w:val="0"/>
        <w:widowControl w:val="0"/>
        <w:kinsoku/>
        <w:wordWrap/>
        <w:overflowPunct/>
        <w:topLinePunct w:val="0"/>
        <w:autoSpaceDE/>
        <w:autoSpaceDN/>
        <w:bidi w:val="0"/>
        <w:adjustRightInd/>
        <w:spacing w:line="560" w:lineRule="exact"/>
        <w:ind w:left="0" w:firstLine="640" w:firstLineChars="200"/>
        <w:jc w:val="left"/>
        <w:textAlignment w:val="auto"/>
        <w:rPr>
          <w:rFonts w:hint="eastAsia" w:ascii="仿宋_GB2312" w:eastAsia="仿宋_GB2312" w:cs="仿宋"/>
          <w:color w:val="000000"/>
          <w:spacing w:val="-5"/>
          <w:sz w:val="32"/>
        </w:rPr>
      </w:pPr>
      <w:r>
        <w:rPr>
          <w:rFonts w:hint="eastAsia" w:ascii="仿宋_GB2312" w:hAnsi="仿宋_GB2312" w:eastAsia="仿宋_GB2312" w:cs="仿宋_GB2312"/>
          <w:sz w:val="32"/>
          <w:szCs w:val="32"/>
        </w:rPr>
        <w:t>202</w:t>
      </w:r>
      <w:r>
        <w:rPr>
          <w:rFonts w:hint="eastAsia" w:ascii="仿宋_GB2312" w:hAnsi="仿宋_GB2312" w:cs="仿宋_GB2312"/>
          <w:sz w:val="32"/>
          <w:szCs w:val="32"/>
          <w:lang w:val="en-US" w:eastAsia="zh-CN"/>
        </w:rPr>
        <w:t>5</w:t>
      </w:r>
      <w:r>
        <w:rPr>
          <w:rFonts w:hint="eastAsia" w:ascii="仿宋_GB2312" w:hAnsi="仿宋_GB2312" w:eastAsia="仿宋_GB2312" w:cs="仿宋_GB2312"/>
          <w:sz w:val="32"/>
          <w:szCs w:val="32"/>
        </w:rPr>
        <w:t>年年初预算收入总额为</w:t>
      </w:r>
      <w:r>
        <w:rPr>
          <w:rFonts w:hint="eastAsia" w:ascii="仿宋_GB2312" w:hAnsi="仿宋_GB2312" w:cs="仿宋_GB2312"/>
          <w:sz w:val="32"/>
          <w:szCs w:val="32"/>
          <w:lang w:val="en-US" w:eastAsia="zh-CN"/>
        </w:rPr>
        <w:t>89.5</w:t>
      </w:r>
      <w:r>
        <w:rPr>
          <w:rFonts w:hint="eastAsia" w:ascii="仿宋_GB2312" w:hAnsi="仿宋_GB2312" w:eastAsia="仿宋_GB2312" w:cs="仿宋_GB2312"/>
          <w:sz w:val="32"/>
          <w:szCs w:val="32"/>
        </w:rPr>
        <w:t>万元</w:t>
      </w:r>
      <w:r>
        <w:rPr>
          <w:rFonts w:hint="eastAsia" w:ascii="仿宋_GB2312" w:hAnsi="仿宋_GB2312" w:cs="仿宋_GB2312"/>
          <w:sz w:val="32"/>
          <w:szCs w:val="32"/>
          <w:lang w:eastAsia="zh-CN"/>
        </w:rPr>
        <w:t>。</w:t>
      </w:r>
      <w:r>
        <w:rPr>
          <w:rFonts w:hint="eastAsia" w:ascii="仿宋_GB2312" w:eastAsia="仿宋_GB2312" w:cs="仿宋"/>
          <w:color w:val="000000"/>
          <w:spacing w:val="-5"/>
          <w:sz w:val="32"/>
        </w:rPr>
        <w:t>一是按照 202</w:t>
      </w:r>
      <w:r>
        <w:rPr>
          <w:rFonts w:hint="eastAsia" w:ascii="仿宋_GB2312" w:cs="仿宋"/>
          <w:color w:val="000000"/>
          <w:spacing w:val="-5"/>
          <w:sz w:val="32"/>
          <w:lang w:val="en-US" w:eastAsia="zh-CN"/>
        </w:rPr>
        <w:t>5</w:t>
      </w:r>
      <w:r>
        <w:rPr>
          <w:rFonts w:hint="eastAsia" w:ascii="仿宋_GB2312" w:eastAsia="仿宋_GB2312" w:cs="仿宋"/>
          <w:color w:val="000000"/>
          <w:spacing w:val="-5"/>
          <w:sz w:val="32"/>
        </w:rPr>
        <w:t>部门预算编审要求，根据我中心职能职责，结合中长期规划和年度工作计划，明确了年度主要工作任务及年度内履职所要达到的总体产出和效果，认真填报了我中心整体支出绩效目标，设定了年度绩效数量指标、成本指标、效益指标等；二是按照财政部门统一部署，我中心于 202</w:t>
      </w:r>
      <w:r>
        <w:rPr>
          <w:rFonts w:hint="eastAsia" w:ascii="仿宋_GB2312" w:cs="仿宋"/>
          <w:color w:val="000000"/>
          <w:spacing w:val="-5"/>
          <w:sz w:val="32"/>
          <w:lang w:val="en-US" w:eastAsia="zh-CN"/>
        </w:rPr>
        <w:t>5</w:t>
      </w:r>
      <w:r>
        <w:rPr>
          <w:rFonts w:hint="eastAsia" w:ascii="仿宋_GB2312" w:eastAsia="仿宋_GB2312" w:cs="仿宋"/>
          <w:color w:val="000000"/>
          <w:spacing w:val="-5"/>
          <w:sz w:val="32"/>
        </w:rPr>
        <w:t>年</w:t>
      </w:r>
      <w:r>
        <w:rPr>
          <w:rFonts w:hint="eastAsia" w:ascii="仿宋_GB2312" w:cs="仿宋"/>
          <w:color w:val="auto"/>
          <w:spacing w:val="-5"/>
          <w:sz w:val="32"/>
          <w:lang w:val="en-US" w:eastAsia="zh-CN"/>
        </w:rPr>
        <w:t>3</w:t>
      </w:r>
      <w:r>
        <w:rPr>
          <w:rFonts w:hint="eastAsia" w:ascii="仿宋_GB2312" w:eastAsia="仿宋_GB2312" w:cs="仿宋"/>
          <w:color w:val="auto"/>
          <w:spacing w:val="-5"/>
          <w:sz w:val="32"/>
        </w:rPr>
        <w:t>月2</w:t>
      </w:r>
      <w:r>
        <w:rPr>
          <w:rFonts w:hint="eastAsia" w:ascii="仿宋_GB2312" w:cs="仿宋"/>
          <w:color w:val="auto"/>
          <w:spacing w:val="-5"/>
          <w:sz w:val="32"/>
          <w:lang w:val="en-US" w:eastAsia="zh-CN"/>
        </w:rPr>
        <w:t>6</w:t>
      </w:r>
      <w:r>
        <w:rPr>
          <w:rFonts w:hint="eastAsia" w:ascii="仿宋_GB2312" w:eastAsia="仿宋_GB2312" w:cs="仿宋"/>
          <w:color w:val="auto"/>
          <w:spacing w:val="-5"/>
          <w:sz w:val="32"/>
        </w:rPr>
        <w:t>日</w:t>
      </w:r>
      <w:r>
        <w:rPr>
          <w:rFonts w:hint="eastAsia" w:ascii="仿宋_GB2312" w:eastAsia="仿宋_GB2312" w:cs="仿宋"/>
          <w:color w:val="000000"/>
          <w:spacing w:val="-5"/>
          <w:sz w:val="32"/>
        </w:rPr>
        <w:t>按要求对202</w:t>
      </w:r>
      <w:r>
        <w:rPr>
          <w:rFonts w:hint="eastAsia" w:ascii="仿宋_GB2312" w:cs="仿宋"/>
          <w:color w:val="000000"/>
          <w:spacing w:val="-5"/>
          <w:sz w:val="32"/>
          <w:lang w:val="en-US" w:eastAsia="zh-CN"/>
        </w:rPr>
        <w:t>5</w:t>
      </w:r>
      <w:r>
        <w:rPr>
          <w:rFonts w:hint="eastAsia" w:ascii="仿宋_GB2312" w:eastAsia="仿宋_GB2312" w:cs="仿宋"/>
          <w:color w:val="000000"/>
          <w:spacing w:val="-5"/>
          <w:sz w:val="32"/>
        </w:rPr>
        <w:t>年部门预算进行公开。</w:t>
      </w:r>
    </w:p>
    <w:p w14:paraId="0FB2070D">
      <w:pPr>
        <w:keepNext w:val="0"/>
        <w:keepLines w:val="0"/>
        <w:pageBreakBefore w:val="0"/>
        <w:kinsoku/>
        <w:wordWrap/>
        <w:overflowPunct/>
        <w:topLinePunct w:val="0"/>
        <w:autoSpaceDE/>
        <w:autoSpaceDN/>
        <w:bidi w:val="0"/>
        <w:spacing w:line="560" w:lineRule="exact"/>
        <w:ind w:left="0" w:firstLine="640" w:firstLineChars="200"/>
        <w:jc w:val="left"/>
        <w:textAlignment w:val="auto"/>
        <w:rPr>
          <w:rFonts w:hint="eastAsia" w:ascii="楷体_GB2312" w:eastAsia="楷体_GB2312" w:cs="楷体_GB2312"/>
          <w:color w:val="000000"/>
          <w:kern w:val="0"/>
          <w:sz w:val="32"/>
          <w:szCs w:val="32"/>
          <w:shd w:val="clear" w:color="auto" w:fill="FFFFFF"/>
          <w:lang w:val="zh-CN" w:eastAsia="zh-CN"/>
        </w:rPr>
      </w:pPr>
      <w:r>
        <w:rPr>
          <w:rFonts w:hint="eastAsia" w:ascii="楷体_GB2312" w:eastAsia="楷体_GB2312" w:cs="楷体_GB2312"/>
          <w:color w:val="000000"/>
          <w:kern w:val="0"/>
          <w:sz w:val="32"/>
          <w:szCs w:val="32"/>
          <w:shd w:val="clear" w:color="auto" w:fill="FFFFFF"/>
          <w:lang w:val="en-US" w:eastAsia="zh-CN"/>
        </w:rPr>
        <w:t>3.</w:t>
      </w:r>
      <w:r>
        <w:rPr>
          <w:rFonts w:hint="eastAsia" w:ascii="楷体_GB2312" w:eastAsia="楷体_GB2312" w:cs="楷体_GB2312"/>
          <w:color w:val="000000"/>
          <w:kern w:val="0"/>
          <w:sz w:val="32"/>
          <w:szCs w:val="32"/>
          <w:shd w:val="clear" w:color="auto" w:fill="FFFFFF"/>
          <w:lang w:val="zh-CN" w:eastAsia="zh-CN"/>
        </w:rPr>
        <w:t>财务管理</w:t>
      </w:r>
    </w:p>
    <w:p w14:paraId="55BBFBB8">
      <w:pPr>
        <w:keepNext w:val="0"/>
        <w:keepLines w:val="0"/>
        <w:pageBreakBefore w:val="0"/>
        <w:widowControl w:val="0"/>
        <w:kinsoku/>
        <w:wordWrap/>
        <w:overflowPunct/>
        <w:topLinePunct w:val="0"/>
        <w:autoSpaceDE/>
        <w:autoSpaceDN/>
        <w:bidi w:val="0"/>
        <w:adjustRightInd/>
        <w:spacing w:line="560" w:lineRule="exact"/>
        <w:ind w:firstLine="620" w:firstLineChars="200"/>
        <w:jc w:val="left"/>
        <w:textAlignment w:val="auto"/>
        <w:rPr>
          <w:rFonts w:hint="eastAsia" w:ascii="仿宋_GB2312" w:eastAsia="仿宋_GB2312" w:cs="仿宋"/>
          <w:color w:val="000000"/>
          <w:spacing w:val="-5"/>
          <w:sz w:val="32"/>
        </w:rPr>
      </w:pPr>
      <w:r>
        <w:rPr>
          <w:rFonts w:hint="eastAsia" w:ascii="仿宋_GB2312" w:eastAsia="仿宋_GB2312" w:cs="仿宋"/>
          <w:color w:val="000000"/>
          <w:spacing w:val="-5"/>
          <w:sz w:val="32"/>
        </w:rPr>
        <w:t>严格执行《政府会计制度》，规范账务处理，会计凭证和财务报告真实完整。加强“三公经费”管理，严格控制“三公经费”支出。明确一般性支出的开支范围和标准，严格报账审核。公务接待费、差旅费严格按照相关规定执行。</w:t>
      </w:r>
    </w:p>
    <w:p w14:paraId="6D58CF48">
      <w:pPr>
        <w:keepNext w:val="0"/>
        <w:keepLines w:val="0"/>
        <w:pageBreakBefore w:val="0"/>
        <w:widowControl w:val="0"/>
        <w:kinsoku/>
        <w:wordWrap/>
        <w:overflowPunct/>
        <w:topLinePunct w:val="0"/>
        <w:autoSpaceDE/>
        <w:autoSpaceDN/>
        <w:bidi w:val="0"/>
        <w:adjustRightInd/>
        <w:spacing w:line="560" w:lineRule="exact"/>
        <w:ind w:left="0" w:firstLine="640" w:firstLineChars="200"/>
        <w:jc w:val="left"/>
        <w:textAlignment w:val="auto"/>
        <w:rPr>
          <w:rFonts w:hint="eastAsia" w:ascii="楷体_GB2312" w:eastAsia="楷体_GB2312" w:cs="楷体_GB2312"/>
          <w:color w:val="000000"/>
          <w:kern w:val="0"/>
          <w:sz w:val="32"/>
          <w:szCs w:val="32"/>
          <w:shd w:val="clear" w:color="auto" w:fill="FFFFFF"/>
          <w:lang w:val="zh-CN"/>
        </w:rPr>
      </w:pPr>
      <w:r>
        <w:rPr>
          <w:rFonts w:hint="eastAsia" w:ascii="楷体_GB2312" w:eastAsia="楷体_GB2312" w:cs="楷体_GB2312"/>
          <w:color w:val="000000"/>
          <w:kern w:val="0"/>
          <w:sz w:val="32"/>
          <w:szCs w:val="32"/>
          <w:shd w:val="clear" w:color="auto" w:fill="FFFFFF"/>
          <w:lang w:val="en-US" w:eastAsia="zh-CN"/>
        </w:rPr>
        <w:t>4.</w:t>
      </w:r>
      <w:r>
        <w:rPr>
          <w:rFonts w:ascii="楷体_GB2312" w:eastAsia="楷体_GB2312" w:cs="楷体_GB2312"/>
          <w:color w:val="000000"/>
          <w:kern w:val="0"/>
          <w:sz w:val="32"/>
          <w:szCs w:val="32"/>
          <w:shd w:val="clear" w:color="auto" w:fill="FFFFFF"/>
          <w:lang w:val="zh-CN"/>
        </w:rPr>
        <w:t>资产管理</w:t>
      </w:r>
    </w:p>
    <w:p w14:paraId="76DE2767">
      <w:pPr>
        <w:keepNext w:val="0"/>
        <w:keepLines w:val="0"/>
        <w:pageBreakBefore w:val="0"/>
        <w:widowControl w:val="0"/>
        <w:kinsoku/>
        <w:wordWrap/>
        <w:overflowPunct/>
        <w:topLinePunct w:val="0"/>
        <w:autoSpaceDE/>
        <w:autoSpaceDN/>
        <w:bidi w:val="0"/>
        <w:adjustRightInd/>
        <w:spacing w:line="560" w:lineRule="exact"/>
        <w:ind w:firstLine="620" w:firstLineChars="200"/>
        <w:jc w:val="left"/>
        <w:textAlignment w:val="auto"/>
        <w:rPr>
          <w:rFonts w:hint="eastAsia" w:ascii="仿宋_GB2312" w:eastAsia="仿宋_GB2312" w:cs="仿宋"/>
          <w:color w:val="000000"/>
          <w:spacing w:val="-5"/>
          <w:sz w:val="32"/>
        </w:rPr>
      </w:pPr>
      <w:r>
        <w:rPr>
          <w:rFonts w:hint="eastAsia" w:ascii="仿宋_GB2312" w:eastAsia="仿宋_GB2312" w:cs="仿宋"/>
          <w:color w:val="000000"/>
          <w:spacing w:val="-5"/>
          <w:sz w:val="32"/>
          <w:lang w:val="zh-CN"/>
        </w:rPr>
        <w:t>在资产管理上依法管理和使用国有资产，我单位所有固定资产由办公室统一登记管理，办公室负责所有固定资产的购置，登记造册和资产的报废处置以及资产的维修与维护。财务将</w:t>
      </w:r>
      <w:r>
        <w:rPr>
          <w:rFonts w:hint="eastAsia" w:ascii="仿宋_GB2312" w:eastAsia="仿宋_GB2312" w:cs="仿宋"/>
          <w:color w:val="000000"/>
          <w:spacing w:val="-5"/>
          <w:sz w:val="32"/>
        </w:rPr>
        <w:t>固定资产录入国有资产管理信息系统，每项资产建立了资产卡片，实行动态管理，完成资产清查工作。报废、毁损、处理、拍卖固定资产，按规定程序办理相关报批手续，根据</w:t>
      </w:r>
      <w:r>
        <w:rPr>
          <w:rFonts w:hint="eastAsia" w:ascii="仿宋_GB2312" w:cs="仿宋"/>
          <w:color w:val="000000"/>
          <w:spacing w:val="-5"/>
          <w:sz w:val="32"/>
          <w:lang w:eastAsia="zh-CN"/>
        </w:rPr>
        <w:t>相关</w:t>
      </w:r>
      <w:r>
        <w:rPr>
          <w:rFonts w:hint="eastAsia" w:ascii="仿宋_GB2312" w:eastAsia="仿宋_GB2312" w:cs="仿宋"/>
          <w:color w:val="000000"/>
          <w:spacing w:val="-5"/>
          <w:sz w:val="32"/>
        </w:rPr>
        <w:t>批复，及时进行账务调整。</w:t>
      </w:r>
    </w:p>
    <w:p w14:paraId="23F9BF81">
      <w:pPr>
        <w:keepNext w:val="0"/>
        <w:keepLines w:val="0"/>
        <w:pageBreakBefore w:val="0"/>
        <w:kinsoku/>
        <w:wordWrap/>
        <w:overflowPunct/>
        <w:topLinePunct w:val="0"/>
        <w:autoSpaceDE/>
        <w:autoSpaceDN/>
        <w:bidi w:val="0"/>
        <w:spacing w:line="560" w:lineRule="exact"/>
        <w:ind w:left="0" w:firstLine="640" w:firstLineChars="200"/>
        <w:jc w:val="left"/>
        <w:textAlignment w:val="auto"/>
        <w:rPr>
          <w:rFonts w:ascii="楷体_GB2312" w:eastAsia="楷体_GB2312" w:cs="楷体_GB2312"/>
          <w:color w:val="000000"/>
          <w:kern w:val="0"/>
          <w:sz w:val="32"/>
          <w:szCs w:val="32"/>
          <w:shd w:val="clear" w:color="auto" w:fill="FFFFFF"/>
          <w:lang w:val="zh-CN"/>
        </w:rPr>
      </w:pPr>
      <w:r>
        <w:rPr>
          <w:rFonts w:hint="eastAsia" w:ascii="楷体_GB2312" w:eastAsia="楷体_GB2312" w:cs="楷体_GB2312"/>
          <w:color w:val="000000"/>
          <w:kern w:val="0"/>
          <w:sz w:val="32"/>
          <w:szCs w:val="32"/>
          <w:shd w:val="clear" w:color="auto" w:fill="FFFFFF"/>
          <w:lang w:val="en-US" w:eastAsia="zh-CN"/>
        </w:rPr>
        <w:t>5.</w:t>
      </w:r>
      <w:r>
        <w:rPr>
          <w:rFonts w:ascii="楷体_GB2312" w:eastAsia="楷体_GB2312" w:cs="楷体_GB2312"/>
          <w:color w:val="000000"/>
          <w:kern w:val="0"/>
          <w:sz w:val="32"/>
          <w:szCs w:val="32"/>
          <w:shd w:val="clear" w:color="auto" w:fill="FFFFFF"/>
          <w:lang w:val="zh-CN"/>
        </w:rPr>
        <w:t>采购管理</w:t>
      </w:r>
    </w:p>
    <w:p w14:paraId="3FF3E84D">
      <w:pPr>
        <w:keepNext w:val="0"/>
        <w:keepLines w:val="0"/>
        <w:pageBreakBefore w:val="0"/>
        <w:widowControl w:val="0"/>
        <w:kinsoku/>
        <w:wordWrap/>
        <w:overflowPunct/>
        <w:topLinePunct w:val="0"/>
        <w:autoSpaceDE/>
        <w:autoSpaceDN/>
        <w:bidi w:val="0"/>
        <w:adjustRightInd/>
        <w:spacing w:line="560" w:lineRule="exact"/>
        <w:ind w:firstLine="620" w:firstLineChars="200"/>
        <w:jc w:val="left"/>
        <w:textAlignment w:val="auto"/>
        <w:rPr>
          <w:color w:val="000000"/>
          <w:kern w:val="0"/>
          <w:szCs w:val="32"/>
          <w:shd w:val="clear" w:color="auto" w:fill="FFFFFF"/>
        </w:rPr>
      </w:pPr>
      <w:r>
        <w:rPr>
          <w:rFonts w:hint="eastAsia" w:ascii="仿宋_GB2312" w:eastAsia="仿宋_GB2312" w:cs="仿宋"/>
          <w:color w:val="000000"/>
          <w:spacing w:val="-5"/>
          <w:sz w:val="32"/>
          <w:lang w:val="zh-CN"/>
        </w:rPr>
        <w:t>全年按照年初采购预算和工作实际需要，根据《中华人民共和国政府采购法》《中华人民共和国政府采购法实施条例》和政府采购制度等管理规定，</w:t>
      </w:r>
      <w:r>
        <w:rPr>
          <w:rFonts w:hint="eastAsia" w:ascii="仿宋_GB2312" w:cs="仿宋"/>
          <w:color w:val="000000"/>
          <w:spacing w:val="-5"/>
          <w:sz w:val="32"/>
          <w:lang w:val="zh-CN"/>
        </w:rPr>
        <w:t>严格</w:t>
      </w:r>
      <w:r>
        <w:rPr>
          <w:rFonts w:hint="eastAsia" w:ascii="仿宋_GB2312" w:eastAsia="仿宋_GB2312" w:cs="仿宋"/>
          <w:color w:val="000000"/>
          <w:spacing w:val="-5"/>
          <w:sz w:val="32"/>
          <w:lang w:val="zh-CN"/>
        </w:rPr>
        <w:t>按照政府采购程序采购。</w:t>
      </w:r>
    </w:p>
    <w:p w14:paraId="69443F4E">
      <w:pPr>
        <w:keepNext w:val="0"/>
        <w:keepLines w:val="0"/>
        <w:pageBreakBefore w:val="0"/>
        <w:numPr>
          <w:ilvl w:val="0"/>
          <w:numId w:val="2"/>
        </w:numPr>
        <w:kinsoku/>
        <w:wordWrap/>
        <w:overflowPunct/>
        <w:topLinePunct w:val="0"/>
        <w:autoSpaceDE/>
        <w:autoSpaceDN/>
        <w:bidi w:val="0"/>
        <w:spacing w:line="560" w:lineRule="exact"/>
        <w:ind w:left="0" w:firstLine="643" w:firstLineChars="200"/>
        <w:jc w:val="left"/>
        <w:textAlignment w:val="auto"/>
        <w:rPr>
          <w:rFonts w:eastAsia="楷体_GB2312"/>
          <w:b/>
          <w:bCs/>
          <w:color w:val="000000"/>
          <w:kern w:val="0"/>
          <w:sz w:val="32"/>
          <w:szCs w:val="32"/>
          <w:shd w:val="clear" w:color="auto" w:fill="FFFFFF"/>
          <w:lang w:val="zh-CN"/>
        </w:rPr>
      </w:pPr>
      <w:r>
        <w:rPr>
          <w:rFonts w:eastAsia="楷体_GB2312"/>
          <w:b/>
          <w:bCs/>
          <w:color w:val="000000"/>
          <w:kern w:val="0"/>
          <w:sz w:val="32"/>
          <w:szCs w:val="32"/>
          <w:shd w:val="clear" w:color="auto" w:fill="FFFFFF"/>
          <w:lang w:val="zh-CN"/>
        </w:rPr>
        <w:t>绩效结果应用情况</w:t>
      </w:r>
    </w:p>
    <w:p w14:paraId="394AE19E">
      <w:pPr>
        <w:keepNext w:val="0"/>
        <w:keepLines w:val="0"/>
        <w:pageBreakBefore w:val="0"/>
        <w:widowControl w:val="0"/>
        <w:kinsoku/>
        <w:wordWrap/>
        <w:overflowPunct/>
        <w:topLinePunct w:val="0"/>
        <w:autoSpaceDE/>
        <w:autoSpaceDN/>
        <w:bidi w:val="0"/>
        <w:adjustRightInd/>
        <w:spacing w:line="560" w:lineRule="exact"/>
        <w:ind w:firstLine="620" w:firstLineChars="200"/>
        <w:jc w:val="left"/>
        <w:textAlignment w:val="auto"/>
        <w:rPr>
          <w:rFonts w:ascii="仿宋_GB2312" w:cs="仿宋_GB2312"/>
          <w:b/>
          <w:szCs w:val="32"/>
        </w:rPr>
      </w:pPr>
      <w:r>
        <w:rPr>
          <w:rFonts w:hint="eastAsia" w:ascii="仿宋_GB2312" w:eastAsia="仿宋_GB2312" w:cs="仿宋"/>
          <w:color w:val="000000"/>
          <w:spacing w:val="-5"/>
          <w:sz w:val="32"/>
          <w:lang w:val="zh-CN"/>
        </w:rPr>
        <w:t>围绕内部应用情况、信息公开情况、整改反馈情况进行分析。注重绩效评价结果的运用，对照绩效评价工作中发现的问题，结合绩效评价报告中提出的整改意见，规范资金使用，提高财政资金使用效益。</w:t>
      </w:r>
    </w:p>
    <w:p w14:paraId="5FB45BA9">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rPr>
          <w:rFonts w:eastAsia="黑体"/>
          <w:color w:val="000000"/>
          <w:kern w:val="0"/>
          <w:sz w:val="32"/>
          <w:szCs w:val="32"/>
          <w:shd w:val="clear" w:color="auto" w:fill="FFFFFF"/>
        </w:rPr>
      </w:pPr>
      <w:r>
        <w:rPr>
          <w:rFonts w:eastAsia="黑体"/>
          <w:color w:val="000000"/>
          <w:kern w:val="0"/>
          <w:sz w:val="32"/>
          <w:szCs w:val="32"/>
          <w:shd w:val="clear" w:color="auto" w:fill="FFFFFF"/>
        </w:rPr>
        <w:t>四、评价结论及建议</w:t>
      </w:r>
    </w:p>
    <w:p w14:paraId="128CCA91">
      <w:pPr>
        <w:keepNext w:val="0"/>
        <w:keepLines w:val="0"/>
        <w:pageBreakBefore w:val="0"/>
        <w:kinsoku/>
        <w:wordWrap/>
        <w:overflowPunct/>
        <w:topLinePunct w:val="0"/>
        <w:autoSpaceDE/>
        <w:autoSpaceDN/>
        <w:bidi w:val="0"/>
        <w:spacing w:line="560" w:lineRule="exact"/>
        <w:ind w:firstLine="643" w:firstLineChars="200"/>
        <w:jc w:val="left"/>
        <w:textAlignment w:val="auto"/>
        <w:rPr>
          <w:rFonts w:eastAsia="楷体_GB2312"/>
          <w:b/>
          <w:bCs/>
          <w:color w:val="000000"/>
          <w:kern w:val="0"/>
          <w:sz w:val="32"/>
          <w:szCs w:val="32"/>
          <w:shd w:val="clear" w:color="auto" w:fill="FFFFFF"/>
          <w:lang w:val="zh-CN"/>
        </w:rPr>
      </w:pPr>
      <w:r>
        <w:rPr>
          <w:rFonts w:eastAsia="楷体_GB2312"/>
          <w:b/>
          <w:bCs/>
          <w:color w:val="000000"/>
          <w:kern w:val="0"/>
          <w:sz w:val="32"/>
          <w:szCs w:val="32"/>
          <w:shd w:val="clear" w:color="auto" w:fill="FFFFFF"/>
          <w:lang w:val="zh-CN"/>
        </w:rPr>
        <w:t>（一）评价结论</w:t>
      </w:r>
    </w:p>
    <w:p w14:paraId="6CD0F522">
      <w:pPr>
        <w:keepNext w:val="0"/>
        <w:keepLines w:val="0"/>
        <w:pageBreakBefore w:val="0"/>
        <w:widowControl w:val="0"/>
        <w:kinsoku/>
        <w:wordWrap/>
        <w:overflowPunct/>
        <w:topLinePunct w:val="0"/>
        <w:autoSpaceDE/>
        <w:autoSpaceDN/>
        <w:bidi w:val="0"/>
        <w:adjustRightInd/>
        <w:spacing w:line="560" w:lineRule="exact"/>
        <w:ind w:firstLine="620" w:firstLineChars="200"/>
        <w:jc w:val="left"/>
        <w:textAlignment w:val="auto"/>
        <w:rPr>
          <w:rFonts w:hint="eastAsia" w:ascii="仿宋_GB2312" w:eastAsia="仿宋_GB2312" w:cs="仿宋"/>
          <w:color w:val="000000"/>
          <w:spacing w:val="-5"/>
          <w:sz w:val="32"/>
          <w:lang w:val="zh-CN"/>
        </w:rPr>
      </w:pPr>
      <w:r>
        <w:rPr>
          <w:rFonts w:hint="eastAsia" w:ascii="仿宋_GB2312" w:eastAsia="仿宋_GB2312" w:cs="仿宋"/>
          <w:color w:val="000000"/>
          <w:spacing w:val="-5"/>
          <w:sz w:val="32"/>
          <w:lang w:val="zh-CN"/>
        </w:rPr>
        <w:t>202</w:t>
      </w:r>
      <w:r>
        <w:rPr>
          <w:rFonts w:hint="eastAsia" w:ascii="仿宋_GB2312" w:cs="仿宋"/>
          <w:color w:val="000000"/>
          <w:spacing w:val="-5"/>
          <w:sz w:val="32"/>
          <w:lang w:val="en-US" w:eastAsia="zh-CN"/>
        </w:rPr>
        <w:t>5</w:t>
      </w:r>
      <w:r>
        <w:rPr>
          <w:rFonts w:hint="eastAsia" w:ascii="仿宋_GB2312" w:eastAsia="仿宋_GB2312" w:cs="仿宋"/>
          <w:color w:val="000000"/>
          <w:spacing w:val="-5"/>
          <w:sz w:val="32"/>
          <w:lang w:val="zh-CN"/>
        </w:rPr>
        <w:t>年部门整体支出绩效自评得分分，部门整体支出运行情况“优秀”。从整体情况来看，我单位在各项资金使用中，能够按照国家相关规定执行和实施，项目的管理、实施和效果均达到预期目标，管理较规范，实施进度快，最终效果好。</w:t>
      </w:r>
    </w:p>
    <w:p w14:paraId="28B9A1AC">
      <w:pPr>
        <w:keepNext w:val="0"/>
        <w:keepLines w:val="0"/>
        <w:pageBreakBefore w:val="0"/>
        <w:kinsoku/>
        <w:wordWrap/>
        <w:overflowPunct/>
        <w:topLinePunct w:val="0"/>
        <w:autoSpaceDE/>
        <w:autoSpaceDN/>
        <w:bidi w:val="0"/>
        <w:spacing w:line="560" w:lineRule="exact"/>
        <w:ind w:left="420" w:leftChars="200"/>
        <w:jc w:val="left"/>
        <w:textAlignment w:val="auto"/>
        <w:rPr>
          <w:rFonts w:eastAsia="楷体_GB2312"/>
          <w:b/>
          <w:bCs/>
          <w:color w:val="000000"/>
          <w:kern w:val="0"/>
          <w:sz w:val="32"/>
          <w:szCs w:val="32"/>
          <w:shd w:val="clear" w:color="auto" w:fill="FFFFFF"/>
          <w:lang w:val="zh-CN"/>
        </w:rPr>
      </w:pPr>
      <w:r>
        <w:rPr>
          <w:rFonts w:hint="eastAsia" w:eastAsia="楷体_GB2312"/>
          <w:b/>
          <w:bCs/>
          <w:color w:val="000000"/>
          <w:kern w:val="0"/>
          <w:sz w:val="32"/>
          <w:szCs w:val="32"/>
          <w:shd w:val="clear" w:color="auto" w:fill="FFFFFF"/>
          <w:lang w:val="zh-CN"/>
        </w:rPr>
        <w:t>（二）</w:t>
      </w:r>
      <w:r>
        <w:rPr>
          <w:rFonts w:eastAsia="楷体_GB2312"/>
          <w:b/>
          <w:bCs/>
          <w:color w:val="000000"/>
          <w:kern w:val="0"/>
          <w:sz w:val="32"/>
          <w:szCs w:val="32"/>
          <w:shd w:val="clear" w:color="auto" w:fill="FFFFFF"/>
          <w:lang w:val="zh-CN"/>
        </w:rPr>
        <w:t>存在问题</w:t>
      </w:r>
    </w:p>
    <w:p w14:paraId="19C166A5">
      <w:pPr>
        <w:keepNext w:val="0"/>
        <w:keepLines w:val="0"/>
        <w:pageBreakBefore w:val="0"/>
        <w:widowControl w:val="0"/>
        <w:kinsoku/>
        <w:wordWrap/>
        <w:overflowPunct/>
        <w:topLinePunct w:val="0"/>
        <w:autoSpaceDE/>
        <w:autoSpaceDN/>
        <w:bidi w:val="0"/>
        <w:adjustRightInd/>
        <w:spacing w:line="560" w:lineRule="exact"/>
        <w:ind w:firstLine="620" w:firstLineChars="200"/>
        <w:jc w:val="left"/>
        <w:textAlignment w:val="auto"/>
        <w:rPr>
          <w:rFonts w:hint="eastAsia" w:ascii="仿宋_GB2312" w:eastAsia="仿宋_GB2312" w:cs="仿宋"/>
          <w:color w:val="000000"/>
          <w:spacing w:val="-5"/>
          <w:sz w:val="32"/>
          <w:lang w:val="zh-CN"/>
        </w:rPr>
      </w:pPr>
      <w:r>
        <w:rPr>
          <w:rFonts w:hint="eastAsia" w:ascii="仿宋_GB2312" w:eastAsia="仿宋_GB2312" w:cs="仿宋"/>
          <w:color w:val="000000"/>
          <w:spacing w:val="-5"/>
          <w:sz w:val="32"/>
          <w:lang w:val="zh-CN"/>
        </w:rPr>
        <w:t>通过本次自查，我单位个别绩效评价指标不够细致完善。绩效评价方面还有待加强。对</w:t>
      </w:r>
      <w:r>
        <w:rPr>
          <w:rFonts w:hint="eastAsia" w:ascii="仿宋_GB2312" w:cs="仿宋"/>
          <w:color w:val="000000"/>
          <w:spacing w:val="-5"/>
          <w:sz w:val="32"/>
          <w:lang w:val="zh-CN"/>
        </w:rPr>
        <w:t>单位</w:t>
      </w:r>
      <w:r>
        <w:rPr>
          <w:rFonts w:hint="eastAsia" w:ascii="仿宋_GB2312" w:eastAsia="仿宋_GB2312" w:cs="仿宋"/>
          <w:color w:val="000000"/>
          <w:spacing w:val="-5"/>
          <w:sz w:val="32"/>
          <w:lang w:val="zh-CN"/>
        </w:rPr>
        <w:t>的绩效评价报告质量还有待提高，绩效指标体系还有待完善，绩效管理工作机制还有待进一步健全。</w:t>
      </w:r>
    </w:p>
    <w:p w14:paraId="3E1A29CC">
      <w:pPr>
        <w:keepNext w:val="0"/>
        <w:keepLines w:val="0"/>
        <w:pageBreakBefore w:val="0"/>
        <w:numPr>
          <w:ilvl w:val="0"/>
          <w:numId w:val="2"/>
        </w:numPr>
        <w:kinsoku/>
        <w:wordWrap/>
        <w:overflowPunct/>
        <w:topLinePunct w:val="0"/>
        <w:autoSpaceDE/>
        <w:autoSpaceDN/>
        <w:bidi w:val="0"/>
        <w:spacing w:line="560" w:lineRule="exact"/>
        <w:ind w:left="0" w:firstLine="643" w:firstLineChars="200"/>
        <w:jc w:val="left"/>
        <w:textAlignment w:val="auto"/>
        <w:rPr>
          <w:rFonts w:eastAsia="楷体_GB2312"/>
          <w:b/>
          <w:bCs/>
          <w:color w:val="000000"/>
          <w:kern w:val="0"/>
          <w:sz w:val="32"/>
          <w:szCs w:val="32"/>
          <w:shd w:val="clear" w:color="auto" w:fill="FFFFFF"/>
          <w:lang w:val="zh-CN"/>
        </w:rPr>
      </w:pPr>
      <w:r>
        <w:rPr>
          <w:rFonts w:eastAsia="楷体_GB2312"/>
          <w:b/>
          <w:bCs/>
          <w:color w:val="000000"/>
          <w:kern w:val="0"/>
          <w:sz w:val="32"/>
          <w:szCs w:val="32"/>
          <w:shd w:val="clear" w:color="auto" w:fill="FFFFFF"/>
          <w:lang w:val="zh-CN"/>
        </w:rPr>
        <w:t>改进建议</w:t>
      </w:r>
    </w:p>
    <w:p w14:paraId="0D504D40">
      <w:pPr>
        <w:keepNext w:val="0"/>
        <w:keepLines w:val="0"/>
        <w:pageBreakBefore w:val="0"/>
        <w:widowControl w:val="0"/>
        <w:kinsoku/>
        <w:wordWrap/>
        <w:overflowPunct/>
        <w:topLinePunct w:val="0"/>
        <w:autoSpaceDE/>
        <w:autoSpaceDN/>
        <w:bidi w:val="0"/>
        <w:adjustRightInd/>
        <w:spacing w:line="560" w:lineRule="exact"/>
        <w:ind w:firstLine="620" w:firstLineChars="200"/>
        <w:jc w:val="left"/>
        <w:textAlignment w:val="auto"/>
        <w:rPr>
          <w:rFonts w:eastAsia="黑体"/>
          <w:szCs w:val="32"/>
        </w:rPr>
      </w:pPr>
      <w:r>
        <w:rPr>
          <w:rFonts w:hint="eastAsia" w:ascii="仿宋_GB2312" w:eastAsia="仿宋_GB2312" w:cs="仿宋"/>
          <w:color w:val="000000"/>
          <w:spacing w:val="-5"/>
          <w:sz w:val="32"/>
          <w:lang w:val="zh-CN"/>
        </w:rPr>
        <w:t>一是科学合理编制</w:t>
      </w:r>
      <w:r>
        <w:rPr>
          <w:rFonts w:hint="eastAsia" w:ascii="仿宋_GB2312" w:eastAsia="仿宋_GB2312" w:cs="仿宋"/>
          <w:color w:val="000000"/>
          <w:spacing w:val="-5"/>
          <w:sz w:val="32"/>
          <w:lang w:val="zh-CN" w:eastAsia="zh-CN"/>
        </w:rPr>
        <w:t>绩效评价指标</w:t>
      </w:r>
      <w:r>
        <w:rPr>
          <w:rFonts w:hint="eastAsia" w:ascii="仿宋_GB2312" w:eastAsia="仿宋_GB2312" w:cs="仿宋"/>
          <w:color w:val="000000"/>
          <w:spacing w:val="-5"/>
          <w:sz w:val="32"/>
          <w:lang w:val="zh-CN"/>
        </w:rPr>
        <w:t>；二是完善</w:t>
      </w:r>
      <w:r>
        <w:rPr>
          <w:rFonts w:hint="eastAsia" w:ascii="仿宋_GB2312" w:eastAsia="仿宋_GB2312" w:cs="仿宋"/>
          <w:color w:val="000000"/>
          <w:spacing w:val="-5"/>
          <w:sz w:val="32"/>
          <w:lang w:val="zh-CN" w:eastAsia="zh-CN"/>
        </w:rPr>
        <w:t>绩效</w:t>
      </w:r>
      <w:r>
        <w:rPr>
          <w:rFonts w:hint="eastAsia" w:ascii="仿宋_GB2312" w:eastAsia="仿宋_GB2312" w:cs="仿宋"/>
          <w:color w:val="000000"/>
          <w:spacing w:val="-5"/>
          <w:sz w:val="32"/>
          <w:lang w:val="zh-CN"/>
        </w:rPr>
        <w:t>管理制度</w:t>
      </w:r>
      <w:r>
        <w:rPr>
          <w:rFonts w:hint="eastAsia" w:ascii="仿宋_GB2312" w:eastAsia="仿宋_GB2312" w:cs="仿宋"/>
          <w:color w:val="000000"/>
          <w:spacing w:val="-5"/>
          <w:sz w:val="32"/>
          <w:lang w:val="zh-CN" w:eastAsia="zh-CN"/>
        </w:rPr>
        <w:t>和</w:t>
      </w:r>
      <w:r>
        <w:rPr>
          <w:rFonts w:hint="eastAsia" w:ascii="仿宋_GB2312" w:eastAsia="仿宋_GB2312" w:cs="仿宋"/>
          <w:color w:val="000000"/>
          <w:spacing w:val="-5"/>
          <w:sz w:val="32"/>
          <w:lang w:val="zh-CN"/>
        </w:rPr>
        <w:t>绩效指标体系；三是加强预算绩效管理知识学习，提升预算绩效管理水平</w:t>
      </w:r>
      <w:r>
        <w:rPr>
          <w:rFonts w:hint="eastAsia" w:ascii="仿宋_GB2312" w:eastAsia="仿宋_GB2312" w:cs="仿宋"/>
          <w:color w:val="000000"/>
          <w:spacing w:val="-5"/>
          <w:sz w:val="32"/>
          <w:lang w:val="zh-CN" w:eastAsia="zh-CN"/>
        </w:rPr>
        <w:t>。</w:t>
      </w:r>
    </w:p>
    <w:p w14:paraId="7EABD619">
      <w:pPr>
        <w:snapToGrid w:val="0"/>
        <w:spacing w:line="578" w:lineRule="exact"/>
        <w:ind w:firstLine="640" w:firstLineChars="200"/>
        <w:rPr>
          <w:rFonts w:hint="eastAsia" w:ascii="仿宋_GB2312" w:hAnsi="仿宋_GB2312" w:eastAsia="仿宋_GB2312" w:cs="仿宋_GB2312"/>
          <w:color w:val="000000"/>
          <w:kern w:val="0"/>
          <w:sz w:val="32"/>
          <w:szCs w:val="32"/>
          <w:shd w:val="clear" w:color="auto" w:fill="FFFFFF"/>
        </w:rPr>
      </w:pPr>
    </w:p>
    <w:p w14:paraId="3F4D85A3">
      <w:pPr>
        <w:pStyle w:val="13"/>
        <w:ind w:left="0" w:leftChars="0" w:firstLine="0" w:firstLineChars="0"/>
        <w:jc w:val="both"/>
        <w:rPr>
          <w:rFonts w:hint="eastAsia" w:eastAsia="黑体"/>
          <w:lang w:val="en-US" w:eastAsia="zh-CN"/>
        </w:rPr>
      </w:pPr>
      <w:r>
        <w:rPr>
          <w:rFonts w:hint="eastAsia" w:eastAsia="黑体"/>
          <w:lang w:val="en-US" w:eastAsia="zh-CN"/>
        </w:rPr>
        <w:object>
          <v:shape id="_x0000_i1026" o:spt="75" type="#_x0000_t75" style="height:541.7pt;width:450.8pt;" o:ole="t" filled="f" o:preferrelative="t" stroked="f" coordsize="21600,21600">
            <v:path/>
            <v:fill on="f" focussize="0,0"/>
            <v:stroke on="f"/>
            <v:imagedata r:id="rId26" o:title=""/>
            <o:lock v:ext="edit" aspectratio="f"/>
            <w10:wrap type="none"/>
            <w10:anchorlock/>
          </v:shape>
          <o:OLEObject Type="Embed" ProgID="Excel.Sheet.8" ShapeID="_x0000_i1026" DrawAspect="Content" ObjectID="_1468075731" r:id="rId25">
            <o:LockedField>false</o:LockedField>
          </o:OLEObject>
        </w:object>
      </w:r>
    </w:p>
    <w:p w14:paraId="347F0B43">
      <w:pPr>
        <w:pStyle w:val="13"/>
        <w:spacing w:after="0" w:line="578" w:lineRule="exact"/>
        <w:ind w:left="0" w:leftChars="0" w:firstLine="0" w:firstLineChars="0"/>
        <w:rPr>
          <w:rFonts w:hint="eastAsia" w:ascii="Times New Roman" w:eastAsia="黑体"/>
          <w:szCs w:val="24"/>
          <w:lang w:val="en-US" w:eastAsia="zh-CN"/>
        </w:rPr>
      </w:pPr>
    </w:p>
    <w:p w14:paraId="1FB19477">
      <w:pPr>
        <w:pStyle w:val="5"/>
        <w:rPr>
          <w:rFonts w:hint="eastAsia" w:ascii="Times New Roman" w:hAnsi="Times New Roman" w:eastAsia="黑体" w:cs="黑体"/>
          <w:color w:val="auto"/>
          <w:kern w:val="0"/>
          <w:sz w:val="32"/>
          <w:szCs w:val="32"/>
          <w:highlight w:val="none"/>
          <w:shd w:val="clear" w:color="auto" w:fill="FFFFFF"/>
          <w:lang w:val="zh-CN"/>
        </w:rPr>
      </w:pPr>
    </w:p>
    <w:p w14:paraId="4926BBD1">
      <w:pPr>
        <w:pStyle w:val="5"/>
        <w:rPr>
          <w:rFonts w:hint="eastAsia" w:ascii="Times New Roman" w:hAnsi="Times New Roman" w:eastAsia="黑体" w:cs="黑体"/>
          <w:color w:val="auto"/>
          <w:kern w:val="0"/>
          <w:sz w:val="32"/>
          <w:szCs w:val="32"/>
          <w:highlight w:val="none"/>
          <w:shd w:val="clear" w:color="auto" w:fill="FFFFFF"/>
          <w:lang w:val="zh-CN"/>
        </w:rPr>
      </w:pPr>
    </w:p>
    <w:p w14:paraId="4AB08808">
      <w:pPr>
        <w:pStyle w:val="13"/>
        <w:spacing w:after="0" w:line="578" w:lineRule="exact"/>
        <w:ind w:left="0" w:leftChars="0" w:firstLine="0" w:firstLineChars="0"/>
        <w:rPr>
          <w:rFonts w:hint="eastAsia" w:ascii="仿宋_GB2312" w:hAnsi="仿宋_GB2312" w:eastAsia="仿宋_GB2312" w:cs="仿宋_GB2312"/>
          <w:sz w:val="24"/>
          <w:szCs w:val="24"/>
        </w:rPr>
        <w:sectPr>
          <w:footerReference r:id="rId9" w:type="first"/>
          <w:footerReference r:id="rId8" w:type="default"/>
          <w:pgSz w:w="11906" w:h="16838"/>
          <w:pgMar w:top="1440" w:right="1800" w:bottom="1440" w:left="1800" w:header="851" w:footer="992" w:gutter="0"/>
          <w:pgNumType w:fmt="decimal"/>
          <w:cols w:space="425" w:num="1"/>
          <w:docGrid w:type="lines" w:linePitch="312" w:charSpace="0"/>
        </w:sectPr>
      </w:pPr>
      <w:bookmarkStart w:id="85" w:name="_Toc15396618"/>
    </w:p>
    <w:p w14:paraId="2992ADEB">
      <w:pPr>
        <w:pStyle w:val="19"/>
        <w:rPr>
          <w:rFonts w:hint="eastAsia" w:ascii="Times New Roman" w:hAnsi="Times New Roman" w:eastAsia="仿宋_GB2312" w:cs="Times New Roman"/>
          <w:b w:val="0"/>
          <w:bCs w:val="0"/>
          <w:kern w:val="0"/>
          <w:position w:val="0"/>
          <w:sz w:val="32"/>
          <w:szCs w:val="32"/>
          <w:highlight w:val="none"/>
          <w:lang w:val="en-US" w:eastAsia="zh-CN" w:bidi="ar-SA"/>
        </w:rPr>
      </w:pPr>
      <w:r>
        <w:rPr>
          <w:rFonts w:hint="eastAsia" w:ascii="Times New Roman" w:hAnsi="Times New Roman" w:eastAsia="仿宋_GB2312" w:cs="Times New Roman"/>
          <w:b w:val="0"/>
          <w:bCs w:val="0"/>
          <w:kern w:val="0"/>
          <w:position w:val="0"/>
          <w:sz w:val="32"/>
          <w:szCs w:val="32"/>
          <w:highlight w:val="none"/>
          <w:lang w:val="en-US" w:eastAsia="zh-CN" w:bidi="ar-SA"/>
        </w:rPr>
        <w:t>附件2:</w:t>
      </w:r>
    </w:p>
    <w:p w14:paraId="67D1A6DF">
      <w:pPr>
        <w:snapToGrid w:val="0"/>
        <w:spacing w:line="580" w:lineRule="exact"/>
        <w:ind w:firstLine="1760" w:firstLineChars="400"/>
        <w:jc w:val="both"/>
        <w:rPr>
          <w:rFonts w:hint="eastAsia" w:ascii="方正小标宋简体" w:eastAsia="方正小标宋简体" w:cs="方正小标宋简体"/>
          <w:b w:val="0"/>
          <w:bCs/>
          <w:sz w:val="44"/>
          <w:szCs w:val="44"/>
          <w:lang w:eastAsia="zh-CN"/>
        </w:rPr>
      </w:pPr>
      <w:r>
        <w:rPr>
          <w:rFonts w:hint="eastAsia" w:ascii="方正小标宋简体" w:eastAsia="方正小标宋简体" w:cs="方正小标宋简体"/>
          <w:b w:val="0"/>
          <w:bCs/>
          <w:sz w:val="44"/>
          <w:szCs w:val="44"/>
          <w:lang w:eastAsia="zh-CN"/>
        </w:rPr>
        <w:t>茂</w:t>
      </w:r>
      <w:r>
        <w:rPr>
          <w:rFonts w:hint="eastAsia" w:ascii="方正小标宋简体" w:eastAsia="方正小标宋简体" w:cs="方正小标宋简体"/>
          <w:b w:val="0"/>
          <w:bCs/>
          <w:sz w:val="44"/>
          <w:szCs w:val="44"/>
        </w:rPr>
        <w:t>县</w:t>
      </w:r>
      <w:r>
        <w:rPr>
          <w:rFonts w:hint="eastAsia" w:ascii="方正小标宋简体" w:eastAsia="方正小标宋简体" w:cs="方正小标宋简体"/>
          <w:b w:val="0"/>
          <w:bCs/>
          <w:sz w:val="44"/>
          <w:szCs w:val="44"/>
          <w:lang w:eastAsia="zh-CN"/>
        </w:rPr>
        <w:t>国有资产管理中心</w:t>
      </w:r>
    </w:p>
    <w:p w14:paraId="2B2627DE">
      <w:pPr>
        <w:snapToGrid w:val="0"/>
        <w:spacing w:line="580" w:lineRule="exact"/>
        <w:ind w:left="1320" w:hanging="1320" w:hangingChars="300"/>
        <w:jc w:val="both"/>
        <w:rPr>
          <w:rFonts w:hint="eastAsia" w:ascii="方正小标宋简体" w:eastAsia="方正小标宋简体" w:cs="方正小标宋简体"/>
          <w:b w:val="0"/>
          <w:bCs/>
          <w:sz w:val="44"/>
          <w:szCs w:val="44"/>
          <w:lang w:eastAsia="zh-CN"/>
        </w:rPr>
      </w:pPr>
      <w:r>
        <w:rPr>
          <w:rFonts w:hint="eastAsia" w:ascii="方正小标宋简体" w:eastAsia="方正小标宋简体" w:cs="方正小标宋简体"/>
          <w:b w:val="0"/>
          <w:bCs/>
          <w:sz w:val="44"/>
          <w:szCs w:val="44"/>
          <w:lang w:eastAsia="zh-CN"/>
        </w:rPr>
        <w:t>202</w:t>
      </w:r>
      <w:r>
        <w:rPr>
          <w:rFonts w:hint="eastAsia" w:ascii="方正小标宋简体" w:eastAsia="方正小标宋简体" w:cs="方正小标宋简体"/>
          <w:b w:val="0"/>
          <w:bCs/>
          <w:sz w:val="44"/>
          <w:szCs w:val="44"/>
          <w:lang w:val="en-US" w:eastAsia="zh-CN"/>
        </w:rPr>
        <w:t>5</w:t>
      </w:r>
      <w:r>
        <w:rPr>
          <w:rFonts w:hint="eastAsia" w:ascii="方正小标宋简体" w:eastAsia="方正小标宋简体" w:cs="方正小标宋简体"/>
          <w:b w:val="0"/>
          <w:bCs/>
          <w:sz w:val="44"/>
          <w:szCs w:val="44"/>
          <w:lang w:eastAsia="zh-CN"/>
        </w:rPr>
        <w:t>年度国有企业退休人员社会化管理财政补助资金绩效自评报告</w:t>
      </w:r>
    </w:p>
    <w:p w14:paraId="4343AFBB">
      <w:pPr>
        <w:pStyle w:val="34"/>
        <w:spacing w:line="578" w:lineRule="exact"/>
        <w:ind w:firstLine="640"/>
        <w:jc w:val="center"/>
        <w:rPr>
          <w:rFonts w:ascii="宋体"/>
          <w:color w:val="auto"/>
          <w:kern w:val="2"/>
          <w:sz w:val="32"/>
          <w:szCs w:val="32"/>
        </w:rPr>
      </w:pPr>
    </w:p>
    <w:p w14:paraId="7F3886FC">
      <w:pPr>
        <w:adjustRightInd w:val="0"/>
        <w:snapToGrid w:val="0"/>
        <w:spacing w:line="578" w:lineRule="exact"/>
        <w:ind w:firstLine="640" w:firstLineChars="200"/>
        <w:rPr>
          <w:rFonts w:ascii="黑体" w:eastAsia="黑体"/>
          <w:sz w:val="32"/>
          <w:szCs w:val="32"/>
          <w:lang w:val="zh-CN"/>
        </w:rPr>
      </w:pPr>
      <w:r>
        <w:rPr>
          <w:rFonts w:hint="eastAsia" w:ascii="黑体" w:eastAsia="黑体"/>
          <w:sz w:val="32"/>
          <w:szCs w:val="32"/>
        </w:rPr>
        <w:t>一、</w:t>
      </w:r>
      <w:r>
        <w:rPr>
          <w:rFonts w:hint="eastAsia" w:ascii="黑体" w:eastAsia="黑体"/>
          <w:sz w:val="32"/>
          <w:szCs w:val="32"/>
          <w:lang w:val="zh-CN"/>
        </w:rPr>
        <w:t>项目概况</w:t>
      </w:r>
    </w:p>
    <w:p w14:paraId="2444B4CA">
      <w:pPr>
        <w:widowControl/>
        <w:adjustRightInd w:val="0"/>
        <w:snapToGrid w:val="0"/>
        <w:spacing w:line="578" w:lineRule="exact"/>
        <w:ind w:firstLine="643" w:firstLineChars="200"/>
        <w:contextualSpacing/>
        <w:jc w:val="left"/>
        <w:rPr>
          <w:rFonts w:hint="eastAsia" w:ascii="楷体_GB2312" w:eastAsia="楷体_GB2312"/>
          <w:b/>
          <w:sz w:val="32"/>
          <w:szCs w:val="32"/>
          <w:lang w:val="zh-CN"/>
        </w:rPr>
      </w:pPr>
      <w:r>
        <w:rPr>
          <w:rFonts w:hint="eastAsia" w:ascii="楷体_GB2312" w:eastAsia="楷体_GB2312"/>
          <w:b/>
          <w:sz w:val="32"/>
          <w:szCs w:val="32"/>
          <w:lang w:val="zh-CN"/>
        </w:rPr>
        <w:t>（一）设立背景及基本情况</w:t>
      </w:r>
    </w:p>
    <w:p w14:paraId="5D9F1159">
      <w:pPr>
        <w:spacing w:line="600" w:lineRule="exact"/>
        <w:ind w:firstLine="640"/>
        <w:rPr>
          <w:rFonts w:hint="eastAsia" w:ascii="仿宋_GB2312" w:hAnsi="仿宋_GB2312" w:eastAsia="仿宋_GB2312" w:cs="仿宋_GB2312"/>
          <w:color w:val="auto"/>
          <w:kern w:val="2"/>
          <w:sz w:val="32"/>
          <w:szCs w:val="32"/>
          <w:highlight w:val="none"/>
          <w:lang w:val="zh-CN" w:eastAsia="zh-CN" w:bidi="ar-SA"/>
        </w:rPr>
      </w:pPr>
      <w:r>
        <w:rPr>
          <w:rFonts w:hint="eastAsia" w:ascii="仿宋_GB2312" w:hAnsi="仿宋_GB2312" w:eastAsia="仿宋_GB2312" w:cs="仿宋_GB2312"/>
          <w:color w:val="auto"/>
          <w:kern w:val="2"/>
          <w:sz w:val="32"/>
          <w:szCs w:val="32"/>
          <w:highlight w:val="none"/>
          <w:lang w:val="en-US" w:eastAsia="zh-CN" w:bidi="ar-SA"/>
        </w:rPr>
        <w:t>全面深化国有企业改革，加快剥离关于企业半社会职能和解决历史遗留问题，建立成本合理分担机制，把握好节奏和力度，按照实现统一管理、做好服务保障、增进社会和谐的要求，平稳有序推进国有企业退休人员社会化管理工作，为国有企业公平参与市场竞争创造条件。立足退休人员法定权益保障和服务需求，提升管理服务水平，结合加快老龄事业发展和完善养老服务体系建设工作，做好国有企业退休人员实行社会化管理后的各项服务保障工作，确保国有企业退休人员共享全面建成小康社会新成果。</w:t>
      </w:r>
    </w:p>
    <w:p w14:paraId="6620E65A">
      <w:pPr>
        <w:adjustRightInd w:val="0"/>
        <w:snapToGrid w:val="0"/>
        <w:spacing w:line="578" w:lineRule="exact"/>
        <w:ind w:firstLine="643" w:firstLineChars="200"/>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lang w:val="zh-CN"/>
        </w:rPr>
        <w:t>（二）</w:t>
      </w:r>
      <w:r>
        <w:rPr>
          <w:rFonts w:hint="eastAsia" w:ascii="楷体_GB2312" w:hAnsi="楷体_GB2312" w:eastAsia="楷体_GB2312" w:cs="楷体_GB2312"/>
          <w:b/>
          <w:bCs/>
          <w:sz w:val="32"/>
          <w:szCs w:val="32"/>
        </w:rPr>
        <w:t>资金申报依据</w:t>
      </w:r>
    </w:p>
    <w:p w14:paraId="71C22CC7">
      <w:pPr>
        <w:widowControl/>
        <w:adjustRightInd w:val="0"/>
        <w:snapToGrid w:val="0"/>
        <w:spacing w:line="578" w:lineRule="exact"/>
        <w:ind w:firstLine="640" w:firstLineChars="200"/>
        <w:contextualSpacing/>
        <w:jc w:val="left"/>
        <w:rPr>
          <w:rFonts w:hint="eastAsia" w:ascii="仿宋_GB2312" w:eastAsia="仿宋_GB2312" w:cs="仿宋_GB2312"/>
          <w:sz w:val="32"/>
          <w:szCs w:val="32"/>
          <w:lang w:val="en-US" w:eastAsia="zh-CN"/>
        </w:rPr>
      </w:pPr>
      <w:r>
        <w:rPr>
          <w:rFonts w:hint="eastAsia" w:ascii="仿宋_GB2312" w:eastAsia="仿宋_GB2312" w:cs="仿宋_GB2312"/>
          <w:sz w:val="32"/>
          <w:szCs w:val="32"/>
          <w:lang w:val="en-US" w:eastAsia="zh-CN"/>
        </w:rPr>
        <w:t>为深化国有企业改革，加快推进国有企业退休人员社会化管理工作，根据《中共四川省委办公厅 四川省人民政府办公厅关于印发&lt;四川省国有企业退休人员社会化管理实施方案&gt;的通知》（川委厅</w:t>
      </w:r>
      <w:r>
        <w:rPr>
          <w:rFonts w:hint="eastAsia" w:ascii="仿宋" w:eastAsia="仿宋" w:cs="仿宋"/>
          <w:sz w:val="32"/>
          <w:szCs w:val="32"/>
          <w:lang w:val="en-US" w:eastAsia="zh-CN"/>
        </w:rPr>
        <w:t>〔2019〕53号</w:t>
      </w:r>
      <w:r>
        <w:rPr>
          <w:rFonts w:hint="eastAsia" w:ascii="仿宋_GB2312" w:eastAsia="仿宋_GB2312" w:cs="仿宋_GB2312"/>
          <w:sz w:val="32"/>
          <w:szCs w:val="32"/>
          <w:lang w:val="en-US" w:eastAsia="zh-CN"/>
        </w:rPr>
        <w:t>）和《中共阿坝州委办公室 阿坝州人民政府办公室关于印发阿坝州国有企业退休人员社会化管理实施方案的通知》（阿委办发</w:t>
      </w:r>
      <w:r>
        <w:rPr>
          <w:rFonts w:hint="eastAsia" w:ascii="仿宋" w:eastAsia="仿宋" w:cs="仿宋"/>
          <w:sz w:val="32"/>
          <w:szCs w:val="32"/>
          <w:lang w:val="en-US" w:eastAsia="zh-CN"/>
        </w:rPr>
        <w:t>〔2020〕9号</w:t>
      </w:r>
      <w:r>
        <w:rPr>
          <w:rFonts w:hint="eastAsia" w:ascii="仿宋_GB2312" w:eastAsia="仿宋_GB2312" w:cs="仿宋_GB2312"/>
          <w:sz w:val="32"/>
          <w:szCs w:val="32"/>
          <w:lang w:val="en-US" w:eastAsia="zh-CN"/>
        </w:rPr>
        <w:t>）精神</w:t>
      </w:r>
      <w:r>
        <w:rPr>
          <w:rFonts w:hint="eastAsia" w:ascii="仿宋_GB2312" w:cs="仿宋_GB2312"/>
          <w:sz w:val="32"/>
          <w:szCs w:val="32"/>
          <w:lang w:val="en-US" w:eastAsia="zh-CN"/>
        </w:rPr>
        <w:t>。</w:t>
      </w:r>
    </w:p>
    <w:p w14:paraId="594A9A96">
      <w:pPr>
        <w:widowControl/>
        <w:adjustRightInd w:val="0"/>
        <w:snapToGrid w:val="0"/>
        <w:spacing w:line="578" w:lineRule="exact"/>
        <w:ind w:firstLine="643" w:firstLineChars="200"/>
        <w:contextualSpacing/>
        <w:jc w:val="left"/>
        <w:rPr>
          <w:rFonts w:hint="eastAsia" w:ascii="楷体_GB2312" w:hAnsi="楷体_GB2312" w:eastAsia="楷体_GB2312" w:cs="楷体_GB2312"/>
          <w:b/>
          <w:bCs w:val="0"/>
          <w:sz w:val="32"/>
          <w:szCs w:val="32"/>
          <w:lang w:val="zh-CN"/>
        </w:rPr>
      </w:pPr>
      <w:r>
        <w:rPr>
          <w:rFonts w:hint="eastAsia" w:ascii="楷体_GB2312" w:hAnsi="楷体_GB2312" w:eastAsia="楷体_GB2312" w:cs="楷体_GB2312"/>
          <w:b/>
          <w:bCs w:val="0"/>
          <w:sz w:val="32"/>
          <w:szCs w:val="32"/>
          <w:lang w:val="en-US" w:eastAsia="zh-CN"/>
        </w:rPr>
        <w:t>(三)</w:t>
      </w:r>
      <w:r>
        <w:rPr>
          <w:rFonts w:hint="eastAsia" w:ascii="楷体_GB2312" w:hAnsi="楷体_GB2312" w:eastAsia="楷体_GB2312" w:cs="楷体_GB2312"/>
          <w:b/>
          <w:bCs w:val="0"/>
          <w:sz w:val="32"/>
          <w:szCs w:val="32"/>
          <w:lang w:val="zh-CN"/>
        </w:rPr>
        <w:t>预算安排及分配管理</w:t>
      </w:r>
    </w:p>
    <w:p w14:paraId="2824630A">
      <w:pPr>
        <w:widowControl/>
        <w:adjustRightInd w:val="0"/>
        <w:snapToGrid w:val="0"/>
        <w:spacing w:line="578" w:lineRule="exact"/>
        <w:ind w:firstLine="640" w:firstLineChars="200"/>
        <w:contextualSpacing/>
        <w:jc w:val="left"/>
        <w:rPr>
          <w:rFonts w:hint="eastAsia" w:ascii="仿宋_GB2312" w:eastAsia="仿宋_GB2312" w:cs="仿宋_GB2312"/>
          <w:sz w:val="32"/>
          <w:szCs w:val="32"/>
          <w:lang w:val="zh-CN" w:eastAsia="zh-CN"/>
        </w:rPr>
      </w:pPr>
      <w:r>
        <w:rPr>
          <w:rFonts w:hint="eastAsia" w:ascii="仿宋_GB2312" w:eastAsia="仿宋_GB2312" w:cs="仿宋_GB2312"/>
          <w:sz w:val="32"/>
          <w:szCs w:val="32"/>
          <w:lang w:val="en-US" w:eastAsia="zh-CN"/>
        </w:rPr>
        <w:t>202</w:t>
      </w:r>
      <w:r>
        <w:rPr>
          <w:rFonts w:hint="eastAsia" w:ascii="仿宋_GB2312" w:cs="仿宋_GB2312"/>
          <w:sz w:val="32"/>
          <w:szCs w:val="32"/>
          <w:lang w:val="en-US" w:eastAsia="zh-CN"/>
        </w:rPr>
        <w:t>5</w:t>
      </w:r>
      <w:r>
        <w:rPr>
          <w:rFonts w:hint="eastAsia" w:ascii="仿宋_GB2312" w:eastAsia="仿宋_GB2312" w:cs="仿宋_GB2312"/>
          <w:sz w:val="32"/>
          <w:szCs w:val="32"/>
          <w:lang w:val="zh-CN" w:eastAsia="zh-CN"/>
        </w:rPr>
        <w:t>年，中央财政下达我单位国有企业退休人员社会化管理财政补助资金</w:t>
      </w:r>
      <w:r>
        <w:rPr>
          <w:rFonts w:hint="eastAsia" w:ascii="仿宋_GB2312" w:cs="仿宋_GB2312"/>
          <w:sz w:val="32"/>
          <w:szCs w:val="32"/>
          <w:lang w:val="en-US" w:eastAsia="zh-CN"/>
        </w:rPr>
        <w:t>1万</w:t>
      </w:r>
      <w:r>
        <w:rPr>
          <w:rFonts w:hint="eastAsia" w:ascii="仿宋_GB2312" w:eastAsia="仿宋_GB2312" w:cs="仿宋_GB2312"/>
          <w:sz w:val="32"/>
          <w:szCs w:val="32"/>
          <w:lang w:val="zh-CN" w:eastAsia="zh-CN"/>
        </w:rPr>
        <w:t>元。</w:t>
      </w:r>
    </w:p>
    <w:p w14:paraId="5B1A09D0">
      <w:pPr>
        <w:widowControl/>
        <w:adjustRightInd w:val="0"/>
        <w:snapToGrid w:val="0"/>
        <w:spacing w:line="578" w:lineRule="exact"/>
        <w:ind w:firstLine="643" w:firstLineChars="200"/>
        <w:contextualSpacing/>
        <w:jc w:val="left"/>
        <w:rPr>
          <w:rFonts w:hint="eastAsia" w:ascii="楷体_GB2312" w:hAnsi="楷体_GB2312" w:eastAsia="楷体_GB2312" w:cs="楷体_GB2312"/>
          <w:b/>
          <w:bCs w:val="0"/>
          <w:sz w:val="32"/>
          <w:szCs w:val="32"/>
          <w:lang w:val="zh-CN" w:eastAsia="zh-CN"/>
        </w:rPr>
      </w:pPr>
      <w:r>
        <w:rPr>
          <w:rFonts w:hint="eastAsia" w:ascii="楷体_GB2312" w:hAnsi="楷体_GB2312" w:eastAsia="楷体_GB2312" w:cs="楷体_GB2312"/>
          <w:b/>
          <w:bCs w:val="0"/>
          <w:sz w:val="32"/>
          <w:szCs w:val="32"/>
          <w:lang w:val="zh-CN" w:eastAsia="zh-CN"/>
        </w:rPr>
        <w:t>（四）绩效目标设置</w:t>
      </w:r>
    </w:p>
    <w:p w14:paraId="12886C88">
      <w:pPr>
        <w:widowControl/>
        <w:adjustRightInd w:val="0"/>
        <w:snapToGrid w:val="0"/>
        <w:spacing w:line="578" w:lineRule="exact"/>
        <w:ind w:firstLine="640" w:firstLineChars="200"/>
        <w:contextualSpacing/>
        <w:jc w:val="left"/>
        <w:rPr>
          <w:rFonts w:hint="eastAsia" w:ascii="仿宋_GB2312" w:eastAsia="仿宋_GB2312" w:cs="仿宋_GB2312"/>
          <w:sz w:val="32"/>
          <w:szCs w:val="32"/>
          <w:lang w:val="en-US" w:eastAsia="zh-CN"/>
        </w:rPr>
      </w:pPr>
      <w:r>
        <w:rPr>
          <w:rFonts w:hint="eastAsia" w:ascii="仿宋_GB2312" w:eastAsia="仿宋_GB2312" w:cs="仿宋_GB2312"/>
          <w:sz w:val="32"/>
          <w:szCs w:val="32"/>
          <w:lang w:val="en-US" w:eastAsia="zh-CN"/>
        </w:rPr>
        <w:t>按照《茂县国有企业退休人员社会化管理实施方案》规定，我单位国有企业退休人员财政补助资金均按照享受对象人数和政策标准据实分配。我单位按照下达资金文件，对照做好绩效监控，确保绩效目标实现。我单位国有企业退休人员财政补助资金总体绩效目标是：通过国有企业退休人员财政补助资金，使国有企业退休人员的生活得到各项服务保障，确保国有企业退休人员共享全面建成小康社会新成果。</w:t>
      </w:r>
    </w:p>
    <w:p w14:paraId="0BAE5970">
      <w:pPr>
        <w:adjustRightInd w:val="0"/>
        <w:snapToGrid w:val="0"/>
        <w:spacing w:line="578" w:lineRule="exact"/>
        <w:ind w:firstLine="640" w:firstLineChars="200"/>
        <w:rPr>
          <w:rFonts w:hint="eastAsia" w:ascii="黑体" w:eastAsia="黑体"/>
          <w:sz w:val="32"/>
          <w:szCs w:val="32"/>
          <w:lang w:val="zh-CN"/>
        </w:rPr>
      </w:pPr>
      <w:r>
        <w:rPr>
          <w:rFonts w:hint="eastAsia" w:ascii="黑体" w:eastAsia="黑体"/>
          <w:sz w:val="32"/>
          <w:szCs w:val="32"/>
          <w:lang w:val="zh-CN"/>
        </w:rPr>
        <w:t>二、绩效情况分析</w:t>
      </w:r>
    </w:p>
    <w:p w14:paraId="1A8C4714">
      <w:pPr>
        <w:widowControl/>
        <w:adjustRightInd w:val="0"/>
        <w:snapToGrid w:val="0"/>
        <w:spacing w:line="560" w:lineRule="exact"/>
        <w:ind w:firstLine="643" w:firstLineChars="200"/>
        <w:rPr>
          <w:rFonts w:hint="eastAsia" w:ascii="楷体_GB2312" w:eastAsia="楷体_GB2312" w:cs="楷体_GB2312"/>
          <w:b/>
          <w:bCs/>
          <w:sz w:val="32"/>
          <w:szCs w:val="32"/>
        </w:rPr>
      </w:pPr>
      <w:r>
        <w:rPr>
          <w:rFonts w:hint="eastAsia" w:ascii="楷体_GB2312" w:eastAsia="楷体_GB2312" w:cs="楷体_GB2312"/>
          <w:b/>
          <w:bCs/>
          <w:sz w:val="32"/>
          <w:szCs w:val="32"/>
        </w:rPr>
        <w:t>（一）资金投入</w:t>
      </w:r>
      <w:r>
        <w:rPr>
          <w:rFonts w:hint="eastAsia" w:ascii="楷体_GB2312" w:eastAsia="楷体_GB2312" w:cs="楷体_GB2312"/>
          <w:b/>
          <w:bCs/>
          <w:sz w:val="32"/>
          <w:szCs w:val="32"/>
          <w:lang w:eastAsia="zh-CN"/>
        </w:rPr>
        <w:t>管理</w:t>
      </w:r>
      <w:r>
        <w:rPr>
          <w:rFonts w:hint="eastAsia" w:ascii="楷体_GB2312" w:eastAsia="楷体_GB2312" w:cs="楷体_GB2312"/>
          <w:b/>
          <w:bCs/>
          <w:sz w:val="32"/>
          <w:szCs w:val="32"/>
        </w:rPr>
        <w:t>情况分析</w:t>
      </w:r>
    </w:p>
    <w:p w14:paraId="6A103632">
      <w:pPr>
        <w:widowControl/>
        <w:adjustRightInd w:val="0"/>
        <w:snapToGrid w:val="0"/>
        <w:spacing w:line="560" w:lineRule="exact"/>
        <w:ind w:firstLine="420" w:firstLineChars="200"/>
        <w:rPr>
          <w:rFonts w:hint="eastAsia" w:ascii="仿宋_GB2312" w:eastAsia="仿宋_GB2312"/>
          <w:sz w:val="32"/>
          <w:szCs w:val="32"/>
          <w:lang w:val="en-US" w:eastAsia="zh-CN"/>
        </w:rPr>
      </w:pPr>
      <w:r>
        <w:rPr>
          <w:rFonts w:hint="eastAsia" w:ascii="仿宋_GB2312" w:eastAsia="仿宋_GB2312"/>
          <w:szCs w:val="32"/>
          <w:lang w:val="zh-CN"/>
        </w:rPr>
        <w:t>1</w:t>
      </w:r>
      <w:r>
        <w:rPr>
          <w:rFonts w:hint="default" w:ascii="仿宋_GB2312"/>
          <w:szCs w:val="32"/>
          <w:lang w:val="en-US"/>
        </w:rPr>
        <w:t>.</w:t>
      </w:r>
      <w:r>
        <w:rPr>
          <w:rFonts w:hint="eastAsia" w:ascii="仿宋_GB2312" w:eastAsia="仿宋_GB2312"/>
          <w:sz w:val="32"/>
          <w:szCs w:val="32"/>
          <w:lang w:val="zh-CN" w:eastAsia="zh-CN"/>
        </w:rPr>
        <w:t>资金计划及到位。202</w:t>
      </w:r>
      <w:r>
        <w:rPr>
          <w:rFonts w:hint="eastAsia" w:ascii="仿宋_GB2312"/>
          <w:sz w:val="32"/>
          <w:szCs w:val="32"/>
          <w:lang w:val="en-US" w:eastAsia="zh-CN"/>
        </w:rPr>
        <w:t>5</w:t>
      </w:r>
      <w:r>
        <w:rPr>
          <w:rFonts w:hint="eastAsia" w:ascii="仿宋_GB2312" w:eastAsia="仿宋_GB2312"/>
          <w:sz w:val="32"/>
          <w:szCs w:val="32"/>
          <w:lang w:val="zh-CN" w:eastAsia="zh-CN"/>
        </w:rPr>
        <w:t>年到位资金</w:t>
      </w:r>
      <w:r>
        <w:rPr>
          <w:rFonts w:hint="eastAsia" w:ascii="仿宋_GB2312"/>
          <w:sz w:val="32"/>
          <w:szCs w:val="32"/>
          <w:lang w:val="en-US" w:eastAsia="zh-CN"/>
        </w:rPr>
        <w:t>1万</w:t>
      </w:r>
      <w:r>
        <w:rPr>
          <w:rFonts w:hint="eastAsia" w:ascii="仿宋_GB2312" w:eastAsia="仿宋_GB2312"/>
          <w:sz w:val="32"/>
          <w:szCs w:val="32"/>
          <w:lang w:val="zh-CN" w:eastAsia="zh-CN"/>
        </w:rPr>
        <w:t>元，</w:t>
      </w:r>
      <w:r>
        <w:rPr>
          <w:rFonts w:hint="eastAsia" w:ascii="仿宋_GB2312"/>
          <w:sz w:val="32"/>
          <w:szCs w:val="32"/>
          <w:lang w:val="zh-CN" w:eastAsia="zh-CN"/>
        </w:rPr>
        <w:t>资金来源为中央资金</w:t>
      </w:r>
      <w:r>
        <w:rPr>
          <w:rFonts w:hint="eastAsia" w:ascii="仿宋_GB2312" w:eastAsia="仿宋_GB2312"/>
          <w:sz w:val="32"/>
          <w:szCs w:val="32"/>
          <w:lang w:val="en-US" w:eastAsia="zh-CN"/>
        </w:rPr>
        <w:t>。</w:t>
      </w:r>
    </w:p>
    <w:p w14:paraId="39DE6AA7">
      <w:pPr>
        <w:adjustRightInd w:val="0"/>
        <w:snapToGrid w:val="0"/>
        <w:spacing w:line="560" w:lineRule="exact"/>
        <w:ind w:firstLine="420" w:firstLineChars="200"/>
        <w:rPr>
          <w:rFonts w:ascii="仿宋_GB2312" w:eastAsia="仿宋_GB2312"/>
          <w:sz w:val="32"/>
          <w:szCs w:val="32"/>
          <w:lang w:val="en-US" w:eastAsia="zh-CN"/>
        </w:rPr>
      </w:pPr>
      <w:r>
        <w:rPr>
          <w:rFonts w:hint="eastAsia" w:ascii="仿宋_GB2312" w:eastAsia="仿宋_GB2312"/>
          <w:szCs w:val="32"/>
          <w:lang w:val="zh-CN"/>
        </w:rPr>
        <w:t>2．</w:t>
      </w:r>
      <w:r>
        <w:rPr>
          <w:rFonts w:hint="eastAsia" w:ascii="仿宋_GB2312" w:eastAsia="仿宋_GB2312"/>
          <w:sz w:val="32"/>
          <w:szCs w:val="32"/>
          <w:lang w:val="zh-CN" w:eastAsia="zh-CN"/>
        </w:rPr>
        <w:t>资金使用。</w:t>
      </w:r>
      <w:r>
        <w:rPr>
          <w:rFonts w:hint="eastAsia" w:ascii="仿宋_GB2312"/>
          <w:sz w:val="32"/>
          <w:szCs w:val="32"/>
          <w:lang w:val="zh-CN" w:eastAsia="zh-CN"/>
        </w:rPr>
        <w:t>截至</w:t>
      </w:r>
      <w:r>
        <w:rPr>
          <w:rFonts w:hint="eastAsia" w:ascii="仿宋_GB2312" w:eastAsia="仿宋_GB2312"/>
          <w:sz w:val="32"/>
          <w:szCs w:val="32"/>
          <w:lang w:val="zh-CN" w:eastAsia="zh-CN"/>
        </w:rPr>
        <w:t>202</w:t>
      </w:r>
      <w:r>
        <w:rPr>
          <w:rFonts w:hint="eastAsia" w:ascii="仿宋_GB2312"/>
          <w:sz w:val="32"/>
          <w:szCs w:val="32"/>
          <w:lang w:val="en-US" w:eastAsia="zh-CN"/>
        </w:rPr>
        <w:t>5</w:t>
      </w:r>
      <w:r>
        <w:rPr>
          <w:rFonts w:hint="eastAsia" w:ascii="仿宋_GB2312" w:eastAsia="仿宋_GB2312"/>
          <w:sz w:val="32"/>
          <w:szCs w:val="32"/>
          <w:lang w:val="zh-CN" w:eastAsia="zh-CN"/>
        </w:rPr>
        <w:t>年年度，累计支出补助资金</w:t>
      </w:r>
      <w:r>
        <w:rPr>
          <w:rFonts w:hint="eastAsia" w:ascii="仿宋_GB2312"/>
          <w:sz w:val="32"/>
          <w:szCs w:val="32"/>
          <w:lang w:val="en-US" w:eastAsia="zh-CN"/>
        </w:rPr>
        <w:t>1万</w:t>
      </w:r>
      <w:r>
        <w:rPr>
          <w:rFonts w:hint="eastAsia" w:ascii="仿宋_GB2312" w:eastAsia="仿宋_GB2312"/>
          <w:sz w:val="32"/>
          <w:szCs w:val="32"/>
          <w:lang w:val="zh-CN" w:eastAsia="zh-CN"/>
        </w:rPr>
        <w:t>元。其中：茂县凤仪镇外南社区接收国有企业退休人员</w:t>
      </w:r>
      <w:r>
        <w:rPr>
          <w:rFonts w:hint="eastAsia" w:ascii="仿宋_GB2312" w:eastAsia="仿宋_GB2312"/>
          <w:sz w:val="32"/>
          <w:szCs w:val="32"/>
          <w:lang w:val="en-US" w:eastAsia="zh-CN"/>
        </w:rPr>
        <w:t>15名，财政补助资金0.</w:t>
      </w:r>
      <w:r>
        <w:rPr>
          <w:rFonts w:hint="eastAsia" w:ascii="仿宋_GB2312"/>
          <w:sz w:val="32"/>
          <w:szCs w:val="32"/>
          <w:lang w:val="en-US" w:eastAsia="zh-CN"/>
        </w:rPr>
        <w:t>56万</w:t>
      </w:r>
      <w:r>
        <w:rPr>
          <w:rFonts w:hint="eastAsia" w:ascii="仿宋_GB2312" w:eastAsia="仿宋_GB2312"/>
          <w:sz w:val="32"/>
          <w:szCs w:val="32"/>
          <w:lang w:val="en-US" w:eastAsia="zh-CN"/>
        </w:rPr>
        <w:t>元；茂县雪花井社区接收国有企业退休人员12名，财政补助资金0.</w:t>
      </w:r>
      <w:r>
        <w:rPr>
          <w:rFonts w:hint="eastAsia" w:ascii="仿宋_GB2312"/>
          <w:sz w:val="32"/>
          <w:szCs w:val="32"/>
          <w:lang w:val="en-US" w:eastAsia="zh-CN"/>
        </w:rPr>
        <w:t>44万</w:t>
      </w:r>
      <w:r>
        <w:rPr>
          <w:rFonts w:hint="eastAsia" w:ascii="仿宋_GB2312" w:eastAsia="仿宋_GB2312"/>
          <w:sz w:val="32"/>
          <w:szCs w:val="32"/>
          <w:lang w:val="en-US" w:eastAsia="zh-CN"/>
        </w:rPr>
        <w:t>元。</w:t>
      </w:r>
    </w:p>
    <w:p w14:paraId="0B9CF6CD">
      <w:pPr>
        <w:adjustRightInd w:val="0"/>
        <w:snapToGrid w:val="0"/>
        <w:spacing w:line="560" w:lineRule="exact"/>
        <w:ind w:firstLine="643" w:firstLineChars="200"/>
        <w:rPr>
          <w:rFonts w:hint="eastAsia" w:ascii="楷体_GB2312" w:eastAsia="楷体_GB2312" w:cs="楷体_GB2312"/>
          <w:b/>
          <w:bCs/>
          <w:sz w:val="32"/>
          <w:szCs w:val="32"/>
        </w:rPr>
      </w:pPr>
      <w:r>
        <w:rPr>
          <w:rFonts w:hint="eastAsia" w:ascii="楷体_GB2312" w:eastAsia="楷体_GB2312" w:cs="楷体_GB2312"/>
          <w:b/>
          <w:bCs/>
          <w:sz w:val="32"/>
          <w:szCs w:val="32"/>
        </w:rPr>
        <w:t>（</w:t>
      </w:r>
      <w:r>
        <w:rPr>
          <w:rFonts w:hint="eastAsia" w:ascii="楷体_GB2312" w:eastAsia="楷体_GB2312" w:cs="楷体_GB2312"/>
          <w:b/>
          <w:bCs/>
          <w:sz w:val="32"/>
          <w:szCs w:val="32"/>
          <w:lang w:eastAsia="zh-CN"/>
        </w:rPr>
        <w:t>二</w:t>
      </w:r>
      <w:r>
        <w:rPr>
          <w:rFonts w:hint="eastAsia" w:ascii="楷体_GB2312" w:eastAsia="楷体_GB2312" w:cs="楷体_GB2312"/>
          <w:b/>
          <w:bCs/>
          <w:sz w:val="32"/>
          <w:szCs w:val="32"/>
        </w:rPr>
        <w:t>）总体绩效目标完成情况分析</w:t>
      </w:r>
    </w:p>
    <w:p w14:paraId="568E4105">
      <w:pPr>
        <w:adjustRightInd w:val="0"/>
        <w:snapToGrid w:val="0"/>
        <w:spacing w:line="560" w:lineRule="exact"/>
        <w:ind w:firstLine="640" w:firstLineChars="200"/>
        <w:rPr>
          <w:rFonts w:hint="eastAsia" w:ascii="仿宋_GB2312" w:eastAsia="仿宋_GB2312"/>
          <w:sz w:val="32"/>
          <w:szCs w:val="32"/>
          <w:lang w:val="zh-CN" w:eastAsia="zh-CN"/>
        </w:rPr>
      </w:pPr>
      <w:r>
        <w:rPr>
          <w:rFonts w:hint="eastAsia" w:ascii="仿宋_GB2312" w:eastAsia="仿宋_GB2312"/>
          <w:sz w:val="32"/>
          <w:szCs w:val="32"/>
          <w:lang w:val="zh-CN" w:eastAsia="zh-CN"/>
        </w:rPr>
        <w:t>202</w:t>
      </w:r>
      <w:r>
        <w:rPr>
          <w:rFonts w:hint="eastAsia" w:ascii="仿宋_GB2312"/>
          <w:sz w:val="32"/>
          <w:szCs w:val="32"/>
          <w:lang w:val="en-US" w:eastAsia="zh-CN"/>
        </w:rPr>
        <w:t>5</w:t>
      </w:r>
      <w:r>
        <w:rPr>
          <w:rFonts w:hint="eastAsia" w:ascii="仿宋_GB2312" w:eastAsia="仿宋_GB2312"/>
          <w:sz w:val="32"/>
          <w:szCs w:val="32"/>
          <w:lang w:val="zh-CN" w:eastAsia="zh-CN"/>
        </w:rPr>
        <w:t>年共支出国有企业退休人员社会化管理财政补助资金</w:t>
      </w:r>
      <w:r>
        <w:rPr>
          <w:rFonts w:hint="eastAsia" w:ascii="仿宋_GB2312"/>
          <w:sz w:val="32"/>
          <w:szCs w:val="32"/>
          <w:lang w:val="en-US" w:eastAsia="zh-CN"/>
        </w:rPr>
        <w:t>1万</w:t>
      </w:r>
      <w:r>
        <w:rPr>
          <w:rFonts w:hint="eastAsia" w:ascii="仿宋_GB2312" w:eastAsia="仿宋_GB2312"/>
          <w:sz w:val="32"/>
          <w:szCs w:val="32"/>
          <w:lang w:val="zh-CN" w:eastAsia="zh-CN"/>
        </w:rPr>
        <w:t>元，补助人次达</w:t>
      </w:r>
      <w:r>
        <w:rPr>
          <w:rFonts w:hint="eastAsia" w:ascii="仿宋_GB2312" w:eastAsia="仿宋_GB2312"/>
          <w:sz w:val="32"/>
          <w:szCs w:val="32"/>
          <w:lang w:val="en-US" w:eastAsia="zh-CN"/>
        </w:rPr>
        <w:t>27</w:t>
      </w:r>
      <w:r>
        <w:rPr>
          <w:rFonts w:hint="eastAsia" w:ascii="仿宋_GB2312" w:eastAsia="仿宋_GB2312"/>
          <w:sz w:val="32"/>
          <w:szCs w:val="32"/>
          <w:lang w:val="zh-CN" w:eastAsia="zh-CN"/>
        </w:rPr>
        <w:t>人。</w:t>
      </w:r>
    </w:p>
    <w:p w14:paraId="7A268DFB">
      <w:pPr>
        <w:widowControl/>
        <w:numPr>
          <w:ilvl w:val="0"/>
          <w:numId w:val="3"/>
        </w:numPr>
        <w:wordWrap w:val="0"/>
        <w:snapToGrid w:val="0"/>
        <w:spacing w:line="560" w:lineRule="exact"/>
        <w:ind w:left="0" w:firstLine="643" w:firstLineChars="200"/>
        <w:jc w:val="left"/>
        <w:rPr>
          <w:rFonts w:hint="eastAsia" w:ascii="楷体_GB2312" w:eastAsia="楷体_GB2312" w:cs="楷体_GB2312"/>
          <w:b/>
          <w:bCs/>
          <w:sz w:val="32"/>
          <w:szCs w:val="32"/>
        </w:rPr>
      </w:pPr>
      <w:r>
        <w:rPr>
          <w:rFonts w:hint="eastAsia" w:ascii="楷体_GB2312" w:eastAsia="楷体_GB2312" w:cs="楷体_GB2312"/>
          <w:b/>
          <w:bCs/>
          <w:sz w:val="32"/>
          <w:szCs w:val="32"/>
        </w:rPr>
        <w:t>绩效指标完成情况分析</w:t>
      </w:r>
    </w:p>
    <w:p w14:paraId="1A2449BC">
      <w:pPr>
        <w:keepNext w:val="0"/>
        <w:keepLines w:val="0"/>
        <w:pageBreakBefore w:val="0"/>
        <w:widowControl w:val="0"/>
        <w:kinsoku/>
        <w:wordWrap/>
        <w:overflowPunct/>
        <w:topLinePunct w:val="0"/>
        <w:autoSpaceDE/>
        <w:autoSpaceDN/>
        <w:bidi w:val="0"/>
        <w:adjustRightInd/>
        <w:snapToGrid/>
        <w:ind w:left="0" w:firstLine="640" w:firstLineChars="200"/>
        <w:textAlignment w:val="auto"/>
        <w:outlineLvl w:val="9"/>
        <w:rPr>
          <w:rFonts w:hint="eastAsia" w:ascii="仿宋_GB2312" w:eastAsia="仿宋_GB2312" w:cs="Times New Roman"/>
          <w:sz w:val="32"/>
          <w:szCs w:val="32"/>
          <w:lang w:val="zh-CN" w:eastAsia="zh-CN"/>
        </w:rPr>
      </w:pPr>
      <w:r>
        <w:rPr>
          <w:rFonts w:hint="eastAsia" w:ascii="仿宋_GB2312" w:eastAsia="仿宋_GB2312" w:cs="Times New Roman"/>
          <w:sz w:val="32"/>
          <w:szCs w:val="32"/>
          <w:lang w:val="zh-CN" w:eastAsia="zh-CN"/>
        </w:rPr>
        <w:t>通过对国有企业退休人员社会化管理财政补助资金的使用，</w:t>
      </w:r>
      <w:r>
        <w:rPr>
          <w:rFonts w:hint="eastAsia" w:ascii="仿宋_GB2312" w:eastAsia="仿宋_GB2312" w:cs="Times New Roman"/>
          <w:sz w:val="32"/>
          <w:szCs w:val="32"/>
          <w:lang w:val="en-US" w:eastAsia="zh-CN"/>
        </w:rPr>
        <w:t>实现了企业退休人员移交社区后“老有所教、老有所乐、老有所学”；提升了立足退休人员法定权益保障和服务需求的管理水平；做好了国有企业退休人员实行社会化管理后的各项服务保障工作，确保国有企业退休人员共享全面建成小康社会新成果。</w:t>
      </w:r>
    </w:p>
    <w:p w14:paraId="3D97130C">
      <w:pPr>
        <w:adjustRightInd w:val="0"/>
        <w:snapToGrid w:val="0"/>
        <w:spacing w:line="578" w:lineRule="exact"/>
        <w:ind w:firstLine="640" w:firstLineChars="200"/>
        <w:rPr>
          <w:rFonts w:hint="eastAsia" w:ascii="黑体" w:eastAsia="黑体"/>
          <w:b w:val="0"/>
          <w:bCs w:val="0"/>
          <w:sz w:val="32"/>
          <w:szCs w:val="32"/>
          <w:lang w:val="zh-CN"/>
        </w:rPr>
      </w:pPr>
      <w:r>
        <w:rPr>
          <w:rFonts w:hint="eastAsia" w:ascii="黑体" w:eastAsia="黑体"/>
          <w:b w:val="0"/>
          <w:bCs w:val="0"/>
          <w:sz w:val="32"/>
          <w:szCs w:val="32"/>
          <w:lang w:val="zh-CN"/>
        </w:rPr>
        <w:t>三、偏离绩效目标的原因和下一步改进措施</w:t>
      </w:r>
    </w:p>
    <w:p w14:paraId="687EC602">
      <w:pPr>
        <w:keepNext w:val="0"/>
        <w:keepLines w:val="0"/>
        <w:pageBreakBefore w:val="0"/>
        <w:widowControl w:val="0"/>
        <w:kinsoku/>
        <w:wordWrap/>
        <w:overflowPunct/>
        <w:topLinePunct w:val="0"/>
        <w:autoSpaceDE/>
        <w:autoSpaceDN/>
        <w:bidi w:val="0"/>
        <w:adjustRightInd/>
        <w:snapToGrid/>
        <w:ind w:left="0" w:firstLine="640" w:firstLineChars="200"/>
        <w:textAlignment w:val="auto"/>
        <w:outlineLvl w:val="9"/>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国有企业退休人员社会化管理财政补助资金的绩效目标明确，管理制度健全，资金到位及时，补助对象生活管理服务水平不断提高，让补助对象感受到了国家的深切关怀，促进了经济发展和社会和谐，未偏离绩效目标。</w:t>
      </w:r>
    </w:p>
    <w:p w14:paraId="2AE872CE">
      <w:pPr>
        <w:keepNext w:val="0"/>
        <w:keepLines w:val="0"/>
        <w:pageBreakBefore w:val="0"/>
        <w:widowControl w:val="0"/>
        <w:kinsoku/>
        <w:wordWrap/>
        <w:overflowPunct/>
        <w:topLinePunct w:val="0"/>
        <w:autoSpaceDE/>
        <w:autoSpaceDN/>
        <w:bidi w:val="0"/>
        <w:adjustRightInd/>
        <w:snapToGrid/>
        <w:ind w:left="0" w:firstLine="640" w:firstLineChars="200"/>
        <w:textAlignment w:val="auto"/>
        <w:outlineLvl w:val="9"/>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下一步，我单位将按照国家统一部署，不断健全完善管理制度体系，进一步提高补助对象生活服务水平。</w:t>
      </w:r>
    </w:p>
    <w:p w14:paraId="3352E23C">
      <w:pPr>
        <w:pStyle w:val="19"/>
        <w:rPr>
          <w:rStyle w:val="22"/>
          <w:rFonts w:hint="default"/>
          <w:sz w:val="24"/>
          <w:szCs w:val="24"/>
          <w:lang w:val="en-US" w:eastAsia="zh-CN"/>
        </w:rPr>
      </w:pPr>
      <w:r>
        <w:rPr>
          <w:rFonts w:hint="eastAsia" w:ascii="仿宋_GB2312" w:hAnsi="仿宋_GB2312" w:eastAsia="仿宋_GB2312" w:cs="仿宋_GB2312"/>
          <w:sz w:val="32"/>
          <w:szCs w:val="32"/>
          <w:lang w:val="en-US" w:eastAsia="zh-CN"/>
        </w:rPr>
        <w:t xml:space="preserve">       </w:t>
      </w:r>
      <w:r>
        <w:rPr>
          <w:rStyle w:val="20"/>
          <w:rFonts w:hint="eastAsia"/>
          <w:sz w:val="24"/>
          <w:szCs w:val="24"/>
          <w:lang w:val="en-US" w:eastAsia="zh-CN"/>
        </w:rPr>
        <w:t>国有企业退休人员社会管理补助资金绩效目标完成情况自评表</w:t>
      </w:r>
    </w:p>
    <w:p w14:paraId="05A4FD0A">
      <w:pPr>
        <w:pStyle w:val="19"/>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object>
          <v:shape id="_x0000_i1027" o:spt="75" type="#_x0000_t75" style="height:513.95pt;width:415.5pt;" o:ole="t" filled="f" o:preferrelative="t" stroked="f" coordsize="21600,21600">
            <v:path/>
            <v:fill on="f" focussize="0,0"/>
            <v:stroke on="f"/>
            <v:imagedata r:id="rId28" o:title=""/>
            <o:lock v:ext="edit" aspectratio="f"/>
            <w10:wrap type="none"/>
            <w10:anchorlock/>
          </v:shape>
          <o:OLEObject Type="Embed" ProgID="Excel.Sheet.8" ShapeID="_x0000_i1027" DrawAspect="Content" ObjectID="_1468075732" r:id="rId27">
            <o:LockedField>false</o:LockedField>
          </o:OLEObject>
        </w:object>
      </w:r>
    </w:p>
    <w:p w14:paraId="31F5B417">
      <w:pPr>
        <w:pStyle w:val="13"/>
        <w:spacing w:after="0" w:line="578" w:lineRule="exact"/>
        <w:ind w:left="0" w:leftChars="0" w:firstLine="0" w:firstLineChars="0"/>
        <w:rPr>
          <w:rFonts w:hint="eastAsia" w:ascii="仿宋_GB2312" w:hAnsi="仿宋_GB2312" w:eastAsia="仿宋_GB2312" w:cs="仿宋_GB2312"/>
          <w:sz w:val="32"/>
          <w:szCs w:val="32"/>
        </w:rPr>
      </w:pPr>
    </w:p>
    <w:p w14:paraId="5F6C5A4F">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_GB2312" w:hAnsi="仿宋_GB2312" w:eastAsia="仿宋_GB2312" w:cs="仿宋_GB2312"/>
          <w:b w:val="0"/>
          <w:bCs w:val="0"/>
          <w:kern w:val="0"/>
          <w:position w:val="0"/>
          <w:sz w:val="32"/>
          <w:szCs w:val="32"/>
          <w:highlight w:val="none"/>
          <w:lang w:val="en-US" w:eastAsia="zh-CN" w:bidi="ar-SA"/>
        </w:rPr>
      </w:pPr>
    </w:p>
    <w:p w14:paraId="00362DC1">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b w:val="0"/>
          <w:bCs w:val="0"/>
          <w:kern w:val="0"/>
          <w:position w:val="0"/>
          <w:sz w:val="32"/>
          <w:szCs w:val="32"/>
          <w:highlight w:val="none"/>
          <w:lang w:val="en-US" w:eastAsia="zh-CN" w:bidi="ar-SA"/>
        </w:rPr>
        <w:br w:type="page"/>
      </w:r>
    </w:p>
    <w:p w14:paraId="75262865">
      <w:pPr>
        <w:widowControl/>
        <w:numPr>
          <w:ilvl w:val="0"/>
          <w:numId w:val="4"/>
        </w:numPr>
        <w:ind w:firstLine="2640" w:firstLineChars="600"/>
        <w:jc w:val="both"/>
        <w:outlineLvl w:val="0"/>
        <w:rPr>
          <w:rStyle w:val="28"/>
          <w:rFonts w:hint="eastAsia" w:ascii="Times New Roman" w:hAnsi="Times New Roman" w:eastAsia="黑体"/>
          <w:b w:val="0"/>
          <w:color w:val="auto"/>
          <w:highlight w:val="none"/>
        </w:rPr>
      </w:pPr>
      <w:bookmarkStart w:id="86" w:name="_Toc9974"/>
      <w:r>
        <w:rPr>
          <w:rStyle w:val="28"/>
          <w:rFonts w:hint="eastAsia" w:ascii="Times New Roman" w:hAnsi="Times New Roman" w:eastAsia="黑体"/>
          <w:b w:val="0"/>
          <w:color w:val="auto"/>
          <w:highlight w:val="none"/>
        </w:rPr>
        <w:t>附表</w:t>
      </w:r>
      <w:bookmarkEnd w:id="78"/>
      <w:bookmarkEnd w:id="85"/>
      <w:bookmarkEnd w:id="86"/>
      <w:bookmarkStart w:id="87" w:name="_Toc15396619"/>
    </w:p>
    <w:p w14:paraId="76F7CAA1">
      <w:pPr>
        <w:pStyle w:val="4"/>
        <w:keepNext/>
        <w:keepLines/>
        <w:pageBreakBefore w:val="0"/>
        <w:widowControl w:val="0"/>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b w:val="0"/>
          <w:bCs w:val="0"/>
        </w:rPr>
      </w:pPr>
    </w:p>
    <w:p w14:paraId="61E59F8F">
      <w:pPr>
        <w:pStyle w:val="4"/>
        <w:keepNext/>
        <w:keepLines/>
        <w:pageBreakBefore w:val="0"/>
        <w:widowControl w:val="0"/>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b w:val="0"/>
          <w:bCs w:val="0"/>
        </w:rPr>
      </w:pPr>
      <w:bookmarkStart w:id="88" w:name="_Toc10805"/>
      <w:r>
        <w:rPr>
          <w:rFonts w:hint="eastAsia" w:ascii="仿宋_GB2312" w:hAnsi="仿宋_GB2312" w:eastAsia="仿宋_GB2312" w:cs="仿宋_GB2312"/>
          <w:b w:val="0"/>
          <w:bCs w:val="0"/>
        </w:rPr>
        <w:t>一、收入支出决算总表</w:t>
      </w:r>
      <w:bookmarkEnd w:id="87"/>
      <w:bookmarkEnd w:id="88"/>
    </w:p>
    <w:p w14:paraId="06D56C13">
      <w:pPr>
        <w:pStyle w:val="4"/>
        <w:keepNext/>
        <w:keepLines/>
        <w:pageBreakBefore w:val="0"/>
        <w:widowControl w:val="0"/>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b w:val="0"/>
          <w:bCs w:val="0"/>
        </w:rPr>
      </w:pPr>
      <w:bookmarkStart w:id="89" w:name="_Toc15396620"/>
      <w:bookmarkStart w:id="90" w:name="_Toc28933"/>
      <w:r>
        <w:rPr>
          <w:rFonts w:hint="eastAsia" w:ascii="仿宋_GB2312" w:hAnsi="仿宋_GB2312" w:eastAsia="仿宋_GB2312" w:cs="仿宋_GB2312"/>
          <w:b w:val="0"/>
          <w:bCs w:val="0"/>
        </w:rPr>
        <w:t>二、收入决算表</w:t>
      </w:r>
      <w:bookmarkEnd w:id="89"/>
      <w:bookmarkEnd w:id="90"/>
    </w:p>
    <w:p w14:paraId="1838F28F">
      <w:pPr>
        <w:pStyle w:val="4"/>
        <w:keepNext/>
        <w:keepLines/>
        <w:pageBreakBefore w:val="0"/>
        <w:widowControl w:val="0"/>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b w:val="0"/>
          <w:bCs w:val="0"/>
        </w:rPr>
      </w:pPr>
      <w:bookmarkStart w:id="91" w:name="_Toc15396621"/>
      <w:bookmarkStart w:id="92" w:name="_Toc23966"/>
      <w:r>
        <w:rPr>
          <w:rFonts w:hint="eastAsia" w:ascii="仿宋_GB2312" w:hAnsi="仿宋_GB2312" w:eastAsia="仿宋_GB2312" w:cs="仿宋_GB2312"/>
          <w:b w:val="0"/>
          <w:bCs w:val="0"/>
        </w:rPr>
        <w:t>三、支出决算表</w:t>
      </w:r>
      <w:bookmarkEnd w:id="91"/>
      <w:bookmarkEnd w:id="92"/>
    </w:p>
    <w:p w14:paraId="77BF650C">
      <w:pPr>
        <w:pStyle w:val="4"/>
        <w:keepNext/>
        <w:keepLines/>
        <w:pageBreakBefore w:val="0"/>
        <w:widowControl w:val="0"/>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b w:val="0"/>
          <w:bCs w:val="0"/>
        </w:rPr>
      </w:pPr>
      <w:bookmarkStart w:id="93" w:name="_Toc31910"/>
      <w:bookmarkStart w:id="94" w:name="_Toc15396622"/>
      <w:r>
        <w:rPr>
          <w:rFonts w:hint="eastAsia" w:ascii="仿宋_GB2312" w:hAnsi="仿宋_GB2312" w:eastAsia="仿宋_GB2312" w:cs="仿宋_GB2312"/>
          <w:b w:val="0"/>
          <w:bCs w:val="0"/>
        </w:rPr>
        <w:t>四、财政拨款收入支出决算总表</w:t>
      </w:r>
      <w:bookmarkEnd w:id="93"/>
      <w:bookmarkEnd w:id="94"/>
    </w:p>
    <w:p w14:paraId="42F83EBC">
      <w:pPr>
        <w:pStyle w:val="4"/>
        <w:keepNext/>
        <w:keepLines/>
        <w:pageBreakBefore w:val="0"/>
        <w:widowControl w:val="0"/>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b w:val="0"/>
          <w:bCs w:val="0"/>
        </w:rPr>
      </w:pPr>
      <w:bookmarkStart w:id="95" w:name="_Toc15396623"/>
      <w:bookmarkStart w:id="96" w:name="_Toc14659"/>
      <w:r>
        <w:rPr>
          <w:rFonts w:hint="eastAsia" w:ascii="仿宋_GB2312" w:hAnsi="仿宋_GB2312" w:eastAsia="仿宋_GB2312" w:cs="仿宋_GB2312"/>
          <w:b w:val="0"/>
          <w:bCs w:val="0"/>
        </w:rPr>
        <w:t>五、财政拨款支出决算明细表</w:t>
      </w:r>
      <w:bookmarkEnd w:id="95"/>
      <w:bookmarkEnd w:id="96"/>
      <w:bookmarkStart w:id="97" w:name="_Toc15396624"/>
    </w:p>
    <w:p w14:paraId="04FB1FF6">
      <w:pPr>
        <w:pStyle w:val="4"/>
        <w:keepNext/>
        <w:keepLines/>
        <w:pageBreakBefore w:val="0"/>
        <w:widowControl w:val="0"/>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b w:val="0"/>
          <w:bCs w:val="0"/>
        </w:rPr>
      </w:pPr>
      <w:bookmarkStart w:id="98" w:name="_Toc7617"/>
      <w:r>
        <w:rPr>
          <w:rFonts w:hint="eastAsia" w:ascii="仿宋_GB2312" w:hAnsi="仿宋_GB2312" w:eastAsia="仿宋_GB2312" w:cs="仿宋_GB2312"/>
          <w:b w:val="0"/>
          <w:bCs w:val="0"/>
        </w:rPr>
        <w:t>六、一般公共预算财政拨款支出决算表</w:t>
      </w:r>
      <w:bookmarkEnd w:id="97"/>
      <w:bookmarkEnd w:id="98"/>
    </w:p>
    <w:p w14:paraId="00CC0A0C">
      <w:pPr>
        <w:pStyle w:val="4"/>
        <w:keepNext/>
        <w:keepLines/>
        <w:pageBreakBefore w:val="0"/>
        <w:widowControl w:val="0"/>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b w:val="0"/>
          <w:bCs w:val="0"/>
        </w:rPr>
      </w:pPr>
      <w:bookmarkStart w:id="99" w:name="_Toc15396625"/>
      <w:bookmarkStart w:id="100" w:name="_Toc10994"/>
      <w:r>
        <w:rPr>
          <w:rFonts w:hint="eastAsia" w:ascii="仿宋_GB2312" w:hAnsi="仿宋_GB2312" w:eastAsia="仿宋_GB2312" w:cs="仿宋_GB2312"/>
          <w:b w:val="0"/>
          <w:bCs w:val="0"/>
        </w:rPr>
        <w:t>七、一般公共预算财政拨款支出决算明细表</w:t>
      </w:r>
      <w:bookmarkEnd w:id="99"/>
      <w:bookmarkEnd w:id="100"/>
    </w:p>
    <w:p w14:paraId="26D23E1E">
      <w:pPr>
        <w:pStyle w:val="4"/>
        <w:keepNext/>
        <w:keepLines/>
        <w:pageBreakBefore w:val="0"/>
        <w:widowControl w:val="0"/>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b w:val="0"/>
          <w:bCs w:val="0"/>
        </w:rPr>
      </w:pPr>
      <w:bookmarkStart w:id="101" w:name="_Toc15396626"/>
      <w:bookmarkStart w:id="102" w:name="_Toc30284"/>
      <w:r>
        <w:rPr>
          <w:rFonts w:hint="eastAsia" w:ascii="仿宋_GB2312" w:hAnsi="仿宋_GB2312" w:eastAsia="仿宋_GB2312" w:cs="仿宋_GB2312"/>
          <w:b w:val="0"/>
          <w:bCs w:val="0"/>
        </w:rPr>
        <w:t>八、一般公共预算财政拨款基本支出决算表</w:t>
      </w:r>
      <w:bookmarkEnd w:id="101"/>
      <w:bookmarkEnd w:id="102"/>
    </w:p>
    <w:p w14:paraId="031167E6">
      <w:pPr>
        <w:pStyle w:val="4"/>
        <w:keepNext/>
        <w:keepLines/>
        <w:pageBreakBefore w:val="0"/>
        <w:widowControl w:val="0"/>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b w:val="0"/>
          <w:bCs w:val="0"/>
        </w:rPr>
      </w:pPr>
      <w:bookmarkStart w:id="103" w:name="_Toc4779"/>
      <w:bookmarkStart w:id="104" w:name="_Toc15396627"/>
      <w:r>
        <w:rPr>
          <w:rFonts w:hint="eastAsia" w:ascii="仿宋_GB2312" w:hAnsi="仿宋_GB2312" w:eastAsia="仿宋_GB2312" w:cs="仿宋_GB2312"/>
          <w:b w:val="0"/>
          <w:bCs w:val="0"/>
        </w:rPr>
        <w:t>九、一般公共预算财政拨款项目支出决算表</w:t>
      </w:r>
      <w:bookmarkEnd w:id="103"/>
      <w:bookmarkEnd w:id="104"/>
    </w:p>
    <w:p w14:paraId="2B66521E">
      <w:pPr>
        <w:pStyle w:val="4"/>
        <w:keepNext/>
        <w:keepLines/>
        <w:pageBreakBefore w:val="0"/>
        <w:widowControl w:val="0"/>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b w:val="0"/>
          <w:bCs w:val="0"/>
        </w:rPr>
      </w:pPr>
      <w:bookmarkStart w:id="105" w:name="_Toc15396628"/>
      <w:bookmarkStart w:id="106" w:name="_Toc31930"/>
      <w:r>
        <w:rPr>
          <w:rFonts w:hint="eastAsia" w:ascii="仿宋_GB2312" w:hAnsi="仿宋_GB2312" w:eastAsia="仿宋_GB2312" w:cs="仿宋_GB2312"/>
          <w:b w:val="0"/>
          <w:bCs w:val="0"/>
        </w:rPr>
        <w:t>十、</w:t>
      </w:r>
      <w:bookmarkEnd w:id="105"/>
      <w:r>
        <w:rPr>
          <w:rFonts w:hint="eastAsia" w:ascii="仿宋_GB2312" w:hAnsi="仿宋_GB2312" w:eastAsia="仿宋_GB2312" w:cs="仿宋_GB2312"/>
          <w:b w:val="0"/>
          <w:bCs w:val="0"/>
        </w:rPr>
        <w:t>政府性基金预算财政拨款收入支出决算表</w:t>
      </w:r>
      <w:bookmarkEnd w:id="106"/>
    </w:p>
    <w:p w14:paraId="54E4991A">
      <w:pPr>
        <w:pStyle w:val="4"/>
        <w:keepNext/>
        <w:keepLines/>
        <w:pageBreakBefore w:val="0"/>
        <w:widowControl w:val="0"/>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b w:val="0"/>
          <w:bCs w:val="0"/>
        </w:rPr>
      </w:pPr>
      <w:bookmarkStart w:id="107" w:name="_Toc15396629"/>
      <w:bookmarkStart w:id="108" w:name="_Toc4536"/>
      <w:r>
        <w:rPr>
          <w:rFonts w:hint="eastAsia" w:ascii="仿宋_GB2312" w:hAnsi="仿宋_GB2312" w:eastAsia="仿宋_GB2312" w:cs="仿宋_GB2312"/>
          <w:b w:val="0"/>
          <w:bCs w:val="0"/>
        </w:rPr>
        <w:t>十一、</w:t>
      </w:r>
      <w:bookmarkEnd w:id="107"/>
      <w:r>
        <w:rPr>
          <w:rFonts w:hint="eastAsia" w:ascii="仿宋_GB2312" w:hAnsi="仿宋_GB2312" w:eastAsia="仿宋_GB2312" w:cs="仿宋_GB2312"/>
          <w:b w:val="0"/>
          <w:bCs w:val="0"/>
        </w:rPr>
        <w:t>国有资本经营预算</w:t>
      </w:r>
      <w:r>
        <w:rPr>
          <w:rFonts w:hint="eastAsia" w:ascii="仿宋_GB2312" w:hAnsi="仿宋_GB2312" w:eastAsia="仿宋_GB2312" w:cs="仿宋_GB2312"/>
          <w:b w:val="0"/>
          <w:bCs w:val="0"/>
          <w:lang w:eastAsia="zh-CN"/>
        </w:rPr>
        <w:t>财政拨款收入</w:t>
      </w:r>
      <w:r>
        <w:rPr>
          <w:rFonts w:hint="eastAsia" w:ascii="仿宋_GB2312" w:hAnsi="仿宋_GB2312" w:eastAsia="仿宋_GB2312" w:cs="仿宋_GB2312"/>
          <w:b w:val="0"/>
          <w:bCs w:val="0"/>
        </w:rPr>
        <w:t>支出决算表</w:t>
      </w:r>
      <w:bookmarkEnd w:id="108"/>
    </w:p>
    <w:p w14:paraId="1CDA1B96">
      <w:pPr>
        <w:pStyle w:val="4"/>
        <w:keepNext/>
        <w:keepLines/>
        <w:pageBreakBefore w:val="0"/>
        <w:widowControl w:val="0"/>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b w:val="0"/>
          <w:bCs w:val="0"/>
        </w:rPr>
      </w:pPr>
      <w:bookmarkStart w:id="109" w:name="_Toc15396630"/>
      <w:bookmarkStart w:id="110" w:name="_Toc26414"/>
      <w:r>
        <w:rPr>
          <w:rFonts w:hint="eastAsia" w:ascii="仿宋_GB2312" w:hAnsi="仿宋_GB2312" w:eastAsia="仿宋_GB2312" w:cs="仿宋_GB2312"/>
          <w:b w:val="0"/>
          <w:bCs w:val="0"/>
        </w:rPr>
        <w:t>十二、</w:t>
      </w:r>
      <w:bookmarkEnd w:id="109"/>
      <w:r>
        <w:rPr>
          <w:rFonts w:hint="eastAsia" w:ascii="仿宋_GB2312" w:hAnsi="仿宋_GB2312" w:eastAsia="仿宋_GB2312" w:cs="仿宋_GB2312"/>
          <w:b w:val="0"/>
          <w:bCs w:val="0"/>
          <w:lang w:eastAsia="zh-CN"/>
        </w:rPr>
        <w:t>国有资本经营预算财政拨款支出决算表</w:t>
      </w:r>
      <w:bookmarkEnd w:id="110"/>
    </w:p>
    <w:p w14:paraId="77D74C55">
      <w:pPr>
        <w:pStyle w:val="4"/>
        <w:keepNext/>
        <w:keepLines/>
        <w:pageBreakBefore w:val="0"/>
        <w:widowControl w:val="0"/>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b w:val="0"/>
          <w:bCs w:val="0"/>
          <w:lang w:eastAsia="zh-CN"/>
        </w:rPr>
      </w:pPr>
      <w:bookmarkStart w:id="111" w:name="_Toc15396631"/>
      <w:bookmarkStart w:id="112" w:name="_Toc16300"/>
      <w:r>
        <w:rPr>
          <w:rFonts w:hint="eastAsia" w:ascii="仿宋_GB2312" w:hAnsi="仿宋_GB2312" w:eastAsia="仿宋_GB2312" w:cs="仿宋_GB2312"/>
          <w:b w:val="0"/>
          <w:bCs w:val="0"/>
        </w:rPr>
        <w:t>十三、</w:t>
      </w:r>
      <w:bookmarkEnd w:id="111"/>
      <w:r>
        <w:rPr>
          <w:rFonts w:hint="eastAsia" w:ascii="仿宋_GB2312" w:hAnsi="仿宋_GB2312" w:eastAsia="仿宋_GB2312" w:cs="仿宋_GB2312"/>
          <w:b w:val="0"/>
          <w:bCs w:val="0"/>
          <w:lang w:eastAsia="zh-CN"/>
        </w:rPr>
        <w:t>财政拨款“三公”经费支出决算表</w:t>
      </w:r>
      <w:bookmarkEnd w:id="112"/>
    </w:p>
    <w:p w14:paraId="68F87F30">
      <w:pPr>
        <w:pStyle w:val="4"/>
        <w:bidi w:val="0"/>
        <w:rPr>
          <w:rFonts w:hint="eastAsia"/>
          <w:lang w:eastAsia="zh-CN"/>
        </w:rPr>
      </w:pPr>
    </w:p>
    <w:sectPr>
      <w:footerReference r:id="rId11" w:type="first"/>
      <w:footerReference r:id="rId10" w:type="default"/>
      <w:pgSz w:w="11906" w:h="16838"/>
      <w:pgMar w:top="1440" w:right="1800" w:bottom="1440" w:left="1800" w:header="851" w:footer="992" w:gutter="0"/>
      <w:pgNumType w:fmt="decimal"/>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2705E">
    <w:pPr>
      <w:pStyle w:val="9"/>
      <w:jc w:val="cente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20BA5C">
                          <w:pPr>
                            <w:pStyle w:val="9"/>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3820BA5C">
                    <w:pPr>
                      <w:pStyle w:val="9"/>
                    </w:pPr>
                    <w:r>
                      <w:fldChar w:fldCharType="begin"/>
                    </w:r>
                    <w:r>
                      <w:instrText xml:space="preserve"> PAGE  \* MERGEFORMAT </w:instrText>
                    </w:r>
                    <w:r>
                      <w:fldChar w:fldCharType="separate"/>
                    </w:r>
                    <w:r>
                      <w:t>2</w:t>
                    </w:r>
                    <w:r>
                      <w:fldChar w:fldCharType="end"/>
                    </w:r>
                  </w:p>
                </w:txbxContent>
              </v:textbox>
            </v:shape>
          </w:pict>
        </mc:Fallback>
      </mc:AlternateContent>
    </w:r>
  </w:p>
  <w:p w14:paraId="5FE061E0">
    <w:pPr>
      <w:pStyle w:val="9"/>
      <w:rPr>
        <w:rFonts w:hint="eastAsia" w:eastAsia="宋体"/>
        <w:lang w:val="en-US" w:eastAsia="zh-C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44ACDD">
    <w:pPr>
      <w:pStyle w:val="9"/>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14F6CA">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2814F6CA">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D019E0">
    <w:pPr>
      <w:pStyle w:val="9"/>
      <w:jc w:val="cente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702AC5">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54702AC5">
                    <w:pPr>
                      <w:pStyle w:val="9"/>
                    </w:pPr>
                    <w:r>
                      <w:fldChar w:fldCharType="begin"/>
                    </w:r>
                    <w:r>
                      <w:instrText xml:space="preserve"> PAGE  \* MERGEFORMAT </w:instrText>
                    </w:r>
                    <w:r>
                      <w:fldChar w:fldCharType="separate"/>
                    </w:r>
                    <w:r>
                      <w:t>1</w:t>
                    </w:r>
                    <w:r>
                      <w:fldChar w:fldCharType="end"/>
                    </w:r>
                  </w:p>
                </w:txbxContent>
              </v:textbox>
            </v:shape>
          </w:pict>
        </mc:Fallback>
      </mc:AlternateContent>
    </w:r>
  </w:p>
  <w:p w14:paraId="379AEAAC">
    <w:pPr>
      <w:pStyle w:val="9"/>
      <w:rPr>
        <w:rFonts w:hint="eastAsia" w:eastAsia="宋体"/>
        <w:lang w:val="en-US" w:eastAsia="zh-CN"/>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CC9346">
    <w:pPr>
      <w:pStyle w:val="9"/>
      <w:rPr>
        <w:rFonts w:hint="default" w:eastAsia="宋体"/>
        <w:lang w:val="en-US" w:eastAsia="zh-CN"/>
      </w:rPr>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999E50">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19999E50">
                    <w:pPr>
                      <w:pStyle w:val="9"/>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lang w:val="en-US" w:eastAsia="zh-CN"/>
      </w:rP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5AF75E">
    <w:pPr>
      <w:pStyle w:val="9"/>
      <w:jc w:val="center"/>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9C3C51">
                          <w:pPr>
                            <w:pStyle w:val="9"/>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629C3C51">
                    <w:pPr>
                      <w:pStyle w:val="9"/>
                    </w:pPr>
                    <w:r>
                      <w:fldChar w:fldCharType="begin"/>
                    </w:r>
                    <w:r>
                      <w:instrText xml:space="preserve"> PAGE  \* MERGEFORMAT </w:instrText>
                    </w:r>
                    <w:r>
                      <w:fldChar w:fldCharType="separate"/>
                    </w:r>
                    <w:r>
                      <w:t>2</w:t>
                    </w:r>
                    <w:r>
                      <w:fldChar w:fldCharType="end"/>
                    </w:r>
                  </w:p>
                </w:txbxContent>
              </v:textbox>
            </v:shape>
          </w:pict>
        </mc:Fallback>
      </mc:AlternateContent>
    </w:r>
  </w:p>
  <w:p w14:paraId="66D2283B">
    <w:pPr>
      <w:pStyle w:val="9"/>
      <w:rPr>
        <w:rFonts w:hint="eastAsia" w:eastAsia="宋体"/>
        <w:lang w:val="en-US" w:eastAsia="zh-CN"/>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81F6EF">
    <w:pPr>
      <w:pStyle w:val="9"/>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97A316">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497A316">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BE4F87">
    <w:pPr>
      <w:pStyle w:val="9"/>
      <w:jc w:val="center"/>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1FA82C">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3C1FA82C">
                    <w:pPr>
                      <w:pStyle w:val="9"/>
                    </w:pPr>
                    <w:r>
                      <w:fldChar w:fldCharType="begin"/>
                    </w:r>
                    <w:r>
                      <w:instrText xml:space="preserve"> PAGE  \* MERGEFORMAT </w:instrText>
                    </w:r>
                    <w:r>
                      <w:fldChar w:fldCharType="separate"/>
                    </w:r>
                    <w:r>
                      <w:t>1</w:t>
                    </w:r>
                    <w:r>
                      <w:fldChar w:fldCharType="end"/>
                    </w:r>
                  </w:p>
                </w:txbxContent>
              </v:textbox>
            </v:shape>
          </w:pict>
        </mc:Fallback>
      </mc:AlternateContent>
    </w:r>
  </w:p>
  <w:p w14:paraId="2160201B">
    <w:pPr>
      <w:pStyle w:val="9"/>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8B09FE">
    <w:pPr>
      <w:pStyle w:val="9"/>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AA61EE">
                          <w:pPr>
                            <w:pStyle w:val="9"/>
                          </w:pPr>
                          <w:r>
                            <w:fldChar w:fldCharType="begin"/>
                          </w:r>
                          <w:r>
                            <w:instrText xml:space="preserve"> PAGE  \* MERGEFORMAT </w:instrText>
                          </w:r>
                          <w:r>
                            <w:fldChar w:fldCharType="separate"/>
                          </w:r>
                          <w:r>
                            <w:t>47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67AA61EE">
                    <w:pPr>
                      <w:pStyle w:val="9"/>
                    </w:pPr>
                    <w:r>
                      <w:fldChar w:fldCharType="begin"/>
                    </w:r>
                    <w:r>
                      <w:instrText xml:space="preserve"> PAGE  \* MERGEFORMAT </w:instrText>
                    </w:r>
                    <w:r>
                      <w:fldChar w:fldCharType="separate"/>
                    </w:r>
                    <w:r>
                      <w:t>47</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25CF44">
    <w:pPr>
      <w:pStyle w:val="1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9C941C"/>
    <w:multiLevelType w:val="singleLevel"/>
    <w:tmpl w:val="989C941C"/>
    <w:lvl w:ilvl="0" w:tentative="0">
      <w:start w:val="3"/>
      <w:numFmt w:val="chineseCounting"/>
      <w:suff w:val="nothing"/>
      <w:lvlText w:val="（%1）"/>
      <w:lvlJc w:val="left"/>
      <w:pPr>
        <w:ind w:left="0" w:firstLine="0"/>
      </w:pPr>
      <w:rPr>
        <w:rFonts w:hint="eastAsia"/>
      </w:rPr>
    </w:lvl>
  </w:abstractNum>
  <w:abstractNum w:abstractNumId="1">
    <w:nsid w:val="A2A0E0C1"/>
    <w:multiLevelType w:val="singleLevel"/>
    <w:tmpl w:val="A2A0E0C1"/>
    <w:lvl w:ilvl="0" w:tentative="0">
      <w:start w:val="2"/>
      <w:numFmt w:val="chineseCounting"/>
      <w:suff w:val="nothing"/>
      <w:lvlText w:val="（%1）"/>
      <w:lvlJc w:val="left"/>
      <w:pPr>
        <w:ind w:left="20" w:hanging="20"/>
      </w:pPr>
      <w:rPr>
        <w:rFonts w:hint="eastAsia"/>
      </w:rPr>
    </w:lvl>
  </w:abstractNum>
  <w:abstractNum w:abstractNumId="2">
    <w:nsid w:val="A32B6746"/>
    <w:multiLevelType w:val="singleLevel"/>
    <w:tmpl w:val="A32B6746"/>
    <w:lvl w:ilvl="0" w:tentative="0">
      <w:start w:val="5"/>
      <w:numFmt w:val="chineseCounting"/>
      <w:suff w:val="space"/>
      <w:lvlText w:val="第%1部分"/>
      <w:lvlJc w:val="left"/>
      <w:rPr>
        <w:rFonts w:hint="eastAsia"/>
      </w:rPr>
    </w:lvl>
  </w:abstractNum>
  <w:abstractNum w:abstractNumId="3">
    <w:nsid w:val="615AA94D"/>
    <w:multiLevelType w:val="singleLevel"/>
    <w:tmpl w:val="615AA94D"/>
    <w:lvl w:ilvl="0" w:tentative="0">
      <w:start w:val="2"/>
      <w:numFmt w:val="chineseCounting"/>
      <w:suff w:val="nothing"/>
      <w:lvlText w:val="（%1）"/>
      <w:lvlJc w:val="left"/>
      <w:pPr>
        <w:ind w:left="0" w:firstLine="0"/>
      </w:pPr>
      <w:rPr>
        <w:rFonts w:hint="eastAsia"/>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AF71C2"/>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2AC"/>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1E4051"/>
    <w:rsid w:val="012A5EC2"/>
    <w:rsid w:val="01382BF0"/>
    <w:rsid w:val="015975B8"/>
    <w:rsid w:val="02033D0E"/>
    <w:rsid w:val="0248052C"/>
    <w:rsid w:val="028975AE"/>
    <w:rsid w:val="02FEBE30"/>
    <w:rsid w:val="03781351"/>
    <w:rsid w:val="03C15CB3"/>
    <w:rsid w:val="03C37100"/>
    <w:rsid w:val="03CF5817"/>
    <w:rsid w:val="043D24AB"/>
    <w:rsid w:val="04653DAA"/>
    <w:rsid w:val="047343F5"/>
    <w:rsid w:val="04877EA0"/>
    <w:rsid w:val="04916F1E"/>
    <w:rsid w:val="04E010E8"/>
    <w:rsid w:val="052D0A47"/>
    <w:rsid w:val="061E35DE"/>
    <w:rsid w:val="06640499"/>
    <w:rsid w:val="06670691"/>
    <w:rsid w:val="066E0107"/>
    <w:rsid w:val="06732DD2"/>
    <w:rsid w:val="076742CA"/>
    <w:rsid w:val="07996F6E"/>
    <w:rsid w:val="07CD00C5"/>
    <w:rsid w:val="07D17DB0"/>
    <w:rsid w:val="07DFD8BA"/>
    <w:rsid w:val="084F2523"/>
    <w:rsid w:val="084F33CB"/>
    <w:rsid w:val="08A94456"/>
    <w:rsid w:val="08FF7410"/>
    <w:rsid w:val="092D370C"/>
    <w:rsid w:val="093E76C7"/>
    <w:rsid w:val="095011A8"/>
    <w:rsid w:val="09867E8F"/>
    <w:rsid w:val="0992356F"/>
    <w:rsid w:val="09CF6571"/>
    <w:rsid w:val="09DE4A06"/>
    <w:rsid w:val="09F53889"/>
    <w:rsid w:val="0A2032A3"/>
    <w:rsid w:val="0A3724E9"/>
    <w:rsid w:val="0A7D421F"/>
    <w:rsid w:val="0AA87B3A"/>
    <w:rsid w:val="0ACA278E"/>
    <w:rsid w:val="0B2428ED"/>
    <w:rsid w:val="0B423028"/>
    <w:rsid w:val="0BD83386"/>
    <w:rsid w:val="0C2C3490"/>
    <w:rsid w:val="0C4548C9"/>
    <w:rsid w:val="0C741652"/>
    <w:rsid w:val="0CA8290A"/>
    <w:rsid w:val="0CFE5075"/>
    <w:rsid w:val="0D35B1ED"/>
    <w:rsid w:val="0D533015"/>
    <w:rsid w:val="0D676B23"/>
    <w:rsid w:val="0D7D4536"/>
    <w:rsid w:val="0DA87805"/>
    <w:rsid w:val="0DDA4562"/>
    <w:rsid w:val="0E172791"/>
    <w:rsid w:val="0E254B6B"/>
    <w:rsid w:val="0E5C05EF"/>
    <w:rsid w:val="0ED2559A"/>
    <w:rsid w:val="0F784FB5"/>
    <w:rsid w:val="0F98263C"/>
    <w:rsid w:val="101860EC"/>
    <w:rsid w:val="101F47CC"/>
    <w:rsid w:val="10C055FF"/>
    <w:rsid w:val="10FE58C3"/>
    <w:rsid w:val="114E2471"/>
    <w:rsid w:val="115832F0"/>
    <w:rsid w:val="11694EBD"/>
    <w:rsid w:val="1173012A"/>
    <w:rsid w:val="11772AA4"/>
    <w:rsid w:val="118107EC"/>
    <w:rsid w:val="11C672A5"/>
    <w:rsid w:val="11FA7F03"/>
    <w:rsid w:val="12256F37"/>
    <w:rsid w:val="124B339D"/>
    <w:rsid w:val="129B527E"/>
    <w:rsid w:val="12E24EE2"/>
    <w:rsid w:val="12EA20FD"/>
    <w:rsid w:val="13CE1647"/>
    <w:rsid w:val="13D50BC4"/>
    <w:rsid w:val="13F41C12"/>
    <w:rsid w:val="142F4403"/>
    <w:rsid w:val="145C0341"/>
    <w:rsid w:val="14B17F78"/>
    <w:rsid w:val="14C420E8"/>
    <w:rsid w:val="14DE58BA"/>
    <w:rsid w:val="15062A62"/>
    <w:rsid w:val="15200ECB"/>
    <w:rsid w:val="15205ED3"/>
    <w:rsid w:val="15406575"/>
    <w:rsid w:val="165E0673"/>
    <w:rsid w:val="166521A9"/>
    <w:rsid w:val="16A36DBB"/>
    <w:rsid w:val="16B831D5"/>
    <w:rsid w:val="16BB723D"/>
    <w:rsid w:val="16F476F4"/>
    <w:rsid w:val="16F649A7"/>
    <w:rsid w:val="17485BB5"/>
    <w:rsid w:val="17591B70"/>
    <w:rsid w:val="178C5AA1"/>
    <w:rsid w:val="17E50567"/>
    <w:rsid w:val="182C1032"/>
    <w:rsid w:val="186504BB"/>
    <w:rsid w:val="18B835D0"/>
    <w:rsid w:val="190C3911"/>
    <w:rsid w:val="19943CF9"/>
    <w:rsid w:val="19A445FC"/>
    <w:rsid w:val="19D35C0A"/>
    <w:rsid w:val="1A332204"/>
    <w:rsid w:val="1A9F789A"/>
    <w:rsid w:val="1AE1489F"/>
    <w:rsid w:val="1BBE01F3"/>
    <w:rsid w:val="1BE8440E"/>
    <w:rsid w:val="1BF24C7D"/>
    <w:rsid w:val="1BF27E9D"/>
    <w:rsid w:val="1C296B64"/>
    <w:rsid w:val="1C36422E"/>
    <w:rsid w:val="1C987FCD"/>
    <w:rsid w:val="1CFF6D16"/>
    <w:rsid w:val="1D155CEE"/>
    <w:rsid w:val="1D1638FE"/>
    <w:rsid w:val="1D484564"/>
    <w:rsid w:val="1D724AA4"/>
    <w:rsid w:val="1D85546D"/>
    <w:rsid w:val="1E312DEB"/>
    <w:rsid w:val="1E3819A8"/>
    <w:rsid w:val="1E740ACF"/>
    <w:rsid w:val="1E9D2342"/>
    <w:rsid w:val="1ECC7CDD"/>
    <w:rsid w:val="1F5C6CE3"/>
    <w:rsid w:val="1FDF698A"/>
    <w:rsid w:val="1FF35744"/>
    <w:rsid w:val="1FF6BC77"/>
    <w:rsid w:val="20251073"/>
    <w:rsid w:val="202D76F6"/>
    <w:rsid w:val="211C7E96"/>
    <w:rsid w:val="213A6FF8"/>
    <w:rsid w:val="2186353C"/>
    <w:rsid w:val="21BF6A73"/>
    <w:rsid w:val="21F8186C"/>
    <w:rsid w:val="22511DC1"/>
    <w:rsid w:val="22557E77"/>
    <w:rsid w:val="23131B18"/>
    <w:rsid w:val="234530D7"/>
    <w:rsid w:val="23860B96"/>
    <w:rsid w:val="23D305B4"/>
    <w:rsid w:val="240371BF"/>
    <w:rsid w:val="244F3473"/>
    <w:rsid w:val="24C97D99"/>
    <w:rsid w:val="25643F3A"/>
    <w:rsid w:val="25A718F0"/>
    <w:rsid w:val="25BB59F6"/>
    <w:rsid w:val="25C94DD3"/>
    <w:rsid w:val="25DC6C93"/>
    <w:rsid w:val="260F557C"/>
    <w:rsid w:val="26970054"/>
    <w:rsid w:val="26E2748C"/>
    <w:rsid w:val="26E34FB2"/>
    <w:rsid w:val="26FD2518"/>
    <w:rsid w:val="2786213D"/>
    <w:rsid w:val="27EC4E10"/>
    <w:rsid w:val="27FE6547"/>
    <w:rsid w:val="28135FC7"/>
    <w:rsid w:val="281408E2"/>
    <w:rsid w:val="285A0BA2"/>
    <w:rsid w:val="286677D8"/>
    <w:rsid w:val="28D23530"/>
    <w:rsid w:val="292F0982"/>
    <w:rsid w:val="295B52D4"/>
    <w:rsid w:val="299C6346"/>
    <w:rsid w:val="29FD04D3"/>
    <w:rsid w:val="2B1A1A14"/>
    <w:rsid w:val="2B1C0A93"/>
    <w:rsid w:val="2BA2368E"/>
    <w:rsid w:val="2BAC0068"/>
    <w:rsid w:val="2BB67139"/>
    <w:rsid w:val="2BFF7BC6"/>
    <w:rsid w:val="2C560C06"/>
    <w:rsid w:val="2C8A61B5"/>
    <w:rsid w:val="2CB10349"/>
    <w:rsid w:val="2D410C84"/>
    <w:rsid w:val="2D8A43D9"/>
    <w:rsid w:val="2D960FD0"/>
    <w:rsid w:val="2DF04E50"/>
    <w:rsid w:val="2DF31F7F"/>
    <w:rsid w:val="2E175A14"/>
    <w:rsid w:val="2E2E0121"/>
    <w:rsid w:val="2E5073D1"/>
    <w:rsid w:val="2E586DFA"/>
    <w:rsid w:val="2E7F1A64"/>
    <w:rsid w:val="2EBE13B7"/>
    <w:rsid w:val="2ED1017B"/>
    <w:rsid w:val="2F040D46"/>
    <w:rsid w:val="2F37527F"/>
    <w:rsid w:val="2F436F36"/>
    <w:rsid w:val="2F662571"/>
    <w:rsid w:val="2F6B035B"/>
    <w:rsid w:val="2F762E67"/>
    <w:rsid w:val="2F874BBE"/>
    <w:rsid w:val="2FAE5751"/>
    <w:rsid w:val="2FB1A395"/>
    <w:rsid w:val="2FB36C9F"/>
    <w:rsid w:val="2FCA46BE"/>
    <w:rsid w:val="2FCB0A06"/>
    <w:rsid w:val="2FD9A7D8"/>
    <w:rsid w:val="2FDBF714"/>
    <w:rsid w:val="30230E9C"/>
    <w:rsid w:val="307467A9"/>
    <w:rsid w:val="30AB6865"/>
    <w:rsid w:val="30C714A1"/>
    <w:rsid w:val="30D24087"/>
    <w:rsid w:val="30F73B34"/>
    <w:rsid w:val="310E70CF"/>
    <w:rsid w:val="319F7F4E"/>
    <w:rsid w:val="320449D6"/>
    <w:rsid w:val="32BD1EF1"/>
    <w:rsid w:val="3304709D"/>
    <w:rsid w:val="33A773CB"/>
    <w:rsid w:val="33CF2B46"/>
    <w:rsid w:val="349D6851"/>
    <w:rsid w:val="34B61F58"/>
    <w:rsid w:val="359F0C3E"/>
    <w:rsid w:val="35BA7826"/>
    <w:rsid w:val="35D2691D"/>
    <w:rsid w:val="362829E1"/>
    <w:rsid w:val="36301896"/>
    <w:rsid w:val="369E2CA4"/>
    <w:rsid w:val="36AA5135"/>
    <w:rsid w:val="36B44275"/>
    <w:rsid w:val="36BE0DA7"/>
    <w:rsid w:val="37591238"/>
    <w:rsid w:val="375A6BCB"/>
    <w:rsid w:val="376B6AA6"/>
    <w:rsid w:val="376D39B2"/>
    <w:rsid w:val="37CF5A51"/>
    <w:rsid w:val="37E16F03"/>
    <w:rsid w:val="37F53A3B"/>
    <w:rsid w:val="389B6C89"/>
    <w:rsid w:val="38D469F0"/>
    <w:rsid w:val="38DC78D9"/>
    <w:rsid w:val="390D66F3"/>
    <w:rsid w:val="3938118D"/>
    <w:rsid w:val="395A72F8"/>
    <w:rsid w:val="39627CCD"/>
    <w:rsid w:val="397BAF1F"/>
    <w:rsid w:val="399C171C"/>
    <w:rsid w:val="3A293762"/>
    <w:rsid w:val="3A5F274A"/>
    <w:rsid w:val="3AA0523C"/>
    <w:rsid w:val="3AB79AF3"/>
    <w:rsid w:val="3ACF78CF"/>
    <w:rsid w:val="3AE834C0"/>
    <w:rsid w:val="3B7EF35A"/>
    <w:rsid w:val="3B9FDB6C"/>
    <w:rsid w:val="3BD827B4"/>
    <w:rsid w:val="3BED44B1"/>
    <w:rsid w:val="3BF5BC2F"/>
    <w:rsid w:val="3C8841DA"/>
    <w:rsid w:val="3CEBA265"/>
    <w:rsid w:val="3D2A6BB4"/>
    <w:rsid w:val="3D527C28"/>
    <w:rsid w:val="3D566086"/>
    <w:rsid w:val="3D98207C"/>
    <w:rsid w:val="3DAD1539"/>
    <w:rsid w:val="3DC41242"/>
    <w:rsid w:val="3DE90CA8"/>
    <w:rsid w:val="3DEE7CF3"/>
    <w:rsid w:val="3E5C591E"/>
    <w:rsid w:val="3E6B3DB3"/>
    <w:rsid w:val="3E740A63"/>
    <w:rsid w:val="3E78745D"/>
    <w:rsid w:val="3EE17838"/>
    <w:rsid w:val="3EE72FA4"/>
    <w:rsid w:val="3F106A82"/>
    <w:rsid w:val="3F487C50"/>
    <w:rsid w:val="3F55381A"/>
    <w:rsid w:val="3F6F51DD"/>
    <w:rsid w:val="3F7F7599"/>
    <w:rsid w:val="3FF4CAE0"/>
    <w:rsid w:val="3FF7B227"/>
    <w:rsid w:val="40001975"/>
    <w:rsid w:val="40E1210B"/>
    <w:rsid w:val="41CD4704"/>
    <w:rsid w:val="421414B0"/>
    <w:rsid w:val="43056584"/>
    <w:rsid w:val="43607C5E"/>
    <w:rsid w:val="43B95972"/>
    <w:rsid w:val="442944F4"/>
    <w:rsid w:val="44D02BC2"/>
    <w:rsid w:val="44E26451"/>
    <w:rsid w:val="44E268DA"/>
    <w:rsid w:val="450D13D7"/>
    <w:rsid w:val="45277812"/>
    <w:rsid w:val="45506656"/>
    <w:rsid w:val="45D93CF8"/>
    <w:rsid w:val="46963E8D"/>
    <w:rsid w:val="469F0A9E"/>
    <w:rsid w:val="474627C0"/>
    <w:rsid w:val="47541A6F"/>
    <w:rsid w:val="47ED5839"/>
    <w:rsid w:val="48345216"/>
    <w:rsid w:val="484511D1"/>
    <w:rsid w:val="486A6C7A"/>
    <w:rsid w:val="48874F2B"/>
    <w:rsid w:val="48A51C70"/>
    <w:rsid w:val="49787A7C"/>
    <w:rsid w:val="49836892"/>
    <w:rsid w:val="4989333F"/>
    <w:rsid w:val="4A2423B4"/>
    <w:rsid w:val="4A297978"/>
    <w:rsid w:val="4A627F82"/>
    <w:rsid w:val="4ABD14F2"/>
    <w:rsid w:val="4AD056CA"/>
    <w:rsid w:val="4B0B4954"/>
    <w:rsid w:val="4B0E749A"/>
    <w:rsid w:val="4B2477C4"/>
    <w:rsid w:val="4B296B88"/>
    <w:rsid w:val="4B3C24D4"/>
    <w:rsid w:val="4B4F25DA"/>
    <w:rsid w:val="4BE068DB"/>
    <w:rsid w:val="4C8032D0"/>
    <w:rsid w:val="4C8A18A8"/>
    <w:rsid w:val="4CF25395"/>
    <w:rsid w:val="4D577224"/>
    <w:rsid w:val="4D6B792C"/>
    <w:rsid w:val="4DB74063"/>
    <w:rsid w:val="4DBF1CEB"/>
    <w:rsid w:val="4DC422BC"/>
    <w:rsid w:val="4DF0007C"/>
    <w:rsid w:val="4E2D698F"/>
    <w:rsid w:val="4EA2737D"/>
    <w:rsid w:val="4EAB630A"/>
    <w:rsid w:val="4ECE2238"/>
    <w:rsid w:val="4F6C6998"/>
    <w:rsid w:val="4F833267"/>
    <w:rsid w:val="4FB235F0"/>
    <w:rsid w:val="4FD82B29"/>
    <w:rsid w:val="4FE9BD67"/>
    <w:rsid w:val="4FFB052F"/>
    <w:rsid w:val="508640C4"/>
    <w:rsid w:val="50CF3D2E"/>
    <w:rsid w:val="50E7376D"/>
    <w:rsid w:val="528B1ED6"/>
    <w:rsid w:val="5302488E"/>
    <w:rsid w:val="53114AD1"/>
    <w:rsid w:val="53607919"/>
    <w:rsid w:val="536C693B"/>
    <w:rsid w:val="537E6D0A"/>
    <w:rsid w:val="53995FD7"/>
    <w:rsid w:val="53B86CFB"/>
    <w:rsid w:val="53F74C96"/>
    <w:rsid w:val="54D37F81"/>
    <w:rsid w:val="55170BA8"/>
    <w:rsid w:val="553218C9"/>
    <w:rsid w:val="56384123"/>
    <w:rsid w:val="566A26CC"/>
    <w:rsid w:val="567E1AA5"/>
    <w:rsid w:val="567F61F6"/>
    <w:rsid w:val="56C53C05"/>
    <w:rsid w:val="56E47B74"/>
    <w:rsid w:val="57175D52"/>
    <w:rsid w:val="57256D9D"/>
    <w:rsid w:val="57262D46"/>
    <w:rsid w:val="57423E07"/>
    <w:rsid w:val="574F6FF2"/>
    <w:rsid w:val="57654230"/>
    <w:rsid w:val="57723A3A"/>
    <w:rsid w:val="57835872"/>
    <w:rsid w:val="57914433"/>
    <w:rsid w:val="57BD3DD4"/>
    <w:rsid w:val="5866141B"/>
    <w:rsid w:val="58CB4300"/>
    <w:rsid w:val="590029F6"/>
    <w:rsid w:val="59551E0F"/>
    <w:rsid w:val="596C3A4E"/>
    <w:rsid w:val="59F574FE"/>
    <w:rsid w:val="5A1924BD"/>
    <w:rsid w:val="5A3115B5"/>
    <w:rsid w:val="5A8D18EA"/>
    <w:rsid w:val="5AA955EF"/>
    <w:rsid w:val="5AF92295"/>
    <w:rsid w:val="5B250254"/>
    <w:rsid w:val="5B5C0FA7"/>
    <w:rsid w:val="5B685DE6"/>
    <w:rsid w:val="5B831CF6"/>
    <w:rsid w:val="5BB3037A"/>
    <w:rsid w:val="5BDD79E6"/>
    <w:rsid w:val="5BE93F1D"/>
    <w:rsid w:val="5BF561CA"/>
    <w:rsid w:val="5BFF5DFC"/>
    <w:rsid w:val="5C2A0EF0"/>
    <w:rsid w:val="5C58551F"/>
    <w:rsid w:val="5CD71FC4"/>
    <w:rsid w:val="5CEE4EB7"/>
    <w:rsid w:val="5D1F11B5"/>
    <w:rsid w:val="5D695134"/>
    <w:rsid w:val="5DAE1B18"/>
    <w:rsid w:val="5DB669A1"/>
    <w:rsid w:val="5DC51FF6"/>
    <w:rsid w:val="5DDB1F64"/>
    <w:rsid w:val="5DE7D9E5"/>
    <w:rsid w:val="5E0636D9"/>
    <w:rsid w:val="5E4B59A9"/>
    <w:rsid w:val="5E5A37D0"/>
    <w:rsid w:val="5E5F029D"/>
    <w:rsid w:val="5E7B72A3"/>
    <w:rsid w:val="5EA47DA8"/>
    <w:rsid w:val="5ECEC941"/>
    <w:rsid w:val="5F73751B"/>
    <w:rsid w:val="5FBF9FF3"/>
    <w:rsid w:val="5FCD4E2C"/>
    <w:rsid w:val="5FEF394A"/>
    <w:rsid w:val="5FF67715"/>
    <w:rsid w:val="602816AC"/>
    <w:rsid w:val="602A71D2"/>
    <w:rsid w:val="60E47381"/>
    <w:rsid w:val="61B05787"/>
    <w:rsid w:val="61F53810"/>
    <w:rsid w:val="627209BD"/>
    <w:rsid w:val="62830E1C"/>
    <w:rsid w:val="62B815BD"/>
    <w:rsid w:val="62BF3928"/>
    <w:rsid w:val="62F61833"/>
    <w:rsid w:val="63B3701E"/>
    <w:rsid w:val="63B501DA"/>
    <w:rsid w:val="63B97090"/>
    <w:rsid w:val="63D95197"/>
    <w:rsid w:val="63FD075A"/>
    <w:rsid w:val="64073686"/>
    <w:rsid w:val="642108EC"/>
    <w:rsid w:val="6477675E"/>
    <w:rsid w:val="647F5392"/>
    <w:rsid w:val="64DE048A"/>
    <w:rsid w:val="657D6E7E"/>
    <w:rsid w:val="658C7FE7"/>
    <w:rsid w:val="65D016D6"/>
    <w:rsid w:val="65D86017"/>
    <w:rsid w:val="65E66580"/>
    <w:rsid w:val="66076A89"/>
    <w:rsid w:val="664663E8"/>
    <w:rsid w:val="664B1D71"/>
    <w:rsid w:val="664B4E8E"/>
    <w:rsid w:val="66A7157D"/>
    <w:rsid w:val="66CC60A0"/>
    <w:rsid w:val="66E95B54"/>
    <w:rsid w:val="67106F11"/>
    <w:rsid w:val="67277B67"/>
    <w:rsid w:val="67AA3209"/>
    <w:rsid w:val="67AB0BF9"/>
    <w:rsid w:val="67C73559"/>
    <w:rsid w:val="67D55CA3"/>
    <w:rsid w:val="68866F70"/>
    <w:rsid w:val="68C06926"/>
    <w:rsid w:val="68CB020A"/>
    <w:rsid w:val="69034A64"/>
    <w:rsid w:val="698D0931"/>
    <w:rsid w:val="69C935B8"/>
    <w:rsid w:val="6A7FE5F3"/>
    <w:rsid w:val="6AA622AB"/>
    <w:rsid w:val="6B053271"/>
    <w:rsid w:val="6B5477F9"/>
    <w:rsid w:val="6BCC3477"/>
    <w:rsid w:val="6BDD78B3"/>
    <w:rsid w:val="6C087E72"/>
    <w:rsid w:val="6C2A4EA3"/>
    <w:rsid w:val="6C4A05C8"/>
    <w:rsid w:val="6C8742B8"/>
    <w:rsid w:val="6D20022E"/>
    <w:rsid w:val="6D8C0420"/>
    <w:rsid w:val="6DBF5E93"/>
    <w:rsid w:val="6DFF077E"/>
    <w:rsid w:val="6E0B0643"/>
    <w:rsid w:val="6E571813"/>
    <w:rsid w:val="6E714EF0"/>
    <w:rsid w:val="6E7168AC"/>
    <w:rsid w:val="6E7E3605"/>
    <w:rsid w:val="6E7FDCC7"/>
    <w:rsid w:val="6E846C45"/>
    <w:rsid w:val="6EBD40AD"/>
    <w:rsid w:val="6ED6A62E"/>
    <w:rsid w:val="6EE00B15"/>
    <w:rsid w:val="6EF820EC"/>
    <w:rsid w:val="6F6FB3EB"/>
    <w:rsid w:val="6F8731EA"/>
    <w:rsid w:val="6FCE6052"/>
    <w:rsid w:val="6FD57C00"/>
    <w:rsid w:val="6FEB5BAC"/>
    <w:rsid w:val="6FEFFFD8"/>
    <w:rsid w:val="6FF5CC65"/>
    <w:rsid w:val="6FF9096F"/>
    <w:rsid w:val="6FFB47EC"/>
    <w:rsid w:val="6FFF034A"/>
    <w:rsid w:val="703A2811"/>
    <w:rsid w:val="7040659E"/>
    <w:rsid w:val="70484440"/>
    <w:rsid w:val="70D94A29"/>
    <w:rsid w:val="70EF6296"/>
    <w:rsid w:val="712A28F1"/>
    <w:rsid w:val="715C0E4B"/>
    <w:rsid w:val="71992E7C"/>
    <w:rsid w:val="71E35433"/>
    <w:rsid w:val="71F56214"/>
    <w:rsid w:val="72233669"/>
    <w:rsid w:val="725214F7"/>
    <w:rsid w:val="72734D90"/>
    <w:rsid w:val="73125FD0"/>
    <w:rsid w:val="73160E6D"/>
    <w:rsid w:val="7332FE48"/>
    <w:rsid w:val="733A72D5"/>
    <w:rsid w:val="73AB61DA"/>
    <w:rsid w:val="73AD73D5"/>
    <w:rsid w:val="73B6EB34"/>
    <w:rsid w:val="73FA497D"/>
    <w:rsid w:val="744731E5"/>
    <w:rsid w:val="74BBD01D"/>
    <w:rsid w:val="74D112E9"/>
    <w:rsid w:val="74EA4FDD"/>
    <w:rsid w:val="74ED5379"/>
    <w:rsid w:val="74F33BDF"/>
    <w:rsid w:val="75014FC1"/>
    <w:rsid w:val="75A94064"/>
    <w:rsid w:val="75DEEEC2"/>
    <w:rsid w:val="75E32345"/>
    <w:rsid w:val="75F10CA0"/>
    <w:rsid w:val="765406AD"/>
    <w:rsid w:val="76C03F95"/>
    <w:rsid w:val="76E3355F"/>
    <w:rsid w:val="76EF4DD1"/>
    <w:rsid w:val="76FA70BB"/>
    <w:rsid w:val="76FF5125"/>
    <w:rsid w:val="77040325"/>
    <w:rsid w:val="775E50CC"/>
    <w:rsid w:val="776F6FFA"/>
    <w:rsid w:val="778769C8"/>
    <w:rsid w:val="77A75DCA"/>
    <w:rsid w:val="77DC22F5"/>
    <w:rsid w:val="77E51529"/>
    <w:rsid w:val="77F71AF3"/>
    <w:rsid w:val="78104467"/>
    <w:rsid w:val="781F6A91"/>
    <w:rsid w:val="783E271A"/>
    <w:rsid w:val="785901FD"/>
    <w:rsid w:val="78616DE9"/>
    <w:rsid w:val="78B87E24"/>
    <w:rsid w:val="78CF2423"/>
    <w:rsid w:val="78E875D7"/>
    <w:rsid w:val="79086DAD"/>
    <w:rsid w:val="79505B08"/>
    <w:rsid w:val="79BF6786"/>
    <w:rsid w:val="79D7FD79"/>
    <w:rsid w:val="79EE5BA4"/>
    <w:rsid w:val="7A0214D8"/>
    <w:rsid w:val="7A0304BE"/>
    <w:rsid w:val="7A2B7977"/>
    <w:rsid w:val="7A7E27D8"/>
    <w:rsid w:val="7A894339"/>
    <w:rsid w:val="7AC85C6E"/>
    <w:rsid w:val="7AD284E8"/>
    <w:rsid w:val="7AE14018"/>
    <w:rsid w:val="7AFF7572"/>
    <w:rsid w:val="7B4C226B"/>
    <w:rsid w:val="7B5A49B8"/>
    <w:rsid w:val="7B6C7DFB"/>
    <w:rsid w:val="7BBFBED0"/>
    <w:rsid w:val="7BC3E394"/>
    <w:rsid w:val="7BDE0A0C"/>
    <w:rsid w:val="7C1F3737"/>
    <w:rsid w:val="7C405812"/>
    <w:rsid w:val="7CBFC87B"/>
    <w:rsid w:val="7CFE0F48"/>
    <w:rsid w:val="7D272ABC"/>
    <w:rsid w:val="7D67516A"/>
    <w:rsid w:val="7D787377"/>
    <w:rsid w:val="7D7EC23E"/>
    <w:rsid w:val="7D8253F9"/>
    <w:rsid w:val="7D9F4FD9"/>
    <w:rsid w:val="7DA35CC0"/>
    <w:rsid w:val="7E0150C3"/>
    <w:rsid w:val="7E495F66"/>
    <w:rsid w:val="7E7B580D"/>
    <w:rsid w:val="7E8ADEBF"/>
    <w:rsid w:val="7ECF1219"/>
    <w:rsid w:val="7EEF11D3"/>
    <w:rsid w:val="7EF61719"/>
    <w:rsid w:val="7EFE4840"/>
    <w:rsid w:val="7F011C50"/>
    <w:rsid w:val="7F0971A6"/>
    <w:rsid w:val="7F1D62E7"/>
    <w:rsid w:val="7F221118"/>
    <w:rsid w:val="7F2A749D"/>
    <w:rsid w:val="7F3F679B"/>
    <w:rsid w:val="7F4FC4EF"/>
    <w:rsid w:val="7F5E4D54"/>
    <w:rsid w:val="7F5F3341"/>
    <w:rsid w:val="7F6E0135"/>
    <w:rsid w:val="7F79F205"/>
    <w:rsid w:val="7FA30C79"/>
    <w:rsid w:val="7FA79C44"/>
    <w:rsid w:val="7FAF8ABF"/>
    <w:rsid w:val="7FB36445"/>
    <w:rsid w:val="7FB7269E"/>
    <w:rsid w:val="7FC21838"/>
    <w:rsid w:val="7FC96657"/>
    <w:rsid w:val="7FDA9588"/>
    <w:rsid w:val="7FDF220F"/>
    <w:rsid w:val="7FEDC5F7"/>
    <w:rsid w:val="7FEDD9DE"/>
    <w:rsid w:val="7FF13411"/>
    <w:rsid w:val="7FF5890D"/>
    <w:rsid w:val="7FF93490"/>
    <w:rsid w:val="99FF2014"/>
    <w:rsid w:val="A6DD0D7F"/>
    <w:rsid w:val="ACFF4FBB"/>
    <w:rsid w:val="ADC6F725"/>
    <w:rsid w:val="B7CF06AB"/>
    <w:rsid w:val="B7CFA926"/>
    <w:rsid w:val="B7F8786B"/>
    <w:rsid w:val="BABB6AA1"/>
    <w:rsid w:val="BB2F4199"/>
    <w:rsid w:val="BCFFB442"/>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E9BE81"/>
    <w:rsid w:val="DFFFA9E8"/>
    <w:rsid w:val="E5F4E9DC"/>
    <w:rsid w:val="E70FE695"/>
    <w:rsid w:val="EB2E368B"/>
    <w:rsid w:val="ECFED1BC"/>
    <w:rsid w:val="ED1D69BB"/>
    <w:rsid w:val="ED7FD312"/>
    <w:rsid w:val="EF2E1AC6"/>
    <w:rsid w:val="EF53993F"/>
    <w:rsid w:val="EF6FD633"/>
    <w:rsid w:val="EFBFB2F4"/>
    <w:rsid w:val="EFBFFA21"/>
    <w:rsid w:val="F2BEBCB8"/>
    <w:rsid w:val="F36FB518"/>
    <w:rsid w:val="F3DE1A04"/>
    <w:rsid w:val="F3F722E5"/>
    <w:rsid w:val="F4FBCD07"/>
    <w:rsid w:val="FA5F1E70"/>
    <w:rsid w:val="FA5FDB97"/>
    <w:rsid w:val="FB7F486A"/>
    <w:rsid w:val="FBFF5B2E"/>
    <w:rsid w:val="FD7FFE2B"/>
    <w:rsid w:val="FDEE196B"/>
    <w:rsid w:val="FDFE6575"/>
    <w:rsid w:val="FEDFDDC2"/>
    <w:rsid w:val="FEED32F6"/>
    <w:rsid w:val="FEF781DD"/>
    <w:rsid w:val="FF3F7E3F"/>
    <w:rsid w:val="FFBA12D7"/>
    <w:rsid w:val="FFCBD314"/>
    <w:rsid w:val="FFDFF91C"/>
    <w:rsid w:val="FFDFFAEE"/>
    <w:rsid w:val="FFEF6777"/>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f">
      <v:fill on="t" focussize="0,0"/>
      <v:stroke on="f"/>
      <v:shadow on="t" obscured="f" color="#000000" opacity="32768f" offset="6pt,-6pt" offset2="0pt,0pt" origin="0f,0f" matrix="65536f,0f,0f,65536f,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2">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5"/>
    <w:qFormat/>
    <w:uiPriority w:val="99"/>
    <w:pPr>
      <w:spacing w:beforeLines="30"/>
    </w:pPr>
    <w:rPr>
      <w:rFonts w:ascii="仿宋_GB2312" w:eastAsia="仿宋_GB2312"/>
      <w:kern w:val="0"/>
      <w:sz w:val="30"/>
    </w:rPr>
  </w:style>
  <w:style w:type="paragraph" w:styleId="6">
    <w:name w:val="Body Text Indent"/>
    <w:basedOn w:val="1"/>
    <w:qFormat/>
    <w:uiPriority w:val="0"/>
    <w:pPr>
      <w:spacing w:after="120"/>
      <w:ind w:leftChars="200"/>
    </w:pPr>
    <w:rPr>
      <w:rFonts w:ascii="仿宋_GB2312"/>
      <w:szCs w:val="32"/>
    </w:rPr>
  </w:style>
  <w:style w:type="paragraph" w:styleId="7">
    <w:name w:val="toc 3"/>
    <w:basedOn w:val="1"/>
    <w:next w:val="1"/>
    <w:unhideWhenUsed/>
    <w:qFormat/>
    <w:uiPriority w:val="39"/>
    <w:pPr>
      <w:tabs>
        <w:tab w:val="right" w:leader="dot" w:pos="8296"/>
      </w:tabs>
      <w:ind w:left="840" w:leftChars="400"/>
    </w:pPr>
  </w:style>
  <w:style w:type="paragraph" w:styleId="8">
    <w:name w:val="Balloon Text"/>
    <w:basedOn w:val="1"/>
    <w:link w:val="31"/>
    <w:semiHidden/>
    <w:unhideWhenUsed/>
    <w:qFormat/>
    <w:uiPriority w:val="99"/>
    <w:rPr>
      <w:sz w:val="18"/>
      <w:szCs w:val="18"/>
    </w:rPr>
  </w:style>
  <w:style w:type="paragraph" w:styleId="9">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0">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1">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2">
    <w:name w:val="footnote text"/>
    <w:basedOn w:val="1"/>
    <w:next w:val="13"/>
    <w:semiHidden/>
    <w:qFormat/>
    <w:uiPriority w:val="0"/>
    <w:pPr>
      <w:snapToGrid w:val="0"/>
      <w:jc w:val="left"/>
    </w:pPr>
    <w:rPr>
      <w:sz w:val="18"/>
      <w:szCs w:val="18"/>
    </w:rPr>
  </w:style>
  <w:style w:type="paragraph" w:styleId="13">
    <w:name w:val="Body Text First Indent 2"/>
    <w:basedOn w:val="6"/>
    <w:unhideWhenUsed/>
    <w:qFormat/>
    <w:uiPriority w:val="99"/>
    <w:pPr>
      <w:ind w:firstLine="420" w:firstLineChars="200"/>
    </w:p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0"/>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9"/>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5"/>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3"/>
    <w:qFormat/>
    <w:uiPriority w:val="9"/>
    <w:rPr>
      <w:rFonts w:ascii="Times New Roman" w:hAnsi="Times New Roman"/>
      <w:b/>
      <w:bCs/>
      <w:kern w:val="44"/>
      <w:sz w:val="44"/>
      <w:szCs w:val="44"/>
    </w:rPr>
  </w:style>
  <w:style w:type="character" w:customStyle="1" w:styleId="29">
    <w:name w:val="标题 2 Char"/>
    <w:basedOn w:val="16"/>
    <w:link w:val="4"/>
    <w:qFormat/>
    <w:uiPriority w:val="9"/>
    <w:rPr>
      <w:rFonts w:asciiTheme="majorHAnsi" w:hAnsiTheme="majorHAnsi" w:eastAsiaTheme="majorEastAsia" w:cstheme="majorBidi"/>
      <w:b/>
      <w:bCs/>
      <w:kern w:val="2"/>
      <w:sz w:val="32"/>
      <w:szCs w:val="32"/>
    </w:rPr>
  </w:style>
  <w:style w:type="paragraph" w:customStyle="1" w:styleId="30">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8"/>
    <w:semiHidden/>
    <w:qFormat/>
    <w:uiPriority w:val="99"/>
    <w:rPr>
      <w:rFonts w:ascii="Times New Roman" w:hAnsi="Times New Roman"/>
      <w:kern w:val="2"/>
      <w:sz w:val="18"/>
      <w:szCs w:val="18"/>
    </w:rPr>
  </w:style>
  <w:style w:type="character" w:customStyle="1" w:styleId="32">
    <w:name w:val="标题 3 Char"/>
    <w:basedOn w:val="16"/>
    <w:link w:val="2"/>
    <w:qFormat/>
    <w:uiPriority w:val="9"/>
    <w:rPr>
      <w:rFonts w:ascii="Times New Roman" w:hAnsi="Times New Roman"/>
      <w:b/>
      <w:bCs/>
      <w:kern w:val="2"/>
      <w:sz w:val="32"/>
      <w:szCs w:val="32"/>
    </w:rPr>
  </w:style>
  <w:style w:type="paragraph" w:customStyle="1" w:styleId="33">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5">
    <w:name w:val="WPSOffice手动目录 1"/>
    <w:qFormat/>
    <w:uiPriority w:val="0"/>
    <w:pPr>
      <w:ind w:leftChars="0"/>
    </w:pPr>
    <w:rPr>
      <w:rFonts w:ascii="Times New Roman" w:hAnsi="Times New Roman" w:eastAsia="方正小标宋简体" w:cs="Times New Roman"/>
      <w:sz w:val="20"/>
      <w:szCs w:val="20"/>
    </w:rPr>
  </w:style>
  <w:style w:type="paragraph" w:customStyle="1" w:styleId="36">
    <w:name w:val="WPSOffice手动目录 2"/>
    <w:qFormat/>
    <w:uiPriority w:val="0"/>
    <w:pPr>
      <w:ind w:leftChars="200"/>
    </w:pPr>
    <w:rPr>
      <w:rFonts w:ascii="Times New Roman" w:hAnsi="Times New Roman" w:eastAsia="方正小标宋简体" w:cs="Times New Roman"/>
      <w:sz w:val="20"/>
      <w:szCs w:val="20"/>
    </w:rPr>
  </w:style>
  <w:style w:type="paragraph" w:customStyle="1" w:styleId="37">
    <w:name w:val="WPSOffice手动目录 3"/>
    <w:qFormat/>
    <w:uiPriority w:val="0"/>
    <w:pPr>
      <w:ind w:leftChars="400"/>
    </w:pPr>
    <w:rPr>
      <w:rFonts w:ascii="Times New Roman" w:hAnsi="Times New Roman" w:eastAsia="方正小标宋简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1" Type="http://schemas.openxmlformats.org/officeDocument/2006/relationships/fontTable" Target="fontTable.xml"/><Relationship Id="rId30" Type="http://schemas.openxmlformats.org/officeDocument/2006/relationships/numbering" Target="numbering.xml"/><Relationship Id="rId3" Type="http://schemas.openxmlformats.org/officeDocument/2006/relationships/header" Target="header1.xml"/><Relationship Id="rId29" Type="http://schemas.openxmlformats.org/officeDocument/2006/relationships/customXml" Target="../customXml/item1.xml"/><Relationship Id="rId28" Type="http://schemas.openxmlformats.org/officeDocument/2006/relationships/image" Target="media/image8.emf"/><Relationship Id="rId27" Type="http://schemas.openxmlformats.org/officeDocument/2006/relationships/oleObject" Target="embeddings/oleObject8.bin"/><Relationship Id="rId26" Type="http://schemas.openxmlformats.org/officeDocument/2006/relationships/image" Target="media/image7.emf"/><Relationship Id="rId25" Type="http://schemas.openxmlformats.org/officeDocument/2006/relationships/oleObject" Target="embeddings/oleObject7.bin"/><Relationship Id="rId24" Type="http://schemas.openxmlformats.org/officeDocument/2006/relationships/image" Target="media/image6.emf"/><Relationship Id="rId23" Type="http://schemas.openxmlformats.org/officeDocument/2006/relationships/oleObject" Target="embeddings/oleObject6.bin"/><Relationship Id="rId22" Type="http://schemas.openxmlformats.org/officeDocument/2006/relationships/image" Target="media/image5.emf"/><Relationship Id="rId21" Type="http://schemas.openxmlformats.org/officeDocument/2006/relationships/oleObject" Target="embeddings/oleObject5.bin"/><Relationship Id="rId20" Type="http://schemas.openxmlformats.org/officeDocument/2006/relationships/image" Target="media/image4.emf"/><Relationship Id="rId2" Type="http://schemas.openxmlformats.org/officeDocument/2006/relationships/settings" Target="settings.xml"/><Relationship Id="rId19" Type="http://schemas.openxmlformats.org/officeDocument/2006/relationships/oleObject" Target="embeddings/oleObject4.bin"/><Relationship Id="rId18" Type="http://schemas.openxmlformats.org/officeDocument/2006/relationships/image" Target="media/image3.emf"/><Relationship Id="rId17" Type="http://schemas.openxmlformats.org/officeDocument/2006/relationships/oleObject" Target="embeddings/oleObject3.bin"/><Relationship Id="rId16" Type="http://schemas.openxmlformats.org/officeDocument/2006/relationships/image" Target="media/image2.emf"/><Relationship Id="rId15" Type="http://schemas.openxmlformats.org/officeDocument/2006/relationships/oleObject" Target="embeddings/oleObject2.bin"/><Relationship Id="rId14" Type="http://schemas.openxmlformats.org/officeDocument/2006/relationships/image" Target="media/image1.emf"/><Relationship Id="rId13" Type="http://schemas.openxmlformats.org/officeDocument/2006/relationships/oleObject" Target="embeddings/oleObject1.bin"/><Relationship Id="rId12" Type="http://schemas.openxmlformats.org/officeDocument/2006/relationships/theme" Target="theme/theme1.xml"/><Relationship Id="rId11" Type="http://schemas.openxmlformats.org/officeDocument/2006/relationships/footer" Target="footer8.xml"/><Relationship Id="rId10" Type="http://schemas.openxmlformats.org/officeDocument/2006/relationships/footer" Target="footer7.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Info spid="_x0000_s2050"/>
    <customShpInfo spid="_x0000_s2051"/>
    <customShpInfo spid="_x0000_s2057"/>
    <customShpInfo spid="_x0000_s2053"/>
    <customShpInfo spid="_x0000_s2054"/>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23</Pages>
  <Words>4802</Words>
  <Characters>5246</Characters>
  <Lines>61</Lines>
  <Paragraphs>17</Paragraphs>
  <TotalTime>13</TotalTime>
  <ScaleCrop>false</ScaleCrop>
  <LinksUpToDate>false</LinksUpToDate>
  <CharactersWithSpaces>5385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2020-08-09T09:49:00Z</dcterms:created>
  <dc:creator>曹颖</dc:creator>
  <cp:lastModifiedBy>WPS_1723539882</cp:lastModifiedBy>
  <cp:lastPrinted>2026-09-01T07:13:00Z</cp:lastPrinted>
  <dcterms:modified xsi:type="dcterms:W3CDTF">2026-09-01T09:32:46Z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EF67612F91384B76A2317B20413C1DBB_13</vt:lpwstr>
  </property>
  <property fmtid="{D5CDD505-2E9C-101B-9397-08002B2CF9AE}" pid="4" name="KSOTemplateDocerSaveRecord">
    <vt:lpwstr>eyJoZGlkIjoiYTlkZmU2ZDVlN2IzZDNlY2VkN2UwMjIyZmY1YmViNzIiLCJ1c2VySWQiOiIxNjIzMDQzODE5In0=</vt:lpwstr>
  </property>
</Properties>
</file>