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695FE">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77193"/>
      <w:bookmarkStart w:id="3" w:name="_Toc15396597"/>
      <w:bookmarkStart w:id="4" w:name="_Toc15378441"/>
      <w:bookmarkStart w:id="5" w:name="_Toc15306267"/>
    </w:p>
    <w:p w14:paraId="397F4358">
      <w:pPr>
        <w:pStyle w:val="6"/>
        <w:rPr>
          <w:rFonts w:hint="eastAsia" w:ascii="Times New Roman" w:hAnsi="Times New Roman" w:eastAsia="方正小标宋简体" w:cs="Times New Roman"/>
          <w:color w:val="auto"/>
          <w:kern w:val="2"/>
          <w:sz w:val="72"/>
          <w:szCs w:val="72"/>
          <w:highlight w:val="none"/>
          <w:lang w:val="en-US" w:eastAsia="zh-CN" w:bidi="ar-SA"/>
        </w:rPr>
      </w:pPr>
    </w:p>
    <w:p w14:paraId="6B85451F">
      <w:pPr>
        <w:pStyle w:val="6"/>
        <w:rPr>
          <w:rFonts w:hint="eastAsia" w:ascii="Times New Roman" w:hAnsi="Times New Roman" w:eastAsia="方正小标宋简体" w:cs="Times New Roman"/>
          <w:color w:val="auto"/>
          <w:kern w:val="2"/>
          <w:sz w:val="72"/>
          <w:szCs w:val="72"/>
          <w:highlight w:val="none"/>
          <w:lang w:val="en-US" w:eastAsia="zh-CN" w:bidi="ar-SA"/>
        </w:rPr>
      </w:pPr>
    </w:p>
    <w:p w14:paraId="4F499478">
      <w:pPr>
        <w:pStyle w:val="6"/>
        <w:jc w:val="center"/>
        <w:rPr>
          <w:rFonts w:hint="eastAsia" w:ascii="方正小标宋简体" w:eastAsia="方正小标宋简体" w:cs="Times New Roman"/>
          <w:color w:val="auto"/>
          <w:kern w:val="2"/>
          <w:sz w:val="44"/>
          <w:szCs w:val="44"/>
          <w:highlight w:val="none"/>
          <w:lang w:val="en-US" w:eastAsia="zh-CN" w:bidi="ar-SA"/>
        </w:rPr>
      </w:pPr>
      <w:r>
        <w:rPr>
          <w:rFonts w:hint="eastAsia" w:ascii="方正小标宋简体" w:eastAsia="方正小标宋简体" w:cs="Times New Roman"/>
          <w:color w:val="auto"/>
          <w:kern w:val="2"/>
          <w:sz w:val="44"/>
          <w:szCs w:val="44"/>
          <w:highlight w:val="none"/>
          <w:lang w:val="en-US" w:eastAsia="zh-CN" w:bidi="ar-SA"/>
        </w:rPr>
        <w:t>2025年度</w:t>
      </w:r>
      <w:bookmarkStart w:id="6" w:name="_Toc15378442"/>
      <w:bookmarkStart w:id="7" w:name="_Toc15396476"/>
      <w:bookmarkStart w:id="8" w:name="_Toc15377194"/>
      <w:bookmarkStart w:id="9" w:name="_Toc15396598"/>
      <w:bookmarkStart w:id="10" w:name="_Toc15377426"/>
      <w:r>
        <w:rPr>
          <w:rFonts w:hint="eastAsia" w:ascii="方正小标宋简体" w:eastAsia="方正小标宋简体" w:cs="Times New Roman"/>
          <w:color w:val="auto"/>
          <w:kern w:val="2"/>
          <w:sz w:val="44"/>
          <w:szCs w:val="44"/>
          <w:highlight w:val="none"/>
          <w:lang w:val="en-US" w:eastAsia="zh-CN" w:bidi="ar-SA"/>
        </w:rPr>
        <w:t>四川省阿坝州</w:t>
      </w:r>
    </w:p>
    <w:p w14:paraId="0E02E0E5">
      <w:pPr>
        <w:pStyle w:val="6"/>
        <w:jc w:val="center"/>
        <w:rPr>
          <w:rFonts w:hint="eastAsia" w:ascii="方正小标宋简体" w:eastAsia="方正小标宋简体" w:cs="Times New Roman"/>
          <w:color w:val="auto"/>
          <w:kern w:val="2"/>
          <w:sz w:val="44"/>
          <w:szCs w:val="44"/>
          <w:highlight w:val="none"/>
          <w:lang w:val="en-US" w:eastAsia="zh-CN" w:bidi="ar-SA"/>
        </w:rPr>
      </w:pPr>
      <w:r>
        <w:rPr>
          <w:rFonts w:hint="eastAsia" w:ascii="方正小标宋简体" w:eastAsia="方正小标宋简体" w:cs="Times New Roman"/>
          <w:color w:val="auto"/>
          <w:kern w:val="2"/>
          <w:sz w:val="44"/>
          <w:szCs w:val="44"/>
          <w:highlight w:val="none"/>
          <w:lang w:val="en-US" w:eastAsia="zh-CN" w:bidi="ar-SA"/>
        </w:rPr>
        <w:t>茂县</w:t>
      </w:r>
      <w:bookmarkStart w:id="11" w:name="_Toc15306268"/>
      <w:r>
        <w:rPr>
          <w:rFonts w:hint="eastAsia" w:ascii="方正小标宋简体" w:eastAsia="方正小标宋简体" w:cs="Times New Roman"/>
          <w:color w:val="auto"/>
          <w:kern w:val="2"/>
          <w:sz w:val="44"/>
          <w:szCs w:val="44"/>
          <w:highlight w:val="none"/>
          <w:lang w:val="en-US" w:eastAsia="zh-CN" w:bidi="ar-SA"/>
        </w:rPr>
        <w:t>国有资产管理中心单位决算</w:t>
      </w:r>
      <w:bookmarkEnd w:id="6"/>
      <w:bookmarkEnd w:id="7"/>
      <w:bookmarkEnd w:id="8"/>
      <w:bookmarkEnd w:id="9"/>
      <w:bookmarkEnd w:id="10"/>
      <w:bookmarkEnd w:id="11"/>
      <w:r>
        <w:rPr>
          <w:rFonts w:hint="eastAsia" w:ascii="方正小标宋简体" w:eastAsia="方正小标宋简体" w:cs="Times New Roman"/>
          <w:color w:val="auto"/>
          <w:kern w:val="2"/>
          <w:sz w:val="44"/>
          <w:szCs w:val="44"/>
          <w:highlight w:val="none"/>
          <w:lang w:val="en-US" w:eastAsia="zh-CN" w:bidi="ar-SA"/>
        </w:rPr>
        <w:t>公开</w:t>
      </w:r>
    </w:p>
    <w:p w14:paraId="571547CF">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01EDF800">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1142DCA5">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73249BCF">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7CFFD28D">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674D23DB">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17144271">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2EF5FA6A">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608832E1">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38ED8C6C">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25BB8CF0">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2B9D8635">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53628F50">
      <w:pPr>
        <w:widowControl/>
        <w:suppressAutoHyphens/>
        <w:jc w:val="center"/>
        <w:rPr>
          <w:rFonts w:hint="eastAsia" w:ascii="黑体" w:eastAsia="黑体"/>
          <w:color w:val="auto"/>
          <w:sz w:val="48"/>
          <w:szCs w:val="48"/>
          <w:highlight w:val="none"/>
        </w:rPr>
      </w:pPr>
      <w:bookmarkStart w:id="12" w:name="_Toc15396599"/>
      <w:bookmarkStart w:id="13" w:name="_Toc15377196"/>
      <w:r>
        <w:rPr>
          <w:rFonts w:hint="eastAsia" w:ascii="黑体" w:eastAsia="黑体"/>
          <w:color w:val="auto"/>
          <w:sz w:val="48"/>
          <w:szCs w:val="48"/>
          <w:highlight w:val="none"/>
        </w:rPr>
        <w:t>目录</w:t>
      </w:r>
    </w:p>
    <w:p w14:paraId="75A5F6C4">
      <w:pPr>
        <w:widowControl/>
        <w:suppressAutoHyphens/>
        <w:jc w:val="center"/>
        <w:rPr>
          <w:rFonts w:hint="eastAsia" w:ascii="黑体" w:eastAsia="黑体" w:cs="Times New Roman"/>
          <w:color w:val="auto"/>
          <w:sz w:val="28"/>
          <w:szCs w:val="28"/>
          <w:highlight w:val="none"/>
          <w:lang w:bidi="ar-SA"/>
        </w:rPr>
      </w:pPr>
    </w:p>
    <w:p w14:paraId="3BAB6A81">
      <w:pPr>
        <w:pStyle w:val="13"/>
        <w:outlineLvl w:val="0"/>
        <w:rPr>
          <w:color w:val="auto"/>
          <w:highlight w:val="none"/>
        </w:rPr>
      </w:pPr>
      <w:bookmarkStart w:id="14" w:name="_Toc16400"/>
      <w:bookmarkStart w:id="15" w:name="_Toc18841"/>
      <w:bookmarkStart w:id="16" w:name="_Toc9044"/>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4</w:t>
      </w:r>
      <w:r>
        <w:rPr>
          <w:rFonts w:hint="eastAsia"/>
          <w:color w:val="auto"/>
          <w:highlight w:val="none"/>
        </w:rPr>
        <w:t>日</w:t>
      </w:r>
      <w:bookmarkEnd w:id="14"/>
      <w:bookmarkEnd w:id="15"/>
      <w:bookmarkEnd w:id="16"/>
    </w:p>
    <w:p w14:paraId="6CAF9D90">
      <w:pPr>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rPr>
          <w:rFonts w:hint="eastAsia" w:ascii="仿宋_GB2312" w:hAnsi="仿宋_GB2312" w:eastAsia="仿宋_GB2312" w:cs="仿宋_GB2312"/>
          <w:b w:val="0"/>
          <w:sz w:val="24"/>
        </w:rPr>
      </w:pPr>
      <w:r>
        <w:rPr>
          <w:rFonts w:hint="eastAsia" w:ascii="仿宋_GB2312" w:hAnsi="仿宋_GB2312" w:eastAsia="仿宋_GB2312" w:cs="仿宋_GB2312"/>
          <w:b w:val="0"/>
          <w:sz w:val="24"/>
          <w:szCs w:val="21"/>
        </w:rPr>
        <w:fldChar w:fldCharType="begin"/>
      </w:r>
      <w:r>
        <w:rPr>
          <w:rFonts w:hint="eastAsia" w:ascii="仿宋_GB2312" w:hAnsi="仿宋_GB2312" w:eastAsia="仿宋_GB2312" w:cs="仿宋_GB2312"/>
          <w:b w:val="0"/>
          <w:sz w:val="24"/>
          <w:szCs w:val="21"/>
        </w:rPr>
        <w:instrText xml:space="preserve">TOC \o "1-2" \h \u </w:instrText>
      </w:r>
      <w:r>
        <w:rPr>
          <w:rFonts w:hint="eastAsia" w:ascii="仿宋_GB2312" w:hAnsi="仿宋_GB2312" w:eastAsia="仿宋_GB2312" w:cs="仿宋_GB2312"/>
          <w:b w:val="0"/>
          <w:sz w:val="24"/>
          <w:szCs w:val="21"/>
        </w:rPr>
        <w:fldChar w:fldCharType="separate"/>
      </w:r>
      <w:r>
        <w:rPr>
          <w:rFonts w:hint="eastAsia" w:ascii="仿宋_GB2312" w:hAnsi="仿宋_GB2312" w:eastAsia="仿宋_GB2312" w:cs="仿宋_GB2312"/>
          <w:b w:val="0"/>
          <w:sz w:val="24"/>
        </w:rPr>
        <w:fldChar w:fldCharType="begin"/>
      </w:r>
      <w:r>
        <w:rPr>
          <w:rFonts w:hint="eastAsia" w:ascii="仿宋_GB2312" w:hAnsi="仿宋_GB2312" w:eastAsia="仿宋_GB2312" w:cs="仿宋_GB2312"/>
          <w:b w:val="0"/>
          <w:sz w:val="24"/>
        </w:rPr>
        <w:instrText xml:space="preserve">TOC \o "1-3" \h \u </w:instrText>
      </w:r>
      <w:r>
        <w:rPr>
          <w:rFonts w:hint="eastAsia" w:ascii="仿宋_GB2312" w:hAnsi="仿宋_GB2312" w:eastAsia="仿宋_GB2312" w:cs="仿宋_GB2312"/>
          <w:b w:val="0"/>
          <w:sz w:val="24"/>
        </w:rPr>
        <w:fldChar w:fldCharType="separate"/>
      </w:r>
    </w:p>
    <w:p w14:paraId="1F9A26A3">
      <w:pPr>
        <w:pStyle w:val="3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黑体" w:hAnsi="黑体" w:eastAsia="黑体" w:cs="黑体"/>
          <w:b w:val="0"/>
          <w:sz w:val="24"/>
        </w:rPr>
      </w:pPr>
      <w:r>
        <w:rPr>
          <w:rFonts w:hint="eastAsia" w:ascii="黑体" w:hAnsi="黑体" w:eastAsia="黑体" w:cs="黑体"/>
          <w:b w:val="0"/>
          <w:sz w:val="24"/>
        </w:rPr>
        <w:fldChar w:fldCharType="begin"/>
      </w:r>
      <w:r>
        <w:rPr>
          <w:rFonts w:hint="eastAsia" w:ascii="黑体" w:hAnsi="黑体" w:eastAsia="黑体" w:cs="黑体"/>
          <w:b w:val="0"/>
          <w:sz w:val="24"/>
        </w:rPr>
        <w:instrText xml:space="preserve"> HYPERLINK \l _Toc6748 </w:instrText>
      </w:r>
      <w:r>
        <w:rPr>
          <w:rFonts w:hint="eastAsia" w:ascii="黑体" w:hAnsi="黑体" w:eastAsia="黑体" w:cs="黑体"/>
          <w:b w:val="0"/>
          <w:sz w:val="24"/>
        </w:rPr>
        <w:fldChar w:fldCharType="separate"/>
      </w:r>
      <w:r>
        <w:rPr>
          <w:rFonts w:hint="eastAsia" w:ascii="黑体" w:hAnsi="黑体" w:eastAsia="黑体" w:cs="黑体"/>
          <w:b w:val="0"/>
          <w:sz w:val="32"/>
          <w:szCs w:val="32"/>
          <w:highlight w:val="none"/>
        </w:rPr>
        <w:t xml:space="preserve">第一部分 </w:t>
      </w:r>
      <w:r>
        <w:rPr>
          <w:rFonts w:hint="eastAsia" w:ascii="黑体" w:hAnsi="黑体" w:eastAsia="黑体" w:cs="黑体"/>
          <w:b w:val="0"/>
          <w:sz w:val="32"/>
          <w:szCs w:val="32"/>
          <w:highlight w:val="none"/>
          <w:lang w:eastAsia="zh-CN"/>
        </w:rPr>
        <w:t>单位</w:t>
      </w:r>
      <w:r>
        <w:rPr>
          <w:rFonts w:hint="eastAsia" w:ascii="黑体" w:hAnsi="黑体" w:eastAsia="黑体" w:cs="黑体"/>
          <w:b w:val="0"/>
          <w:kern w:val="44"/>
          <w:sz w:val="32"/>
          <w:szCs w:val="32"/>
          <w:highlight w:val="none"/>
        </w:rPr>
        <w:t>概况</w:t>
      </w:r>
      <w:r>
        <w:rPr>
          <w:rFonts w:hint="eastAsia" w:ascii="黑体" w:hAnsi="黑体" w:eastAsia="黑体" w:cs="黑体"/>
          <w:b w:val="0"/>
          <w:sz w:val="24"/>
        </w:rPr>
        <w:tab/>
      </w:r>
      <w:r>
        <w:rPr>
          <w:rFonts w:hint="eastAsia" w:ascii="仿宋_GB2312" w:hAnsi="仿宋_GB2312" w:eastAsia="仿宋_GB2312" w:cs="仿宋_GB2312"/>
          <w:b w:val="0"/>
          <w:sz w:val="32"/>
          <w:szCs w:val="32"/>
          <w:lang w:val="en-US" w:eastAsia="zh-CN"/>
        </w:rPr>
        <w:t>4</w:t>
      </w:r>
      <w:r>
        <w:rPr>
          <w:rFonts w:hint="eastAsia" w:ascii="黑体" w:hAnsi="黑体" w:eastAsia="黑体" w:cs="黑体"/>
          <w:b w:val="0"/>
          <w:sz w:val="24"/>
        </w:rPr>
        <w:fldChar w:fldCharType="end"/>
      </w:r>
    </w:p>
    <w:p w14:paraId="023228AF">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_Toc3888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eastAsia="zh-CN"/>
        </w:rPr>
        <w:t>一、主要</w:t>
      </w:r>
      <w:r>
        <w:rPr>
          <w:rFonts w:hint="eastAsia" w:ascii="仿宋_GB2312" w:hAnsi="仿宋_GB2312" w:eastAsia="仿宋_GB2312" w:cs="仿宋_GB2312"/>
          <w:b w:val="0"/>
          <w:sz w:val="32"/>
          <w:szCs w:val="32"/>
          <w:highlight w:val="none"/>
          <w:lang w:eastAsia="zh-CN"/>
        </w:rPr>
        <w:t>职责</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4</w:t>
      </w:r>
      <w:r>
        <w:rPr>
          <w:rFonts w:hint="eastAsia" w:ascii="仿宋_GB2312" w:hAnsi="仿宋_GB2312" w:eastAsia="仿宋_GB2312" w:cs="仿宋_GB2312"/>
          <w:b w:val="0"/>
          <w:sz w:val="32"/>
          <w:szCs w:val="32"/>
        </w:rPr>
        <w:fldChar w:fldCharType="end"/>
      </w:r>
    </w:p>
    <w:p w14:paraId="644CF9D9">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24"/>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_Toc7237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二、机构设置</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4</w:t>
      </w:r>
      <w:r>
        <w:rPr>
          <w:rFonts w:hint="eastAsia" w:ascii="仿宋_GB2312" w:hAnsi="仿宋_GB2312" w:eastAsia="仿宋_GB2312" w:cs="仿宋_GB2312"/>
          <w:b w:val="0"/>
          <w:sz w:val="32"/>
          <w:szCs w:val="32"/>
        </w:rPr>
        <w:fldChar w:fldCharType="end"/>
      </w:r>
    </w:p>
    <w:p w14:paraId="5DF297FB">
      <w:pPr>
        <w:pStyle w:val="3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24"/>
        </w:rPr>
      </w:pPr>
      <w:r>
        <w:rPr>
          <w:rFonts w:hint="eastAsia" w:ascii="黑体" w:hAnsi="黑体" w:eastAsia="黑体" w:cs="黑体"/>
          <w:b w:val="0"/>
          <w:sz w:val="24"/>
        </w:rPr>
        <w:fldChar w:fldCharType="begin"/>
      </w:r>
      <w:r>
        <w:rPr>
          <w:rFonts w:hint="eastAsia" w:ascii="黑体" w:hAnsi="黑体" w:eastAsia="黑体" w:cs="黑体"/>
          <w:b w:val="0"/>
          <w:sz w:val="24"/>
        </w:rPr>
        <w:instrText xml:space="preserve"> HYPERLINK \l _Toc13045 </w:instrText>
      </w:r>
      <w:r>
        <w:rPr>
          <w:rFonts w:hint="eastAsia" w:ascii="黑体" w:hAnsi="黑体" w:eastAsia="黑体" w:cs="黑体"/>
          <w:b w:val="0"/>
          <w:sz w:val="24"/>
        </w:rPr>
        <w:fldChar w:fldCharType="separate"/>
      </w:r>
      <w:r>
        <w:rPr>
          <w:rFonts w:hint="eastAsia" w:ascii="黑体" w:hAnsi="黑体" w:eastAsia="黑体" w:cs="黑体"/>
          <w:b w:val="0"/>
          <w:sz w:val="32"/>
          <w:szCs w:val="32"/>
          <w:highlight w:val="none"/>
        </w:rPr>
        <w:t xml:space="preserve">第二部分 </w:t>
      </w:r>
      <w:r>
        <w:rPr>
          <w:rFonts w:hint="eastAsia" w:ascii="黑体" w:hAnsi="黑体" w:eastAsia="黑体" w:cs="黑体"/>
          <w:b w:val="0"/>
          <w:sz w:val="32"/>
          <w:szCs w:val="32"/>
          <w:highlight w:val="none"/>
          <w:lang w:val="en-US" w:eastAsia="zh-CN"/>
        </w:rPr>
        <w:t>2025年度单位</w:t>
      </w:r>
      <w:r>
        <w:rPr>
          <w:rFonts w:hint="eastAsia" w:ascii="黑体" w:hAnsi="黑体" w:eastAsia="黑体" w:cs="黑体"/>
          <w:b w:val="0"/>
          <w:bCs w:val="0"/>
          <w:sz w:val="32"/>
          <w:szCs w:val="32"/>
          <w:highlight w:val="none"/>
        </w:rPr>
        <w:t>决</w:t>
      </w:r>
      <w:r>
        <w:rPr>
          <w:rFonts w:hint="eastAsia" w:ascii="黑体" w:hAnsi="黑体" w:eastAsia="黑体" w:cs="黑体"/>
          <w:b w:val="0"/>
          <w:kern w:val="44"/>
          <w:sz w:val="32"/>
          <w:szCs w:val="32"/>
          <w:highlight w:val="none"/>
        </w:rPr>
        <w:t>算情况说明</w:t>
      </w:r>
      <w:r>
        <w:rPr>
          <w:rFonts w:hint="eastAsia" w:ascii="黑体" w:hAnsi="黑体" w:eastAsia="黑体" w:cs="黑体"/>
          <w:b w:val="0"/>
          <w:sz w:val="24"/>
        </w:rPr>
        <w:tab/>
      </w:r>
      <w:r>
        <w:rPr>
          <w:rFonts w:hint="eastAsia" w:ascii="仿宋_GB2312" w:hAnsi="仿宋_GB2312" w:eastAsia="仿宋_GB2312" w:cs="仿宋_GB2312"/>
          <w:b w:val="0"/>
          <w:sz w:val="32"/>
          <w:szCs w:val="32"/>
          <w:lang w:val="en-US" w:eastAsia="zh-CN"/>
        </w:rPr>
        <w:t>5</w:t>
      </w:r>
      <w:r>
        <w:rPr>
          <w:rFonts w:hint="eastAsia" w:ascii="黑体" w:hAnsi="黑体" w:eastAsia="黑体" w:cs="黑体"/>
          <w:b w:val="0"/>
          <w:sz w:val="24"/>
        </w:rPr>
        <w:fldChar w:fldCharType="end"/>
      </w:r>
    </w:p>
    <w:p w14:paraId="71891E3C">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_Toc10557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一、</w:t>
      </w:r>
      <w:r>
        <w:rPr>
          <w:rFonts w:hint="eastAsia" w:ascii="仿宋_GB2312" w:hAnsi="仿宋_GB2312" w:eastAsia="仿宋_GB2312" w:cs="仿宋_GB2312"/>
          <w:b w:val="0"/>
          <w:sz w:val="32"/>
          <w:szCs w:val="32"/>
          <w:highlight w:val="none"/>
        </w:rPr>
        <w:t>收入支出决算总体情况说明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32"/>
          <w:szCs w:val="32"/>
        </w:rPr>
        <w:fldChar w:fldCharType="end"/>
      </w:r>
    </w:p>
    <w:p w14:paraId="02C9E6CB">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_Toc23600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lang w:val="en-US" w:eastAsia="zh-CN"/>
        </w:rPr>
        <w:t>二、</w:t>
      </w:r>
      <w:r>
        <w:rPr>
          <w:rFonts w:hint="eastAsia" w:ascii="仿宋_GB2312" w:hAnsi="仿宋_GB2312" w:eastAsia="仿宋_GB2312" w:cs="仿宋_GB2312"/>
          <w:b w:val="0"/>
          <w:sz w:val="32"/>
          <w:szCs w:val="32"/>
          <w:highlight w:val="none"/>
        </w:rPr>
        <w:t>收入决算情况说明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32"/>
          <w:szCs w:val="32"/>
        </w:rPr>
        <w:fldChar w:fldCharType="end"/>
      </w:r>
    </w:p>
    <w:p w14:paraId="558F2897">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_Toc10593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lang w:eastAsia="zh-CN"/>
        </w:rPr>
        <w:t>三、</w:t>
      </w:r>
      <w:r>
        <w:rPr>
          <w:rFonts w:hint="eastAsia" w:ascii="仿宋_GB2312" w:hAnsi="仿宋_GB2312" w:eastAsia="仿宋_GB2312" w:cs="仿宋_GB2312"/>
          <w:b w:val="0"/>
          <w:sz w:val="32"/>
          <w:szCs w:val="32"/>
          <w:highlight w:val="none"/>
        </w:rPr>
        <w:t>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6</w:t>
      </w:r>
      <w:r>
        <w:rPr>
          <w:rFonts w:hint="eastAsia" w:ascii="仿宋_GB2312" w:hAnsi="仿宋_GB2312" w:eastAsia="仿宋_GB2312" w:cs="仿宋_GB2312"/>
          <w:b w:val="0"/>
          <w:sz w:val="32"/>
          <w:szCs w:val="32"/>
        </w:rPr>
        <w:fldChar w:fldCharType="end"/>
      </w:r>
    </w:p>
    <w:p w14:paraId="36503219">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_Toc17258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四、财政拨款收入支出决算总体情况说明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7</w:t>
      </w:r>
      <w:r>
        <w:rPr>
          <w:rFonts w:hint="eastAsia" w:ascii="仿宋_GB2312" w:hAnsi="仿宋_GB2312" w:eastAsia="仿宋_GB2312" w:cs="仿宋_GB2312"/>
          <w:b w:val="0"/>
          <w:sz w:val="32"/>
          <w:szCs w:val="32"/>
        </w:rPr>
        <w:fldChar w:fldCharType="end"/>
      </w:r>
    </w:p>
    <w:p w14:paraId="71FFD73E">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_Toc5879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五、一般公共预算财政拨款支出决算情况说明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8</w:t>
      </w:r>
      <w:r>
        <w:rPr>
          <w:rFonts w:hint="eastAsia" w:ascii="仿宋_GB2312" w:hAnsi="仿宋_GB2312" w:eastAsia="仿宋_GB2312" w:cs="仿宋_GB2312"/>
          <w:b w:val="0"/>
          <w:sz w:val="32"/>
          <w:szCs w:val="32"/>
        </w:rPr>
        <w:fldChar w:fldCharType="end"/>
      </w:r>
    </w:p>
    <w:p w14:paraId="66EAFFA8">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_Toc27644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六、一般公共预算财政拨款基本支出决算情况说明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lang w:val="en-US" w:eastAsia="zh-CN"/>
        </w:rPr>
        <w:t>1</w:t>
      </w:r>
    </w:p>
    <w:p w14:paraId="6C19CED7">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_Toc22870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七、财政拨款“三公”经费支出决算情况说明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lang w:val="en-US" w:eastAsia="zh-CN"/>
        </w:rPr>
        <w:t>1</w:t>
      </w:r>
    </w:p>
    <w:p w14:paraId="0A75EE0A">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_Toc18219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highlight w:val="none"/>
        </w:rPr>
        <w:t>八、政府性基金预算支出决算情况说明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lang w:val="en-US" w:eastAsia="zh-CN"/>
        </w:rPr>
        <w:t>2</w:t>
      </w:r>
    </w:p>
    <w:p w14:paraId="02CE0DB6">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_Toc25979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九、</w:t>
      </w:r>
      <w:r>
        <w:rPr>
          <w:rFonts w:hint="eastAsia" w:ascii="仿宋_GB2312" w:hAnsi="仿宋_GB2312" w:eastAsia="仿宋_GB2312" w:cs="仿宋_GB2312"/>
          <w:b w:val="0"/>
          <w:sz w:val="32"/>
          <w:szCs w:val="32"/>
          <w:highlight w:val="none"/>
        </w:rPr>
        <w:t>国有资本经营预算支出决算情况说明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lang w:val="en-US" w:eastAsia="zh-CN"/>
        </w:rPr>
        <w:t>2</w:t>
      </w:r>
    </w:p>
    <w:p w14:paraId="187B40BB">
      <w:pPr>
        <w:pStyle w:val="36"/>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_Toc16287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十、</w:t>
      </w:r>
      <w:r>
        <w:rPr>
          <w:rFonts w:hint="eastAsia" w:ascii="仿宋_GB2312" w:hAnsi="仿宋_GB2312" w:eastAsia="仿宋_GB2312" w:cs="仿宋_GB2312"/>
          <w:b w:val="0"/>
          <w:sz w:val="32"/>
          <w:szCs w:val="32"/>
          <w:highlight w:val="none"/>
        </w:rPr>
        <w:t>其他重要事项的情况说明</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lang w:val="en-US" w:eastAsia="zh-CN"/>
        </w:rPr>
        <w:t>2</w:t>
      </w:r>
    </w:p>
    <w:p w14:paraId="183F12A7">
      <w:pPr>
        <w:pStyle w:val="3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default"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24"/>
          <w:szCs w:val="20"/>
        </w:rPr>
        <w:fldChar w:fldCharType="begin"/>
      </w:r>
      <w:r>
        <w:rPr>
          <w:rFonts w:hint="eastAsia" w:ascii="仿宋_GB2312" w:hAnsi="仿宋_GB2312" w:eastAsia="仿宋_GB2312" w:cs="仿宋_GB2312"/>
          <w:b w:val="0"/>
          <w:sz w:val="24"/>
          <w:szCs w:val="20"/>
        </w:rPr>
        <w:instrText xml:space="preserve"> HYPERLINK \l _Toc16539 </w:instrText>
      </w:r>
      <w:r>
        <w:rPr>
          <w:rFonts w:hint="eastAsia" w:ascii="仿宋_GB2312" w:hAnsi="仿宋_GB2312" w:eastAsia="仿宋_GB2312" w:cs="仿宋_GB2312"/>
          <w:b w:val="0"/>
          <w:sz w:val="24"/>
          <w:szCs w:val="20"/>
        </w:rPr>
        <w:fldChar w:fldCharType="separate"/>
      </w:r>
      <w:r>
        <w:rPr>
          <w:rFonts w:hint="eastAsia" w:ascii="黑体" w:hAnsi="黑体" w:eastAsia="黑体" w:cs="黑体"/>
          <w:b w:val="0"/>
          <w:sz w:val="32"/>
          <w:szCs w:val="32"/>
        </w:rPr>
        <w:t>第三部分 名词解释</w:t>
      </w:r>
      <w:r>
        <w:rPr>
          <w:rFonts w:hint="eastAsia" w:ascii="仿宋_GB2312" w:hAnsi="仿宋_GB2312" w:eastAsia="仿宋_GB2312" w:cs="仿宋_GB2312"/>
          <w:b w:val="0"/>
          <w:sz w:val="24"/>
          <w:szCs w:val="20"/>
        </w:rPr>
        <w:tab/>
      </w:r>
      <w:r>
        <w:rPr>
          <w:rFonts w:hint="eastAsia" w:ascii="仿宋_GB2312" w:hAnsi="仿宋_GB2312" w:eastAsia="仿宋_GB2312" w:cs="仿宋_GB2312"/>
          <w:b w:val="0"/>
          <w:sz w:val="24"/>
          <w:szCs w:val="20"/>
        </w:rPr>
        <w:fldChar w:fldCharType="end"/>
      </w:r>
      <w:r>
        <w:rPr>
          <w:rFonts w:hint="eastAsia" w:ascii="仿宋_GB2312" w:hAnsi="仿宋_GB2312" w:eastAsia="仿宋_GB2312" w:cs="仿宋_GB2312"/>
          <w:b w:val="0"/>
          <w:sz w:val="32"/>
          <w:szCs w:val="32"/>
          <w:lang w:val="en-US" w:eastAsia="zh-CN"/>
        </w:rPr>
        <w:t>12</w:t>
      </w:r>
    </w:p>
    <w:p w14:paraId="51619C31">
      <w:pPr>
        <w:pStyle w:val="3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黑体" w:hAnsi="黑体" w:eastAsia="黑体" w:cs="黑体"/>
          <w:b w:val="0"/>
          <w:sz w:val="24"/>
          <w:lang w:val="en-US" w:eastAsia="zh-CN"/>
        </w:rPr>
      </w:pPr>
      <w:r>
        <w:rPr>
          <w:rFonts w:hint="eastAsia" w:ascii="黑体" w:hAnsi="黑体" w:eastAsia="黑体" w:cs="黑体"/>
          <w:b w:val="0"/>
          <w:sz w:val="24"/>
        </w:rPr>
        <w:fldChar w:fldCharType="begin"/>
      </w:r>
      <w:r>
        <w:rPr>
          <w:rFonts w:hint="eastAsia" w:ascii="黑体" w:hAnsi="黑体" w:eastAsia="黑体" w:cs="黑体"/>
          <w:b w:val="0"/>
          <w:sz w:val="24"/>
        </w:rPr>
        <w:instrText xml:space="preserve"> HYPERLINK \l _Toc21723 </w:instrText>
      </w:r>
      <w:r>
        <w:rPr>
          <w:rFonts w:hint="eastAsia" w:ascii="黑体" w:hAnsi="黑体" w:eastAsia="黑体" w:cs="黑体"/>
          <w:b w:val="0"/>
          <w:sz w:val="24"/>
        </w:rPr>
        <w:fldChar w:fldCharType="separate"/>
      </w:r>
      <w:r>
        <w:rPr>
          <w:rFonts w:hint="eastAsia" w:ascii="黑体" w:hAnsi="黑体" w:eastAsia="黑体" w:cs="黑体"/>
          <w:b w:val="0"/>
          <w:sz w:val="32"/>
          <w:szCs w:val="32"/>
          <w:highlight w:val="none"/>
        </w:rPr>
        <w:t>第四部分 附件</w:t>
      </w:r>
      <w:r>
        <w:rPr>
          <w:rFonts w:hint="eastAsia" w:ascii="黑体" w:hAnsi="黑体" w:eastAsia="黑体" w:cs="黑体"/>
          <w:b w:val="0"/>
          <w:sz w:val="24"/>
        </w:rPr>
        <w:tab/>
      </w:r>
      <w:r>
        <w:rPr>
          <w:rFonts w:hint="eastAsia" w:ascii="仿宋_GB2312" w:hAnsi="仿宋_GB2312" w:eastAsia="仿宋_GB2312" w:cs="仿宋_GB2312"/>
          <w:b w:val="0"/>
          <w:sz w:val="32"/>
          <w:szCs w:val="32"/>
          <w:lang w:val="en-US" w:eastAsia="zh-CN"/>
        </w:rPr>
        <w:t>1</w:t>
      </w:r>
      <w:r>
        <w:rPr>
          <w:rFonts w:hint="eastAsia" w:ascii="黑体" w:hAnsi="黑体" w:eastAsia="黑体" w:cs="黑体"/>
          <w:b w:val="0"/>
          <w:sz w:val="24"/>
        </w:rPr>
        <w:fldChar w:fldCharType="end"/>
      </w:r>
      <w:r>
        <w:rPr>
          <w:rFonts w:hint="eastAsia" w:ascii="黑体" w:hAnsi="黑体" w:eastAsia="黑体" w:cs="黑体"/>
          <w:b w:val="0"/>
          <w:sz w:val="32"/>
          <w:szCs w:val="32"/>
          <w:lang w:val="en-US" w:eastAsia="zh-CN"/>
        </w:rPr>
        <w:t>4</w:t>
      </w:r>
    </w:p>
    <w:p w14:paraId="70693878">
      <w:pPr>
        <w:pStyle w:val="3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val="0"/>
          <w:sz w:val="24"/>
        </w:rPr>
      </w:pPr>
      <w:r>
        <w:rPr>
          <w:rFonts w:hint="eastAsia" w:ascii="黑体" w:hAnsi="黑体" w:eastAsia="黑体" w:cs="黑体"/>
          <w:b w:val="0"/>
          <w:sz w:val="24"/>
        </w:rPr>
        <w:fldChar w:fldCharType="begin"/>
      </w:r>
      <w:r>
        <w:rPr>
          <w:rFonts w:hint="eastAsia" w:ascii="黑体" w:hAnsi="黑体" w:eastAsia="黑体" w:cs="黑体"/>
          <w:b w:val="0"/>
          <w:sz w:val="24"/>
        </w:rPr>
        <w:instrText xml:space="preserve"> HYPERLINK \l _Toc20028 </w:instrText>
      </w:r>
      <w:r>
        <w:rPr>
          <w:rFonts w:hint="eastAsia" w:ascii="黑体" w:hAnsi="黑体" w:eastAsia="黑体" w:cs="黑体"/>
          <w:b w:val="0"/>
          <w:sz w:val="24"/>
        </w:rPr>
        <w:fldChar w:fldCharType="separate"/>
      </w:r>
      <w:r>
        <w:rPr>
          <w:rFonts w:hint="eastAsia" w:ascii="黑体" w:hAnsi="黑体" w:eastAsia="黑体" w:cs="黑体"/>
          <w:b w:val="0"/>
          <w:sz w:val="32"/>
          <w:szCs w:val="32"/>
          <w:highlight w:val="none"/>
        </w:rPr>
        <w:t>第五部分 附表</w:t>
      </w:r>
      <w:r>
        <w:rPr>
          <w:rFonts w:hint="eastAsia" w:ascii="黑体" w:hAnsi="黑体" w:eastAsia="黑体" w:cs="黑体"/>
          <w:b w:val="0"/>
          <w:sz w:val="24"/>
        </w:rPr>
        <w:tab/>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24"/>
          <w:szCs w:val="20"/>
        </w:rPr>
        <w:fldChar w:fldCharType="end"/>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24"/>
        </w:rPr>
        <w:fldChar w:fldCharType="end"/>
      </w:r>
    </w:p>
    <w:p w14:paraId="7C361BB1">
      <w:pPr>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sz w:val="32"/>
          <w:szCs w:val="32"/>
          <w:lang w:val="en-US" w:eastAsia="zh-CN"/>
        </w:rPr>
      </w:pPr>
      <w:r>
        <w:rPr>
          <w:rFonts w:hint="eastAsia"/>
          <w:b w:val="0"/>
          <w:sz w:val="24"/>
          <w:lang w:val="en-US" w:eastAsia="zh-CN"/>
        </w:rPr>
        <w:t xml:space="preserve">    </w:t>
      </w:r>
      <w:r>
        <w:rPr>
          <w:rFonts w:hint="eastAsia" w:ascii="仿宋_GB2312" w:hAnsi="仿宋_GB2312" w:eastAsia="仿宋_GB2312" w:cs="仿宋_GB2312"/>
          <w:b w:val="0"/>
          <w:sz w:val="32"/>
          <w:szCs w:val="32"/>
          <w:lang w:val="en-US" w:eastAsia="zh-CN"/>
        </w:rPr>
        <w:t>一、收入支出决算总表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56FE9FF0">
      <w:pPr>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 xml:space="preserve">    二、收入决算表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3211B8CB">
      <w:pPr>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 xml:space="preserve">    三、支出决算表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32225A54">
      <w:pPr>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 xml:space="preserve">    四、财政拨款收入支出决算总表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218A101F">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五、财政拨款支出决算明细表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4689B2C8">
      <w:pPr>
        <w:pStyle w:val="15"/>
        <w:adjustRightInd w:val="0"/>
        <w:snapToGrid w:val="0"/>
        <w:spacing w:line="440" w:lineRule="exact"/>
        <w:jc w:val="left"/>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color w:val="auto"/>
          <w:sz w:val="32"/>
          <w:szCs w:val="32"/>
          <w:highlight w:val="none"/>
        </w:rPr>
        <w:t>六、一般公共预算财政拨款支出决算表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109AA6F8">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七、一般公共预算财政拨款支出决算明细表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61629357">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八、一般公共预算财政拨款基本支出决算</w:t>
      </w:r>
      <w:r>
        <w:rPr>
          <w:rFonts w:hint="eastAsia" w:ascii="仿宋_GB2312" w:hAnsi="仿宋_GB2312" w:eastAsia="仿宋_GB2312" w:cs="仿宋_GB2312"/>
          <w:color w:val="auto"/>
          <w:sz w:val="32"/>
          <w:szCs w:val="32"/>
          <w:highlight w:val="none"/>
          <w:lang w:eastAsia="zh-CN"/>
        </w:rPr>
        <w:t>明细</w:t>
      </w: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0DCE05CF">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九、一般公共预算财政拨款项目支出决算表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71CF71DC">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1CB42C96">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21607EF3">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十二、</w:t>
      </w:r>
      <w:r>
        <w:rPr>
          <w:rFonts w:hint="eastAsia" w:ascii="仿宋_GB2312" w:hAnsi="仿宋_GB2312"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3B589AC6">
      <w:pPr>
        <w:pStyle w:val="15"/>
        <w:adjustRightInd w:val="0"/>
        <w:snapToGrid w:val="0"/>
        <w:spacing w:line="440" w:lineRule="exact"/>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十三、财政拨款“三公”经费支出决算表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lang w:val="en-US" w:eastAsia="zh-CN"/>
        </w:rPr>
        <w:t>15</w:t>
      </w:r>
    </w:p>
    <w:p w14:paraId="376DF81B">
      <w:pPr>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sz w:val="32"/>
          <w:szCs w:val="32"/>
          <w:lang w:val="en-US" w:eastAsia="zh-CN"/>
        </w:rPr>
      </w:pPr>
    </w:p>
    <w:p w14:paraId="3D0941A0">
      <w:pPr>
        <w:pStyle w:val="15"/>
        <w:keepNext w:val="0"/>
        <w:keepLines w:val="0"/>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05A8CC4C">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234852DC">
      <w:pPr>
        <w:pStyle w:val="13"/>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4B1D24E5">
      <w:pPr>
        <w:pStyle w:val="15"/>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15123CA6">
      <w:pPr>
        <w:pStyle w:val="15"/>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0740ABFA">
      <w:pPr>
        <w:pStyle w:val="15"/>
        <w:pageBreakBefore w:val="0"/>
        <w:tabs>
          <w:tab w:val="right" w:leader="dot" w:pos="8306"/>
          <w:tab w:val="clear" w:pos="8296"/>
        </w:tabs>
        <w:kinsoku/>
        <w:wordWrap/>
        <w:overflowPunct/>
        <w:topLinePunct w:val="0"/>
        <w:autoSpaceDE/>
        <w:autoSpaceDN/>
        <w:bidi w:val="0"/>
        <w:adjustRightInd/>
        <w:snapToGrid/>
        <w:spacing w:line="360" w:lineRule="auto"/>
        <w:textAlignment w:val="auto"/>
        <w:rPr>
          <w:b w:val="0"/>
          <w:sz w:val="24"/>
        </w:rPr>
      </w:pPr>
    </w:p>
    <w:p w14:paraId="50DCA16D">
      <w:pPr>
        <w:pStyle w:val="3"/>
        <w:jc w:val="center"/>
        <w:rPr>
          <w:rStyle w:val="28"/>
          <w:rFonts w:hint="eastAsia" w:ascii="Times New Roman" w:hAnsi="Times New Roman" w:eastAsia="方正小标宋简体" w:cs="方正小标宋简体"/>
          <w:b/>
          <w:bCs w:val="0"/>
          <w:color w:val="auto"/>
          <w:highlight w:val="none"/>
        </w:rPr>
      </w:pPr>
      <w:r>
        <w:rPr>
          <w:rFonts w:hint="eastAsia" w:ascii="仿宋_GB2312" w:hAnsi="仿宋_GB2312" w:eastAsia="仿宋_GB2312" w:cs="仿宋_GB2312"/>
          <w:b w:val="0"/>
          <w:sz w:val="24"/>
          <w:szCs w:val="21"/>
        </w:rPr>
        <w:fldChar w:fldCharType="end"/>
      </w: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eastAsia="zh-CN"/>
        </w:rPr>
        <w:t>单位</w:t>
      </w:r>
      <w:r>
        <w:rPr>
          <w:rStyle w:val="28"/>
          <w:rFonts w:hint="eastAsia" w:ascii="Times New Roman" w:hAnsi="Times New Roman" w:eastAsia="方正小标宋简体" w:cs="方正小标宋简体"/>
          <w:b w:val="0"/>
          <w:bCs w:val="0"/>
          <w:color w:val="auto"/>
          <w:highlight w:val="none"/>
        </w:rPr>
        <w:t>概况</w:t>
      </w:r>
      <w:bookmarkEnd w:id="12"/>
      <w:bookmarkEnd w:id="13"/>
    </w:p>
    <w:p w14:paraId="108E1181">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ascii="仿宋_GB2312" w:eastAsia="仿宋_GB2312" w:cs="仿宋_GB2312"/>
          <w:bCs/>
          <w:color w:val="000000"/>
          <w:sz w:val="32"/>
          <w:szCs w:val="32"/>
          <w:lang w:bidi="ar-SA"/>
        </w:rPr>
      </w:pPr>
      <w:r>
        <w:rPr>
          <w:rFonts w:hint="eastAsia" w:eastAsia="黑体"/>
          <w:b w:val="0"/>
          <w:color w:val="auto"/>
          <w:highlight w:val="none"/>
          <w:lang w:eastAsia="zh-CN"/>
        </w:rPr>
        <w:t>一、单位</w:t>
      </w:r>
      <w:r>
        <w:rPr>
          <w:rFonts w:hint="eastAsia" w:ascii="Times New Roman" w:hAnsi="Times New Roman" w:eastAsia="黑体"/>
          <w:b w:val="0"/>
          <w:color w:val="auto"/>
          <w:highlight w:val="none"/>
          <w:lang w:eastAsia="zh-CN"/>
        </w:rPr>
        <w:t>职责</w:t>
      </w:r>
      <w:bookmarkStart w:id="17" w:name="_Toc23420"/>
      <w:bookmarkStart w:id="18" w:name="_Toc2091"/>
    </w:p>
    <w:p w14:paraId="20D6870D">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lang w:eastAsia="zh-CN"/>
        </w:rPr>
      </w:pPr>
      <w:r>
        <w:rPr>
          <w:rFonts w:hint="eastAsia" w:ascii="仿宋_GB2312" w:eastAsia="仿宋_GB2312" w:cs="仿宋_GB2312"/>
          <w:b w:val="0"/>
          <w:bCs w:val="0"/>
          <w:color w:val="000000"/>
          <w:sz w:val="32"/>
          <w:szCs w:val="32"/>
          <w:lang w:bidi="ar-SA"/>
        </w:rPr>
        <w:t>茂县国有资产管理中心是代表县人民政府对监管企业依法履行出资人职责;负责指导县属国有企业改革和管理，加强全县国有企业改革和管理的宏观指导;负责对所监管企业负责人进行考核、任免并对其经营业绩进行奖惩;承担监督所监管企业国有资产保值增值指标体系，制定考核标准;负责所监管企业工资分配管理工作，制定所监管企业负责人收入分配政策并组织实施;承办县委和县政府交办的其他工作。</w:t>
      </w:r>
      <w:bookmarkEnd w:id="17"/>
      <w:bookmarkEnd w:id="18"/>
    </w:p>
    <w:p w14:paraId="35EEC111">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eastAsia="黑体"/>
          <w:b w:val="0"/>
          <w:color w:val="auto"/>
          <w:highlight w:val="none"/>
          <w:lang w:eastAsia="zh-CN"/>
        </w:rPr>
      </w:pPr>
      <w:bookmarkStart w:id="19" w:name="_Toc15377200"/>
      <w:bookmarkStart w:id="20" w:name="_Toc15396601"/>
      <w:r>
        <w:rPr>
          <w:rFonts w:hint="eastAsia" w:eastAsia="黑体"/>
          <w:b w:val="0"/>
          <w:color w:val="auto"/>
          <w:highlight w:val="none"/>
          <w:lang w:eastAsia="zh-CN"/>
        </w:rPr>
        <w:t>二、机构设置</w:t>
      </w:r>
      <w:bookmarkEnd w:id="19"/>
      <w:bookmarkEnd w:id="20"/>
    </w:p>
    <w:p w14:paraId="6F2FB630">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ascii="仿宋_GB2312" w:eastAsia="仿宋_GB2312" w:cs="仿宋_GB2312"/>
          <w:b w:val="0"/>
          <w:bCs w:val="0"/>
          <w:color w:val="000000"/>
          <w:sz w:val="32"/>
          <w:szCs w:val="32"/>
          <w:lang w:eastAsia="zh-CN" w:bidi="ar-SA"/>
        </w:rPr>
      </w:pPr>
      <w:bookmarkStart w:id="21" w:name="_Toc1737"/>
      <w:bookmarkStart w:id="22" w:name="_Toc31"/>
      <w:bookmarkStart w:id="23" w:name="_Toc21231"/>
      <w:r>
        <w:rPr>
          <w:rFonts w:hint="eastAsia" w:ascii="仿宋_GB2312" w:eastAsia="仿宋_GB2312" w:cs="仿宋_GB2312"/>
          <w:b w:val="0"/>
          <w:bCs w:val="0"/>
          <w:color w:val="000000"/>
          <w:sz w:val="32"/>
          <w:szCs w:val="32"/>
          <w:lang w:eastAsia="zh-CN" w:bidi="ar-SA"/>
        </w:rPr>
        <w:t>茂县国有资产管理中心属一级预算单位，下属二级预算单位</w:t>
      </w:r>
      <w:r>
        <w:rPr>
          <w:rFonts w:hint="eastAsia" w:ascii="Times New Roman" w:hAnsi="Times New Roman" w:eastAsia="仿宋_GB2312" w:cs="Times New Roman"/>
          <w:b w:val="0"/>
          <w:bCs w:val="0"/>
          <w:color w:val="auto"/>
          <w:kern w:val="2"/>
          <w:sz w:val="32"/>
          <w:szCs w:val="32"/>
          <w:highlight w:val="none"/>
          <w:lang w:val="en-US" w:eastAsia="zh-CN" w:bidi="ar-SA"/>
        </w:rPr>
        <w:t>0</w:t>
      </w:r>
      <w:r>
        <w:rPr>
          <w:rFonts w:hint="eastAsia" w:ascii="仿宋_GB2312" w:eastAsia="仿宋_GB2312" w:cs="仿宋_GB2312"/>
          <w:b w:val="0"/>
          <w:bCs w:val="0"/>
          <w:color w:val="000000"/>
          <w:sz w:val="32"/>
          <w:szCs w:val="32"/>
          <w:lang w:eastAsia="zh-CN" w:bidi="ar-SA"/>
        </w:rPr>
        <w:t>个。</w:t>
      </w:r>
      <w:bookmarkEnd w:id="21"/>
      <w:bookmarkEnd w:id="22"/>
      <w:bookmarkEnd w:id="23"/>
    </w:p>
    <w:p w14:paraId="42C4E934">
      <w:pPr>
        <w:pStyle w:val="3"/>
        <w:jc w:val="center"/>
        <w:rPr>
          <w:rFonts w:hint="eastAsia" w:ascii="Times New Roman" w:hAnsi="Times New Roman" w:eastAsia="方正小标宋简体" w:cs="方正小标宋简体"/>
          <w:b w:val="0"/>
          <w:color w:val="auto"/>
          <w:highlight w:val="none"/>
        </w:rPr>
      </w:pPr>
      <w:bookmarkStart w:id="24" w:name="_Toc15396602"/>
      <w:bookmarkStart w:id="25" w:name="_Toc15377204"/>
    </w:p>
    <w:p w14:paraId="4435DDCA">
      <w:pPr>
        <w:pStyle w:val="3"/>
        <w:jc w:val="center"/>
        <w:rPr>
          <w:rFonts w:hint="eastAsia" w:ascii="Times New Roman" w:hAnsi="Times New Roman" w:eastAsia="方正小标宋简体" w:cs="方正小标宋简体"/>
          <w:b w:val="0"/>
          <w:color w:val="auto"/>
          <w:highlight w:val="none"/>
        </w:rPr>
      </w:pPr>
    </w:p>
    <w:p w14:paraId="139F2976">
      <w:pPr>
        <w:pStyle w:val="3"/>
        <w:jc w:val="center"/>
        <w:rPr>
          <w:rFonts w:hint="eastAsia" w:ascii="Times New Roman" w:hAnsi="Times New Roman" w:eastAsia="方正小标宋简体" w:cs="方正小标宋简体"/>
          <w:b w:val="0"/>
          <w:color w:val="auto"/>
          <w:highlight w:val="none"/>
        </w:rPr>
      </w:pPr>
    </w:p>
    <w:p w14:paraId="0B1D514D">
      <w:pPr>
        <w:pStyle w:val="3"/>
        <w:jc w:val="center"/>
        <w:rPr>
          <w:rFonts w:hint="eastAsia" w:ascii="Times New Roman" w:hAnsi="Times New Roman" w:eastAsia="方正小标宋简体" w:cs="方正小标宋简体"/>
          <w:b w:val="0"/>
          <w:color w:val="auto"/>
          <w:highlight w:val="none"/>
        </w:rPr>
      </w:pPr>
    </w:p>
    <w:p w14:paraId="4B3A459B">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val="en-US" w:eastAsia="zh-CN"/>
        </w:rPr>
        <w:t>单位</w:t>
      </w:r>
      <w:r>
        <w:rPr>
          <w:rFonts w:hint="eastAsia" w:ascii="Times New Roman" w:hAnsi="Times New Roman" w:eastAsia="方正小标宋简体" w:cs="方正小标宋简体"/>
          <w:b w:val="0"/>
          <w:color w:val="auto"/>
          <w:highlight w:val="none"/>
        </w:rPr>
        <w:t>决算情况说明</w:t>
      </w:r>
      <w:bookmarkEnd w:id="24"/>
      <w:bookmarkEnd w:id="25"/>
    </w:p>
    <w:p w14:paraId="2F84A323">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eastAsia="黑体"/>
          <w:b w:val="0"/>
          <w:color w:val="auto"/>
          <w:highlight w:val="none"/>
          <w:lang w:eastAsia="zh-CN"/>
        </w:rPr>
      </w:pPr>
      <w:bookmarkStart w:id="26" w:name="_Toc15377205"/>
      <w:bookmarkStart w:id="27" w:name="_Toc15396603"/>
      <w:r>
        <w:rPr>
          <w:rFonts w:hint="eastAsia" w:eastAsia="黑体"/>
          <w:b w:val="0"/>
          <w:color w:val="auto"/>
          <w:highlight w:val="none"/>
          <w:lang w:eastAsia="zh-CN"/>
        </w:rPr>
        <w:t>一、收入支出决算总体情况说明</w:t>
      </w:r>
      <w:bookmarkEnd w:id="26"/>
      <w:bookmarkEnd w:id="27"/>
    </w:p>
    <w:p w14:paraId="44DC08E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rPr>
      </w:pP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Times New Roman" w:hAnsi="Times New Roman" w:eastAsia="仿宋_GB2312" w:cs="Times New Roman"/>
          <w:b w:val="0"/>
          <w:bCs w:val="0"/>
          <w:color w:val="auto"/>
          <w:kern w:val="2"/>
          <w:sz w:val="32"/>
          <w:szCs w:val="32"/>
          <w:highlight w:val="none"/>
          <w:lang w:val="en-US" w:eastAsia="zh-CN" w:bidi="ar-SA"/>
        </w:rPr>
        <w:t>523.64</w:t>
      </w:r>
      <w:r>
        <w:rPr>
          <w:rFonts w:hint="eastAsia" w:ascii="仿宋_GB2312" w:hAnsi="仿宋_GB2312" w:eastAsia="仿宋_GB2312" w:cs="仿宋_GB2312"/>
          <w:color w:val="auto"/>
          <w:sz w:val="32"/>
          <w:szCs w:val="32"/>
          <w:highlight w:val="none"/>
        </w:rPr>
        <w:t>万元。与</w:t>
      </w:r>
      <w:r>
        <w:rPr>
          <w:rFonts w:hint="eastAsia" w:ascii="Times New Roman" w:hAnsi="Times New Roman" w:eastAsia="仿宋_GB2312" w:cs="Times New Roman"/>
          <w:b w:val="0"/>
          <w:bCs w:val="0"/>
          <w:color w:val="auto"/>
          <w:kern w:val="2"/>
          <w:sz w:val="32"/>
          <w:szCs w:val="32"/>
          <w:highlight w:val="none"/>
          <w:lang w:val="en-US" w:eastAsia="zh-CN" w:bidi="ar-SA"/>
        </w:rPr>
        <w:t>2024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总计各减少</w:t>
      </w:r>
      <w:r>
        <w:rPr>
          <w:rFonts w:hint="eastAsia" w:ascii="Times New Roman" w:hAnsi="Times New Roman" w:eastAsia="仿宋_GB2312" w:cs="Times New Roman"/>
          <w:b w:val="0"/>
          <w:bCs w:val="0"/>
          <w:color w:val="auto"/>
          <w:kern w:val="2"/>
          <w:sz w:val="32"/>
          <w:szCs w:val="32"/>
          <w:highlight w:val="none"/>
          <w:lang w:val="en-US" w:eastAsia="zh-CN" w:bidi="ar-SA"/>
        </w:rPr>
        <w:t>1203.48</w:t>
      </w:r>
      <w:r>
        <w:rPr>
          <w:rFonts w:hint="eastAsia" w:ascii="仿宋_GB2312" w:hAnsi="仿宋_GB2312" w:eastAsia="仿宋_GB2312" w:cs="仿宋_GB2312"/>
          <w:color w:val="auto"/>
          <w:sz w:val="32"/>
          <w:szCs w:val="32"/>
          <w:highlight w:val="none"/>
        </w:rPr>
        <w:t>万元，下降</w:t>
      </w:r>
      <w:r>
        <w:rPr>
          <w:rFonts w:hint="eastAsia" w:ascii="Times New Roman" w:hAnsi="Times New Roman" w:eastAsia="仿宋_GB2312" w:cs="Times New Roman"/>
          <w:b w:val="0"/>
          <w:bCs w:val="0"/>
          <w:color w:val="auto"/>
          <w:kern w:val="2"/>
          <w:sz w:val="32"/>
          <w:szCs w:val="32"/>
          <w:highlight w:val="none"/>
          <w:lang w:val="en-US" w:eastAsia="zh-CN" w:bidi="ar-SA"/>
        </w:rPr>
        <w:t>69.68%</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:人员变动，项目减少</w:t>
      </w:r>
      <w:r>
        <w:rPr>
          <w:rFonts w:hint="eastAsia" w:ascii="仿宋_GB2312" w:hAnsi="仿宋_GB2312" w:eastAsia="仿宋_GB2312" w:cs="仿宋_GB2312"/>
          <w:color w:val="auto"/>
          <w:sz w:val="32"/>
          <w:szCs w:val="32"/>
          <w:highlight w:val="none"/>
          <w:lang w:eastAsia="zh-CN"/>
        </w:rPr>
        <w:t>。</w:t>
      </w:r>
    </w:p>
    <w:p w14:paraId="44C66DE4">
      <w:pPr>
        <w:keepNext w:val="0"/>
        <w:keepLines w:val="0"/>
        <w:pageBreakBefore w:val="0"/>
        <w:widowControl w:val="0"/>
        <w:kinsoku/>
        <w:wordWrap/>
        <w:overflowPunct/>
        <w:topLinePunct w:val="0"/>
        <w:autoSpaceDE/>
        <w:autoSpaceDN/>
        <w:bidi w:val="0"/>
        <w:adjustRightInd/>
        <w:snapToGrid/>
        <w:ind w:firstLine="0" w:firstLineChars="0"/>
        <w:textAlignment w:val="auto"/>
        <w:rPr>
          <w:rFonts w:ascii="仿宋" w:eastAsia="仿宋"/>
          <w:color w:val="auto"/>
          <w:sz w:val="32"/>
          <w:szCs w:val="32"/>
          <w:highlight w:val="none"/>
          <w:lang w:eastAsia="zh-CN"/>
        </w:rPr>
      </w:pPr>
      <w:bookmarkStart w:id="28" w:name="_Toc15396604"/>
      <w:bookmarkStart w:id="29" w:name="_Toc15377206"/>
      <w:r>
        <w:rPr>
          <w:rFonts w:ascii="仿宋" w:eastAsia="仿宋"/>
          <w:color w:val="auto"/>
          <w:sz w:val="32"/>
          <w:szCs w:val="32"/>
          <w:highlight w:val="none"/>
          <w:lang w:eastAsia="zh-CN"/>
        </w:rPr>
        <w:object>
          <v:shape id="_x0000_i1025" o:spt="75" alt="457466939.emf" type="#_x0000_t75" style="height:159pt;width:358.95pt;" o:ole="t" filled="f" o:preferrelative="t" stroked="f" coordsize="21600,21600">
            <v:path/>
            <v:fill on="f" focussize="0,0"/>
            <v:stroke on="f"/>
            <v:imagedata r:id="rId8" o:title=""/>
            <o:lock v:ext="edit" aspectratio="t"/>
            <w10:wrap type="none"/>
            <w10:anchorlock/>
          </v:shape>
          <o:OLEObject Type="Embed" ProgID="Excel.Chart.8" ShapeID="_x0000_i1025" DrawAspect="Content" ObjectID="_1468075725" r:id="rId7">
            <o:LockedField>false</o:LockedField>
          </o:OLEObject>
        </w:object>
      </w:r>
    </w:p>
    <w:p w14:paraId="658BC127">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eastAsia="黑体"/>
          <w:b w:val="0"/>
          <w:color w:val="auto"/>
          <w:highlight w:val="none"/>
          <w:lang w:eastAsia="zh-CN"/>
        </w:rPr>
      </w:pPr>
      <w:r>
        <w:rPr>
          <w:rFonts w:hint="eastAsia" w:eastAsia="黑体"/>
          <w:b w:val="0"/>
          <w:color w:val="auto"/>
          <w:highlight w:val="none"/>
          <w:lang w:eastAsia="zh-CN"/>
        </w:rPr>
        <w:t>二、收入决算情况说明</w:t>
      </w:r>
      <w:bookmarkEnd w:id="28"/>
      <w:bookmarkEnd w:id="29"/>
    </w:p>
    <w:p w14:paraId="56DA8AD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color w:val="auto"/>
          <w:sz w:val="32"/>
          <w:szCs w:val="32"/>
          <w:highlight w:val="none"/>
          <w:lang w:eastAsia="zh-CN"/>
        </w:rPr>
        <w:t>年度本年收入合计</w:t>
      </w:r>
      <w:r>
        <w:rPr>
          <w:rFonts w:hint="eastAsia" w:ascii="Times New Roman" w:hAnsi="Times New Roman" w:eastAsia="仿宋_GB2312" w:cs="Times New Roman"/>
          <w:b w:val="0"/>
          <w:bCs w:val="0"/>
          <w:color w:val="auto"/>
          <w:kern w:val="2"/>
          <w:sz w:val="32"/>
          <w:szCs w:val="32"/>
          <w:highlight w:val="none"/>
          <w:lang w:val="en-US" w:eastAsia="zh-CN" w:bidi="ar-SA"/>
        </w:rPr>
        <w:t>523.64</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Times New Roman"/>
          <w:b w:val="0"/>
          <w:bCs w:val="0"/>
          <w:color w:val="auto"/>
          <w:kern w:val="2"/>
          <w:sz w:val="32"/>
          <w:szCs w:val="32"/>
          <w:highlight w:val="none"/>
          <w:lang w:val="en-US" w:eastAsia="zh-CN" w:bidi="ar-SA"/>
        </w:rPr>
        <w:t>522.64</w:t>
      </w:r>
      <w:r>
        <w:rPr>
          <w:rFonts w:hint="eastAsia" w:ascii="仿宋_GB2312" w:hAnsi="仿宋_GB2312" w:eastAsia="仿宋_GB2312" w:cs="仿宋_GB2312"/>
          <w:color w:val="auto"/>
          <w:sz w:val="32"/>
          <w:szCs w:val="32"/>
          <w:highlight w:val="none"/>
          <w:lang w:eastAsia="zh-CN"/>
        </w:rPr>
        <w:t>万元，占</w:t>
      </w:r>
      <w:r>
        <w:rPr>
          <w:rFonts w:hint="eastAsia" w:ascii="Times New Roman" w:hAnsi="Times New Roman" w:eastAsia="仿宋_GB2312" w:cs="Times New Roman"/>
          <w:b w:val="0"/>
          <w:bCs w:val="0"/>
          <w:color w:val="auto"/>
          <w:kern w:val="2"/>
          <w:sz w:val="32"/>
          <w:szCs w:val="32"/>
          <w:highlight w:val="none"/>
          <w:lang w:val="en-US" w:eastAsia="zh-CN" w:bidi="ar-SA"/>
        </w:rPr>
        <w:t>99.81%</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Times New Roman" w:hAnsi="Times New Roman" w:eastAsia="仿宋_GB2312" w:cs="Times New Roman"/>
          <w:b w:val="0"/>
          <w:bCs w:val="0"/>
          <w:color w:val="auto"/>
          <w:kern w:val="2"/>
          <w:sz w:val="32"/>
          <w:szCs w:val="32"/>
          <w:highlight w:val="none"/>
          <w:lang w:val="en-US" w:eastAsia="zh-CN" w:bidi="ar-SA"/>
        </w:rPr>
        <w:t>1</w:t>
      </w:r>
      <w:r>
        <w:rPr>
          <w:rFonts w:hint="eastAsia" w:ascii="仿宋_GB2312" w:hAnsi="仿宋_GB2312" w:eastAsia="仿宋_GB2312" w:cs="仿宋_GB2312"/>
          <w:color w:val="auto"/>
          <w:sz w:val="32"/>
          <w:szCs w:val="32"/>
          <w:highlight w:val="none"/>
          <w:lang w:eastAsia="zh-CN"/>
        </w:rPr>
        <w:t>万元，占</w:t>
      </w:r>
      <w:r>
        <w:rPr>
          <w:rFonts w:hint="eastAsia" w:ascii="Times New Roman" w:hAnsi="Times New Roman" w:eastAsia="仿宋_GB2312" w:cs="Times New Roman"/>
          <w:b w:val="0"/>
          <w:bCs w:val="0"/>
          <w:color w:val="auto"/>
          <w:kern w:val="2"/>
          <w:sz w:val="32"/>
          <w:szCs w:val="32"/>
          <w:highlight w:val="none"/>
          <w:lang w:val="en-US" w:eastAsia="zh-CN" w:bidi="ar-SA"/>
        </w:rPr>
        <w:t>0.19%</w:t>
      </w:r>
      <w:r>
        <w:rPr>
          <w:rFonts w:hint="eastAsia" w:ascii="仿宋_GB2312" w:hAnsi="仿宋_GB2312" w:eastAsia="仿宋_GB2312" w:cs="仿宋_GB2312"/>
          <w:color w:val="auto"/>
          <w:sz w:val="32"/>
          <w:szCs w:val="32"/>
          <w:highlight w:val="none"/>
          <w:lang w:eastAsia="zh-CN"/>
        </w:rPr>
        <w:t>。</w:t>
      </w:r>
    </w:p>
    <w:p w14:paraId="06641B8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p>
    <w:p w14:paraId="7DB95CF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eastAsia="黑体"/>
          <w:b w:val="0"/>
          <w:color w:val="auto"/>
          <w:highlight w:val="none"/>
          <w:lang w:eastAsia="zh-CN"/>
        </w:rPr>
        <w:pict>
          <v:shape id="Object 6" o:spid="_x0000_s2050" o:spt="75" type="#_x0000_t75" style="position:absolute;left:0pt;margin-left:40.85pt;margin-top:3.95pt;height:175.95pt;width:328.1pt;z-index:-251656192;mso-width-relative:page;mso-height-relative:page;" o:ole="t" filled="f" o:preferrelative="t" stroked="f" coordsize="21600,21600">
            <v:path/>
            <v:fill on="f" focussize="0,0"/>
            <v:stroke on="f"/>
            <v:imagedata r:id="rId10" o:title=""/>
            <o:lock v:ext="edit" aspectratio="t"/>
          </v:shape>
          <o:OLEObject Type="Embed" ProgID="Excel.Chart.8" ShapeID="Object 6" DrawAspect="Content" ObjectID="_1468075726" r:id="rId9">
            <o:LockedField>false</o:LockedField>
          </o:OLEObject>
        </w:pict>
      </w:r>
    </w:p>
    <w:p w14:paraId="1D7EAA7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p>
    <w:p w14:paraId="385619D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_GB2312" w:hAnsi="仿宋_GB2312" w:eastAsia="仿宋_GB2312" w:cs="仿宋_GB2312"/>
          <w:color w:val="auto"/>
          <w:sz w:val="32"/>
          <w:szCs w:val="32"/>
          <w:highlight w:val="none"/>
          <w:lang w:val="en-US" w:eastAsia="zh-CN"/>
        </w:rPr>
      </w:pPr>
    </w:p>
    <w:p w14:paraId="482BCE96">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ascii="Times New Roman" w:hAnsi="Times New Roman" w:eastAsia="黑体" w:cs="Times New Roman"/>
          <w:b w:val="0"/>
          <w:color w:val="auto"/>
          <w:highlight w:val="none"/>
          <w:lang w:eastAsia="zh-CN"/>
        </w:rPr>
      </w:pPr>
      <w:bookmarkStart w:id="30" w:name="_Toc15377207"/>
      <w:bookmarkStart w:id="31" w:name="_Toc15396605"/>
      <w:r>
        <w:rPr>
          <w:rFonts w:hint="eastAsia" w:ascii="Times New Roman" w:hAnsi="Times New Roman" w:eastAsia="黑体" w:cs="Times New Roman"/>
          <w:b w:val="0"/>
          <w:color w:val="auto"/>
          <w:highlight w:val="none"/>
          <w:lang w:eastAsia="zh-CN"/>
        </w:rPr>
        <w:t>三、支出决算情况说明</w:t>
      </w:r>
    </w:p>
    <w:p w14:paraId="54DA450F">
      <w:pPr>
        <w:pStyle w:val="5"/>
        <w:keepNext/>
        <w:keepLines/>
        <w:pageBreakBefore w:val="0"/>
        <w:widowControl w:val="0"/>
        <w:numPr>
          <w:ilvl w:val="0"/>
          <w:numId w:val="0"/>
        </w:numPr>
        <w:kinsoku/>
        <w:wordWrap/>
        <w:overflowPunct/>
        <w:topLinePunct w:val="0"/>
        <w:autoSpaceDE/>
        <w:autoSpaceDN/>
        <w:bidi w:val="0"/>
        <w:adjustRightInd/>
        <w:snapToGrid/>
        <w:spacing w:before="30" w:after="140" w:line="560" w:lineRule="exact"/>
        <w:textAlignment w:val="auto"/>
        <w:outlineLvl w:val="2"/>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color w:val="auto"/>
          <w:highlight w:val="none"/>
          <w:lang w:val="en-US" w:eastAsia="zh-CN"/>
        </w:rPr>
        <w:t xml:space="preserve">    </w:t>
      </w:r>
      <w:r>
        <w:rPr>
          <w:rFonts w:hint="eastAsia" w:ascii="Times New Roman" w:hAnsi="Times New Roman" w:eastAsia="仿宋_GB2312" w:cs="Times New Roman"/>
          <w:b w:val="0"/>
          <w:bCs w:val="0"/>
          <w:color w:val="auto"/>
          <w:kern w:val="2"/>
          <w:sz w:val="32"/>
          <w:szCs w:val="32"/>
          <w:highlight w:val="none"/>
          <w:lang w:val="en-US" w:eastAsia="zh-CN" w:bidi="ar-SA"/>
        </w:rPr>
        <w:t xml:space="preserve"> </w:t>
      </w:r>
      <w:bookmarkEnd w:id="30"/>
      <w:bookmarkEnd w:id="31"/>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lang w:eastAsia="zh-CN"/>
        </w:rPr>
        <w:t>年度本年支出合计</w:t>
      </w:r>
      <w:r>
        <w:rPr>
          <w:rFonts w:hint="eastAsia" w:ascii="Times New Roman" w:hAnsi="Times New Roman" w:eastAsia="仿宋_GB2312" w:cs="Times New Roman"/>
          <w:b w:val="0"/>
          <w:bCs w:val="0"/>
          <w:color w:val="auto"/>
          <w:kern w:val="2"/>
          <w:sz w:val="32"/>
          <w:szCs w:val="32"/>
          <w:highlight w:val="none"/>
          <w:lang w:val="en-US" w:eastAsia="zh-CN" w:bidi="ar-SA"/>
        </w:rPr>
        <w:t>523.64</w:t>
      </w:r>
      <w:r>
        <w:rPr>
          <w:rFonts w:hint="eastAsia" w:ascii="仿宋_GB2312" w:hAnsi="仿宋_GB2312" w:eastAsia="仿宋_GB2312" w:cs="仿宋_GB2312"/>
          <w:b w:val="0"/>
          <w:bCs w:val="0"/>
          <w:lang w:eastAsia="zh-CN"/>
        </w:rPr>
        <w:t>万元，其中：基本支出</w:t>
      </w:r>
      <w:r>
        <w:rPr>
          <w:rFonts w:hint="eastAsia" w:ascii="Times New Roman" w:hAnsi="Times New Roman" w:eastAsia="仿宋_GB2312" w:cs="Times New Roman"/>
          <w:b w:val="0"/>
          <w:bCs w:val="0"/>
          <w:color w:val="auto"/>
          <w:kern w:val="2"/>
          <w:sz w:val="32"/>
          <w:szCs w:val="32"/>
          <w:highlight w:val="none"/>
          <w:lang w:val="en-US" w:eastAsia="zh-CN" w:bidi="ar-SA"/>
        </w:rPr>
        <w:t>324.09</w:t>
      </w:r>
      <w:r>
        <w:rPr>
          <w:rFonts w:hint="eastAsia" w:ascii="仿宋_GB2312" w:hAnsi="仿宋_GB2312" w:eastAsia="仿宋_GB2312" w:cs="仿宋_GB2312"/>
          <w:b w:val="0"/>
          <w:bCs w:val="0"/>
          <w:lang w:eastAsia="zh-CN"/>
        </w:rPr>
        <w:t>万元，占</w:t>
      </w:r>
      <w:r>
        <w:rPr>
          <w:rFonts w:hint="eastAsia" w:ascii="Times New Roman" w:hAnsi="Times New Roman" w:eastAsia="仿宋_GB2312" w:cs="Times New Roman"/>
          <w:b w:val="0"/>
          <w:bCs w:val="0"/>
          <w:color w:val="auto"/>
          <w:kern w:val="2"/>
          <w:sz w:val="32"/>
          <w:szCs w:val="32"/>
          <w:highlight w:val="none"/>
          <w:lang w:val="en-US" w:eastAsia="zh-CN" w:bidi="ar-SA"/>
        </w:rPr>
        <w:t>61.89%</w:t>
      </w:r>
      <w:r>
        <w:rPr>
          <w:rFonts w:hint="eastAsia" w:ascii="仿宋_GB2312" w:hAnsi="仿宋_GB2312" w:eastAsia="仿宋_GB2312" w:cs="仿宋_GB2312"/>
          <w:b w:val="0"/>
          <w:bCs w:val="0"/>
          <w:lang w:eastAsia="zh-CN"/>
        </w:rPr>
        <w:t>；项目支出</w:t>
      </w:r>
      <w:r>
        <w:rPr>
          <w:rFonts w:hint="eastAsia" w:ascii="Times New Roman" w:hAnsi="Times New Roman" w:eastAsia="仿宋_GB2312" w:cs="Times New Roman"/>
          <w:b w:val="0"/>
          <w:bCs w:val="0"/>
          <w:color w:val="auto"/>
          <w:kern w:val="2"/>
          <w:sz w:val="32"/>
          <w:szCs w:val="32"/>
          <w:highlight w:val="none"/>
          <w:lang w:val="en-US" w:eastAsia="zh-CN" w:bidi="ar-SA"/>
        </w:rPr>
        <w:t>199.55</w:t>
      </w:r>
      <w:r>
        <w:rPr>
          <w:rFonts w:hint="eastAsia" w:ascii="仿宋_GB2312" w:hAnsi="仿宋_GB2312" w:eastAsia="仿宋_GB2312" w:cs="仿宋_GB2312"/>
          <w:b w:val="0"/>
          <w:bCs w:val="0"/>
          <w:lang w:eastAsia="zh-CN"/>
        </w:rPr>
        <w:t>万元，占</w:t>
      </w:r>
      <w:r>
        <w:rPr>
          <w:rFonts w:hint="eastAsia" w:ascii="Times New Roman" w:hAnsi="Times New Roman" w:eastAsia="仿宋_GB2312" w:cs="Times New Roman"/>
          <w:b w:val="0"/>
          <w:bCs w:val="0"/>
          <w:color w:val="auto"/>
          <w:kern w:val="2"/>
          <w:sz w:val="32"/>
          <w:szCs w:val="32"/>
          <w:highlight w:val="none"/>
          <w:lang w:val="en-US" w:eastAsia="zh-CN" w:bidi="ar-SA"/>
        </w:rPr>
        <w:t>38.11%</w:t>
      </w:r>
      <w:r>
        <w:rPr>
          <w:rFonts w:hint="eastAsia" w:ascii="仿宋_GB2312" w:hAnsi="仿宋_GB2312" w:eastAsia="仿宋_GB2312" w:cs="仿宋_GB2312"/>
          <w:b w:val="0"/>
          <w:bCs w:val="0"/>
          <w:lang w:eastAsia="zh-CN"/>
        </w:rPr>
        <w:t>。</w:t>
      </w:r>
    </w:p>
    <w:p w14:paraId="28AFD431">
      <w:pPr>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lang w:eastAsia="zh-CN"/>
        </w:rPr>
      </w:pPr>
      <w:r>
        <w:pict>
          <v:shape id="Object 7" o:spid="_x0000_s2051" o:spt="75" type="#_x0000_t75" style="position:absolute;left:0pt;margin-left:46.75pt;margin-top:12.7pt;height:180.65pt;width:304.95pt;mso-wrap-distance-bottom:0pt;mso-wrap-distance-left:9pt;mso-wrap-distance-right:9pt;mso-wrap-distance-top:0pt;z-index:251661312;mso-width-relative:page;mso-height-relative:page;" o:ole="t" filled="f" o:preferrelative="t" stroked="f" coordsize="21600,21600">
            <v:path/>
            <v:fill on="f" focussize="0,0"/>
            <v:stroke on="f"/>
            <v:imagedata r:id="rId12" o:title=""/>
            <o:lock v:ext="edit" aspectratio="t"/>
            <w10:wrap type="square"/>
          </v:shape>
          <o:OLEObject Type="Embed" ProgID="Excel.Chart.8" ShapeID="Object 7" DrawAspect="Content" ObjectID="_1468075727" r:id="rId11">
            <o:LockedField>false</o:LockedField>
          </o:OLEObject>
        </w:pict>
      </w:r>
    </w:p>
    <w:p w14:paraId="79D5719E">
      <w:pPr>
        <w:pStyle w:val="2"/>
        <w:rPr>
          <w:rFonts w:hint="eastAsia" w:ascii="Times New Roman" w:hAnsi="Times New Roman" w:eastAsia="仿宋_GB2312" w:cs="仿宋_GB2312"/>
          <w:color w:val="auto"/>
          <w:sz w:val="32"/>
          <w:szCs w:val="32"/>
          <w:highlight w:val="none"/>
          <w:lang w:eastAsia="zh-CN"/>
        </w:rPr>
      </w:pPr>
    </w:p>
    <w:p w14:paraId="0B8F990C">
      <w:pPr>
        <w:rPr>
          <w:rFonts w:hint="eastAsia" w:ascii="Times New Roman" w:hAnsi="Times New Roman" w:eastAsia="仿宋_GB2312" w:cs="仿宋_GB2312"/>
          <w:color w:val="auto"/>
          <w:sz w:val="32"/>
          <w:szCs w:val="32"/>
          <w:highlight w:val="none"/>
          <w:lang w:eastAsia="zh-CN"/>
        </w:rPr>
      </w:pPr>
    </w:p>
    <w:p w14:paraId="006C1053">
      <w:pPr>
        <w:pStyle w:val="2"/>
        <w:rPr>
          <w:rFonts w:hint="eastAsia" w:ascii="Times New Roman" w:hAnsi="Times New Roman" w:eastAsia="仿宋_GB2312" w:cs="仿宋_GB2312"/>
          <w:color w:val="auto"/>
          <w:sz w:val="32"/>
          <w:szCs w:val="32"/>
          <w:highlight w:val="none"/>
          <w:lang w:eastAsia="zh-CN"/>
        </w:rPr>
      </w:pPr>
    </w:p>
    <w:p w14:paraId="355F76C1">
      <w:pPr>
        <w:rPr>
          <w:rFonts w:hint="eastAsia"/>
          <w:lang w:eastAsia="zh-CN"/>
        </w:rPr>
      </w:pPr>
    </w:p>
    <w:p w14:paraId="28845EC6">
      <w:pPr>
        <w:pStyle w:val="5"/>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320" w:firstLineChars="100"/>
        <w:textAlignment w:val="auto"/>
        <w:outlineLvl w:val="2"/>
        <w:rPr>
          <w:rFonts w:hint="eastAsia" w:eastAsia="黑体"/>
          <w:b w:val="0"/>
          <w:color w:val="auto"/>
          <w:highlight w:val="none"/>
          <w:lang w:eastAsia="zh-CN"/>
        </w:rPr>
      </w:pPr>
      <w:bookmarkStart w:id="32" w:name="_Toc15377208"/>
      <w:bookmarkStart w:id="33" w:name="_Toc15396606"/>
      <w:r>
        <w:rPr>
          <w:rFonts w:hint="eastAsia" w:eastAsia="黑体"/>
          <w:b w:val="0"/>
          <w:color w:val="auto"/>
          <w:highlight w:val="none"/>
          <w:lang w:eastAsia="zh-CN"/>
        </w:rPr>
        <w:t>四、财政拨款收入支出决算总体情况说明</w:t>
      </w:r>
      <w:bookmarkEnd w:id="32"/>
      <w:bookmarkEnd w:id="33"/>
    </w:p>
    <w:p w14:paraId="4E72EA0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val="0"/>
          <w:bCs w:val="0"/>
          <w:color w:val="auto"/>
          <w:kern w:val="2"/>
          <w:sz w:val="32"/>
          <w:szCs w:val="32"/>
          <w:highlight w:val="none"/>
          <w:lang w:val="en-US" w:eastAsia="zh-CN" w:bidi="ar-SA"/>
        </w:rPr>
        <w:pict>
          <v:shape id="Object 8" o:spid="_x0000_s2052" o:spt="75" type="#_x0000_t75" style="position:absolute;left:0pt;margin-left:36.15pt;margin-top:127.55pt;height:187.5pt;width:369.9pt;mso-wrap-distance-bottom:0pt;mso-wrap-distance-top:0pt;z-index:251662336;mso-width-relative:page;mso-height-relative:page;" o:ole="t" filled="f" o:preferrelative="t" stroked="f" coordsize="21600,21600">
            <v:path/>
            <v:fill on="f" focussize="0,0"/>
            <v:stroke on="f"/>
            <v:imagedata r:id="rId14" o:title=""/>
            <o:lock v:ext="edit" aspectratio="t"/>
            <w10:wrap type="topAndBottom"/>
          </v:shape>
          <o:OLEObject Type="Embed" ProgID="Excel.Chart.8" ShapeID="Object 8" DrawAspect="Content" ObjectID="_1468075728" r:id="rId13">
            <o:LockedField>false</o:LockedField>
          </o:OLEObject>
        </w:pict>
      </w: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color w:val="auto"/>
          <w:sz w:val="32"/>
          <w:szCs w:val="32"/>
          <w:highlight w:val="none"/>
          <w:lang w:val="en-US" w:eastAsia="zh-CN"/>
        </w:rPr>
        <w:t>年度财政拨款收入、支出总计均为</w:t>
      </w:r>
      <w:r>
        <w:rPr>
          <w:rFonts w:hint="eastAsia" w:ascii="Times New Roman" w:hAnsi="Times New Roman" w:eastAsia="仿宋_GB2312" w:cs="Times New Roman"/>
          <w:b w:val="0"/>
          <w:bCs w:val="0"/>
          <w:color w:val="auto"/>
          <w:kern w:val="2"/>
          <w:sz w:val="32"/>
          <w:szCs w:val="32"/>
          <w:highlight w:val="none"/>
          <w:lang w:val="en-US" w:eastAsia="zh-CN" w:bidi="ar-SA"/>
        </w:rPr>
        <w:t>523.64</w:t>
      </w:r>
      <w:r>
        <w:rPr>
          <w:rFonts w:hint="eastAsia" w:ascii="仿宋_GB2312" w:hAnsi="仿宋_GB2312" w:eastAsia="仿宋_GB2312" w:cs="仿宋_GB2312"/>
          <w:color w:val="auto"/>
          <w:sz w:val="32"/>
          <w:szCs w:val="32"/>
          <w:highlight w:val="none"/>
          <w:lang w:val="en-US" w:eastAsia="zh-CN"/>
        </w:rPr>
        <w:t>万元。与</w:t>
      </w:r>
      <w:r>
        <w:rPr>
          <w:rFonts w:hint="eastAsia" w:ascii="Times New Roman" w:hAnsi="Times New Roman" w:eastAsia="仿宋_GB2312" w:cs="Times New Roman"/>
          <w:b w:val="0"/>
          <w:bCs w:val="0"/>
          <w:color w:val="auto"/>
          <w:kern w:val="2"/>
          <w:sz w:val="32"/>
          <w:szCs w:val="32"/>
          <w:highlight w:val="none"/>
          <w:lang w:val="en-US" w:eastAsia="zh-CN" w:bidi="ar-SA"/>
        </w:rPr>
        <w:t>2024</w:t>
      </w:r>
      <w:r>
        <w:rPr>
          <w:rFonts w:hint="eastAsia" w:ascii="仿宋_GB2312" w:hAnsi="仿宋_GB2312" w:eastAsia="仿宋_GB2312" w:cs="仿宋_GB2312"/>
          <w:color w:val="auto"/>
          <w:sz w:val="32"/>
          <w:szCs w:val="32"/>
          <w:highlight w:val="none"/>
          <w:lang w:val="en-US" w:eastAsia="zh-CN"/>
        </w:rPr>
        <w:t>年度相比，财政拨款收入总计、支出总计各减少</w:t>
      </w:r>
      <w:r>
        <w:rPr>
          <w:rFonts w:hint="eastAsia" w:ascii="Times New Roman" w:hAnsi="Times New Roman" w:eastAsia="仿宋_GB2312" w:cs="Times New Roman"/>
          <w:b w:val="0"/>
          <w:bCs w:val="0"/>
          <w:color w:val="auto"/>
          <w:kern w:val="2"/>
          <w:sz w:val="32"/>
          <w:szCs w:val="32"/>
          <w:highlight w:val="none"/>
          <w:lang w:val="en-US" w:eastAsia="zh-CN" w:bidi="ar-SA"/>
        </w:rPr>
        <w:t>1203.48</w:t>
      </w:r>
      <w:r>
        <w:rPr>
          <w:rFonts w:hint="eastAsia" w:ascii="仿宋_GB2312" w:hAnsi="仿宋_GB2312" w:eastAsia="仿宋_GB2312" w:cs="仿宋_GB2312"/>
          <w:color w:val="auto"/>
          <w:sz w:val="32"/>
          <w:szCs w:val="32"/>
          <w:highlight w:val="none"/>
          <w:lang w:val="en-US" w:eastAsia="zh-CN"/>
        </w:rPr>
        <w:t>万元，下降</w:t>
      </w:r>
      <w:r>
        <w:rPr>
          <w:rFonts w:hint="eastAsia" w:ascii="Times New Roman" w:hAnsi="Times New Roman" w:eastAsia="仿宋_GB2312" w:cs="Times New Roman"/>
          <w:b w:val="0"/>
          <w:bCs w:val="0"/>
          <w:color w:val="auto"/>
          <w:kern w:val="2"/>
          <w:sz w:val="32"/>
          <w:szCs w:val="32"/>
          <w:highlight w:val="none"/>
          <w:lang w:val="en-US" w:eastAsia="zh-CN" w:bidi="ar-SA"/>
        </w:rPr>
        <w:t>69.68%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人员变动，项目减少。</w:t>
      </w:r>
    </w:p>
    <w:p w14:paraId="17608920">
      <w:pPr>
        <w:spacing w:line="600" w:lineRule="exact"/>
        <w:ind w:firstLine="320" w:firstLineChars="100"/>
        <w:outlineLvl w:val="1"/>
        <w:rPr>
          <w:rStyle w:val="29"/>
          <w:rFonts w:ascii="Times New Roman" w:hAnsi="Times New Roman" w:eastAsia="黑体"/>
          <w:b w:val="0"/>
          <w:color w:val="auto"/>
          <w:highlight w:val="none"/>
        </w:rPr>
      </w:pPr>
      <w:bookmarkStart w:id="34" w:name="_Toc15396607"/>
      <w:bookmarkStart w:id="3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4"/>
      <w:bookmarkEnd w:id="35"/>
    </w:p>
    <w:p w14:paraId="4C76874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6"/>
    </w:p>
    <w:p w14:paraId="5F49C75B">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Times New Roman"/>
          <w:b w:val="0"/>
          <w:bCs w:val="0"/>
          <w:color w:val="auto"/>
          <w:kern w:val="2"/>
          <w:sz w:val="32"/>
          <w:szCs w:val="32"/>
          <w:highlight w:val="none"/>
          <w:lang w:val="en-US" w:eastAsia="zh-CN" w:bidi="ar-SA"/>
        </w:rPr>
        <w:t xml:space="preserve">522.64 </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Times New Roman"/>
          <w:b w:val="0"/>
          <w:bCs w:val="0"/>
          <w:color w:val="auto"/>
          <w:kern w:val="2"/>
          <w:sz w:val="32"/>
          <w:szCs w:val="32"/>
          <w:highlight w:val="none"/>
          <w:lang w:val="en-US" w:eastAsia="zh-CN" w:bidi="ar-SA"/>
        </w:rPr>
        <w:t>99.81%</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Times New Roman"/>
          <w:b w:val="0"/>
          <w:bCs w:val="0"/>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年度相比，一般公共预算财政拨款支出减少</w:t>
      </w:r>
      <w:r>
        <w:rPr>
          <w:rFonts w:hint="eastAsia" w:ascii="Times New Roman" w:hAnsi="Times New Roman" w:eastAsia="仿宋_GB2312" w:cs="Times New Roman"/>
          <w:b w:val="0"/>
          <w:bCs w:val="0"/>
          <w:color w:val="auto"/>
          <w:kern w:val="2"/>
          <w:sz w:val="32"/>
          <w:szCs w:val="32"/>
          <w:highlight w:val="none"/>
          <w:lang w:val="en-US" w:eastAsia="zh-CN" w:bidi="ar-SA"/>
        </w:rPr>
        <w:t>1203.78</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Times New Roman" w:hAnsi="Times New Roman" w:eastAsia="仿宋_GB2312" w:cs="Times New Roman"/>
          <w:b w:val="0"/>
          <w:bCs w:val="0"/>
          <w:color w:val="auto"/>
          <w:kern w:val="2"/>
          <w:sz w:val="32"/>
          <w:szCs w:val="32"/>
          <w:highlight w:val="none"/>
          <w:lang w:val="en-US" w:eastAsia="zh-CN" w:bidi="ar-SA"/>
        </w:rPr>
        <w:t>69.73%</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人员变动，项目减少。</w:t>
      </w:r>
    </w:p>
    <w:p w14:paraId="35FEAAC6">
      <w:pPr>
        <w:spacing w:line="600" w:lineRule="exact"/>
        <w:ind w:firstLine="640"/>
        <w:rPr>
          <w:rFonts w:hint="eastAsia" w:ascii="Times New Roman" w:hAnsi="Times New Roman" w:eastAsia="楷体_GB2312" w:cs="楷体_GB2312"/>
          <w:b/>
          <w:color w:val="auto"/>
          <w:sz w:val="32"/>
          <w:szCs w:val="32"/>
          <w:highlight w:val="none"/>
        </w:rPr>
      </w:pPr>
      <w:r>
        <w:pict>
          <v:shape id="Object 9" o:spid="_x0000_s2053" o:spt="75" type="#_x0000_t75" style="position:absolute;left:0pt;margin-left:15.15pt;margin-top:6pt;height:160.85pt;width:342.55pt;mso-wrap-distance-bottom:0pt;mso-wrap-distance-left:9pt;mso-wrap-distance-right:9pt;mso-wrap-distance-top:0pt;z-index:251663360;mso-width-relative:page;mso-height-relative:page;" o:ole="t" filled="f" o:preferrelative="t" stroked="f" coordsize="21600,21600">
            <v:path/>
            <v:fill on="f" focussize="0,0"/>
            <v:stroke on="f"/>
            <v:imagedata r:id="rId16" cropbottom="-10f" o:title=""/>
            <o:lock v:ext="edit" aspectratio="f"/>
            <w10:wrap type="square"/>
          </v:shape>
          <o:OLEObject Type="Embed" ProgID="Excel.Chart.8" ShapeID="Object 9" DrawAspect="Content" ObjectID="_1468075729" r:id="rId15">
            <o:LockedField>false</o:LockedField>
          </o:OLEObject>
        </w:pict>
      </w:r>
    </w:p>
    <w:p w14:paraId="7DE68CDA">
      <w:pPr>
        <w:spacing w:line="600" w:lineRule="exact"/>
        <w:rPr>
          <w:rFonts w:hint="eastAsia" w:ascii="Times New Roman" w:hAnsi="Times New Roman" w:eastAsia="楷体_GB2312" w:cs="楷体_GB2312"/>
          <w:b/>
          <w:color w:val="auto"/>
          <w:sz w:val="32"/>
          <w:szCs w:val="32"/>
          <w:highlight w:val="none"/>
        </w:rPr>
      </w:pPr>
      <w:bookmarkStart w:id="37" w:name="_Toc15377211"/>
    </w:p>
    <w:p w14:paraId="4F82D1C4">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楷体_GB2312" w:cs="楷体_GB2312"/>
          <w:b/>
          <w:color w:val="auto"/>
          <w:sz w:val="32"/>
          <w:szCs w:val="32"/>
          <w:highlight w:val="none"/>
          <w:lang w:val="en-US" w:eastAsia="zh-CN"/>
        </w:rPr>
        <w:t xml:space="preserve">                   </w:t>
      </w:r>
      <w:bookmarkEnd w:id="37"/>
    </w:p>
    <w:p w14:paraId="492AD5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CEF4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06ECF3">
      <w:pPr>
        <w:spacing w:line="600" w:lineRule="exact"/>
        <w:ind w:firstLine="8006" w:firstLineChars="250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14:paraId="5556F46C">
      <w:pPr>
        <w:spacing w:line="600" w:lineRule="exact"/>
        <w:ind w:firstLine="321" w:firstLineChars="100"/>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（二）一般公共预算财政拨款支出决算结构情况</w:t>
      </w:r>
    </w:p>
    <w:p w14:paraId="4B1C5FF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度一般公共预算财政拨款支出</w:t>
      </w:r>
      <w:r>
        <w:rPr>
          <w:rFonts w:hint="eastAsia" w:ascii="Times New Roman" w:hAnsi="Times New Roman" w:eastAsia="仿宋_GB2312" w:cs="Times New Roman"/>
          <w:b w:val="0"/>
          <w:bCs w:val="0"/>
          <w:color w:val="auto"/>
          <w:kern w:val="2"/>
          <w:sz w:val="32"/>
          <w:szCs w:val="32"/>
          <w:highlight w:val="none"/>
          <w:lang w:val="en-US" w:eastAsia="zh-CN" w:bidi="ar-SA"/>
        </w:rPr>
        <w:t>522.64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Times New Roman" w:hAnsi="Times New Roman" w:eastAsia="仿宋_GB2312" w:cs="Times New Roman"/>
          <w:b w:val="0"/>
          <w:bCs w:val="0"/>
          <w:color w:val="auto"/>
          <w:kern w:val="2"/>
          <w:sz w:val="32"/>
          <w:szCs w:val="32"/>
          <w:highlight w:val="none"/>
          <w:lang w:val="en-US" w:eastAsia="zh-CN" w:bidi="ar-SA"/>
        </w:rPr>
        <w:t>435.79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auto"/>
          <w:kern w:val="2"/>
          <w:sz w:val="32"/>
          <w:szCs w:val="32"/>
          <w:highlight w:val="none"/>
          <w:lang w:val="en-US" w:eastAsia="zh-CN" w:bidi="ar-SA"/>
        </w:rPr>
        <w:t>83.38%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Times New Roman"/>
          <w:b w:val="0"/>
          <w:bCs w:val="0"/>
          <w:color w:val="auto"/>
          <w:kern w:val="2"/>
          <w:sz w:val="32"/>
          <w:szCs w:val="32"/>
          <w:highlight w:val="none"/>
          <w:lang w:val="en-US" w:eastAsia="zh-CN" w:bidi="ar-SA"/>
        </w:rPr>
        <w:t>43.51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auto"/>
          <w:kern w:val="2"/>
          <w:sz w:val="32"/>
          <w:szCs w:val="32"/>
          <w:highlight w:val="none"/>
          <w:lang w:val="en-US" w:eastAsia="zh-CN" w:bidi="ar-SA"/>
        </w:rPr>
        <w:t>8.33%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Times New Roman"/>
          <w:b w:val="0"/>
          <w:bCs w:val="0"/>
          <w:color w:val="auto"/>
          <w:kern w:val="2"/>
          <w:sz w:val="32"/>
          <w:szCs w:val="32"/>
          <w:highlight w:val="none"/>
          <w:lang w:val="en-US" w:eastAsia="zh-CN" w:bidi="ar-SA"/>
        </w:rPr>
        <w:t>17.13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auto"/>
          <w:kern w:val="2"/>
          <w:sz w:val="32"/>
          <w:szCs w:val="32"/>
          <w:highlight w:val="none"/>
          <w:lang w:val="en-US" w:eastAsia="zh-CN" w:bidi="ar-SA"/>
        </w:rPr>
        <w:t>3.28%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Times New Roman"/>
          <w:b w:val="0"/>
          <w:bCs w:val="0"/>
          <w:color w:val="auto"/>
          <w:kern w:val="2"/>
          <w:sz w:val="32"/>
          <w:szCs w:val="32"/>
          <w:highlight w:val="none"/>
          <w:lang w:val="en-US" w:eastAsia="zh-CN" w:bidi="ar-SA"/>
        </w:rPr>
        <w:t>26.21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auto"/>
          <w:kern w:val="2"/>
          <w:sz w:val="32"/>
          <w:szCs w:val="32"/>
          <w:highlight w:val="none"/>
          <w:lang w:val="en-US" w:eastAsia="zh-CN" w:bidi="ar-SA"/>
        </w:rPr>
        <w:t>5.01%</w:t>
      </w:r>
      <w:r>
        <w:rPr>
          <w:rFonts w:hint="eastAsia" w:ascii="仿宋_GB2312" w:hAnsi="仿宋_GB2312" w:eastAsia="仿宋_GB2312" w:cs="仿宋_GB2312"/>
          <w:color w:val="auto"/>
          <w:kern w:val="2"/>
          <w:sz w:val="32"/>
          <w:szCs w:val="32"/>
          <w:highlight w:val="none"/>
          <w:lang w:val="en-US" w:eastAsia="zh-CN" w:bidi="ar-SA"/>
        </w:rPr>
        <w:t>。</w:t>
      </w:r>
    </w:p>
    <w:p w14:paraId="33E88B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pict>
          <v:shape id="_x0000_s2054" o:spid="_x0000_s2054" o:spt="75" alt="image1" type="#_x0000_t75" style="position:absolute;left:0pt;margin-left:4.2pt;margin-top:14.15pt;height:149.45pt;width:354.55pt;mso-wrap-distance-bottom:0pt;mso-wrap-distance-left:9pt;mso-wrap-distance-right:9pt;mso-wrap-distance-top:0pt;z-index:251664384;mso-width-relative:page;mso-height-relative:page;" o:ole="t" filled="f" o:preferrelative="t" stroked="f" coordsize="21600,21600">
            <v:path/>
            <v:fill on="f" focussize="0,0"/>
            <v:stroke on="f"/>
            <v:imagedata r:id="rId18" o:title=""/>
            <o:lock v:ext="edit" aspectratio="t"/>
            <w10:wrap type="square"/>
          </v:shape>
          <o:OLEObject Type="Embed" ProgID="Excel.Chart.8" ShapeID="_x0000_s2054" DrawAspect="Content" ObjectID="_1468075730" r:id="rId17">
            <o:LockedField>false</o:LockedField>
          </o:OLEObject>
        </w:pict>
      </w:r>
    </w:p>
    <w:p w14:paraId="3B4F1ECD">
      <w:pPr>
        <w:pStyle w:val="5"/>
        <w:rPr>
          <w:rFonts w:hint="eastAsia" w:ascii="Times New Roman" w:hAnsi="Times New Roman" w:eastAsia="仿宋_GB2312" w:cs="仿宋_GB2312"/>
          <w:color w:val="auto"/>
          <w:kern w:val="2"/>
          <w:sz w:val="32"/>
          <w:szCs w:val="32"/>
          <w:highlight w:val="none"/>
          <w:lang w:val="en-US" w:eastAsia="zh-CN" w:bidi="ar-SA"/>
        </w:rPr>
      </w:pPr>
    </w:p>
    <w:p w14:paraId="7907F749">
      <w:pPr>
        <w:rPr>
          <w:rFonts w:hint="eastAsia"/>
          <w:lang w:val="en-US" w:eastAsia="zh-CN"/>
        </w:rPr>
      </w:pPr>
    </w:p>
    <w:p w14:paraId="7876A42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2"/>
    </w:p>
    <w:p w14:paraId="2C1C8C4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F24EC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57A4CD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8"/>
    </w:p>
    <w:p w14:paraId="0CE2AB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7213"/>
      <w:bookmarkStart w:id="40" w:name="_Toc15378460"/>
      <w:bookmarkStart w:id="41" w:name="_Toc15377444"/>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522.64万元</w:t>
      </w:r>
      <w:bookmarkStart w:id="78" w:name="_GoBack"/>
      <w:bookmarkEnd w:id="78"/>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Times New Roman" w:hAnsi="Times New Roman" w:eastAsia="仿宋_GB2312" w:cs="Times New Roman"/>
          <w:b w:val="0"/>
          <w:bCs w:val="0"/>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14:paraId="59CB65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）政府办公厅（室）及相关机构事务（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运行（</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198.55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14:paraId="141040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财政事务（款）事业运行（项）：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237.24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14:paraId="4E19F66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29.43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，决算数与预算数持平。</w:t>
      </w:r>
    </w:p>
    <w:p w14:paraId="5470711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14.08</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，决算数与预算数持平。</w:t>
      </w:r>
    </w:p>
    <w:p w14:paraId="0A46A78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17.13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，决算数与预算数持平。</w:t>
      </w:r>
    </w:p>
    <w:p w14:paraId="212A14D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26.21</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，决算数与预算数持平。</w:t>
      </w:r>
    </w:p>
    <w:p w14:paraId="45C05BB7">
      <w:pPr>
        <w:tabs>
          <w:tab w:val="right" w:pos="8306"/>
        </w:tabs>
        <w:spacing w:line="600" w:lineRule="exact"/>
        <w:ind w:firstLine="640" w:firstLineChars="200"/>
        <w:outlineLvl w:val="1"/>
        <w:rPr>
          <w:rStyle w:val="29"/>
          <w:rFonts w:ascii="Times New Roman" w:hAnsi="Times New Roman"/>
          <w:color w:val="auto"/>
          <w:highlight w:val="none"/>
        </w:rPr>
      </w:pPr>
      <w:bookmarkStart w:id="42" w:name="_Toc15377214"/>
      <w:bookmarkStart w:id="4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2"/>
      <w:bookmarkEnd w:id="43"/>
      <w:r>
        <w:rPr>
          <w:rStyle w:val="29"/>
          <w:rFonts w:ascii="Times New Roman" w:hAnsi="Times New Roman" w:eastAsia="黑体"/>
          <w:b w:val="0"/>
          <w:color w:val="auto"/>
          <w:highlight w:val="none"/>
        </w:rPr>
        <w:tab/>
      </w:r>
    </w:p>
    <w:p w14:paraId="61D17B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Times New Roman" w:hAnsi="Times New Roman" w:eastAsia="仿宋_GB2312" w:cs="Times New Roman"/>
          <w:b w:val="0"/>
          <w:bCs w:val="0"/>
          <w:color w:val="auto"/>
          <w:kern w:val="2"/>
          <w:sz w:val="32"/>
          <w:szCs w:val="32"/>
          <w:highlight w:val="none"/>
          <w:lang w:val="en-US" w:eastAsia="zh-CN" w:bidi="ar-SA"/>
        </w:rPr>
        <w:t>324.09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F9E99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eastAsia="仿宋_GB2312" w:cs="Times New Roman"/>
          <w:b w:val="0"/>
          <w:bCs w:val="0"/>
          <w:color w:val="auto"/>
          <w:kern w:val="2"/>
          <w:sz w:val="32"/>
          <w:szCs w:val="32"/>
          <w:highlight w:val="none"/>
          <w:lang w:val="en-US" w:eastAsia="zh-CN" w:bidi="ar-SA"/>
        </w:rPr>
        <w:t>317.18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其他社会保障缴费、医疗费补助、住房公积金等。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6.91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元，主要包括：办公费、邮电费、差旅费、培训费、</w:t>
      </w:r>
      <w:r>
        <w:rPr>
          <w:rFonts w:hint="eastAsia" w:eastAsia="仿宋_GB2312" w:cs="仿宋_GB2312"/>
          <w:color w:val="auto"/>
          <w:kern w:val="2"/>
          <w:sz w:val="32"/>
          <w:szCs w:val="32"/>
          <w:highlight w:val="none"/>
          <w:lang w:val="en-US" w:eastAsia="zh-CN" w:bidi="ar-SA"/>
        </w:rPr>
        <w:t>维修（护）费、福利费、</w:t>
      </w:r>
      <w:r>
        <w:rPr>
          <w:rFonts w:hint="eastAsia" w:ascii="Times New Roman" w:hAnsi="Times New Roman" w:eastAsia="仿宋_GB2312" w:cs="仿宋_GB2312"/>
          <w:color w:val="auto"/>
          <w:kern w:val="2"/>
          <w:sz w:val="32"/>
          <w:szCs w:val="32"/>
          <w:highlight w:val="none"/>
          <w:lang w:val="en-US" w:eastAsia="zh-CN" w:bidi="ar-SA"/>
        </w:rPr>
        <w:t>其他</w:t>
      </w:r>
      <w:r>
        <w:rPr>
          <w:rFonts w:hint="eastAsia" w:eastAsia="仿宋_GB2312" w:cs="仿宋_GB2312"/>
          <w:color w:val="auto"/>
          <w:kern w:val="2"/>
          <w:sz w:val="32"/>
          <w:szCs w:val="32"/>
          <w:highlight w:val="none"/>
          <w:lang w:val="en-US" w:eastAsia="zh-CN" w:bidi="ar-SA"/>
        </w:rPr>
        <w:t>商品和服务支出</w:t>
      </w:r>
      <w:r>
        <w:rPr>
          <w:rFonts w:hint="eastAsia" w:ascii="Times New Roman" w:hAnsi="Times New Roman" w:eastAsia="仿宋_GB2312" w:cs="仿宋_GB2312"/>
          <w:color w:val="auto"/>
          <w:kern w:val="2"/>
          <w:sz w:val="32"/>
          <w:szCs w:val="32"/>
          <w:highlight w:val="none"/>
          <w:lang w:val="en-US" w:eastAsia="zh-CN" w:bidi="ar-SA"/>
        </w:rPr>
        <w:t>等。</w:t>
      </w:r>
    </w:p>
    <w:p w14:paraId="7E5CCCE8">
      <w:pPr>
        <w:spacing w:line="600" w:lineRule="exact"/>
        <w:ind w:firstLine="640"/>
        <w:outlineLvl w:val="1"/>
        <w:rPr>
          <w:rStyle w:val="29"/>
          <w:rFonts w:ascii="Times New Roman" w:hAnsi="Times New Roman" w:eastAsia="黑体"/>
          <w:b w:val="0"/>
          <w:color w:val="auto"/>
          <w:highlight w:val="none"/>
        </w:rPr>
      </w:pPr>
      <w:bookmarkStart w:id="44" w:name="_Toc15377215"/>
      <w:bookmarkStart w:id="45" w:name="_Toc15396609"/>
      <w:bookmarkStart w:id="46" w:name="_Toc15377225"/>
      <w:bookmarkStart w:id="47" w:name="_Toc15396613"/>
      <w:bookmarkStart w:id="48" w:name="_Toc15396614"/>
      <w:bookmarkStart w:id="49" w:name="_Toc15377226"/>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eastAsia="黑体"/>
          <w:b w:val="0"/>
          <w:bCs/>
          <w:color w:val="auto"/>
          <w:highlight w:val="none"/>
          <w:lang w:eastAsia="zh-CN"/>
        </w:rPr>
        <w:t>“</w:t>
      </w:r>
      <w:r>
        <w:rPr>
          <w:rStyle w:val="29"/>
          <w:rFonts w:hint="eastAsia" w:ascii="Times New Roman" w:hAnsi="Times New Roman" w:eastAsia="黑体"/>
          <w:b w:val="0"/>
          <w:color w:val="auto"/>
          <w:highlight w:val="none"/>
        </w:rPr>
        <w:t>三公</w:t>
      </w:r>
      <w:r>
        <w:rPr>
          <w:rStyle w:val="29"/>
          <w:rFonts w:hint="eastAsia" w:eastAsia="黑体"/>
          <w:b w:val="0"/>
          <w:color w:val="auto"/>
          <w:highlight w:val="none"/>
          <w:lang w:eastAsia="zh-CN"/>
        </w:rPr>
        <w:t>”</w:t>
      </w:r>
      <w:r>
        <w:rPr>
          <w:rStyle w:val="29"/>
          <w:rFonts w:hint="eastAsia" w:ascii="Times New Roman" w:hAnsi="Times New Roman" w:eastAsia="黑体"/>
          <w:b w:val="0"/>
          <w:color w:val="auto"/>
          <w:highlight w:val="none"/>
        </w:rPr>
        <w:t>经费支出决算情况说明</w:t>
      </w:r>
      <w:bookmarkEnd w:id="44"/>
      <w:bookmarkEnd w:id="45"/>
    </w:p>
    <w:p w14:paraId="050F869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6"/>
      <w:r>
        <w:rPr>
          <w:rFonts w:hint="eastAsia" w:ascii="Times New Roman" w:hAnsi="Times New Roman" w:eastAsia="楷体_GB2312" w:cs="楷体_GB2312"/>
          <w:b/>
          <w:color w:val="auto"/>
          <w:sz w:val="32"/>
          <w:szCs w:val="32"/>
          <w:highlight w:val="none"/>
        </w:rPr>
        <w:t>（一）</w:t>
      </w:r>
      <w:r>
        <w:rPr>
          <w:rFonts w:hint="eastAsia" w:eastAsia="楷体_GB2312" w:cs="楷体_GB2312"/>
          <w:b/>
          <w:color w:val="auto"/>
          <w:sz w:val="32"/>
          <w:szCs w:val="32"/>
          <w:highlight w:val="none"/>
          <w:lang w:eastAsia="zh-CN"/>
        </w:rPr>
        <w:t>财政拨款</w:t>
      </w:r>
      <w:r>
        <w:rPr>
          <w:rFonts w:hint="eastAsia" w:ascii="Times New Roman" w:hAnsi="Times New Roman" w:eastAsia="楷体_GB2312" w:cs="楷体_GB2312"/>
          <w:b/>
          <w:color w:val="auto"/>
          <w:sz w:val="32"/>
          <w:szCs w:val="32"/>
          <w:highlight w:val="none"/>
        </w:rPr>
        <w:t>“三公”经费支出决算总体情况说明</w:t>
      </w:r>
      <w:bookmarkEnd w:id="50"/>
    </w:p>
    <w:p w14:paraId="242503A4">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bookmarkStart w:id="51" w:name="_Toc15377217"/>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财政拨款</w:t>
      </w:r>
      <w:r>
        <w:rPr>
          <w:rFonts w:hint="eastAsia" w:ascii="Times New Roman" w:hAnsi="Times New Roman" w:eastAsia="仿宋_GB2312" w:cs="仿宋_GB2312"/>
          <w:color w:val="auto"/>
          <w:kern w:val="2"/>
          <w:sz w:val="32"/>
          <w:szCs w:val="32"/>
          <w:highlight w:val="none"/>
          <w:lang w:val="en-US" w:eastAsia="zh-CN" w:bidi="ar-SA"/>
        </w:rPr>
        <w:t>“三公”经费支出决算为0</w:t>
      </w:r>
      <w:r>
        <w:rPr>
          <w:rFonts w:hint="eastAsia" w:ascii="仿宋_GB2312" w:hAnsi="仿宋_GB2312" w:eastAsia="仿宋_GB2312" w:cs="仿宋_GB2312"/>
          <w:color w:val="auto"/>
          <w:kern w:val="2"/>
          <w:sz w:val="32"/>
          <w:szCs w:val="32"/>
          <w:highlight w:val="none"/>
          <w:lang w:val="en-US" w:eastAsia="zh-CN" w:bidi="ar-SA"/>
        </w:rPr>
        <w:t>万元，完成预算数</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年相比无变化。决算数与预算数持平。</w:t>
      </w:r>
    </w:p>
    <w:p w14:paraId="35CFA00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w:t>
      </w:r>
      <w:r>
        <w:rPr>
          <w:rFonts w:hint="eastAsia" w:eastAsia="楷体_GB2312" w:cs="楷体_GB2312"/>
          <w:b/>
          <w:color w:val="auto"/>
          <w:sz w:val="32"/>
          <w:szCs w:val="32"/>
          <w:highlight w:val="none"/>
          <w:lang w:eastAsia="zh-CN"/>
        </w:rPr>
        <w:t>财政拨款</w:t>
      </w:r>
      <w:r>
        <w:rPr>
          <w:rFonts w:hint="eastAsia" w:ascii="Times New Roman" w:hAnsi="Times New Roman" w:eastAsia="楷体_GB2312" w:cs="楷体_GB2312"/>
          <w:b/>
          <w:color w:val="auto"/>
          <w:sz w:val="32"/>
          <w:szCs w:val="32"/>
          <w:highlight w:val="none"/>
        </w:rPr>
        <w:t>“三公”经费支出决算具体情况说明</w:t>
      </w:r>
      <w:bookmarkEnd w:id="51"/>
    </w:p>
    <w:p w14:paraId="7E3606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财政拨款</w:t>
      </w:r>
      <w:r>
        <w:rPr>
          <w:rFonts w:hint="eastAsia" w:ascii="Times New Roman" w:hAnsi="Times New Roman" w:eastAsia="仿宋_GB2312" w:cs="仿宋_GB2312"/>
          <w:color w:val="auto"/>
          <w:kern w:val="2"/>
          <w:sz w:val="32"/>
          <w:szCs w:val="32"/>
          <w:highlight w:val="none"/>
          <w:lang w:val="en-US" w:eastAsia="zh-CN" w:bidi="ar-SA"/>
        </w:rPr>
        <w:t>“三公”经费支出决算中，因公出国（境）费支出决算0万元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公务用车购置及运行维护费支出决算0万元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公务接待费支出决算0万元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。具体情况如下：</w:t>
      </w:r>
    </w:p>
    <w:p w14:paraId="3D29A0C9">
      <w:pPr>
        <w:numPr>
          <w:ilvl w:val="0"/>
          <w:numId w:val="0"/>
        </w:numPr>
        <w:spacing w:line="600" w:lineRule="exact"/>
        <w:ind w:firstLine="643" w:firstLineChars="20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w:t>
      </w:r>
      <w:r>
        <w:rPr>
          <w:rFonts w:hint="eastAsia" w:ascii="仿宋_GB2312" w:hAnsi="仿宋_GB2312" w:eastAsia="仿宋_GB2312" w:cs="仿宋_GB2312"/>
          <w:b w:val="0"/>
          <w:bCs w:val="0"/>
          <w:color w:val="auto"/>
          <w:kern w:val="2"/>
          <w:sz w:val="32"/>
          <w:szCs w:val="32"/>
          <w:highlight w:val="none"/>
          <w:lang w:val="en-US" w:eastAsia="zh-CN" w:bidi="ar-SA"/>
        </w:rPr>
        <w:t>完成预算数</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。全年安排因公出国（境）团组</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次，出国（境）</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人。</w:t>
      </w:r>
    </w:p>
    <w:p w14:paraId="41765373">
      <w:pPr>
        <w:numPr>
          <w:ilvl w:val="0"/>
          <w:numId w:val="0"/>
        </w:numPr>
        <w:spacing w:line="600" w:lineRule="exact"/>
        <w:ind w:firstLine="643" w:firstLineChars="200"/>
        <w:rPr>
          <w:rFonts w:hint="eastAsia" w:ascii="仿宋_GB2312" w:hAnsi="仿宋_GB2312"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万</w:t>
      </w:r>
      <w:r>
        <w:rPr>
          <w:rFonts w:hint="eastAsia" w:ascii="Times New Roman" w:hAnsi="Times New Roman" w:eastAsia="仿宋_GB2312" w:cs="仿宋_GB2312"/>
          <w:b w:val="0"/>
          <w:bCs w:val="0"/>
          <w:color w:val="auto"/>
          <w:kern w:val="2"/>
          <w:sz w:val="32"/>
          <w:szCs w:val="32"/>
          <w:highlight w:val="none"/>
          <w:lang w:val="en-US" w:eastAsia="zh-CN" w:bidi="ar-SA"/>
        </w:rPr>
        <w:t>元</w:t>
      </w:r>
      <w:r>
        <w:rPr>
          <w:rFonts w:hint="eastAsia"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完成预算数100%</w:t>
      </w:r>
      <w:r>
        <w:rPr>
          <w:rFonts w:hint="eastAsia" w:ascii="仿宋_GB2312" w:hAnsi="仿宋_GB2312" w:eastAsia="仿宋_GB2312" w:cs="仿宋_GB2312"/>
          <w:color w:val="auto"/>
          <w:kern w:val="2"/>
          <w:sz w:val="32"/>
          <w:szCs w:val="32"/>
          <w:highlight w:val="none"/>
          <w:lang w:val="en-US" w:eastAsia="zh-CN" w:bidi="ar-SA"/>
        </w:rPr>
        <w:t>。</w:t>
      </w:r>
    </w:p>
    <w:p w14:paraId="309D6427">
      <w:pPr>
        <w:spacing w:line="600" w:lineRule="exact"/>
        <w:ind w:firstLine="640"/>
        <w:rPr>
          <w:rFonts w:hint="default"/>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万元，完成预算数</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w:t>
      </w:r>
      <w:bookmarkStart w:id="52" w:name="_Toc15377218"/>
      <w:bookmarkStart w:id="53" w:name="_Toc15396610"/>
    </w:p>
    <w:p w14:paraId="72369097">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2"/>
      <w:bookmarkEnd w:id="53"/>
    </w:p>
    <w:p w14:paraId="33973B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Start w:id="54" w:name="_Toc15377219"/>
      <w:bookmarkStart w:id="55" w:name="_Toc15396611"/>
    </w:p>
    <w:p w14:paraId="6FC0C355">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4"/>
      <w:bookmarkEnd w:id="55"/>
    </w:p>
    <w:p w14:paraId="2B29F01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color w:val="auto"/>
          <w:kern w:val="2"/>
          <w:sz w:val="32"/>
          <w:szCs w:val="32"/>
          <w:highlight w:val="none"/>
          <w:lang w:val="en-US" w:eastAsia="zh-CN" w:bidi="ar-SA"/>
        </w:rPr>
        <w:t>0.19%。与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增加0.3万元，增长42.86%。主要原因是：上级补助增加。</w:t>
      </w:r>
    </w:p>
    <w:p w14:paraId="5D9AEAA2">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6" w:name="_Toc15396612"/>
      <w:bookmarkStart w:id="5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6"/>
      <w:bookmarkEnd w:id="57"/>
    </w:p>
    <w:p w14:paraId="55D0E6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40FDBB5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，茂县国有资产管理中心机关运行经费支出</w:t>
      </w:r>
      <w:r>
        <w:rPr>
          <w:rFonts w:hint="eastAsia" w:ascii="Times New Roman" w:hAnsi="Times New Roman" w:eastAsia="仿宋_GB2312" w:cs="仿宋_GB2312"/>
          <w:color w:val="auto"/>
          <w:kern w:val="2"/>
          <w:sz w:val="32"/>
          <w:szCs w:val="32"/>
          <w:highlight w:val="none"/>
          <w:lang w:val="en-US" w:eastAsia="zh-CN" w:bidi="ar-SA"/>
        </w:rPr>
        <w:t>6.49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70.80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：人员增加12人。</w:t>
      </w:r>
    </w:p>
    <w:p w14:paraId="216B6E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00B4316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rPr>
        <w:t>茂县国有资产管理中心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p>
    <w:p w14:paraId="5D0514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6A0351C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hAnsi="仿宋_GB2312" w:eastAsia="仿宋_GB2312" w:cs="仿宋_GB2312"/>
          <w:color w:val="auto"/>
          <w:kern w:val="2"/>
          <w:sz w:val="32"/>
          <w:szCs w:val="32"/>
          <w:highlight w:val="none"/>
          <w:lang w:val="en-US" w:eastAsia="zh-CN" w:bidi="ar-SA"/>
        </w:rPr>
        <w:t>月</w:t>
      </w:r>
      <w:r>
        <w:rPr>
          <w:rFonts w:hint="eastAsia" w:ascii="Times New Roman" w:hAnsi="Times New Roman" w:eastAsia="仿宋_GB2312" w:cs="仿宋_GB2312"/>
          <w:color w:val="auto"/>
          <w:kern w:val="2"/>
          <w:sz w:val="32"/>
          <w:szCs w:val="32"/>
          <w:highlight w:val="none"/>
          <w:lang w:val="en-US" w:eastAsia="zh-CN" w:bidi="ar-SA"/>
        </w:rPr>
        <w:t>31</w:t>
      </w:r>
      <w:r>
        <w:rPr>
          <w:rFonts w:hint="eastAsia" w:ascii="仿宋_GB2312" w:hAnsi="仿宋_GB2312" w:eastAsia="仿宋_GB2312" w:cs="仿宋_GB2312"/>
          <w:color w:val="auto"/>
          <w:kern w:val="2"/>
          <w:sz w:val="32"/>
          <w:szCs w:val="32"/>
          <w:highlight w:val="none"/>
          <w:lang w:val="en-US" w:eastAsia="zh-CN" w:bidi="ar-SA"/>
        </w:rPr>
        <w:t>日，</w:t>
      </w:r>
      <w:r>
        <w:rPr>
          <w:rFonts w:hint="eastAsia" w:ascii="仿宋_GB2312" w:hAnsi="仿宋_GB2312" w:eastAsia="仿宋_GB2312" w:cs="仿宋_GB2312"/>
          <w:sz w:val="32"/>
          <w:szCs w:val="32"/>
        </w:rPr>
        <w:t>茂县国有资产管理中心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w:t>
      </w:r>
    </w:p>
    <w:p w14:paraId="7D5485B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85A2299">
      <w:pPr>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茂县国有资产管理中心</w:t>
      </w:r>
      <w:r>
        <w:rPr>
          <w:rFonts w:hint="eastAsia" w:ascii="Times New Roman" w:hAnsi="Times New Roman" w:eastAsia="仿宋_GB2312" w:cs="仿宋_GB2312"/>
          <w:color w:val="auto"/>
          <w:kern w:val="2"/>
          <w:sz w:val="32"/>
          <w:szCs w:val="32"/>
          <w:highlight w:val="none"/>
          <w:lang w:val="en-US" w:eastAsia="zh-CN" w:bidi="ar-SA"/>
        </w:rPr>
        <w:t>在2025年度预算编制阶段，组织对</w:t>
      </w:r>
      <w:r>
        <w:rPr>
          <w:rFonts w:hint="eastAsia" w:eastAsia="仿宋_GB2312" w:cs="仿宋_GB2312"/>
          <w:color w:val="auto"/>
          <w:kern w:val="2"/>
          <w:sz w:val="32"/>
          <w:szCs w:val="32"/>
          <w:highlight w:val="none"/>
          <w:lang w:val="en-US" w:eastAsia="zh-CN" w:bidi="ar-SA"/>
        </w:rPr>
        <w:t>国有企业退休人员社会管理、清淤及淤积物处置</w:t>
      </w:r>
      <w:r>
        <w:rPr>
          <w:rFonts w:hint="eastAsia" w:ascii="Times New Roman" w:hAnsi="Times New Roman" w:eastAsia="仿宋_GB2312" w:cs="仿宋_GB2312"/>
          <w:color w:val="auto"/>
          <w:kern w:val="2"/>
          <w:sz w:val="32"/>
          <w:szCs w:val="32"/>
          <w:highlight w:val="none"/>
          <w:lang w:val="en-US" w:eastAsia="zh-CN" w:bidi="ar-SA"/>
        </w:rPr>
        <w:t>等5个项目开展了预算事前绩效评估</w:t>
      </w:r>
      <w:r>
        <w:rPr>
          <w:rFonts w:hint="eastAsia" w:ascii="仿宋_GB2312" w:hAnsi="仿宋_GB2312" w:eastAsia="仿宋_GB2312" w:cs="仿宋_GB2312"/>
          <w:color w:val="auto"/>
          <w:kern w:val="2"/>
          <w:sz w:val="32"/>
          <w:szCs w:val="32"/>
          <w:highlight w:val="none"/>
          <w:lang w:val="en-US" w:eastAsia="zh-CN" w:bidi="ar-SA"/>
        </w:rPr>
        <w:t>，对</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个项目编制了绩效目标，预算执行过程中，选取</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个项目开展绩效监控，</w:t>
      </w:r>
      <w:r>
        <w:rPr>
          <w:rFonts w:hint="default" w:ascii="Times New Roman" w:hAnsi="Times New Roman" w:eastAsia="仿宋_GB2312" w:cs="Times New Roman"/>
          <w:color w:val="auto"/>
          <w:sz w:val="32"/>
          <w:szCs w:val="32"/>
          <w:highlight w:val="none"/>
          <w:lang w:eastAsia="zh-CN"/>
        </w:rPr>
        <w:t>组织对</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Times New Roman"/>
          <w:color w:val="auto"/>
          <w:sz w:val="32"/>
          <w:szCs w:val="32"/>
          <w:highlight w:val="none"/>
          <w:lang w:val="en-US" w:eastAsia="zh-CN"/>
        </w:rPr>
        <w:t>个项目开展绩效自评，绩效自评表详见第四部分附件。</w:t>
      </w:r>
    </w:p>
    <w:p w14:paraId="3E03A1F5">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0139AF19">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3D9ABF70">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6E7AB061">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72F41B11">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2F3A71C2">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0AE1188D">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723C7D65">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212C3504">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06A9DD52">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780A269F">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7E71D3F3">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724E028E">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2908FF1E">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65BB5697">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6445A15A">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17EDF4BB">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6B014CE9">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50F086E4">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2604F83F">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5552D0B2">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rPr>
      </w:pPr>
    </w:p>
    <w:p w14:paraId="4F920CE9">
      <w:pPr>
        <w:pageBreakBefore w:val="0"/>
        <w:numPr>
          <w:ilvl w:val="0"/>
          <w:numId w:val="0"/>
        </w:numPr>
        <w:kinsoku/>
        <w:wordWrap/>
        <w:overflowPunct/>
        <w:topLinePunct w:val="0"/>
        <w:bidi w:val="0"/>
        <w:spacing w:line="576" w:lineRule="exact"/>
        <w:ind w:firstLine="2640" w:firstLineChars="600"/>
        <w:jc w:val="both"/>
        <w:textAlignment w:val="auto"/>
        <w:outlineLvl w:val="0"/>
        <w:rPr>
          <w:rFonts w:hint="eastAsia" w:ascii="Times New Roman" w:hAnsi="Times New Roman" w:eastAsia="黑体" w:cs="Times New Roman"/>
          <w:color w:val="auto"/>
          <w:sz w:val="44"/>
          <w:szCs w:val="44"/>
          <w:highlight w:val="none"/>
          <w:lang w:val="en-US" w:eastAsia="zh-CN"/>
        </w:rPr>
      </w:pPr>
      <w:r>
        <w:rPr>
          <w:rFonts w:hint="eastAsia" w:ascii="Times New Roman" w:hAnsi="Times New Roman" w:eastAsia="黑体" w:cs="Times New Roman"/>
          <w:color w:val="auto"/>
          <w:sz w:val="44"/>
          <w:szCs w:val="44"/>
          <w:highlight w:val="none"/>
        </w:rPr>
        <w:t>第</w:t>
      </w:r>
      <w:r>
        <w:rPr>
          <w:rFonts w:hint="eastAsia" w:ascii="Times New Roman" w:hAnsi="Times New Roman" w:eastAsia="黑体" w:cs="Times New Roman"/>
          <w:color w:val="auto"/>
          <w:sz w:val="44"/>
          <w:szCs w:val="44"/>
          <w:highlight w:val="none"/>
          <w:lang w:eastAsia="zh-CN"/>
        </w:rPr>
        <w:t>三</w:t>
      </w:r>
      <w:r>
        <w:rPr>
          <w:rFonts w:hint="eastAsia" w:ascii="Times New Roman" w:hAnsi="Times New Roman" w:eastAsia="黑体" w:cs="Times New Roman"/>
          <w:color w:val="auto"/>
          <w:sz w:val="44"/>
          <w:szCs w:val="44"/>
          <w:highlight w:val="none"/>
        </w:rPr>
        <w:t>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名词解释</w:t>
      </w:r>
      <w:bookmarkEnd w:id="46"/>
      <w:bookmarkEnd w:id="47"/>
    </w:p>
    <w:p w14:paraId="305E5E8F">
      <w:p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14:paraId="75E086E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6CB0B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1" w:name="_Toc24679"/>
      <w:bookmarkStart w:id="62" w:name="_Toc7779"/>
      <w:bookmarkStart w:id="63" w:name="_Toc19329"/>
      <w:r>
        <w:rPr>
          <w:rFonts w:hint="eastAsia" w:ascii="Times New Roman" w:hAnsi="Times New Roman" w:eastAsia="仿宋_GB2312" w:cs="仿宋_GB2312"/>
          <w:color w:val="auto"/>
          <w:kern w:val="2"/>
          <w:sz w:val="32"/>
          <w:szCs w:val="32"/>
          <w:highlight w:val="none"/>
          <w:lang w:val="en-US" w:eastAsia="zh-CN" w:bidi="ar-SA"/>
        </w:rPr>
        <w:t>2.其他收入：指单位取得的除上述收入以外的各项收入。</w:t>
      </w:r>
      <w:bookmarkEnd w:id="61"/>
      <w:bookmarkEnd w:id="62"/>
      <w:bookmarkEnd w:id="63"/>
      <w:r>
        <w:rPr>
          <w:rFonts w:hint="eastAsia" w:ascii="Times New Roman" w:hAnsi="Times New Roman" w:eastAsia="仿宋_GB2312" w:cs="仿宋_GB2312"/>
          <w:color w:val="auto"/>
          <w:kern w:val="2"/>
          <w:sz w:val="32"/>
          <w:szCs w:val="32"/>
          <w:highlight w:val="none"/>
          <w:lang w:val="en-US" w:eastAsia="zh-CN" w:bidi="ar-SA"/>
        </w:rPr>
        <w:t xml:space="preserve">  </w:t>
      </w:r>
    </w:p>
    <w:p w14:paraId="0C91F2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3.年初结转和结余：指以前年度尚未完成、结转到本年按有关规定继续使用的资金。 </w:t>
      </w:r>
    </w:p>
    <w:p w14:paraId="04B6F6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4.年末结转和结余：指单位按有关规定结转到下年或以后年度继续使用的资金。</w:t>
      </w:r>
    </w:p>
    <w:p w14:paraId="0F1FAD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5.一般公共服务（类）政府办公厅/室（款）行政运行（项）：指反映行政单位（包括实行公务员管理的事业单位）的基本支出。</w:t>
      </w:r>
    </w:p>
    <w:p w14:paraId="3AC5C6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6.社会保障和就业支出（类）行政事业单位养老支出（款）机关事业单位基本养老保险缴费支出（项）：指部门实施养老保险制度由单位缴纳的基本养老保险费支出。</w:t>
      </w:r>
    </w:p>
    <w:p w14:paraId="65569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7.社会保障和就业支出（类）行政事业单位养老支出（款）机关事业单位职业年金缴费支出（项）：指部门实施养老保险制度由单位缴纳的职业年金支出。</w:t>
      </w:r>
    </w:p>
    <w:p w14:paraId="374498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8.卫生健康(类)行政事业单位医疗（款）行政单位医疗（项）:指行政单位用于缴纳单位基本医疗保险支出。</w:t>
      </w:r>
    </w:p>
    <w:p w14:paraId="5546A7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9.住房保障支出（类）住房改革支出（款）住房公积金（项）：指反映行政事业单位按规定为职工缴纳的住房公积金。</w:t>
      </w:r>
    </w:p>
    <w:p w14:paraId="4DB556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10.基本支出：指为保障机构正常运转、完成日常工作任务而发生的人员支出和公用支出。</w:t>
      </w:r>
    </w:p>
    <w:p w14:paraId="3DC0E3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11.项目支出：指在基本支出之外为完成特定行政任务和事业发展目标所发生的支出。 </w:t>
      </w:r>
    </w:p>
    <w:p w14:paraId="655699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EF6FDC0">
      <w:pPr>
        <w:spacing w:line="600" w:lineRule="exact"/>
        <w:ind w:firstLine="640"/>
        <w:rPr>
          <w:rFonts w:hint="eastAsia"/>
          <w:lang w:eastAsia="zh-CN"/>
        </w:rPr>
      </w:pPr>
      <w:r>
        <w:rPr>
          <w:rFonts w:hint="eastAsia" w:ascii="Times New Roman" w:hAnsi="Times New Roman" w:eastAsia="仿宋_GB2312" w:cs="仿宋_GB2312"/>
          <w:color w:val="auto"/>
          <w:kern w:val="2"/>
          <w:sz w:val="32"/>
          <w:szCs w:val="32"/>
          <w:highlight w:val="none"/>
          <w:lang w:val="en-US" w:eastAsia="zh-CN" w:bidi="ar-SA"/>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48"/>
    <w:p w14:paraId="5561237B">
      <w:pPr>
        <w:pStyle w:val="3"/>
        <w:numPr>
          <w:ilvl w:val="0"/>
          <w:numId w:val="0"/>
        </w:numPr>
        <w:bidi w:val="0"/>
        <w:ind w:firstLine="1760" w:firstLineChars="400"/>
        <w:rPr>
          <w:rStyle w:val="29"/>
          <w:rFonts w:hint="eastAsia" w:ascii="方正小标宋简体" w:hAnsi="方正小标宋简体" w:eastAsia="方正小标宋简体" w:cs="方正小标宋简体"/>
          <w:b w:val="0"/>
          <w:bCs w:val="0"/>
          <w:sz w:val="44"/>
          <w:szCs w:val="44"/>
          <w:lang w:val="en-US" w:eastAsia="zh-CN"/>
        </w:rPr>
      </w:pPr>
    </w:p>
    <w:p w14:paraId="7A39C159">
      <w:pPr>
        <w:numPr>
          <w:ilvl w:val="0"/>
          <w:numId w:val="0"/>
        </w:numPr>
        <w:spacing w:line="600" w:lineRule="exact"/>
        <w:ind w:firstLine="321" w:firstLineChars="100"/>
        <w:jc w:val="both"/>
        <w:rPr>
          <w:rFonts w:hint="default"/>
          <w:lang w:val="en-US" w:eastAsia="zh-CN"/>
        </w:rPr>
      </w:pPr>
      <w:r>
        <w:rPr>
          <w:rFonts w:hint="eastAsia" w:ascii="仿宋_GB2312" w:hAnsi="仿宋_GB2312" w:eastAsia="仿宋_GB2312" w:cs="仿宋_GB2312"/>
          <w:b/>
          <w:bCs/>
          <w:sz w:val="32"/>
          <w:szCs w:val="32"/>
          <w:lang w:val="en-US" w:eastAsia="zh-CN"/>
        </w:rPr>
        <w:t xml:space="preserve">  </w:t>
      </w:r>
    </w:p>
    <w:p w14:paraId="1AAD1D83">
      <w:pPr>
        <w:pStyle w:val="2"/>
        <w:numPr>
          <w:ilvl w:val="0"/>
          <w:numId w:val="0"/>
        </w:numPr>
        <w:ind w:firstLine="2249" w:firstLineChars="700"/>
        <w:rPr>
          <w:rFonts w:hint="default" w:ascii="Times New Roman" w:hAnsi="Times New Roman" w:eastAsia="黑体" w:cs="Times New Roman"/>
          <w:b w:val="0"/>
          <w:color w:val="auto"/>
          <w:kern w:val="2"/>
          <w:sz w:val="44"/>
          <w:szCs w:val="44"/>
          <w:highlight w:val="none"/>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黑体" w:cs="Times New Roman"/>
          <w:b w:val="0"/>
          <w:color w:val="auto"/>
          <w:kern w:val="2"/>
          <w:sz w:val="44"/>
          <w:szCs w:val="44"/>
          <w:highlight w:val="none"/>
          <w:lang w:val="en-US" w:eastAsia="zh-CN" w:bidi="ar-SA"/>
        </w:rPr>
        <w:t>第四部分  附件</w:t>
      </w:r>
    </w:p>
    <w:p w14:paraId="6F59E1E4">
      <w:pPr>
        <w:pStyle w:val="2"/>
        <w:numPr>
          <w:ilvl w:val="0"/>
          <w:numId w:val="0"/>
        </w:numPr>
        <w:rPr>
          <w:rFonts w:hint="default" w:ascii="仿宋_GB2312" w:hAnsi="仿宋_GB2312" w:eastAsia="仿宋_GB2312" w:cs="仿宋_GB2312"/>
          <w:b/>
          <w:bCs w:val="0"/>
          <w:sz w:val="32"/>
          <w:szCs w:val="32"/>
          <w:lang w:val="en-US" w:eastAsia="zh-CN"/>
        </w:rPr>
      </w:pPr>
      <w:r>
        <w:rPr>
          <w:rFonts w:hint="eastAsia" w:ascii="仿宋_GB2312" w:hAnsi="仿宋_GB2312" w:eastAsia="仿宋_GB2312" w:cs="仿宋_GB2312"/>
          <w:sz w:val="32"/>
          <w:szCs w:val="32"/>
          <w:lang w:val="en-US" w:eastAsia="zh-CN"/>
        </w:rPr>
        <w:t xml:space="preserve">附件    </w:t>
      </w:r>
    </w:p>
    <w:p w14:paraId="0B32C79C">
      <w:pPr>
        <w:rPr>
          <w:rFonts w:hint="default" w:eastAsia="宋体"/>
          <w:lang w:val="en-US" w:eastAsia="zh-CN"/>
        </w:rPr>
      </w:pPr>
      <w:r>
        <w:rPr>
          <w:rFonts w:hint="eastAsia"/>
          <w:b/>
          <w:bCs w:val="0"/>
          <w:lang w:val="en-US" w:eastAsia="zh-CN"/>
        </w:rPr>
        <w:t xml:space="preserve">          国有企业退休人员社会化管理补助资金绩效目标完成情况自评表</w:t>
      </w:r>
      <w:r>
        <w:rPr>
          <w:rFonts w:hint="eastAsia"/>
          <w:lang w:val="en-US" w:eastAsia="zh-CN"/>
        </w:rPr>
        <w:t xml:space="preserve">                   </w:t>
      </w:r>
    </w:p>
    <w:p w14:paraId="4AFCDFD7">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object>
          <v:shape id="_x0000_i1026" o:spt="75" type="#_x0000_t75" style="height:513.95pt;width:415.5pt;" o:ole="t" filled="f" o:preferrelative="t" stroked="f" coordsize="21600,21600">
            <v:path/>
            <v:fill on="f" focussize="0,0"/>
            <v:stroke on="f"/>
            <v:imagedata r:id="rId20" o:title=""/>
            <o:lock v:ext="edit" aspectratio="f"/>
            <w10:wrap type="none"/>
            <w10:anchorlock/>
          </v:shape>
          <o:OLEObject Type="Embed" ProgID="Excel.Sheet.8" ShapeID="_x0000_i1026" DrawAspect="Content" ObjectID="_1468075731" r:id="rId19">
            <o:LockedField>false</o:LockedField>
          </o:OLEObject>
        </w:object>
      </w:r>
    </w:p>
    <w:p w14:paraId="2D52032D">
      <w:pPr>
        <w:pStyle w:val="8"/>
        <w:spacing w:after="0" w:line="578" w:lineRule="exact"/>
        <w:ind w:left="0" w:leftChars="0" w:firstLine="0" w:firstLineChars="0"/>
        <w:rPr>
          <w:rFonts w:hint="eastAsia" w:ascii="仿宋_GB2312" w:hAnsi="仿宋_GB2312" w:eastAsia="仿宋_GB2312" w:cs="仿宋_GB2312"/>
          <w:sz w:val="24"/>
          <w:szCs w:val="24"/>
        </w:rPr>
      </w:pPr>
      <w:bookmarkStart w:id="64" w:name="_Toc15396618"/>
    </w:p>
    <w:p w14:paraId="3D0D251C">
      <w:pPr>
        <w:widowControl/>
        <w:ind w:firstLine="2640" w:firstLineChars="600"/>
        <w:jc w:val="both"/>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64"/>
      <w:bookmarkStart w:id="65" w:name="_Toc15396619"/>
    </w:p>
    <w:p w14:paraId="5FD71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80309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14:paraId="513789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14:paraId="13BE7C0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14:paraId="20E2B6F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14:paraId="36E8D44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14:paraId="2DA883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14:paraId="59F29D1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14:paraId="21CF33C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14:paraId="6F68669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14:paraId="2138D05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14:paraId="7C1BEA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BCC661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14:paraId="3FDE8E4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14:paraId="7DF8248F">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67EB9">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E2F3F">
                          <w:pPr>
                            <w:pStyle w:val="11"/>
                          </w:pPr>
                          <w:r>
                            <w:fldChar w:fldCharType="begin"/>
                          </w:r>
                          <w:r>
                            <w:instrText xml:space="preserve"> PAGE  \* MERGEFORMAT </w:instrText>
                          </w:r>
                          <w:r>
                            <w:fldChar w:fldCharType="separate"/>
                          </w:r>
                          <w:r>
                            <w:t>- 16 -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2E2F3F">
                    <w:pPr>
                      <w:pStyle w:val="11"/>
                    </w:pPr>
                    <w:r>
                      <w:fldChar w:fldCharType="begin"/>
                    </w:r>
                    <w:r>
                      <w:instrText xml:space="preserve"> PAGE  \* MERGEFORMAT </w:instrText>
                    </w:r>
                    <w:r>
                      <w:fldChar w:fldCharType="separate"/>
                    </w:r>
                    <w:r>
                      <w:t>- 16 -</w:t>
                    </w:r>
                    <w:r>
                      <w:fldChar w:fldCharType="end"/>
                    </w:r>
                  </w:p>
                </w:txbxContent>
              </v:textbox>
            </v:shape>
          </w:pict>
        </mc:Fallback>
      </mc:AlternateContent>
    </w:r>
  </w:p>
  <w:p w14:paraId="115534E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31DA6">
    <w:pPr>
      <w:pStyle w:val="11"/>
      <w:ind w:firstLine="4140" w:firstLineChars="2300"/>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800F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3E800FB">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93528">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2AC"/>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E4051"/>
    <w:rsid w:val="012A5EC2"/>
    <w:rsid w:val="01382BF0"/>
    <w:rsid w:val="015975B8"/>
    <w:rsid w:val="02033D0E"/>
    <w:rsid w:val="021A3862"/>
    <w:rsid w:val="0248052C"/>
    <w:rsid w:val="028975AE"/>
    <w:rsid w:val="02FEBE30"/>
    <w:rsid w:val="03781351"/>
    <w:rsid w:val="03CF5817"/>
    <w:rsid w:val="04653DAA"/>
    <w:rsid w:val="047343F5"/>
    <w:rsid w:val="04916F1E"/>
    <w:rsid w:val="04E010E8"/>
    <w:rsid w:val="052D0A47"/>
    <w:rsid w:val="061E35DE"/>
    <w:rsid w:val="06640499"/>
    <w:rsid w:val="06670691"/>
    <w:rsid w:val="066E0107"/>
    <w:rsid w:val="076742CA"/>
    <w:rsid w:val="07996F6E"/>
    <w:rsid w:val="07CD00C5"/>
    <w:rsid w:val="07D17DB0"/>
    <w:rsid w:val="07DFD8BA"/>
    <w:rsid w:val="084F2523"/>
    <w:rsid w:val="084F33CB"/>
    <w:rsid w:val="08A94456"/>
    <w:rsid w:val="08FF7410"/>
    <w:rsid w:val="092D370C"/>
    <w:rsid w:val="093E76C7"/>
    <w:rsid w:val="095011A8"/>
    <w:rsid w:val="09867E8F"/>
    <w:rsid w:val="0992356F"/>
    <w:rsid w:val="09CF6571"/>
    <w:rsid w:val="09FF1272"/>
    <w:rsid w:val="0A2032A3"/>
    <w:rsid w:val="0A7D421F"/>
    <w:rsid w:val="0AA87B3A"/>
    <w:rsid w:val="0ACA278E"/>
    <w:rsid w:val="0B2428ED"/>
    <w:rsid w:val="0BD83386"/>
    <w:rsid w:val="0C2C3490"/>
    <w:rsid w:val="0C741652"/>
    <w:rsid w:val="0CA8290A"/>
    <w:rsid w:val="0CAE0F5E"/>
    <w:rsid w:val="0CE75980"/>
    <w:rsid w:val="0CFE5075"/>
    <w:rsid w:val="0D35B1ED"/>
    <w:rsid w:val="0D533015"/>
    <w:rsid w:val="0D7D4536"/>
    <w:rsid w:val="0DA87805"/>
    <w:rsid w:val="0E172791"/>
    <w:rsid w:val="0E254B6B"/>
    <w:rsid w:val="0E5C05EF"/>
    <w:rsid w:val="0ED2559A"/>
    <w:rsid w:val="0F784FB5"/>
    <w:rsid w:val="0F98263C"/>
    <w:rsid w:val="101860EC"/>
    <w:rsid w:val="101F47CC"/>
    <w:rsid w:val="10C055FF"/>
    <w:rsid w:val="10FE58C3"/>
    <w:rsid w:val="1123686F"/>
    <w:rsid w:val="114E2471"/>
    <w:rsid w:val="115832F0"/>
    <w:rsid w:val="11694EBD"/>
    <w:rsid w:val="1173012A"/>
    <w:rsid w:val="11772AA4"/>
    <w:rsid w:val="118107EC"/>
    <w:rsid w:val="11E63BAA"/>
    <w:rsid w:val="11FA7F03"/>
    <w:rsid w:val="12256F37"/>
    <w:rsid w:val="124B339D"/>
    <w:rsid w:val="12E24EE2"/>
    <w:rsid w:val="13D50BC4"/>
    <w:rsid w:val="13F41C12"/>
    <w:rsid w:val="142F4403"/>
    <w:rsid w:val="14B17F78"/>
    <w:rsid w:val="14C420E8"/>
    <w:rsid w:val="15200ECB"/>
    <w:rsid w:val="15205ED3"/>
    <w:rsid w:val="15406575"/>
    <w:rsid w:val="15B62E01"/>
    <w:rsid w:val="165E0673"/>
    <w:rsid w:val="166521A9"/>
    <w:rsid w:val="1681730F"/>
    <w:rsid w:val="16A36DBB"/>
    <w:rsid w:val="16B831D5"/>
    <w:rsid w:val="16BB723D"/>
    <w:rsid w:val="16F476F4"/>
    <w:rsid w:val="17485BB5"/>
    <w:rsid w:val="17591B70"/>
    <w:rsid w:val="17CF19E0"/>
    <w:rsid w:val="17E50567"/>
    <w:rsid w:val="17FB2C27"/>
    <w:rsid w:val="182C1032"/>
    <w:rsid w:val="186504BB"/>
    <w:rsid w:val="18B835D0"/>
    <w:rsid w:val="190C3911"/>
    <w:rsid w:val="19A445FC"/>
    <w:rsid w:val="19D35C0A"/>
    <w:rsid w:val="1A332204"/>
    <w:rsid w:val="1A9F789A"/>
    <w:rsid w:val="1AE1489F"/>
    <w:rsid w:val="1BBE01F3"/>
    <w:rsid w:val="1BE8440E"/>
    <w:rsid w:val="1BF24C7D"/>
    <w:rsid w:val="1BF27E9D"/>
    <w:rsid w:val="1C296B64"/>
    <w:rsid w:val="1C36422E"/>
    <w:rsid w:val="1C987FCD"/>
    <w:rsid w:val="1CFF6D16"/>
    <w:rsid w:val="1D155CEE"/>
    <w:rsid w:val="1D1638FE"/>
    <w:rsid w:val="1D484564"/>
    <w:rsid w:val="1D724AA4"/>
    <w:rsid w:val="1D85546D"/>
    <w:rsid w:val="1E312DEB"/>
    <w:rsid w:val="1E3819A8"/>
    <w:rsid w:val="1E740ACF"/>
    <w:rsid w:val="1E9D2342"/>
    <w:rsid w:val="1F5C6CE3"/>
    <w:rsid w:val="1FDF698A"/>
    <w:rsid w:val="1FF35744"/>
    <w:rsid w:val="1FF6BC77"/>
    <w:rsid w:val="20251073"/>
    <w:rsid w:val="202D76F6"/>
    <w:rsid w:val="211C7E96"/>
    <w:rsid w:val="213A6FF8"/>
    <w:rsid w:val="2186353C"/>
    <w:rsid w:val="21BF6A73"/>
    <w:rsid w:val="21F8186C"/>
    <w:rsid w:val="22511DC1"/>
    <w:rsid w:val="22557E77"/>
    <w:rsid w:val="23131B18"/>
    <w:rsid w:val="23860B96"/>
    <w:rsid w:val="23D305B4"/>
    <w:rsid w:val="240371BF"/>
    <w:rsid w:val="244F3473"/>
    <w:rsid w:val="24C97D99"/>
    <w:rsid w:val="25643F3A"/>
    <w:rsid w:val="25A718F0"/>
    <w:rsid w:val="25BB59F6"/>
    <w:rsid w:val="25BC4728"/>
    <w:rsid w:val="25C94DD3"/>
    <w:rsid w:val="25CF2033"/>
    <w:rsid w:val="25F11544"/>
    <w:rsid w:val="260A717A"/>
    <w:rsid w:val="260F557C"/>
    <w:rsid w:val="26970054"/>
    <w:rsid w:val="26E2748C"/>
    <w:rsid w:val="26E34FB2"/>
    <w:rsid w:val="26FD2518"/>
    <w:rsid w:val="2786213D"/>
    <w:rsid w:val="27FE6547"/>
    <w:rsid w:val="280024B5"/>
    <w:rsid w:val="28135FC7"/>
    <w:rsid w:val="281408E2"/>
    <w:rsid w:val="28512908"/>
    <w:rsid w:val="286677D8"/>
    <w:rsid w:val="28D23530"/>
    <w:rsid w:val="295B52D4"/>
    <w:rsid w:val="29FD04D3"/>
    <w:rsid w:val="2A2F7769"/>
    <w:rsid w:val="2B1C0A93"/>
    <w:rsid w:val="2BA2368E"/>
    <w:rsid w:val="2BAC0068"/>
    <w:rsid w:val="2BB67139"/>
    <w:rsid w:val="2BFF7BC6"/>
    <w:rsid w:val="2C560C06"/>
    <w:rsid w:val="2C8A61B5"/>
    <w:rsid w:val="2D410C84"/>
    <w:rsid w:val="2D8A43D9"/>
    <w:rsid w:val="2D960FD0"/>
    <w:rsid w:val="2DF04E50"/>
    <w:rsid w:val="2DF31F7F"/>
    <w:rsid w:val="2E175A14"/>
    <w:rsid w:val="2E2E0121"/>
    <w:rsid w:val="2E5073D1"/>
    <w:rsid w:val="2E586DFA"/>
    <w:rsid w:val="2E7F1A64"/>
    <w:rsid w:val="2EBE13B7"/>
    <w:rsid w:val="2F040D46"/>
    <w:rsid w:val="2F34132A"/>
    <w:rsid w:val="2F436F36"/>
    <w:rsid w:val="2F662571"/>
    <w:rsid w:val="2F6B035B"/>
    <w:rsid w:val="2F762E67"/>
    <w:rsid w:val="2FAE5751"/>
    <w:rsid w:val="2FB1A395"/>
    <w:rsid w:val="2FB36C9F"/>
    <w:rsid w:val="2FCA46BE"/>
    <w:rsid w:val="2FCB0A06"/>
    <w:rsid w:val="2FD9A7D8"/>
    <w:rsid w:val="2FDBF714"/>
    <w:rsid w:val="30230E9C"/>
    <w:rsid w:val="307467A9"/>
    <w:rsid w:val="30AB6865"/>
    <w:rsid w:val="30C714A1"/>
    <w:rsid w:val="30D24087"/>
    <w:rsid w:val="30F73B34"/>
    <w:rsid w:val="310E70CF"/>
    <w:rsid w:val="319F7F4E"/>
    <w:rsid w:val="320449D6"/>
    <w:rsid w:val="32475FE2"/>
    <w:rsid w:val="32BD1EF1"/>
    <w:rsid w:val="3304709D"/>
    <w:rsid w:val="335831A6"/>
    <w:rsid w:val="33A773CB"/>
    <w:rsid w:val="33CF2B46"/>
    <w:rsid w:val="344352E2"/>
    <w:rsid w:val="349D6851"/>
    <w:rsid w:val="34B61F58"/>
    <w:rsid w:val="359F0C3E"/>
    <w:rsid w:val="35D2691D"/>
    <w:rsid w:val="362829E1"/>
    <w:rsid w:val="36301896"/>
    <w:rsid w:val="369E2CA4"/>
    <w:rsid w:val="36AA5135"/>
    <w:rsid w:val="36B44275"/>
    <w:rsid w:val="36BE0DA7"/>
    <w:rsid w:val="375A6BCB"/>
    <w:rsid w:val="37635687"/>
    <w:rsid w:val="376B6AA6"/>
    <w:rsid w:val="376D39B2"/>
    <w:rsid w:val="37CF5A51"/>
    <w:rsid w:val="37E16F03"/>
    <w:rsid w:val="37F53A3B"/>
    <w:rsid w:val="389B6C89"/>
    <w:rsid w:val="38D469F0"/>
    <w:rsid w:val="38DC78D9"/>
    <w:rsid w:val="390D66F3"/>
    <w:rsid w:val="3938118D"/>
    <w:rsid w:val="39627CCD"/>
    <w:rsid w:val="397BAF1F"/>
    <w:rsid w:val="399C171C"/>
    <w:rsid w:val="39D828D0"/>
    <w:rsid w:val="3A0E4972"/>
    <w:rsid w:val="3A5F274A"/>
    <w:rsid w:val="3AA0523C"/>
    <w:rsid w:val="3AB79AF3"/>
    <w:rsid w:val="3ACF78CF"/>
    <w:rsid w:val="3AE834C0"/>
    <w:rsid w:val="3B7EF35A"/>
    <w:rsid w:val="3B9FDB6C"/>
    <w:rsid w:val="3BD827B4"/>
    <w:rsid w:val="3BED44B1"/>
    <w:rsid w:val="3BF5BC2F"/>
    <w:rsid w:val="3BFC59B9"/>
    <w:rsid w:val="3C8841DA"/>
    <w:rsid w:val="3CEBA265"/>
    <w:rsid w:val="3D2A6BB4"/>
    <w:rsid w:val="3D527C28"/>
    <w:rsid w:val="3D566086"/>
    <w:rsid w:val="3D98207C"/>
    <w:rsid w:val="3DC41242"/>
    <w:rsid w:val="3DE90CA8"/>
    <w:rsid w:val="3DEE7CF3"/>
    <w:rsid w:val="3E5C591E"/>
    <w:rsid w:val="3E6B3DB3"/>
    <w:rsid w:val="3E740A63"/>
    <w:rsid w:val="3E78745D"/>
    <w:rsid w:val="3EE17838"/>
    <w:rsid w:val="3EE72FA4"/>
    <w:rsid w:val="3F487C50"/>
    <w:rsid w:val="3F55381A"/>
    <w:rsid w:val="3F6F51DD"/>
    <w:rsid w:val="3F7F7599"/>
    <w:rsid w:val="3FF4CAE0"/>
    <w:rsid w:val="3FF7B227"/>
    <w:rsid w:val="40E1210B"/>
    <w:rsid w:val="41126927"/>
    <w:rsid w:val="41CD4704"/>
    <w:rsid w:val="42753EA0"/>
    <w:rsid w:val="43056584"/>
    <w:rsid w:val="43607C5E"/>
    <w:rsid w:val="442944F4"/>
    <w:rsid w:val="447D749E"/>
    <w:rsid w:val="44D02BC2"/>
    <w:rsid w:val="44E26451"/>
    <w:rsid w:val="44E268DA"/>
    <w:rsid w:val="450D13D7"/>
    <w:rsid w:val="45277812"/>
    <w:rsid w:val="45506656"/>
    <w:rsid w:val="45D93CF8"/>
    <w:rsid w:val="469F0A9E"/>
    <w:rsid w:val="474627C0"/>
    <w:rsid w:val="47541A6F"/>
    <w:rsid w:val="47B10DCA"/>
    <w:rsid w:val="47ED5839"/>
    <w:rsid w:val="48345216"/>
    <w:rsid w:val="484511D1"/>
    <w:rsid w:val="486A6C7A"/>
    <w:rsid w:val="48874F2B"/>
    <w:rsid w:val="48A51C70"/>
    <w:rsid w:val="49787A7C"/>
    <w:rsid w:val="49836892"/>
    <w:rsid w:val="4989333F"/>
    <w:rsid w:val="4A627F82"/>
    <w:rsid w:val="4ABD14F2"/>
    <w:rsid w:val="4AD056CA"/>
    <w:rsid w:val="4AD56CAF"/>
    <w:rsid w:val="4B0B4954"/>
    <w:rsid w:val="4B0E749A"/>
    <w:rsid w:val="4B2477C4"/>
    <w:rsid w:val="4B296B88"/>
    <w:rsid w:val="4B4F25DA"/>
    <w:rsid w:val="4BDF1EFD"/>
    <w:rsid w:val="4BE068DB"/>
    <w:rsid w:val="4C8A18A8"/>
    <w:rsid w:val="4D577224"/>
    <w:rsid w:val="4D5D1D7E"/>
    <w:rsid w:val="4D6B792C"/>
    <w:rsid w:val="4DBF1CEB"/>
    <w:rsid w:val="4DC422BC"/>
    <w:rsid w:val="4DF0007C"/>
    <w:rsid w:val="4E2D698F"/>
    <w:rsid w:val="4EA2737D"/>
    <w:rsid w:val="4EAB630A"/>
    <w:rsid w:val="4ECE2238"/>
    <w:rsid w:val="4EF241A3"/>
    <w:rsid w:val="4F6C6998"/>
    <w:rsid w:val="4F833267"/>
    <w:rsid w:val="4FB235F0"/>
    <w:rsid w:val="4FD82B29"/>
    <w:rsid w:val="4FE9BD67"/>
    <w:rsid w:val="4FFB052F"/>
    <w:rsid w:val="508640C4"/>
    <w:rsid w:val="50981090"/>
    <w:rsid w:val="50CF3D2E"/>
    <w:rsid w:val="50E7376D"/>
    <w:rsid w:val="510B6005"/>
    <w:rsid w:val="528B1ED6"/>
    <w:rsid w:val="5302488E"/>
    <w:rsid w:val="53114AD1"/>
    <w:rsid w:val="536C693B"/>
    <w:rsid w:val="537E6D0A"/>
    <w:rsid w:val="53B86CFB"/>
    <w:rsid w:val="53F74C96"/>
    <w:rsid w:val="54D37F81"/>
    <w:rsid w:val="550B1E2F"/>
    <w:rsid w:val="55170BA8"/>
    <w:rsid w:val="553218C9"/>
    <w:rsid w:val="56384123"/>
    <w:rsid w:val="566A26CC"/>
    <w:rsid w:val="567E1AA5"/>
    <w:rsid w:val="567F61F6"/>
    <w:rsid w:val="56E47B74"/>
    <w:rsid w:val="57175D52"/>
    <w:rsid w:val="57256D9D"/>
    <w:rsid w:val="57423E07"/>
    <w:rsid w:val="574F6FF2"/>
    <w:rsid w:val="57654230"/>
    <w:rsid w:val="57723A3A"/>
    <w:rsid w:val="57835872"/>
    <w:rsid w:val="57BD3DD4"/>
    <w:rsid w:val="5866141B"/>
    <w:rsid w:val="58975A79"/>
    <w:rsid w:val="590029F6"/>
    <w:rsid w:val="596C3A4E"/>
    <w:rsid w:val="59F574FE"/>
    <w:rsid w:val="5A1924BD"/>
    <w:rsid w:val="5A3115B5"/>
    <w:rsid w:val="5AA955EF"/>
    <w:rsid w:val="5AF92295"/>
    <w:rsid w:val="5B250254"/>
    <w:rsid w:val="5B5C0FA7"/>
    <w:rsid w:val="5B831CF6"/>
    <w:rsid w:val="5BB3037A"/>
    <w:rsid w:val="5BDD79E6"/>
    <w:rsid w:val="5BF561CA"/>
    <w:rsid w:val="5BFF5DFC"/>
    <w:rsid w:val="5C2A0EF0"/>
    <w:rsid w:val="5C58551F"/>
    <w:rsid w:val="5CD71FC4"/>
    <w:rsid w:val="5CEE4EB7"/>
    <w:rsid w:val="5D1F11B5"/>
    <w:rsid w:val="5D695134"/>
    <w:rsid w:val="5DAE1B18"/>
    <w:rsid w:val="5DB669A1"/>
    <w:rsid w:val="5DDB1F64"/>
    <w:rsid w:val="5DE7D9E5"/>
    <w:rsid w:val="5E0636D9"/>
    <w:rsid w:val="5E4B59A9"/>
    <w:rsid w:val="5E5A37D0"/>
    <w:rsid w:val="5E5F029D"/>
    <w:rsid w:val="5E7B72A3"/>
    <w:rsid w:val="5EA47DA8"/>
    <w:rsid w:val="5ECEC941"/>
    <w:rsid w:val="5F73751B"/>
    <w:rsid w:val="5FBF9FF3"/>
    <w:rsid w:val="5FCD4E2C"/>
    <w:rsid w:val="5FEF394A"/>
    <w:rsid w:val="5FF67715"/>
    <w:rsid w:val="602816AC"/>
    <w:rsid w:val="602A71D2"/>
    <w:rsid w:val="60E47381"/>
    <w:rsid w:val="61B05787"/>
    <w:rsid w:val="61F53810"/>
    <w:rsid w:val="627209BD"/>
    <w:rsid w:val="62830E1C"/>
    <w:rsid w:val="62B815BD"/>
    <w:rsid w:val="62BF3928"/>
    <w:rsid w:val="62F61833"/>
    <w:rsid w:val="63B3701E"/>
    <w:rsid w:val="63B97090"/>
    <w:rsid w:val="63D95197"/>
    <w:rsid w:val="64073686"/>
    <w:rsid w:val="642108EC"/>
    <w:rsid w:val="646D7F44"/>
    <w:rsid w:val="6477675E"/>
    <w:rsid w:val="647F5392"/>
    <w:rsid w:val="655A2308"/>
    <w:rsid w:val="657D6E7E"/>
    <w:rsid w:val="658C7FE7"/>
    <w:rsid w:val="65D016D6"/>
    <w:rsid w:val="65D86017"/>
    <w:rsid w:val="65E66580"/>
    <w:rsid w:val="66076A89"/>
    <w:rsid w:val="661204C3"/>
    <w:rsid w:val="664663E8"/>
    <w:rsid w:val="664B1D71"/>
    <w:rsid w:val="664B4E8E"/>
    <w:rsid w:val="66A7157D"/>
    <w:rsid w:val="66E95B54"/>
    <w:rsid w:val="67106F11"/>
    <w:rsid w:val="67277B67"/>
    <w:rsid w:val="676C7BB6"/>
    <w:rsid w:val="67AA3209"/>
    <w:rsid w:val="67C73559"/>
    <w:rsid w:val="67D55CA3"/>
    <w:rsid w:val="67E81B56"/>
    <w:rsid w:val="684F2B08"/>
    <w:rsid w:val="68866F70"/>
    <w:rsid w:val="68C06926"/>
    <w:rsid w:val="68CB020A"/>
    <w:rsid w:val="69034A64"/>
    <w:rsid w:val="698D0931"/>
    <w:rsid w:val="69C935B8"/>
    <w:rsid w:val="6A553B10"/>
    <w:rsid w:val="6A7FE5F3"/>
    <w:rsid w:val="6AA622AB"/>
    <w:rsid w:val="6B053271"/>
    <w:rsid w:val="6B5477F9"/>
    <w:rsid w:val="6BCC3477"/>
    <w:rsid w:val="6BDD78B3"/>
    <w:rsid w:val="6C2A4EA3"/>
    <w:rsid w:val="6C4A05C8"/>
    <w:rsid w:val="6C8742B8"/>
    <w:rsid w:val="6D20022E"/>
    <w:rsid w:val="6D8C0420"/>
    <w:rsid w:val="6DBF5E93"/>
    <w:rsid w:val="6DF06DFE"/>
    <w:rsid w:val="6DFF077E"/>
    <w:rsid w:val="6E0B0643"/>
    <w:rsid w:val="6E714EF0"/>
    <w:rsid w:val="6E7168AC"/>
    <w:rsid w:val="6E7E3605"/>
    <w:rsid w:val="6E7FDCC7"/>
    <w:rsid w:val="6E846C45"/>
    <w:rsid w:val="6EBD40AD"/>
    <w:rsid w:val="6ED6A62E"/>
    <w:rsid w:val="6EE00B15"/>
    <w:rsid w:val="6F6FB3EB"/>
    <w:rsid w:val="6F8731EA"/>
    <w:rsid w:val="6FCE6052"/>
    <w:rsid w:val="6FD57C00"/>
    <w:rsid w:val="6FEB5BAC"/>
    <w:rsid w:val="6FEFFFD8"/>
    <w:rsid w:val="6FF5CC65"/>
    <w:rsid w:val="6FFB47EC"/>
    <w:rsid w:val="6FFF034A"/>
    <w:rsid w:val="70260F5E"/>
    <w:rsid w:val="7040659E"/>
    <w:rsid w:val="7045331E"/>
    <w:rsid w:val="70484440"/>
    <w:rsid w:val="70D94A29"/>
    <w:rsid w:val="712A28F1"/>
    <w:rsid w:val="715C0E4B"/>
    <w:rsid w:val="71992E7C"/>
    <w:rsid w:val="71E35433"/>
    <w:rsid w:val="72233669"/>
    <w:rsid w:val="725214F7"/>
    <w:rsid w:val="72734D90"/>
    <w:rsid w:val="73125FD0"/>
    <w:rsid w:val="73160E6D"/>
    <w:rsid w:val="7332FE48"/>
    <w:rsid w:val="733A72D5"/>
    <w:rsid w:val="736F345C"/>
    <w:rsid w:val="739D608F"/>
    <w:rsid w:val="73AB61DA"/>
    <w:rsid w:val="73AD73D5"/>
    <w:rsid w:val="73B6EB34"/>
    <w:rsid w:val="73FA497D"/>
    <w:rsid w:val="740A456F"/>
    <w:rsid w:val="744731E5"/>
    <w:rsid w:val="74BBD01D"/>
    <w:rsid w:val="74EA4FDD"/>
    <w:rsid w:val="74ED5379"/>
    <w:rsid w:val="74F33BDF"/>
    <w:rsid w:val="75014FC1"/>
    <w:rsid w:val="75DEEEC2"/>
    <w:rsid w:val="75E32345"/>
    <w:rsid w:val="765406AD"/>
    <w:rsid w:val="76C03F95"/>
    <w:rsid w:val="76E3355F"/>
    <w:rsid w:val="76EF4DD1"/>
    <w:rsid w:val="76FA70BB"/>
    <w:rsid w:val="76FF5125"/>
    <w:rsid w:val="77040325"/>
    <w:rsid w:val="775E50CC"/>
    <w:rsid w:val="776F6FFA"/>
    <w:rsid w:val="778769C8"/>
    <w:rsid w:val="77A75DCA"/>
    <w:rsid w:val="77DC22F5"/>
    <w:rsid w:val="77E51529"/>
    <w:rsid w:val="77F71AF3"/>
    <w:rsid w:val="78104467"/>
    <w:rsid w:val="783E271A"/>
    <w:rsid w:val="78430444"/>
    <w:rsid w:val="785901FD"/>
    <w:rsid w:val="78616DE9"/>
    <w:rsid w:val="78B87E24"/>
    <w:rsid w:val="78CF2423"/>
    <w:rsid w:val="78E875D7"/>
    <w:rsid w:val="79086DAD"/>
    <w:rsid w:val="79967298"/>
    <w:rsid w:val="79BF6786"/>
    <w:rsid w:val="79D7FD79"/>
    <w:rsid w:val="79EE5BA4"/>
    <w:rsid w:val="7A0214D8"/>
    <w:rsid w:val="7A894339"/>
    <w:rsid w:val="7AC85C6E"/>
    <w:rsid w:val="7AD284E8"/>
    <w:rsid w:val="7AE14018"/>
    <w:rsid w:val="7AFF7572"/>
    <w:rsid w:val="7B4C226B"/>
    <w:rsid w:val="7B6C7DFB"/>
    <w:rsid w:val="7BBFBED0"/>
    <w:rsid w:val="7BC3E394"/>
    <w:rsid w:val="7BD83B2F"/>
    <w:rsid w:val="7BDE0A0C"/>
    <w:rsid w:val="7C1F3737"/>
    <w:rsid w:val="7C405812"/>
    <w:rsid w:val="7CBFC87B"/>
    <w:rsid w:val="7CFE0F48"/>
    <w:rsid w:val="7D272ABC"/>
    <w:rsid w:val="7D67516A"/>
    <w:rsid w:val="7D787377"/>
    <w:rsid w:val="7D7EC23E"/>
    <w:rsid w:val="7D8253F9"/>
    <w:rsid w:val="7D935B5C"/>
    <w:rsid w:val="7D9F4FD9"/>
    <w:rsid w:val="7DA35CC0"/>
    <w:rsid w:val="7E0150C3"/>
    <w:rsid w:val="7E495F66"/>
    <w:rsid w:val="7E8ADEBF"/>
    <w:rsid w:val="7ECF1219"/>
    <w:rsid w:val="7EEF11D3"/>
    <w:rsid w:val="7EF61719"/>
    <w:rsid w:val="7EFE4840"/>
    <w:rsid w:val="7F011C50"/>
    <w:rsid w:val="7F0971A6"/>
    <w:rsid w:val="7F1D62E7"/>
    <w:rsid w:val="7F221118"/>
    <w:rsid w:val="7F2A749D"/>
    <w:rsid w:val="7F3F679B"/>
    <w:rsid w:val="7F4FC4EF"/>
    <w:rsid w:val="7F5E4D54"/>
    <w:rsid w:val="7F5F3341"/>
    <w:rsid w:val="7F6E0135"/>
    <w:rsid w:val="7F79F205"/>
    <w:rsid w:val="7FA30C79"/>
    <w:rsid w:val="7FA79C44"/>
    <w:rsid w:val="7FAF8ABF"/>
    <w:rsid w:val="7FB36445"/>
    <w:rsid w:val="7FB7269E"/>
    <w:rsid w:val="7FC21838"/>
    <w:rsid w:val="7FC96657"/>
    <w:rsid w:val="7FDA9588"/>
    <w:rsid w:val="7FDF220F"/>
    <w:rsid w:val="7FEDC5F7"/>
    <w:rsid w:val="7FEDD9DE"/>
    <w:rsid w:val="7FF13411"/>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v:shadow on="t" obscured="f" color="#000000" opacity="32768f" offset="6pt,-6pt" offset2="0pt,0pt" origin="0f,0f" matrix="65536f,0f,0f,65536f,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方正小标宋简体" w:cs="Times New Roman"/>
      <w:sz w:val="20"/>
      <w:szCs w:val="20"/>
    </w:rPr>
  </w:style>
  <w:style w:type="paragraph" w:customStyle="1" w:styleId="36">
    <w:name w:val="WPSOffice手动目录 2"/>
    <w:qFormat/>
    <w:uiPriority w:val="0"/>
    <w:pPr>
      <w:ind w:leftChars="200"/>
    </w:pPr>
    <w:rPr>
      <w:rFonts w:ascii="Times New Roman" w:hAnsi="Times New Roman" w:eastAsia="方正小标宋简体" w:cs="Times New Roman"/>
      <w:sz w:val="20"/>
      <w:szCs w:val="20"/>
    </w:rPr>
  </w:style>
  <w:style w:type="paragraph" w:customStyle="1" w:styleId="37">
    <w:name w:val="WPSOffice手动目录 3"/>
    <w:qFormat/>
    <w:uiPriority w:val="0"/>
    <w:pPr>
      <w:ind w:leftChars="400"/>
    </w:pPr>
    <w:rPr>
      <w:rFonts w:ascii="Times New Roman" w:hAnsi="Times New Roman" w:eastAsia="方正小标宋简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506</Words>
  <Characters>537</Characters>
  <Lines>61</Lines>
  <Paragraphs>17</Paragraphs>
  <TotalTime>9</TotalTime>
  <ScaleCrop>false</ScaleCrop>
  <LinksUpToDate>false</LinksUpToDate>
  <CharactersWithSpaces>590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WPS_1723539882</cp:lastModifiedBy>
  <cp:lastPrinted>2025-08-06T17:34:00Z</cp:lastPrinted>
  <dcterms:modified xsi:type="dcterms:W3CDTF">2026-09-02T00:43:25Z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B486D1CE84EC49858250CB0B83FB64A9_13</vt:lpwstr>
  </property>
  <property fmtid="{D5CDD505-2E9C-101B-9397-08002B2CF9AE}" pid="4" name="KSOTemplateDocerSaveRecord">
    <vt:lpwstr>eyJoZGlkIjoiYTlkZmU2ZDVlN2IzZDNlY2VkN2UwMjIyZmY1YmViNzIiLCJ1c2VySWQiOiIxNjIzMDQzODE5In0=</vt:lpwstr>
  </property>
</Properties>
</file>