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Times New Roman" w:hAnsi="Times New Roman"/>
        </w:rPr>
      </w:pPr>
      <w:bookmarkStart w:id="0" w:name="_Toc15377425"/>
      <w:bookmarkStart w:id="1" w:name="_Toc15377193"/>
      <w:bookmarkStart w:id="2" w:name="_Toc15378441"/>
      <w:bookmarkStart w:id="3" w:name="_Toc15396597"/>
      <w:bookmarkStart w:id="4" w:name="_Toc15396475"/>
      <w:bookmarkStart w:id="5" w:name="_Toc15306267"/>
    </w:p>
    <w:p>
      <w:pPr>
        <w:pStyle w:val="18"/>
        <w:jc w:val="both"/>
        <w:rPr>
          <w:rFonts w:ascii="Times New Roman" w:eastAsia="方正小标宋简体" w:cs="Times New Roman" w:hAnsi="Times New Roman" w:hint="eastAsia"/>
          <w:color w:val="auto"/>
          <w:kern w:val="2"/>
          <w:sz w:val="44"/>
          <w:szCs w:val="44"/>
          <w:lang w:val="en-US" w:eastAsia="zh-CN" w:bidi="ar-SA"/>
          <w:highlight w:val="auto"/>
        </w:rPr>
      </w:pPr>
    </w:p>
    <w:p>
      <w:pPr>
        <w:pStyle w:val="18"/>
        <w:jc w:val="center"/>
        <w:rPr>
          <w:rFonts w:ascii="Times New Roman" w:eastAsia="方正小标宋简体" w:cs="Times New Roman" w:hAnsi="Times New Roman" w:hint="eastAsia"/>
          <w:color w:val="auto"/>
          <w:kern w:val="2"/>
          <w:sz w:val="44"/>
          <w:szCs w:val="44"/>
          <w:lang w:val="en-US" w:eastAsia="zh-CN" w:bidi="ar-SA"/>
          <w:highlight w:val="auto"/>
        </w:rPr>
      </w:pPr>
    </w:p>
    <w:p>
      <w:pPr>
        <w:pStyle w:val="18"/>
        <w:jc w:val="center"/>
        <w:rPr>
          <w:rFonts w:ascii="Times New Roman" w:eastAsia="方正小标宋简体" w:cs="Times New Roman" w:hAnsi="Times New Roman" w:hint="eastAsia"/>
          <w:color w:val="auto"/>
          <w:kern w:val="2"/>
          <w:sz w:val="44"/>
          <w:szCs w:val="44"/>
          <w:lang w:val="en-US" w:eastAsia="zh-CN" w:bidi="ar-SA"/>
          <w:highlight w:val="auto"/>
        </w:rPr>
      </w:pPr>
      <w:bookmarkStart w:id="6" w:name="_Toc15396476"/>
      <w:bookmarkStart w:id="7" w:name="_Toc15378442"/>
      <w:bookmarkStart w:id="8" w:name="_Toc15377426"/>
      <w:bookmarkStart w:id="9" w:name="_Toc15396598"/>
      <w:bookmarkStart w:id="10" w:name="_Toc15377194"/>
      <w:bookmarkEnd w:id="0"/>
      <w:bookmarkEnd w:id="1"/>
      <w:bookmarkEnd w:id="2"/>
      <w:bookmarkEnd w:id="3"/>
      <w:bookmarkEnd w:id="4"/>
      <w:r>
        <w:rPr>
          <w:rFonts w:ascii="Times New Roman" w:eastAsia="方正小标宋简体" w:cs="Times New Roman" w:hAnsi="Times New Roman" w:hint="eastAsia"/>
          <w:color w:val="auto"/>
          <w:kern w:val="2"/>
          <w:sz w:val="44"/>
          <w:szCs w:val="44"/>
          <w:lang w:val="en-US" w:eastAsia="zh-CN" w:bidi="ar-SA"/>
          <w:highlight w:val="auto"/>
        </w:rPr>
        <w:t>2024年度</w:t>
      </w:r>
      <w:bookmarkStart w:id="11" w:name="_Toc15306268"/>
      <w:bookmarkEnd w:id="5"/>
      <w:r>
        <w:rPr>
          <w:rFonts w:ascii="Times New Roman" w:eastAsia="方正小标宋简体" w:cs="Times New Roman" w:hAnsi="Times New Roman" w:hint="eastAsia"/>
          <w:color w:val="auto"/>
          <w:kern w:val="2"/>
          <w:sz w:val="44"/>
          <w:szCs w:val="44"/>
          <w:lang w:val="en-US" w:eastAsia="zh-CN" w:bidi="ar-SA"/>
          <w:highlight w:val="auto"/>
        </w:rPr>
        <w:t>四川省</w:t>
      </w:r>
    </w:p>
    <w:p>
      <w:pPr>
        <w:pStyle w:val="18"/>
        <w:jc w:val="center"/>
        <w:rPr>
          <w:rFonts w:ascii="Times New Roman" w:eastAsia="方正小标宋简体" w:cs="Times New Roman" w:hAnsi="Times New Roman" w:hint="eastAsia"/>
          <w:color w:val="auto"/>
          <w:kern w:val="2"/>
          <w:sz w:val="44"/>
          <w:szCs w:val="44"/>
          <w:lang w:val="en-US" w:eastAsia="zh-CN" w:bidi="ar-SA"/>
          <w:highlight w:val="auto"/>
        </w:rPr>
      </w:pPr>
      <w:r>
        <w:rPr>
          <w:rFonts w:ascii="Times New Roman" w:eastAsia="方正小标宋简体" w:cs="Times New Roman" w:hAnsi="Times New Roman" w:hint="eastAsia"/>
          <w:color w:val="auto"/>
          <w:kern w:val="2"/>
          <w:sz w:val="44"/>
          <w:szCs w:val="44"/>
          <w:lang w:val="en-US" w:eastAsia="zh-CN" w:bidi="ar-SA"/>
          <w:highlight w:val="auto"/>
        </w:rPr>
        <w:t>茂县妇幼保健院部门决算</w:t>
      </w:r>
      <w:bookmarkEnd w:id="6"/>
      <w:bookmarkEnd w:id="7"/>
      <w:bookmarkEnd w:id="8"/>
      <w:bookmarkEnd w:id="9"/>
      <w:bookmarkEnd w:id="10"/>
      <w:bookmarkEnd w:id="11"/>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0"/>
        <w:jc w:val="left"/>
        <w:textAlignment w:val="auto"/>
        <w:rPr>
          <w:rFonts w:ascii="Times New Roman" w:eastAsia="仿宋_GB2312" w:cs="仿宋_GB2312" w:hAnsi="Times New Roman" w:hint="eastAsia"/>
          <w:color w:val="auto"/>
          <w:sz w:val="32"/>
          <w:szCs w:val="32"/>
          <w:lang w:val="en-US" w:eastAsia="zh-CN"/>
          <w:highlight w:val="auto"/>
        </w:rPr>
      </w:pPr>
    </w:p>
    <w:p>
      <w:pPr>
        <w:widowControl/>
        <w:jc w:val="center"/>
        <w:rPr>
          <w:rFonts w:ascii="Times New Roman" w:eastAsia="黑体" w:hAnsi="Times New Roman" w:hint="eastAsia"/>
          <w:color w:val="auto"/>
          <w:sz w:val="48"/>
          <w:szCs w:val="48"/>
          <w:highlight w:val="auto"/>
        </w:rPr>
        <w:sectPr>
          <w:headerReference w:type="default" r:id="rId2"/>
          <w:footerReference w:type="default" r:id="rId3"/>
          <w:footerReference w:type="even" r:id="rId4"/>
          <w:pgSz w:w="11906" w:h="16838"/>
          <w:pgMar w:top="1440" w:right="1800" w:bottom="1440" w:left="1800" w:header="851" w:footer="992" w:gutter="0"/>
          <w:pgNumType w:fmt="numberInDash" w:start="1"/>
          <w:titlePg/>
          <w:docGrid w:type="lines" w:linePitch="312" w:charSpace="0"/>
        </w:sectPr>
      </w:pPr>
    </w:p>
    <w:p>
      <w:pPr>
        <w:widowControl/>
        <w:jc w:val="center"/>
        <w:rPr>
          <w:rFonts w:ascii="Times New Roman" w:eastAsia="黑体" w:hAnsi="Times New Roman"/>
          <w:color w:val="auto"/>
          <w:sz w:val="48"/>
          <w:szCs w:val="48"/>
          <w:highlight w:val="auto"/>
        </w:rPr>
      </w:pPr>
      <w:r>
        <w:rPr>
          <w:rFonts w:ascii="Times New Roman" w:eastAsia="黑体" w:hAnsi="Times New Roman" w:hint="eastAsia"/>
          <w:color w:val="auto"/>
          <w:sz w:val="48"/>
          <w:szCs w:val="48"/>
          <w:highlight w:val="auto"/>
        </w:rPr>
        <w:t>目录</w:t>
      </w:r>
    </w:p>
    <w:p>
      <w:pPr>
        <w:widowControl/>
        <w:jc w:val="center"/>
        <w:rPr>
          <w:rFonts w:ascii="Times New Roman" w:eastAsia="黑体" w:cs="Arial" w:hAnsi="Times New Roman"/>
          <w:color w:val="auto"/>
          <w:sz w:val="28"/>
          <w:szCs w:val="28"/>
          <w:highlight w:val="auto"/>
        </w:rPr>
      </w:pPr>
    </w:p>
    <w:p>
      <w:pPr>
        <w:pStyle w:val="23"/>
        <w:tabs>
          <w:tab w:val="right" w:leader="dot" w:pos="8296"/>
        </w:tabs>
        <w:rPr>
          <w:rFonts w:ascii="Times New Roman" w:eastAsia="仿宋_GB2312" w:cs="仿宋_GB2312" w:hAnsi="Times New Roman" w:hint="eastAsia"/>
          <w:color w:val="auto"/>
          <w:sz w:val="32"/>
          <w:szCs w:val="32"/>
          <w:highlight w:val="auto"/>
        </w:rPr>
      </w:pPr>
      <w:r>
        <w:rPr>
          <w:rFonts w:ascii="Times New Roman" w:eastAsia="仿宋_GB2312" w:cs="仿宋_GB2312" w:hAnsi="Times New Roman" w:hint="eastAsia"/>
          <w:color w:val="auto"/>
          <w:sz w:val="32"/>
          <w:szCs w:val="32"/>
          <w:highlight w:val="auto"/>
        </w:rPr>
        <w:t>公开时间：20</w:t>
      </w:r>
      <w:r>
        <w:rPr>
          <w:rFonts w:ascii="Times New Roman" w:eastAsia="仿宋_GB2312" w:cs="仿宋_GB2312" w:hAnsi="Times New Roman" w:hint="eastAsia"/>
          <w:color w:val="auto"/>
          <w:sz w:val="32"/>
          <w:szCs w:val="32"/>
          <w:lang w:val="en-US" w:eastAsia="zh-CN"/>
          <w:highlight w:val="auto"/>
        </w:rPr>
        <w:t>24</w:t>
      </w:r>
      <w:r>
        <w:rPr>
          <w:rFonts w:ascii="Times New Roman" w:eastAsia="仿宋_GB2312" w:cs="仿宋_GB2312" w:hAnsi="Times New Roman" w:hint="eastAsia"/>
          <w:color w:val="auto"/>
          <w:sz w:val="32"/>
          <w:szCs w:val="32"/>
          <w:highlight w:val="auto"/>
        </w:rPr>
        <w:t>年</w:t>
      </w:r>
      <w:r>
        <w:rPr>
          <w:rFonts w:ascii="Times New Roman" w:eastAsia="仿宋_GB2312" w:cs="仿宋_GB2312" w:hAnsi="Times New Roman" w:hint="eastAsia"/>
          <w:color w:val="auto"/>
          <w:sz w:val="32"/>
          <w:szCs w:val="32"/>
          <w:lang w:val="en-US" w:eastAsia="zh-CN"/>
          <w:highlight w:val="auto"/>
        </w:rPr>
        <w:t>9</w:t>
      </w:r>
      <w:r>
        <w:rPr>
          <w:rFonts w:ascii="Times New Roman" w:eastAsia="仿宋_GB2312" w:cs="仿宋_GB2312" w:hAnsi="Times New Roman" w:hint="eastAsia"/>
          <w:color w:val="auto"/>
          <w:sz w:val="32"/>
          <w:szCs w:val="32"/>
          <w:highlight w:val="auto"/>
        </w:rPr>
        <w:t>月</w:t>
      </w:r>
      <w:r>
        <w:rPr>
          <w:rFonts w:ascii="Times New Roman" w:eastAsia="仿宋_GB2312" w:cs="仿宋_GB2312" w:hAnsi="Times New Roman" w:hint="eastAsia"/>
          <w:color w:val="auto"/>
          <w:sz w:val="32"/>
          <w:szCs w:val="32"/>
          <w:lang w:val="en-US" w:eastAsia="zh-CN"/>
          <w:highlight w:val="auto"/>
        </w:rPr>
        <w:t>25</w:t>
      </w:r>
      <w:r>
        <w:rPr>
          <w:rFonts w:ascii="Times New Roman" w:eastAsia="仿宋_GB2312" w:cs="仿宋_GB2312" w:hAnsi="Times New Roman" w:hint="eastAsia"/>
          <w:color w:val="auto"/>
          <w:sz w:val="32"/>
          <w:szCs w:val="32"/>
          <w:highlight w:val="auto"/>
        </w:rPr>
        <w:t>日</w:t>
      </w:r>
    </w:p>
    <w:p>
      <w:pPr>
        <w:rPr>
          <w:rFonts w:ascii="Times New Roman" w:hAnsi="Times New Roman"/>
          <w:color w:val="auto"/>
          <w:highlight w:val="auto"/>
        </w:rPr>
      </w:pPr>
    </w:p>
    <w:p>
      <w:pPr>
        <w:pStyle w:val="23"/>
        <w:keepNext w:val="0"/>
        <w:keepLines w:val="0"/>
        <w:pageBreakBefore w:val="0"/>
        <w:widowControl w:val="0"/>
        <w:tabs>
          <w:tab w:val="right" w:leader="dot" w:pos="8296"/>
        </w:tabs>
        <w:kinsoku/>
        <w:wordWrap/>
        <w:overflowPunct/>
        <w:topLinePunct w:val="0"/>
        <w:autoSpaceDE/>
        <w:autoSpaceDN/>
        <w:bidi w:val="0"/>
        <w:adjustRightInd w:val="0"/>
        <w:snapToGrid w:val="0"/>
        <w:spacing w:before="0" w:line="560" w:lineRule="exact"/>
        <w:jc w:val="left"/>
        <w:textAlignment w:val="auto"/>
        <w:rPr>
          <w:rFonts w:ascii="Times New Roman" w:eastAsia="仿宋" w:cs="黑体" w:hAnsi="Times New Roman" w:hint="eastAsia"/>
          <w:color w:val="auto"/>
          <w:sz w:val="32"/>
          <w:szCs w:val="32"/>
          <w:lang w:val="en-US" w:eastAsia="zh-CN"/>
          <w:highlight w:val="auto"/>
        </w:rPr>
      </w:pPr>
      <w:r>
        <w:rPr>
          <w:rFonts w:ascii="Times New Roman" w:eastAsia="黑体" w:cs="黑体" w:hAnsi="Times New Roman" w:hint="eastAsia"/>
          <w:color w:val="auto"/>
          <w:sz w:val="32"/>
          <w:szCs w:val="32"/>
          <w:highlight w:val="auto"/>
        </w:rPr>
        <w:t>第一部分 部门概况</w:t>
      </w:r>
      <w:r>
        <w:tab/>
      </w:r>
      <w:r>
        <w:rPr>
          <w:rFonts w:hint="eastAsia"/>
          <w:lang w:val="en-US" w:eastAsia="zh-CN"/>
        </w:rPr>
        <w:t>1</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宋体" w:cs="仿宋_GB2312" w:hAnsi="Times New Roman" w:hint="eastAsia"/>
          <w:color w:val="auto"/>
          <w:sz w:val="32"/>
          <w:szCs w:val="32"/>
          <w:lang w:val="en-US" w:eastAsia="zh-CN"/>
          <w:highlight w:val="auto"/>
        </w:rPr>
      </w:pPr>
      <w:r>
        <w:rPr>
          <w:rFonts w:ascii="Times New Roman" w:eastAsia="仿宋_GB2312" w:cs="仿宋_GB2312" w:hAnsi="Times New Roman" w:hint="eastAsia"/>
          <w:color w:val="auto"/>
          <w:sz w:val="32"/>
          <w:szCs w:val="32"/>
          <w:highlight w:val="auto"/>
        </w:rPr>
        <w:t>一、</w:t>
      </w:r>
      <w:r>
        <w:rPr>
          <w:rFonts w:ascii="Times New Roman" w:eastAsia="仿宋_GB2312" w:cs="仿宋_GB2312" w:hAnsi="Times New Roman" w:hint="eastAsia"/>
          <w:color w:val="auto"/>
          <w:sz w:val="32"/>
          <w:szCs w:val="32"/>
          <w:lang w:eastAsia="zh-CN"/>
          <w:highlight w:val="auto"/>
        </w:rPr>
        <w:t>部门职责</w:t>
      </w:r>
      <w:r>
        <w:tab/>
      </w:r>
      <w:r>
        <w:rPr>
          <w:rFonts w:hint="eastAsia"/>
          <w:lang w:val="en-US" w:eastAsia="zh-CN"/>
        </w:rPr>
        <w:t>1</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宋体" w:cs="仿宋_GB2312" w:hAnsi="Times New Roman" w:hint="eastAsia"/>
          <w:color w:val="auto"/>
          <w:sz w:val="32"/>
          <w:szCs w:val="32"/>
          <w:lang w:val="en-US" w:eastAsia="zh-CN"/>
          <w:highlight w:val="auto"/>
        </w:rPr>
      </w:pPr>
      <w:r>
        <w:rPr>
          <w:rFonts w:ascii="Times New Roman" w:eastAsia="仿宋_GB2312" w:cs="仿宋_GB2312" w:hAnsi="Times New Roman" w:hint="eastAsia"/>
          <w:color w:val="auto"/>
          <w:sz w:val="32"/>
          <w:szCs w:val="32"/>
          <w:highlight w:val="auto"/>
        </w:rPr>
        <w:t>二、机构设置</w:t>
      </w:r>
      <w:r>
        <w:tab/>
      </w:r>
      <w:r>
        <w:rPr>
          <w:rFonts w:hint="eastAsia"/>
          <w:lang w:val="en-US" w:eastAsia="zh-CN"/>
        </w:rPr>
        <w:t>1</w:t>
      </w:r>
    </w:p>
    <w:p>
      <w:pPr>
        <w:pStyle w:val="23"/>
        <w:keepNext w:val="0"/>
        <w:keepLines w:val="0"/>
        <w:pageBreakBefore w:val="0"/>
        <w:widowControl w:val="0"/>
        <w:tabs>
          <w:tab w:val="right" w:leader="dot" w:pos="8296"/>
        </w:tabs>
        <w:kinsoku/>
        <w:wordWrap/>
        <w:overflowPunct/>
        <w:topLinePunct w:val="0"/>
        <w:autoSpaceDE/>
        <w:autoSpaceDN/>
        <w:bidi w:val="0"/>
        <w:adjustRightInd w:val="0"/>
        <w:snapToGrid w:val="0"/>
        <w:spacing w:before="0" w:line="560" w:lineRule="exact"/>
        <w:jc w:val="left"/>
        <w:textAlignment w:val="auto"/>
        <w:rPr>
          <w:rFonts w:ascii="Times New Roman" w:eastAsia="仿宋" w:cs="黑体" w:hAnsi="Times New Roman" w:hint="eastAsia"/>
          <w:color w:val="auto"/>
          <w:sz w:val="32"/>
          <w:szCs w:val="32"/>
          <w:lang w:val="en-US" w:eastAsia="zh-CN"/>
          <w:highlight w:val="auto"/>
        </w:rPr>
      </w:pPr>
      <w:r>
        <w:rPr>
          <w:rFonts w:ascii="Times New Roman" w:eastAsia="黑体" w:cs="黑体" w:hAnsi="Times New Roman" w:hint="eastAsia"/>
          <w:color w:val="auto"/>
          <w:sz w:val="32"/>
          <w:szCs w:val="32"/>
          <w:highlight w:val="auto"/>
        </w:rPr>
        <w:t>第二部分</w:t>
      </w:r>
      <w:r>
        <w:rPr>
          <w:rFonts w:ascii="Times New Roman" w:eastAsia="黑体" w:cs="黑体" w:hAnsi="Times New Roman" w:hint="eastAsia"/>
          <w:color w:val="auto"/>
          <w:sz w:val="32"/>
          <w:szCs w:val="32"/>
          <w:lang w:val="en-US" w:eastAsia="zh-CN"/>
          <w:highlight w:val="auto"/>
        </w:rPr>
        <w:t xml:space="preserve"> 2024年度</w:t>
      </w:r>
      <w:r>
        <w:rPr>
          <w:rFonts w:ascii="Times New Roman" w:eastAsia="黑体" w:cs="黑体" w:hAnsi="Times New Roman" w:hint="eastAsia"/>
          <w:color w:val="auto"/>
          <w:sz w:val="32"/>
          <w:szCs w:val="32"/>
          <w:highlight w:val="auto"/>
        </w:rPr>
        <w:t>部门决算情况说明</w:t>
      </w:r>
      <w:r>
        <w:tab/>
      </w:r>
      <w:r>
        <w:rPr>
          <w:rFonts w:hint="eastAsia"/>
          <w:lang w:val="en-US" w:eastAsia="zh-CN"/>
        </w:rPr>
        <w:t>2</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宋体" w:cs="仿宋_GB2312" w:hAnsi="Times New Roman" w:hint="eastAsia"/>
          <w:color w:val="auto"/>
          <w:sz w:val="32"/>
          <w:szCs w:val="32"/>
          <w:lang w:val="en-US" w:eastAsia="zh-CN"/>
          <w:highlight w:val="auto"/>
        </w:rPr>
      </w:pPr>
      <w:r>
        <w:rPr>
          <w:rFonts w:ascii="Times New Roman" w:eastAsia="仿宋_GB2312" w:cs="仿宋_GB2312" w:hAnsi="Times New Roman" w:hint="eastAsia"/>
          <w:color w:val="auto"/>
          <w:sz w:val="32"/>
          <w:szCs w:val="32"/>
          <w:highlight w:val="auto"/>
        </w:rPr>
        <w:t>一、收入支出决算总体情况说明</w:t>
      </w:r>
      <w:r>
        <w:tab/>
      </w:r>
      <w:r>
        <w:rPr>
          <w:rFonts w:hint="eastAsia"/>
          <w:lang w:val="en-US" w:eastAsia="zh-CN"/>
        </w:rPr>
        <w:t>2</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宋体" w:cs="仿宋_GB2312" w:hAnsi="Times New Roman" w:hint="eastAsia"/>
          <w:color w:val="auto"/>
          <w:sz w:val="32"/>
          <w:szCs w:val="32"/>
          <w:lang w:val="en-US" w:eastAsia="zh-CN"/>
          <w:highlight w:val="auto"/>
        </w:rPr>
      </w:pPr>
      <w:r>
        <w:rPr>
          <w:rFonts w:ascii="Times New Roman" w:eastAsia="仿宋_GB2312" w:cs="仿宋_GB2312" w:hAnsi="Times New Roman" w:hint="eastAsia"/>
          <w:color w:val="auto"/>
          <w:sz w:val="32"/>
          <w:szCs w:val="32"/>
          <w:highlight w:val="auto"/>
        </w:rPr>
        <w:t>二、收入决算情况说明</w:t>
      </w:r>
      <w:r>
        <w:tab/>
      </w:r>
      <w:r>
        <w:rPr>
          <w:rFonts w:hint="eastAsia"/>
          <w:lang w:val="en-US" w:eastAsia="zh-CN"/>
        </w:rPr>
        <w:t>2</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宋体" w:cs="仿宋_GB2312" w:hAnsi="Times New Roman" w:hint="eastAsia"/>
          <w:color w:val="auto"/>
          <w:sz w:val="32"/>
          <w:szCs w:val="32"/>
          <w:lang w:val="en-US" w:eastAsia="zh-CN"/>
          <w:highlight w:val="auto"/>
        </w:rPr>
      </w:pPr>
      <w:r>
        <w:rPr>
          <w:rFonts w:ascii="Times New Roman" w:eastAsia="仿宋_GB2312" w:cs="仿宋_GB2312" w:hAnsi="Times New Roman" w:hint="eastAsia"/>
          <w:color w:val="auto"/>
          <w:sz w:val="32"/>
          <w:szCs w:val="32"/>
          <w:highlight w:val="auto"/>
        </w:rPr>
        <w:t>三、支出决算情况说明</w:t>
      </w:r>
      <w:r>
        <w:tab/>
      </w:r>
      <w:r>
        <w:rPr>
          <w:rFonts w:hint="eastAsia"/>
          <w:lang w:val="en-US" w:eastAsia="zh-CN"/>
        </w:rPr>
        <w:t>3</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宋体" w:cs="仿宋_GB2312" w:hAnsi="Times New Roman" w:hint="eastAsia"/>
          <w:color w:val="auto"/>
          <w:sz w:val="32"/>
          <w:szCs w:val="32"/>
          <w:lang w:val="en-US" w:eastAsia="zh-CN"/>
          <w:highlight w:val="auto"/>
        </w:rPr>
      </w:pPr>
      <w:r>
        <w:rPr>
          <w:rFonts w:ascii="Times New Roman" w:eastAsia="仿宋_GB2312" w:cs="仿宋_GB2312" w:hAnsi="Times New Roman" w:hint="eastAsia"/>
          <w:color w:val="auto"/>
          <w:sz w:val="32"/>
          <w:szCs w:val="32"/>
          <w:highlight w:val="auto"/>
        </w:rPr>
        <w:t>四、财政拨款收入支出决算总体情况说明</w:t>
      </w:r>
      <w:r>
        <w:tab/>
      </w:r>
      <w:r>
        <w:rPr>
          <w:rFonts w:hint="eastAsia"/>
          <w:lang w:val="en-US" w:eastAsia="zh-CN"/>
        </w:rPr>
        <w:t>4</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宋体" w:cs="仿宋_GB2312" w:hAnsi="Times New Roman" w:hint="eastAsia"/>
          <w:color w:val="auto"/>
          <w:sz w:val="32"/>
          <w:szCs w:val="32"/>
          <w:lang w:val="en-US" w:eastAsia="zh-CN"/>
          <w:highlight w:val="auto"/>
        </w:rPr>
      </w:pPr>
      <w:r>
        <w:rPr>
          <w:rFonts w:ascii="Times New Roman" w:eastAsia="仿宋_GB2312" w:cs="仿宋_GB2312" w:hAnsi="Times New Roman" w:hint="eastAsia"/>
          <w:color w:val="auto"/>
          <w:sz w:val="32"/>
          <w:szCs w:val="32"/>
          <w:highlight w:val="auto"/>
        </w:rPr>
        <w:t>五、一般公共预算财政拨款支出决算情况说明</w:t>
      </w:r>
      <w:r>
        <w:tab/>
      </w:r>
      <w:r>
        <w:rPr>
          <w:rFonts w:hint="eastAsia"/>
          <w:lang w:val="en-US" w:eastAsia="zh-CN"/>
        </w:rPr>
        <w:t>4</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宋体" w:cs="仿宋_GB2312" w:hAnsi="Times New Roman" w:hint="eastAsia"/>
          <w:color w:val="auto"/>
          <w:sz w:val="32"/>
          <w:szCs w:val="32"/>
          <w:lang w:val="en-US" w:eastAsia="zh-CN"/>
          <w:highlight w:val="auto"/>
        </w:rPr>
      </w:pPr>
      <w:r>
        <w:rPr>
          <w:rFonts w:ascii="Times New Roman" w:eastAsia="仿宋_GB2312" w:cs="仿宋_GB2312" w:hAnsi="Times New Roman" w:hint="eastAsia"/>
          <w:color w:val="auto"/>
          <w:sz w:val="32"/>
          <w:szCs w:val="32"/>
          <w:highlight w:val="auto"/>
        </w:rPr>
        <w:t>六、一般公共预算财政拨款基本支出决算情况说明</w:t>
      </w:r>
      <w:r>
        <w:tab/>
      </w:r>
      <w:r>
        <w:rPr>
          <w:rFonts w:hint="eastAsia"/>
          <w:lang w:val="en-US" w:eastAsia="zh-CN"/>
        </w:rPr>
        <w:t>7</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宋体" w:cs="仿宋_GB2312" w:hAnsi="Times New Roman" w:hint="eastAsia"/>
          <w:color w:val="auto"/>
          <w:sz w:val="32"/>
          <w:szCs w:val="32"/>
          <w:lang w:val="en-US" w:eastAsia="zh-CN"/>
          <w:highlight w:val="auto"/>
        </w:rPr>
      </w:pPr>
      <w:r>
        <w:rPr>
          <w:rFonts w:ascii="Times New Roman" w:eastAsia="仿宋_GB2312" w:cs="仿宋_GB2312" w:hAnsi="Times New Roman" w:hint="eastAsia"/>
          <w:color w:val="auto"/>
          <w:sz w:val="32"/>
          <w:szCs w:val="32"/>
          <w:highlight w:val="auto"/>
        </w:rPr>
        <w:t>七、财政拨款</w:t>
      </w:r>
      <w:r>
        <w:rPr>
          <w:rFonts w:ascii="Times New Roman" w:eastAsia="仿宋_GB2312" w:cs="仿宋_GB2312" w:hAnsi="Times New Roman" w:hint="eastAsia"/>
          <w:color w:val="auto"/>
          <w:sz w:val="32"/>
          <w:szCs w:val="32"/>
          <w:lang w:eastAsia="zh-CN"/>
          <w:highlight w:val="auto"/>
        </w:rPr>
        <w:t>“</w:t>
      </w:r>
      <w:r>
        <w:rPr>
          <w:rFonts w:ascii="Times New Roman" w:eastAsia="仿宋_GB2312" w:cs="仿宋_GB2312" w:hAnsi="Times New Roman" w:hint="eastAsia"/>
          <w:color w:val="auto"/>
          <w:sz w:val="32"/>
          <w:szCs w:val="32"/>
          <w:highlight w:val="auto"/>
        </w:rPr>
        <w:t>三公”经费支出决算情况说明</w:t>
      </w:r>
      <w:r>
        <w:tab/>
      </w:r>
      <w:r>
        <w:rPr>
          <w:rFonts w:hint="eastAsia"/>
          <w:lang w:val="en-US" w:eastAsia="zh-CN"/>
        </w:rPr>
        <w:t>7</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宋体" w:cs="仿宋_GB2312" w:hAnsi="Times New Roman" w:hint="eastAsia"/>
          <w:color w:val="auto"/>
          <w:sz w:val="32"/>
          <w:szCs w:val="32"/>
          <w:lang w:val="en-US" w:eastAsia="zh-CN"/>
          <w:highlight w:val="auto"/>
        </w:rPr>
      </w:pPr>
      <w:r>
        <w:rPr>
          <w:rFonts w:ascii="Times New Roman" w:eastAsia="仿宋_GB2312" w:cs="仿宋_GB2312" w:hAnsi="Times New Roman" w:hint="eastAsia"/>
          <w:color w:val="auto"/>
          <w:sz w:val="32"/>
          <w:szCs w:val="32"/>
          <w:highlight w:val="auto"/>
        </w:rPr>
        <w:t>八、政府性基金预算支出决算情况说明</w:t>
      </w:r>
      <w:r>
        <w:tab/>
      </w:r>
      <w:r>
        <w:rPr>
          <w:rFonts w:hint="eastAsia"/>
          <w:lang w:val="en-US" w:eastAsia="zh-CN"/>
        </w:rPr>
        <w:t>9</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宋体" w:cs="仿宋_GB2312" w:hAnsi="Times New Roman" w:hint="eastAsia"/>
          <w:color w:val="auto"/>
          <w:sz w:val="32"/>
          <w:szCs w:val="32"/>
          <w:lang w:val="en-US" w:eastAsia="zh-CN"/>
          <w:highlight w:val="auto"/>
        </w:rPr>
      </w:pPr>
      <w:r>
        <w:rPr>
          <w:rFonts w:ascii="Times New Roman" w:eastAsia="仿宋_GB2312" w:cs="仿宋_GB2312" w:hAnsi="Times New Roman" w:hint="eastAsia"/>
          <w:color w:val="auto"/>
          <w:sz w:val="32"/>
          <w:szCs w:val="32"/>
          <w:highlight w:val="auto"/>
        </w:rPr>
        <w:t>九、</w:t>
      </w:r>
      <w:r>
        <w:rPr>
          <w:rFonts w:ascii="Times New Roman" w:eastAsia="仿宋_GB2312" w:cs="仿宋_GB2312" w:hAnsi="Times New Roman" w:hint="eastAsia"/>
          <w:color w:val="auto"/>
          <w:sz w:val="32"/>
          <w:szCs w:val="32"/>
          <w:lang w:eastAsia="zh-CN"/>
          <w:highlight w:val="auto"/>
        </w:rPr>
        <w:t>国</w:t>
      </w:r>
      <w:r>
        <w:rPr>
          <w:rFonts w:ascii="Times New Roman" w:eastAsia="仿宋_GB2312" w:cs="仿宋_GB2312" w:hAnsi="Times New Roman" w:hint="eastAsia"/>
          <w:color w:val="auto"/>
          <w:sz w:val="32"/>
          <w:szCs w:val="32"/>
          <w:highlight w:val="auto"/>
        </w:rPr>
        <w:t>有资本经营预算支出决算情况说明</w:t>
      </w:r>
      <w:r>
        <w:tab/>
      </w:r>
      <w:r>
        <w:rPr>
          <w:rFonts w:hint="eastAsia"/>
          <w:lang w:val="en-US" w:eastAsia="zh-CN"/>
        </w:rPr>
        <w:t>9</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宋体" w:cs="仿宋_GB2312" w:hAnsi="Times New Roman" w:hint="eastAsia"/>
          <w:color w:val="auto"/>
          <w:sz w:val="32"/>
          <w:szCs w:val="32"/>
          <w:lang w:val="en-US" w:eastAsia="zh-CN"/>
          <w:highlight w:val="auto"/>
        </w:rPr>
      </w:pPr>
      <w:r>
        <w:rPr>
          <w:rFonts w:ascii="Times New Roman" w:eastAsia="仿宋_GB2312" w:cs="仿宋_GB2312" w:hAnsi="Times New Roman" w:hint="eastAsia"/>
          <w:color w:val="auto"/>
          <w:sz w:val="32"/>
          <w:szCs w:val="32"/>
          <w:lang w:eastAsia="zh-CN"/>
          <w:highlight w:val="auto"/>
        </w:rPr>
        <w:t>十</w:t>
      </w:r>
      <w:r>
        <w:rPr>
          <w:rFonts w:ascii="Times New Roman" w:eastAsia="仿宋_GB2312" w:cs="仿宋_GB2312" w:hAnsi="Times New Roman" w:hint="eastAsia"/>
          <w:color w:val="auto"/>
          <w:sz w:val="32"/>
          <w:szCs w:val="32"/>
          <w:highlight w:val="auto"/>
        </w:rPr>
        <w:t>、其他重要事项的情况说明</w:t>
      </w:r>
      <w:r>
        <w:tab/>
      </w:r>
      <w:r>
        <w:rPr>
          <w:rFonts w:hint="eastAsia"/>
          <w:lang w:val="en-US" w:eastAsia="zh-CN"/>
        </w:rPr>
        <w:t>9</w:t>
      </w:r>
    </w:p>
    <w:p>
      <w:pPr>
        <w:pStyle w:val="23"/>
        <w:keepNext w:val="0"/>
        <w:keepLines w:val="0"/>
        <w:pageBreakBefore w:val="0"/>
        <w:widowControl w:val="0"/>
        <w:tabs>
          <w:tab w:val="right" w:leader="dot" w:pos="8296"/>
        </w:tabs>
        <w:kinsoku/>
        <w:wordWrap/>
        <w:overflowPunct/>
        <w:topLinePunct w:val="0"/>
        <w:autoSpaceDE/>
        <w:autoSpaceDN/>
        <w:bidi w:val="0"/>
        <w:adjustRightInd w:val="0"/>
        <w:snapToGrid w:val="0"/>
        <w:spacing w:before="0" w:line="560" w:lineRule="exact"/>
        <w:jc w:val="left"/>
        <w:textAlignment w:val="auto"/>
        <w:rPr>
          <w:rFonts w:ascii="Times New Roman" w:eastAsia="仿宋" w:cs="黑体" w:hAnsi="Times New Roman"/>
          <w:color w:val="auto"/>
          <w:sz w:val="32"/>
          <w:szCs w:val="32"/>
          <w:lang w:val="en-US" w:eastAsia="zh-CN"/>
          <w:highlight w:val="auto"/>
        </w:rPr>
      </w:pPr>
      <w:r>
        <w:rPr>
          <w:rFonts w:ascii="Times New Roman" w:eastAsia="黑体" w:cs="黑体" w:hAnsi="Times New Roman" w:hint="eastAsia"/>
          <w:color w:val="auto"/>
          <w:sz w:val="32"/>
          <w:szCs w:val="32"/>
          <w:highlight w:val="auto"/>
        </w:rPr>
        <w:t>第三部分 名词解释</w:t>
      </w:r>
      <w:r>
        <w:tab/>
      </w:r>
      <w:r>
        <w:rPr>
          <w:rFonts w:hint="eastAsia"/>
          <w:lang w:val="en-US" w:eastAsia="zh-CN"/>
        </w:rPr>
        <w:t>10</w:t>
      </w:r>
    </w:p>
    <w:p>
      <w:pPr>
        <w:pStyle w:val="23"/>
        <w:keepNext w:val="0"/>
        <w:keepLines w:val="0"/>
        <w:pageBreakBefore w:val="0"/>
        <w:widowControl w:val="0"/>
        <w:tabs>
          <w:tab w:val="right" w:leader="dot" w:pos="8296"/>
        </w:tabs>
        <w:kinsoku/>
        <w:wordWrap/>
        <w:overflowPunct/>
        <w:topLinePunct w:val="0"/>
        <w:autoSpaceDE/>
        <w:autoSpaceDN/>
        <w:bidi w:val="0"/>
        <w:adjustRightInd w:val="0"/>
        <w:snapToGrid w:val="0"/>
        <w:spacing w:before="0" w:line="560" w:lineRule="exact"/>
        <w:jc w:val="left"/>
        <w:textAlignment w:val="auto"/>
        <w:rPr>
          <w:rFonts w:ascii="Times New Roman" w:eastAsia="仿宋" w:cs="黑体" w:hAnsi="Times New Roman"/>
          <w:color w:val="auto"/>
          <w:sz w:val="32"/>
          <w:szCs w:val="32"/>
          <w:lang w:val="en-US" w:eastAsia="zh-CN"/>
          <w:highlight w:val="auto"/>
        </w:rPr>
      </w:pPr>
      <w:r>
        <w:rPr>
          <w:rFonts w:ascii="Times New Roman" w:eastAsia="黑体" w:cs="黑体" w:hAnsi="Times New Roman" w:hint="eastAsia"/>
          <w:color w:val="auto"/>
          <w:sz w:val="32"/>
          <w:szCs w:val="32"/>
          <w:highlight w:val="auto"/>
        </w:rPr>
        <w:t>第四部分 附件</w:t>
      </w:r>
      <w:r>
        <w:tab/>
      </w:r>
      <w:r>
        <w:rPr>
          <w:rFonts w:hint="eastAsia"/>
          <w:lang w:val="en-US" w:eastAsia="zh-CN"/>
        </w:rPr>
        <w:t>14</w:t>
      </w:r>
    </w:p>
    <w:p>
      <w:pPr>
        <w:pStyle w:val="23"/>
        <w:keepNext w:val="0"/>
        <w:keepLines w:val="0"/>
        <w:pageBreakBefore w:val="0"/>
        <w:widowControl w:val="0"/>
        <w:tabs>
          <w:tab w:val="right" w:leader="dot" w:pos="8296"/>
        </w:tabs>
        <w:kinsoku/>
        <w:wordWrap/>
        <w:overflowPunct/>
        <w:topLinePunct w:val="0"/>
        <w:autoSpaceDE/>
        <w:autoSpaceDN/>
        <w:bidi w:val="0"/>
        <w:adjustRightInd w:val="0"/>
        <w:snapToGrid w:val="0"/>
        <w:spacing w:before="0" w:line="560" w:lineRule="exact"/>
        <w:jc w:val="left"/>
        <w:textAlignment w:val="auto"/>
        <w:rPr>
          <w:rFonts w:ascii="Times New Roman" w:eastAsia="仿宋" w:cs="黑体" w:hAnsi="Times New Roman"/>
          <w:color w:val="auto"/>
          <w:sz w:val="32"/>
          <w:szCs w:val="32"/>
          <w:lang w:val="en-US" w:eastAsia="zh-CN"/>
          <w:highlight w:val="auto"/>
        </w:rPr>
      </w:pPr>
      <w:r>
        <w:rPr>
          <w:rFonts w:ascii="Times New Roman" w:eastAsia="黑体" w:cs="黑体" w:hAnsi="Times New Roman" w:hint="eastAsia"/>
          <w:color w:val="auto"/>
          <w:sz w:val="32"/>
          <w:szCs w:val="32"/>
          <w:highlight w:val="auto"/>
        </w:rPr>
        <w:t>第五部分 附表</w:t>
      </w:r>
      <w:r>
        <w:tab/>
      </w:r>
      <w:r>
        <w:rPr>
          <w:rFonts w:hint="eastAsia"/>
          <w:lang w:val="en-US" w:eastAsia="zh-CN"/>
        </w:rPr>
        <w:t>27</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仿宋_GB2312" w:cs="仿宋_GB2312" w:hAnsi="Times New Roman" w:hint="eastAsia"/>
          <w:color w:val="auto"/>
          <w:sz w:val="32"/>
          <w:szCs w:val="32"/>
          <w:highlight w:val="auto"/>
        </w:rPr>
      </w:pPr>
      <w:r>
        <w:rPr>
          <w:rFonts w:ascii="Times New Roman" w:eastAsia="仿宋_GB2312" w:cs="仿宋_GB2312" w:hAnsi="Times New Roman" w:hint="eastAsia"/>
          <w:color w:val="auto"/>
          <w:sz w:val="32"/>
          <w:szCs w:val="32"/>
          <w:highlight w:val="auto"/>
        </w:rPr>
        <w:t>一、收入支出决算总表</w:t>
      </w:r>
      <w:r>
        <w:tab/>
        <w:t>27</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仿宋_GB2312" w:cs="仿宋_GB2312" w:hAnsi="Times New Roman" w:hint="eastAsia"/>
          <w:color w:val="auto"/>
          <w:sz w:val="32"/>
          <w:szCs w:val="32"/>
          <w:highlight w:val="auto"/>
        </w:rPr>
      </w:pPr>
      <w:r>
        <w:rPr>
          <w:rFonts w:ascii="Times New Roman" w:eastAsia="仿宋_GB2312" w:cs="仿宋_GB2312" w:hAnsi="Times New Roman" w:hint="eastAsia"/>
          <w:color w:val="auto"/>
          <w:sz w:val="32"/>
          <w:szCs w:val="32"/>
          <w:highlight w:val="auto"/>
        </w:rPr>
        <w:t>二、收入决算表</w:t>
      </w:r>
      <w:r>
        <w:tab/>
        <w:t>27</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仿宋_GB2312" w:cs="仿宋_GB2312" w:hAnsi="Times New Roman" w:hint="eastAsia"/>
          <w:color w:val="auto"/>
          <w:sz w:val="32"/>
          <w:szCs w:val="32"/>
          <w:highlight w:val="auto"/>
        </w:rPr>
      </w:pPr>
      <w:r>
        <w:rPr>
          <w:rFonts w:ascii="Times New Roman" w:eastAsia="仿宋_GB2312" w:cs="仿宋_GB2312" w:hAnsi="Times New Roman" w:hint="eastAsia"/>
          <w:color w:val="auto"/>
          <w:sz w:val="32"/>
          <w:szCs w:val="32"/>
          <w:highlight w:val="auto"/>
        </w:rPr>
        <w:t>三、支出决算表</w:t>
      </w:r>
      <w:r>
        <w:tab/>
      </w:r>
      <w:r>
        <w:rPr>
          <w:rFonts w:ascii="Times New Roman" w:eastAsia="仿宋_GB2312" w:cs="仿宋_GB2312" w:hAnsi="Times New Roman"/>
          <w:color w:val="auto"/>
          <w:sz w:val="32"/>
          <w:szCs w:val="32"/>
          <w:highlight w:val="auto"/>
        </w:rPr>
        <w:t>27</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仿宋_GB2312" w:cs="仿宋_GB2312" w:hAnsi="Times New Roman" w:hint="eastAsia"/>
          <w:color w:val="auto"/>
          <w:sz w:val="32"/>
          <w:szCs w:val="32"/>
          <w:highlight w:val="auto"/>
        </w:rPr>
        <w:sectPr>
          <w:footerReference w:type="default" r:id="rId5"/>
          <w:footerReference w:type="first" r:id="rId6"/>
          <w:pgSz w:w="11906" w:h="16838"/>
          <w:pgMar w:top="1440" w:right="1800" w:bottom="1440" w:left="1800" w:header="851" w:footer="992" w:gutter="0"/>
          <w:pgNumType w:fmt="numberInDash" w:start="1"/>
          <w:titlePg/>
          <w:docGrid w:type="lines" w:linePitch="312" w:charSpace="0"/>
        </w:sectPr>
      </w:pP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仿宋_GB2312" w:cs="仿宋_GB2312" w:hAnsi="Times New Roman" w:hint="eastAsia"/>
          <w:color w:val="auto"/>
          <w:sz w:val="32"/>
          <w:szCs w:val="32"/>
          <w:highlight w:val="auto"/>
        </w:rPr>
      </w:pPr>
      <w:r>
        <w:rPr>
          <w:rFonts w:ascii="Times New Roman" w:eastAsia="仿宋_GB2312" w:cs="仿宋_GB2312" w:hAnsi="Times New Roman" w:hint="eastAsia"/>
          <w:color w:val="auto"/>
          <w:sz w:val="32"/>
          <w:szCs w:val="32"/>
          <w:highlight w:val="auto"/>
        </w:rPr>
        <w:t>四、财政拨款收入支出决算总表</w:t>
      </w:r>
      <w:r>
        <w:tab/>
        <w:t>27</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仿宋_GB2312" w:cs="仿宋_GB2312" w:hAnsi="Times New Roman" w:hint="eastAsia"/>
          <w:color w:val="auto"/>
          <w:sz w:val="32"/>
          <w:szCs w:val="32"/>
          <w:highlight w:val="auto"/>
        </w:rPr>
      </w:pPr>
      <w:r>
        <w:rPr>
          <w:rFonts w:ascii="Times New Roman" w:eastAsia="仿宋_GB2312" w:cs="仿宋_GB2312" w:hAnsi="Times New Roman" w:hint="eastAsia"/>
          <w:color w:val="auto"/>
          <w:sz w:val="32"/>
          <w:szCs w:val="32"/>
          <w:highlight w:val="auto"/>
        </w:rPr>
        <w:t>五、财政拨款支出决算明细表</w:t>
      </w:r>
      <w:r>
        <w:tab/>
        <w:t>27</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仿宋_GB2312" w:cs="仿宋_GB2312" w:hAnsi="Times New Roman" w:hint="eastAsia"/>
          <w:color w:val="auto"/>
          <w:sz w:val="32"/>
          <w:szCs w:val="32"/>
          <w:highlight w:val="auto"/>
        </w:rPr>
      </w:pPr>
      <w:r>
        <w:rPr>
          <w:rFonts w:ascii="Times New Roman" w:eastAsia="仿宋_GB2312" w:cs="仿宋_GB2312" w:hAnsi="Times New Roman" w:hint="eastAsia"/>
          <w:color w:val="auto"/>
          <w:sz w:val="32"/>
          <w:szCs w:val="32"/>
          <w:highlight w:val="auto"/>
        </w:rPr>
        <w:t>六、一般公共预算财政拨款支出决算表</w:t>
      </w:r>
      <w:r>
        <w:tab/>
        <w:t>27</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仿宋_GB2312" w:cs="仿宋_GB2312" w:hAnsi="Times New Roman" w:hint="eastAsia"/>
          <w:color w:val="auto"/>
          <w:sz w:val="32"/>
          <w:szCs w:val="32"/>
          <w:highlight w:val="auto"/>
        </w:rPr>
      </w:pPr>
      <w:r>
        <w:rPr>
          <w:rFonts w:ascii="Times New Roman" w:eastAsia="仿宋_GB2312" w:cs="仿宋_GB2312" w:hAnsi="Times New Roman" w:hint="eastAsia"/>
          <w:color w:val="auto"/>
          <w:sz w:val="32"/>
          <w:szCs w:val="32"/>
          <w:highlight w:val="auto"/>
        </w:rPr>
        <w:t>七、一般公共预算财政拨款支出决算明细表</w:t>
      </w:r>
      <w:r>
        <w:tab/>
        <w:t>27</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仿宋_GB2312" w:cs="仿宋_GB2312" w:hAnsi="Times New Roman" w:hint="eastAsia"/>
          <w:color w:val="auto"/>
          <w:sz w:val="32"/>
          <w:szCs w:val="32"/>
          <w:highlight w:val="auto"/>
        </w:rPr>
      </w:pPr>
      <w:r>
        <w:rPr>
          <w:rFonts w:ascii="Times New Roman" w:eastAsia="仿宋_GB2312" w:cs="仿宋_GB2312" w:hAnsi="Times New Roman" w:hint="eastAsia"/>
          <w:color w:val="auto"/>
          <w:sz w:val="32"/>
          <w:szCs w:val="32"/>
          <w:highlight w:val="auto"/>
        </w:rPr>
        <w:t>八、一般公共预算财政拨款基本支出决算</w:t>
      </w:r>
      <w:r>
        <w:rPr>
          <w:rFonts w:ascii="Times New Roman" w:eastAsia="仿宋_GB2312" w:cs="仿宋_GB2312" w:hAnsi="Times New Roman" w:hint="eastAsia"/>
          <w:color w:val="auto"/>
          <w:sz w:val="32"/>
          <w:szCs w:val="32"/>
          <w:lang w:eastAsia="zh-CN"/>
          <w:highlight w:val="auto"/>
        </w:rPr>
        <w:t>明细</w:t>
      </w:r>
      <w:r>
        <w:rPr>
          <w:rFonts w:ascii="Times New Roman" w:eastAsia="仿宋_GB2312" w:cs="仿宋_GB2312" w:hAnsi="Times New Roman" w:hint="eastAsia"/>
          <w:color w:val="auto"/>
          <w:sz w:val="32"/>
          <w:szCs w:val="32"/>
          <w:highlight w:val="auto"/>
        </w:rPr>
        <w:t>表</w:t>
      </w:r>
      <w:r>
        <w:tab/>
        <w:t>27</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仿宋_GB2312" w:cs="仿宋_GB2312" w:hAnsi="Times New Roman" w:hint="eastAsia"/>
          <w:color w:val="auto"/>
          <w:sz w:val="32"/>
          <w:szCs w:val="32"/>
          <w:highlight w:val="auto"/>
        </w:rPr>
      </w:pPr>
      <w:r>
        <w:rPr>
          <w:rFonts w:ascii="Times New Roman" w:eastAsia="仿宋_GB2312" w:cs="仿宋_GB2312" w:hAnsi="Times New Roman" w:hint="eastAsia"/>
          <w:color w:val="auto"/>
          <w:sz w:val="32"/>
          <w:szCs w:val="32"/>
          <w:highlight w:val="auto"/>
        </w:rPr>
        <w:t>九、一般公共预算财政拨款项目支出决算表</w:t>
      </w:r>
      <w:r>
        <w:tab/>
        <w:t>27</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仿宋_GB2312" w:cs="仿宋_GB2312" w:hAnsi="Times New Roman" w:hint="eastAsia"/>
          <w:color w:val="auto"/>
          <w:sz w:val="32"/>
          <w:szCs w:val="32"/>
          <w:highlight w:val="auto"/>
        </w:rPr>
      </w:pPr>
      <w:r>
        <w:rPr>
          <w:rFonts w:ascii="Times New Roman" w:eastAsia="仿宋_GB2312" w:cs="仿宋_GB2312" w:hAnsi="Times New Roman" w:hint="eastAsia"/>
          <w:color w:val="auto"/>
          <w:sz w:val="32"/>
          <w:szCs w:val="32"/>
          <w:highlight w:val="auto"/>
        </w:rPr>
        <w:t>十、政府性基金预算财政拨款收入支出决算表</w:t>
      </w:r>
      <w:r>
        <w:tab/>
        <w:t>27</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仿宋_GB2312" w:cs="仿宋_GB2312" w:hAnsi="Times New Roman" w:hint="eastAsia"/>
          <w:color w:val="auto"/>
          <w:sz w:val="32"/>
          <w:szCs w:val="32"/>
          <w:highlight w:val="auto"/>
        </w:rPr>
      </w:pPr>
      <w:r>
        <w:rPr>
          <w:rFonts w:ascii="Times New Roman" w:eastAsia="仿宋_GB2312" w:cs="仿宋_GB2312" w:hAnsi="Times New Roman" w:hint="eastAsia"/>
          <w:color w:val="auto"/>
          <w:sz w:val="32"/>
          <w:szCs w:val="32"/>
          <w:highlight w:val="auto"/>
        </w:rPr>
        <w:t>十一、国有资本经营预算财政拨款收入支出决算表</w:t>
      </w:r>
      <w:r>
        <w:tab/>
        <w:t>27</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仿宋_GB2312" w:cs="仿宋_GB2312" w:hAnsi="Times New Roman" w:hint="eastAsia"/>
          <w:color w:val="auto"/>
          <w:sz w:val="32"/>
          <w:szCs w:val="32"/>
          <w:highlight w:val="auto"/>
        </w:rPr>
      </w:pPr>
      <w:r>
        <w:rPr>
          <w:rFonts w:ascii="Times New Roman" w:eastAsia="仿宋_GB2312" w:cs="仿宋_GB2312" w:hAnsi="Times New Roman" w:hint="eastAsia"/>
          <w:color w:val="auto"/>
          <w:sz w:val="32"/>
          <w:szCs w:val="32"/>
          <w:highlight w:val="auto"/>
        </w:rPr>
        <w:t>十二、</w:t>
      </w:r>
      <w:r>
        <w:rPr>
          <w:rFonts w:ascii="Times New Roman" w:eastAsia="仿宋_GB2312" w:cs="仿宋_GB2312" w:hAnsi="Times New Roman" w:hint="eastAsia"/>
          <w:color w:val="auto"/>
          <w:sz w:val="32"/>
          <w:szCs w:val="32"/>
          <w:lang w:val="en-US" w:eastAsia="zh-CN"/>
          <w:highlight w:val="auto"/>
        </w:rPr>
        <w:t>国有资本经营预算财政拨款支出决算表</w:t>
      </w:r>
      <w:r>
        <w:tab/>
        <w:t>27</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仿宋_GB2312" w:cs="仿宋_GB2312" w:hAnsi="Times New Roman" w:hint="eastAsia"/>
          <w:color w:val="auto"/>
          <w:sz w:val="32"/>
          <w:szCs w:val="32"/>
          <w:highlight w:val="auto"/>
        </w:rPr>
      </w:pPr>
      <w:r>
        <w:rPr>
          <w:rFonts w:ascii="Times New Roman" w:eastAsia="仿宋_GB2312" w:cs="仿宋_GB2312" w:hAnsi="Times New Roman" w:hint="eastAsia"/>
          <w:color w:val="auto"/>
          <w:sz w:val="32"/>
          <w:szCs w:val="32"/>
          <w:highlight w:val="auto"/>
        </w:rPr>
        <w:t>十三、财政拨款“三公”经费支出决算表</w:t>
      </w:r>
      <w:r>
        <w:tab/>
        <w:t>27</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Chars="0" w:left="0" w:firstLineChars="200" w:firstLine="640"/>
        <w:jc w:val="left"/>
        <w:textAlignment w:val="auto"/>
        <w:rPr>
          <w:rFonts w:ascii="Times New Roman" w:eastAsia="仿宋_GB2312" w:cs="仿宋_GB2312" w:hAnsi="Times New Roman" w:hint="eastAsia"/>
          <w:b/>
          <w:bCs/>
          <w:color w:val="auto"/>
          <w:sz w:val="32"/>
          <w:szCs w:val="32"/>
          <w:lang w:eastAsia="zh-CN"/>
          <w:highlight w:val="auto"/>
        </w:rPr>
      </w:pPr>
    </w:p>
    <w:p>
      <w:pPr>
        <w:pStyle w:val="1"/>
        <w:jc w:val="center"/>
        <w:rPr>
          <w:rFonts w:ascii="Times New Roman" w:eastAsia="方正小标宋简体" w:cs="方正小标宋简体" w:hAnsi="Times New Roman" w:hint="eastAsia"/>
          <w:b w:val="0"/>
          <w:color w:val="auto"/>
          <w:highlight w:val="auto"/>
        </w:rPr>
        <w:sectPr>
          <w:footerReference w:type="default" r:id="rId7"/>
          <w:footerReference w:type="first" r:id="rId8"/>
          <w:pgSz w:w="11906" w:h="16838"/>
          <w:pgMar w:top="1440" w:right="1800" w:bottom="1440" w:left="1800" w:header="851" w:footer="992" w:gutter="0"/>
          <w:pgNumType w:fmt="numberInDash" w:start="1"/>
          <w:titlePg/>
          <w:docGrid w:type="lines" w:linePitch="312" w:charSpace="0"/>
        </w:sectPr>
      </w:pPr>
      <w:bookmarkStart w:id="12" w:name="_Toc15377196"/>
      <w:bookmarkStart w:id="13" w:name="_Toc15396599"/>
    </w:p>
    <w:p>
      <w:pPr>
        <w:pStyle w:val="1"/>
        <w:jc w:val="center"/>
        <w:rPr>
          <w:rStyle w:val="1Char"/>
          <w:rFonts w:ascii="Times New Roman" w:eastAsia="方正小标宋简体" w:cs="方正小标宋简体" w:hAnsi="Times New Roman" w:hint="eastAsia"/>
          <w:b/>
          <w:bCs w:val="0"/>
          <w:color w:val="auto"/>
          <w:highlight w:val="auto"/>
        </w:rPr>
      </w:pPr>
      <w:r>
        <w:rPr>
          <w:rFonts w:ascii="Times New Roman" w:eastAsia="方正小标宋简体" w:cs="方正小标宋简体" w:hAnsi="Times New Roman" w:hint="eastAsia"/>
          <w:b w:val="0"/>
          <w:color w:val="auto"/>
          <w:highlight w:val="auto"/>
        </w:rPr>
        <w:t>第一部分</w:t>
      </w:r>
      <w:r>
        <w:rPr>
          <w:rFonts w:ascii="Times New Roman" w:eastAsia="方正小标宋简体" w:cs="方正小标宋简体" w:hAnsi="Times New Roman" w:hint="eastAsia"/>
          <w:b w:val="0"/>
          <w:color w:val="auto"/>
          <w:lang w:val="en-US" w:eastAsia="zh-CN"/>
          <w:highlight w:val="auto"/>
        </w:rPr>
        <w:t xml:space="preserve"> </w:t>
      </w:r>
      <w:r>
        <w:rPr>
          <w:rFonts w:ascii="Times New Roman" w:eastAsia="方正小标宋简体" w:cs="方正小标宋简体" w:hAnsi="Times New Roman" w:hint="eastAsia"/>
          <w:b w:val="0"/>
          <w:color w:val="auto"/>
          <w:highlight w:val="auto"/>
        </w:rPr>
        <w:t xml:space="preserve"> </w:t>
      </w:r>
      <w:r>
        <w:rPr>
          <w:rStyle w:val="1Char"/>
          <w:rFonts w:ascii="Times New Roman" w:eastAsia="方正小标宋简体" w:cs="方正小标宋简体" w:hAnsi="Times New Roman" w:hint="eastAsia"/>
          <w:b w:val="0"/>
          <w:bCs w:val="0"/>
          <w:color w:val="auto"/>
          <w:highlight w:val="auto"/>
        </w:rPr>
        <w:t>部门概况</w:t>
      </w:r>
      <w:bookmarkEnd w:id="12"/>
      <w:bookmarkEnd w:id="13"/>
    </w:p>
    <w:p>
      <w:pPr>
        <w:widowControl/>
        <w:jc w:val="left"/>
        <w:rPr>
          <w:rFonts w:ascii="Times New Roman" w:eastAsia="黑体" w:hAnsi="Times New Roman"/>
          <w:color w:val="auto"/>
          <w:sz w:val="32"/>
          <w:szCs w:val="32"/>
          <w:highlight w:val="auto"/>
        </w:rPr>
      </w:pPr>
    </w:p>
    <w:p>
      <w:pPr>
        <w:pStyle w:val="2"/>
        <w:spacing w:before="0" w:after="0"/>
        <w:rPr>
          <w:rFonts w:ascii="Times New Roman" w:eastAsia="黑体" w:hAnsi="Times New Roman" w:hint="eastAsia"/>
          <w:b w:val="0"/>
          <w:color w:val="auto"/>
          <w:lang w:eastAsia="zh-CN"/>
          <w:highlight w:val="auto"/>
        </w:rPr>
      </w:pPr>
      <w:bookmarkStart w:id="14" w:name="_Toc15396600"/>
      <w:bookmarkStart w:id="15" w:name="_Toc15377197"/>
      <w:r>
        <w:rPr>
          <w:rFonts w:ascii="Times New Roman" w:eastAsia="黑体" w:hAnsi="Times New Roman" w:hint="eastAsia"/>
          <w:b w:val="0"/>
          <w:color w:val="auto"/>
          <w:highlight w:val="auto"/>
        </w:rPr>
        <w:t>一、</w:t>
      </w:r>
      <w:bookmarkEnd w:id="14"/>
      <w:bookmarkEnd w:id="15"/>
      <w:r>
        <w:rPr>
          <w:rFonts w:ascii="Times New Roman" w:eastAsia="黑体" w:hAnsi="Times New Roman" w:hint="eastAsia"/>
          <w:b w:val="0"/>
          <w:color w:val="auto"/>
          <w:lang w:eastAsia="zh-CN"/>
          <w:highlight w:val="auto"/>
        </w:rPr>
        <w:t>部门职责</w:t>
      </w:r>
    </w:p>
    <w:p>
      <w:pPr>
        <w:pStyle w:val="18"/>
        <w:adjustRightInd w:val="0"/>
        <w:snapToGrid w:val="0"/>
        <w:spacing w:beforeLines="0" w:before="0" w:line="576" w:lineRule="exact"/>
        <w:ind w:firstLineChars="208" w:firstLine="624"/>
        <w:outlineLvl w:val="2"/>
        <w:rPr>
          <w:rFonts w:hint="eastAsia"/>
          <w:lang w:eastAsia="zh-CN"/>
        </w:rPr>
      </w:pPr>
      <w:r>
        <w:rPr>
          <w:rFonts w:hint="eastAsia"/>
        </w:rPr>
        <w:t>深入贯彻《母婴保健法》《中国妇女发展纲要》《中国儿童发展纲要》，围绕实现“新两纲”目标和初级卫生保健指标。了解、掌握妇女儿童健康状况及影响因素，负责本辖区儿童入托前健康体检及开展各类妇幼保健人员的业务培训，负责指导和开展本辖区妇幼保健健康教育与健康工作。组织实施重大公共卫生服务项目，如“新生儿疾病筛查”“免费婚检”“计划生育手术”“孕前优生健康检查”“ 预防艾滋病、梅毒及乙肝母婴传播”等。</w:t>
      </w:r>
      <w:r>
        <w:rPr>
          <w:rFonts w:cs="仿宋_GB2312" w:hint="eastAsia"/>
          <w:lang w:val="en-US" w:eastAsia="zh-CN" w:bidi="ar-SA"/>
          <w:highlight w:val="auto"/>
        </w:rPr>
        <w:t>就</w:t>
      </w:r>
    </w:p>
    <w:p>
      <w:pPr>
        <w:pStyle w:val="2"/>
        <w:spacing w:before="0" w:after="0"/>
        <w:rPr>
          <w:rStyle w:val="2Char"/>
          <w:rFonts w:ascii="Times New Roman" w:hAnsi="Times New Roman"/>
          <w:b w:val="0"/>
          <w:bCs w:val="0"/>
          <w:color w:val="auto"/>
          <w:highlight w:val="auto"/>
        </w:rPr>
      </w:pPr>
      <w:bookmarkStart w:id="16" w:name="_Toc15377200"/>
      <w:bookmarkStart w:id="17" w:name="_Toc15396601"/>
      <w:r>
        <w:rPr>
          <w:rFonts w:ascii="Times New Roman" w:eastAsia="黑体" w:hAnsi="Times New Roman" w:hint="eastAsia"/>
          <w:b w:val="0"/>
          <w:color w:val="auto"/>
          <w:highlight w:val="auto"/>
        </w:rPr>
        <w:t>二、机</w:t>
      </w:r>
      <w:r>
        <w:rPr>
          <w:rStyle w:val="2Char"/>
          <w:rFonts w:ascii="Times New Roman" w:eastAsia="黑体" w:hAnsi="Times New Roman" w:hint="eastAsia"/>
          <w:b w:val="0"/>
          <w:bCs w:val="0"/>
          <w:color w:val="auto"/>
          <w:highlight w:val="auto"/>
        </w:rPr>
        <w:t>构设置</w:t>
      </w:r>
      <w:bookmarkEnd w:id="16"/>
      <w:bookmarkEnd w:id="17"/>
    </w:p>
    <w:p>
      <w:pPr>
        <w:pStyle w:val="18"/>
        <w:adjustRightInd w:val="0"/>
        <w:snapToGrid w:val="0"/>
        <w:spacing w:beforeLines="0" w:before="0" w:line="576" w:lineRule="exact"/>
        <w:ind w:firstLineChars="208" w:firstLine="624"/>
        <w:outlineLvl w:val="2"/>
        <w:rPr>
          <w:rFonts w:hint="eastAsia"/>
        </w:rPr>
      </w:pPr>
      <w:bookmarkStart w:id="18" w:name="_Toc15377432"/>
      <w:bookmarkStart w:id="19" w:name="_Toc15306275"/>
      <w:bookmarkStart w:id="20" w:name="_Toc15377201"/>
      <w:bookmarkStart w:id="21" w:name="_Toc15378448"/>
      <w:r>
        <w:rPr>
          <w:rFonts w:hint="eastAsia"/>
        </w:rPr>
        <w:t>茂县妇幼保健院下属二级预算单位0个，其中：参照公务员法管理的事业单位0个，其他事业单位0个。</w:t>
      </w:r>
    </w:p>
    <w:p>
      <w:pPr>
        <w:pStyle w:val="18"/>
        <w:adjustRightInd w:val="0"/>
        <w:snapToGrid w:val="0"/>
        <w:spacing w:beforeLines="0" w:before="0" w:line="576" w:lineRule="exact"/>
        <w:ind w:firstLineChars="208" w:firstLine="624"/>
        <w:outlineLvl w:val="2"/>
        <w:rPr>
          <w:rFonts w:hint="eastAsia"/>
        </w:rPr>
      </w:pPr>
      <w:bookmarkStart w:id="22" w:name="_Toc15377204"/>
      <w:bookmarkStart w:id="23" w:name="_Toc15396602"/>
      <w:bookmarkEnd w:id="18"/>
      <w:bookmarkEnd w:id="19"/>
      <w:bookmarkEnd w:id="20"/>
      <w:bookmarkEnd w:id="21"/>
      <w:r>
        <w:rPr>
          <w:rFonts w:hint="eastAsia"/>
        </w:rPr>
        <w:br w:type="page"/>
      </w:r>
    </w:p>
    <w:p>
      <w:pPr>
        <w:pStyle w:val="15"/>
        <w:rPr>
          <w:rFonts w:hint="eastAsia"/>
        </w:rPr>
      </w:pPr>
    </w:p>
    <w:p>
      <w:pPr>
        <w:pStyle w:val="1"/>
        <w:jc w:val="center"/>
        <w:rPr>
          <w:rFonts w:ascii="Times New Roman" w:eastAsia="方正小标宋简体" w:cs="方正小标宋简体" w:hAnsi="Times New Roman" w:hint="eastAsia"/>
          <w:b w:val="0"/>
          <w:color w:val="auto"/>
          <w:highlight w:val="auto"/>
        </w:rPr>
      </w:pPr>
      <w:r>
        <w:rPr>
          <w:rFonts w:ascii="Times New Roman" w:eastAsia="方正小标宋简体" w:cs="方正小标宋简体" w:hAnsi="Times New Roman" w:hint="eastAsia"/>
          <w:b w:val="0"/>
          <w:color w:val="auto"/>
          <w:highlight w:val="auto"/>
        </w:rPr>
        <w:t>第二部分</w:t>
      </w:r>
      <w:r>
        <w:rPr>
          <w:rFonts w:ascii="Times New Roman" w:eastAsia="方正小标宋简体" w:cs="方正小标宋简体" w:hAnsi="Times New Roman" w:hint="eastAsia"/>
          <w:b w:val="0"/>
          <w:color w:val="auto"/>
          <w:lang w:val="en-US" w:eastAsia="zh-CN"/>
          <w:highlight w:val="auto"/>
        </w:rPr>
        <w:t xml:space="preserve"> </w:t>
      </w:r>
      <w:r>
        <w:rPr>
          <w:rFonts w:ascii="Times New Roman" w:eastAsia="方正小标宋简体" w:cs="方正小标宋简体" w:hAnsi="Times New Roman" w:hint="eastAsia"/>
          <w:b w:val="0"/>
          <w:color w:val="auto"/>
          <w:highlight w:val="auto"/>
        </w:rPr>
        <w:t xml:space="preserve"> </w:t>
      </w:r>
      <w:r>
        <w:rPr>
          <w:rFonts w:ascii="Times New Roman" w:eastAsia="方正小标宋简体" w:cs="方正小标宋简体" w:hAnsi="Times New Roman" w:hint="eastAsia"/>
          <w:b w:val="0"/>
          <w:color w:val="auto"/>
          <w:lang w:val="en-US" w:eastAsia="zh-CN"/>
          <w:highlight w:val="auto"/>
        </w:rPr>
        <w:t>2024年度</w:t>
      </w:r>
      <w:r>
        <w:rPr>
          <w:rFonts w:ascii="Times New Roman" w:eastAsia="方正小标宋简体" w:cs="方正小标宋简体" w:hAnsi="Times New Roman" w:hint="eastAsia"/>
          <w:b w:val="0"/>
          <w:color w:val="auto"/>
          <w:highlight w:val="auto"/>
        </w:rPr>
        <w:t>部门决算情况说明</w:t>
      </w:r>
      <w:bookmarkEnd w:id="22"/>
      <w:bookmarkEnd w:id="23"/>
    </w:p>
    <w:p>
      <w:pPr>
        <w:rPr>
          <w:rFonts w:ascii="Times New Roman" w:hAnsi="Times New Roman"/>
          <w:color w:val="auto"/>
          <w:highlight w:val="auto"/>
        </w:rPr>
      </w:pPr>
    </w:p>
    <w:p>
      <w:pPr>
        <w:pStyle w:val="33"/>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outlineLvl w:val="1"/>
        <w:rPr>
          <w:rStyle w:val="2Char"/>
          <w:rFonts w:ascii="Times New Roman" w:eastAsia="黑体" w:hAnsi="Times New Roman" w:hint="eastAsia"/>
          <w:b w:val="0"/>
          <w:color w:val="auto"/>
          <w:highlight w:val="auto"/>
        </w:rPr>
      </w:pPr>
      <w:bookmarkStart w:id="24" w:name="_Toc15377205"/>
      <w:bookmarkStart w:id="25" w:name="_Toc15396603"/>
      <w:r>
        <w:rPr>
          <w:rFonts w:ascii="Times New Roman" w:eastAsia="黑体" w:hAnsi="Times New Roman" w:hint="eastAsia"/>
          <w:color w:val="auto"/>
          <w:sz w:val="32"/>
          <w:szCs w:val="32"/>
          <w:lang w:eastAsia="zh-CN"/>
          <w:highlight w:val="auto"/>
        </w:rPr>
        <w:t>一、</w:t>
      </w:r>
      <w:r>
        <w:rPr>
          <w:rFonts w:ascii="Times New Roman" w:eastAsia="黑体" w:hAnsi="Times New Roman" w:hint="eastAsia"/>
          <w:color w:val="auto"/>
          <w:sz w:val="32"/>
          <w:szCs w:val="32"/>
          <w:highlight w:val="auto"/>
        </w:rPr>
        <w:t>收</w:t>
      </w:r>
      <w:r>
        <w:rPr>
          <w:rStyle w:val="2Char"/>
          <w:rFonts w:ascii="Times New Roman" w:eastAsia="黑体" w:hAnsi="Times New Roman" w:hint="eastAsia"/>
          <w:b w:val="0"/>
          <w:color w:val="auto"/>
          <w:highlight w:val="auto"/>
        </w:rPr>
        <w:t>入支出决算总体情况说明</w:t>
      </w:r>
      <w:bookmarkEnd w:id="24"/>
      <w:bookmarkEnd w:id="25"/>
    </w:p>
    <w:p>
      <w:pPr>
        <w:pStyle w:val="18"/>
        <w:adjustRightInd w:val="0"/>
        <w:snapToGrid w:val="0"/>
        <w:spacing w:beforeLines="0" w:before="0" w:line="576" w:lineRule="exact"/>
        <w:ind w:firstLineChars="208" w:firstLine="624"/>
        <w:outlineLvl w:val="2"/>
        <w:rPr>
          <w:rFonts w:hint="eastAsia"/>
          <w:lang w:eastAsia="zh-CN"/>
          <w:highlight w:val="auto"/>
        </w:rPr>
      </w:pPr>
      <w:bookmarkStart w:id="26" w:name="_Toc15377206"/>
      <w:bookmarkStart w:id="27" w:name="_Toc15396604"/>
      <w:r>
        <w:rPr>
          <w:rFonts w:hint="eastAsia"/>
          <w:lang w:eastAsia="zh-CN"/>
          <w:highlight w:val="auto"/>
        </w:rPr>
        <w:t>2024年</w:t>
      </w:r>
      <w:r>
        <w:rPr>
          <w:rFonts w:hint="eastAsia"/>
          <w:highlight w:val="auto"/>
        </w:rPr>
        <w:t>度收、支总计</w:t>
      </w:r>
      <w:r>
        <w:rPr>
          <w:rFonts w:hint="eastAsia"/>
          <w:lang w:eastAsia="zh-CN"/>
          <w:highlight w:val="auto"/>
        </w:rPr>
        <w:t>均为</w:t>
      </w:r>
      <w:r>
        <w:rPr>
          <w:rFonts w:hint="eastAsia"/>
          <w:lang w:val="en-US" w:eastAsia="zh-CN"/>
          <w:highlight w:val="auto"/>
        </w:rPr>
        <w:t>2483.18</w:t>
      </w:r>
      <w:r>
        <w:rPr>
          <w:rFonts w:hint="eastAsia"/>
          <w:highlight w:val="auto"/>
        </w:rPr>
        <w:t>万元。与</w:t>
      </w:r>
      <w:r>
        <w:rPr>
          <w:rFonts w:hint="eastAsia"/>
          <w:lang w:eastAsia="zh-CN"/>
          <w:highlight w:val="auto"/>
        </w:rPr>
        <w:t>2023年度</w:t>
      </w:r>
      <w:r>
        <w:rPr>
          <w:rFonts w:hint="eastAsia"/>
          <w:highlight w:val="auto"/>
        </w:rPr>
        <w:t>相比，收、支总计各增加</w:t>
      </w:r>
      <w:r>
        <w:rPr>
          <w:rFonts w:hint="eastAsia"/>
          <w:lang w:val="en-US" w:eastAsia="zh-CN"/>
          <w:highlight w:val="auto"/>
        </w:rPr>
        <w:t>162.72</w:t>
      </w:r>
      <w:r>
        <w:rPr>
          <w:rFonts w:hint="eastAsia"/>
          <w:highlight w:val="auto"/>
        </w:rPr>
        <w:t>万元，增长</w:t>
      </w:r>
      <w:r>
        <w:rPr>
          <w:rFonts w:hint="eastAsia"/>
          <w:lang w:val="en-US" w:eastAsia="zh-CN"/>
          <w:highlight w:val="auto"/>
        </w:rPr>
        <w:t>7.01</w:t>
      </w:r>
      <w:r>
        <w:rPr>
          <w:rFonts w:hint="eastAsia"/>
          <w:highlight w:val="auto"/>
        </w:rPr>
        <w:t>%。主要变动原因是</w:t>
      </w:r>
      <w:r>
        <w:rPr>
          <w:rFonts w:hint="eastAsia"/>
          <w:lang w:eastAsia="zh-CN"/>
          <w:highlight w:val="auto"/>
        </w:rPr>
        <w:t>：</w:t>
      </w:r>
      <w:r>
        <w:rPr>
          <w:rFonts w:hint="eastAsia"/>
          <w:lang w:val="en-US" w:eastAsia="zh-CN"/>
        </w:rPr>
        <w:t>1.新增茂县妇幼保健院综合能力提升项目及中羌医康养中心建设</w:t>
      </w:r>
      <w:r>
        <w:rPr>
          <w:rFonts w:hint="eastAsia"/>
        </w:rPr>
        <w:t>项目</w:t>
      </w:r>
      <w:r>
        <w:rPr>
          <w:rFonts w:hint="eastAsia"/>
          <w:lang w:eastAsia="zh-CN"/>
        </w:rPr>
        <w:t>；</w:t>
      </w:r>
      <w:r>
        <w:rPr>
          <w:rFonts w:hint="eastAsia"/>
          <w:lang w:val="en-US" w:eastAsia="zh-CN"/>
        </w:rPr>
        <w:t>2.</w:t>
      </w:r>
      <w:r>
        <w:rPr>
          <w:rFonts w:hint="eastAsia"/>
          <w:lang w:eastAsia="zh-CN"/>
        </w:rPr>
        <w:t>人员正常晋升工资上涨</w:t>
      </w:r>
      <w:r>
        <w:rPr>
          <w:rFonts w:hint="eastAsia"/>
          <w:lang w:eastAsia="zh-CN"/>
          <w:highlight w:val="auto"/>
        </w:rPr>
        <w:t>。</w:t>
      </w:r>
    </w:p>
    <w:p>
      <w:pPr>
        <w:keepNext w:val="0"/>
        <w:keepLines w:val="0"/>
        <w:pageBreakBefore w:val="0"/>
        <w:widowControl w:val="0"/>
        <w:kinsoku/>
        <w:wordWrap/>
        <w:overflowPunct/>
        <w:topLinePunct w:val="0"/>
        <w:autoSpaceDE/>
        <w:autoSpaceDN/>
        <w:bidi w:val="0"/>
        <w:adjustRightInd/>
        <w:snapToGrid/>
        <w:spacing w:line="360" w:lineRule="auto"/>
        <w:ind w:firstLineChars="200" w:firstLine="420"/>
        <w:jc w:val="left"/>
        <w:textAlignment w:val="auto"/>
        <w:rPr>
          <w:rFonts w:ascii="仿宋_GB2312" w:eastAsia="仿宋_GB2312"/>
          <w:color w:val="auto"/>
          <w:sz w:val="32"/>
          <w:szCs w:val="32"/>
          <w:highlight w:val="auto"/>
        </w:rPr>
      </w:pPr>
      <w:r>
        <w:drawing>
          <wp:inline distT="0" distB="0" distL="114300" distR="114300">
            <wp:extent cx="4572000" cy="3352800"/>
            <wp:effectExtent l="0" t="0" r="0" b="0"/>
            <wp:docPr id="4" name="图表 10"/>
            <wp:cNvGraphicFramePr>
              <a:graphicFrameLocks noChangeAspect="1"/>
            </wp:cNvGraphicFramePr>
            <a:graphic>
              <a:graphicData uri="http://schemas.openxmlformats.org/drawingml/2006/chart">
                <c:chart xmlns:c="http://schemas.openxmlformats.org/drawingml/2006/chart" r:id="rId11"/>
              </a:graphicData>
            </a:graphic>
          </wp:inline>
        </w:drawing>
      </w:r>
    </w:p>
    <w:p>
      <w:pPr>
        <w:pStyle w:val="33"/>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outlineLvl w:val="1"/>
        <w:rPr>
          <w:rFonts w:ascii="Times New Roman" w:eastAsia="黑体" w:hAnsi="Times New Roman" w:hint="eastAsia"/>
          <w:color w:val="auto"/>
          <w:sz w:val="32"/>
          <w:szCs w:val="32"/>
          <w:lang w:eastAsia="zh-CN"/>
          <w:highlight w:val="auto"/>
        </w:rPr>
      </w:pPr>
      <w:r>
        <w:rPr>
          <w:rFonts w:ascii="Times New Roman" w:eastAsia="黑体" w:hAnsi="Times New Roman" w:hint="eastAsia"/>
          <w:color w:val="auto"/>
          <w:sz w:val="32"/>
          <w:szCs w:val="32"/>
          <w:lang w:eastAsia="zh-CN"/>
          <w:highlight w:val="auto"/>
        </w:rPr>
        <w:t>二、收入决算情况说明</w:t>
      </w:r>
      <w:bookmarkEnd w:id="26"/>
      <w:bookmarkEnd w:id="27"/>
    </w:p>
    <w:p>
      <w:pPr>
        <w:pStyle w:val="18"/>
        <w:adjustRightInd w:val="0"/>
        <w:snapToGrid w:val="0"/>
        <w:spacing w:beforeLines="0" w:before="0" w:line="576" w:lineRule="exact"/>
        <w:ind w:firstLineChars="208" w:firstLine="624"/>
        <w:outlineLvl w:val="2"/>
        <w:rPr>
          <w:rFonts w:hint="eastAsia"/>
          <w:highlight w:val="auto"/>
        </w:rPr>
      </w:pPr>
      <w:r>
        <w:rPr>
          <w:rFonts w:cs="仿宋_GB2312" w:hint="eastAsia"/>
          <w:highlight w:val="auto"/>
        </w:rPr>
        <w:t>2024年度本年收入合计</w:t>
      </w:r>
      <w:r>
        <w:rPr>
          <w:rFonts w:cs="仿宋_GB2312" w:hint="eastAsia"/>
        </w:rPr>
        <w:t>2483.18万元，其中：一般公共预算财政拨款收入1521.76</w:t>
      </w:r>
      <w:r>
        <w:rPr>
          <w:rFonts w:cs="仿宋_GB2312" w:hint="eastAsia"/>
          <w:highlight w:val="auto"/>
        </w:rPr>
        <w:t>万元，占</w:t>
      </w:r>
      <w:r>
        <w:rPr>
          <w:rFonts w:cs="仿宋_GB2312" w:hint="eastAsia"/>
        </w:rPr>
        <w:t>61.28</w:t>
      </w:r>
      <w:r>
        <w:rPr>
          <w:rFonts w:cs="仿宋_GB2312" w:hint="eastAsia"/>
          <w:highlight w:val="auto"/>
        </w:rPr>
        <w:t>%；政府性基金预算财政拨款收入</w:t>
      </w:r>
      <w:r>
        <w:rPr>
          <w:rFonts w:cs="仿宋_GB2312" w:hint="eastAsia"/>
        </w:rPr>
        <w:t>0</w:t>
      </w:r>
      <w:r>
        <w:rPr>
          <w:rFonts w:cs="仿宋_GB2312" w:hint="eastAsia"/>
          <w:highlight w:val="auto"/>
        </w:rPr>
        <w:t>万元，占</w:t>
      </w:r>
      <w:r>
        <w:rPr>
          <w:rFonts w:cs="仿宋_GB2312" w:hint="eastAsia"/>
        </w:rPr>
        <w:t>0%</w:t>
      </w:r>
      <w:r>
        <w:rPr>
          <w:rFonts w:cs="仿宋_GB2312" w:hint="eastAsia"/>
          <w:highlight w:val="auto"/>
        </w:rPr>
        <w:t>%；国有资本经营预算财政拨款收入</w:t>
      </w:r>
      <w:r>
        <w:rPr>
          <w:rFonts w:cs="仿宋_GB2312" w:hint="eastAsia"/>
        </w:rPr>
        <w:t>0</w:t>
      </w:r>
      <w:r>
        <w:rPr>
          <w:rFonts w:cs="仿宋_GB2312" w:hint="eastAsia"/>
          <w:highlight w:val="auto"/>
        </w:rPr>
        <w:t>万元，占</w:t>
      </w:r>
      <w:r>
        <w:rPr>
          <w:rFonts w:cs="仿宋_GB2312" w:hint="eastAsia"/>
        </w:rPr>
        <w:t>0</w:t>
      </w:r>
      <w:r>
        <w:rPr>
          <w:rFonts w:cs="仿宋_GB2312" w:hint="eastAsia"/>
          <w:highlight w:val="auto"/>
        </w:rPr>
        <w:t>%；上级补助收入</w:t>
      </w:r>
      <w:r>
        <w:rPr>
          <w:rFonts w:cs="仿宋_GB2312" w:hint="eastAsia"/>
        </w:rPr>
        <w:t>0</w:t>
      </w:r>
      <w:r>
        <w:rPr>
          <w:rFonts w:cs="仿宋_GB2312" w:hint="eastAsia"/>
          <w:highlight w:val="auto"/>
        </w:rPr>
        <w:t>万元，占</w:t>
      </w:r>
      <w:r>
        <w:rPr>
          <w:rFonts w:cs="仿宋_GB2312" w:hint="eastAsia"/>
        </w:rPr>
        <w:t>0</w:t>
      </w:r>
      <w:r>
        <w:rPr>
          <w:rFonts w:cs="仿宋_GB2312" w:hint="eastAsia"/>
          <w:highlight w:val="auto"/>
        </w:rPr>
        <w:t>%；事业收入</w:t>
      </w:r>
      <w:r>
        <w:rPr>
          <w:rFonts w:cs="仿宋_GB2312" w:hint="eastAsia"/>
        </w:rPr>
        <w:t>873.78</w:t>
      </w:r>
      <w:r>
        <w:rPr>
          <w:rFonts w:cs="仿宋_GB2312" w:hint="eastAsia"/>
          <w:highlight w:val="auto"/>
        </w:rPr>
        <w:t>万元，占</w:t>
      </w:r>
      <w:r>
        <w:rPr>
          <w:rFonts w:cs="仿宋_GB2312" w:hint="eastAsia"/>
        </w:rPr>
        <w:t>35.18</w:t>
      </w:r>
      <w:r>
        <w:rPr>
          <w:rFonts w:cs="仿宋_GB2312" w:hint="eastAsia"/>
          <w:highlight w:val="auto"/>
        </w:rPr>
        <w:t>%。</w:t>
      </w:r>
    </w:p>
    <w:p>
      <w:pPr>
        <w:ind w:firstLineChars="250" w:firstLine="525"/>
        <w:rPr>
          <w:rFonts w:ascii="Times New Roman" w:eastAsia="仿宋_GB2312" w:cs="仿宋_GB2312" w:hAnsi="Times New Roman" w:hint="eastAsia"/>
          <w:color w:val="auto"/>
          <w:sz w:val="32"/>
          <w:szCs w:val="32"/>
          <w:lang w:eastAsia="zh-CN"/>
          <w:highlight w:val="auto"/>
        </w:rPr>
      </w:pPr>
      <w:r>
        <w:drawing>
          <wp:inline distT="0" distB="0" distL="114300" distR="114300">
            <wp:extent cx="4572000" cy="2743200"/>
            <wp:effectExtent l="0" t="0" r="0" b="0"/>
            <wp:docPr id="5" name="图表 13"/>
            <wp:cNvGraphicFramePr>
              <a:graphicFrameLocks noChangeAspect="1"/>
            </wp:cNvGraphicFramePr>
            <a:graphic>
              <a:graphicData uri="http://schemas.openxmlformats.org/drawingml/2006/chart">
                <c:chart xmlns:c="http://schemas.openxmlformats.org/drawingml/2006/chart" r:id="rId12"/>
              </a:graphicData>
            </a:graphic>
          </wp:inline>
        </w:drawing>
      </w:r>
    </w:p>
    <w:p>
      <w:pPr>
        <w:pStyle w:val="33"/>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outlineLvl w:val="1"/>
        <w:rPr>
          <w:rStyle w:val="2Char"/>
          <w:rFonts w:ascii="Times New Roman" w:eastAsia="黑体" w:hAnsi="Times New Roman" w:hint="eastAsia"/>
          <w:b w:val="0"/>
          <w:color w:val="auto"/>
          <w:highlight w:val="auto"/>
        </w:rPr>
      </w:pPr>
      <w:bookmarkStart w:id="28" w:name="_Toc15377207"/>
      <w:bookmarkStart w:id="29" w:name="_Toc15396605"/>
      <w:r>
        <w:rPr>
          <w:rFonts w:ascii="Times New Roman" w:eastAsia="黑体" w:hAnsi="Times New Roman" w:hint="eastAsia"/>
          <w:color w:val="auto"/>
          <w:sz w:val="32"/>
          <w:szCs w:val="32"/>
          <w:lang w:eastAsia="zh-CN"/>
          <w:highlight w:val="auto"/>
        </w:rPr>
        <w:t>三、</w:t>
      </w:r>
      <w:r>
        <w:rPr>
          <w:rFonts w:ascii="Times New Roman" w:eastAsia="黑体" w:hAnsi="Times New Roman" w:hint="eastAsia"/>
          <w:color w:val="auto"/>
          <w:sz w:val="32"/>
          <w:szCs w:val="32"/>
          <w:highlight w:val="auto"/>
        </w:rPr>
        <w:t>支</w:t>
      </w:r>
      <w:r>
        <w:rPr>
          <w:rStyle w:val="2Char"/>
          <w:rFonts w:ascii="Times New Roman" w:eastAsia="黑体" w:hAnsi="Times New Roman" w:hint="eastAsia"/>
          <w:b w:val="0"/>
          <w:color w:val="auto"/>
          <w:highlight w:val="auto"/>
        </w:rPr>
        <w:t>出决算情况说明</w:t>
      </w:r>
      <w:bookmarkEnd w:id="28"/>
      <w:bookmarkEnd w:id="29"/>
    </w:p>
    <w:p>
      <w:pPr>
        <w:pStyle w:val="18"/>
        <w:adjustRightInd w:val="0"/>
        <w:snapToGrid w:val="0"/>
        <w:spacing w:beforeLines="0" w:before="0" w:line="576" w:lineRule="exact"/>
        <w:ind w:firstLineChars="208" w:firstLine="624"/>
        <w:outlineLvl w:val="2"/>
        <w:rPr>
          <w:rFonts w:ascii="仿宋" w:eastAsia="仿宋"/>
          <w:color w:val="auto"/>
          <w:sz w:val="32"/>
          <w:szCs w:val="32"/>
          <w:highlight w:val="auto"/>
        </w:rPr>
      </w:pPr>
      <w:r>
        <w:rPr>
          <w:rFonts w:cs="仿宋_GB2312" w:hint="eastAsia"/>
          <w:lang w:eastAsia="zh-CN"/>
          <w:highlight w:val="auto"/>
        </w:rPr>
        <w:t>2024年度本年支出合计</w:t>
      </w:r>
      <w:r>
        <w:rPr>
          <w:rFonts w:cs="仿宋_GB2312" w:hint="eastAsia"/>
        </w:rPr>
        <w:t>2377.14</w:t>
      </w:r>
      <w:r>
        <w:rPr>
          <w:rFonts w:cs="仿宋_GB2312" w:hint="eastAsia"/>
          <w:lang w:eastAsia="zh-CN"/>
          <w:highlight w:val="auto"/>
        </w:rPr>
        <w:t>万元，其中：基本支出</w:t>
      </w:r>
      <w:r>
        <w:rPr>
          <w:rFonts w:cs="仿宋_GB2312" w:hint="eastAsia"/>
        </w:rPr>
        <w:t>2053.44</w:t>
      </w:r>
      <w:r>
        <w:rPr>
          <w:rFonts w:cs="仿宋_GB2312" w:hint="eastAsia"/>
          <w:lang w:eastAsia="zh-CN"/>
          <w:highlight w:val="auto"/>
        </w:rPr>
        <w:t>万元，占</w:t>
      </w:r>
      <w:r>
        <w:rPr>
          <w:rFonts w:cs="仿宋_GB2312" w:hint="eastAsia"/>
        </w:rPr>
        <w:t>86.38</w:t>
      </w:r>
      <w:r>
        <w:rPr>
          <w:rFonts w:cs="仿宋_GB2312" w:hint="eastAsia"/>
          <w:lang w:eastAsia="zh-CN"/>
          <w:highlight w:val="auto"/>
        </w:rPr>
        <w:t>%；项目支出</w:t>
      </w:r>
      <w:r>
        <w:rPr>
          <w:rFonts w:cs="仿宋_GB2312" w:hint="eastAsia"/>
        </w:rPr>
        <w:t>323.69</w:t>
      </w:r>
      <w:r>
        <w:rPr>
          <w:rFonts w:cs="仿宋_GB2312" w:hint="eastAsia"/>
          <w:lang w:eastAsia="zh-CN"/>
          <w:highlight w:val="auto"/>
        </w:rPr>
        <w:t>万元，占</w:t>
      </w:r>
      <w:r>
        <w:rPr>
          <w:rFonts w:cs="仿宋_GB2312" w:hint="eastAsia"/>
        </w:rPr>
        <w:t>13.62</w:t>
      </w:r>
      <w:r>
        <w:rPr>
          <w:rFonts w:cs="仿宋_GB2312" w:hint="eastAsia"/>
          <w:lang w:eastAsia="zh-CN"/>
          <w:highlight w:val="auto"/>
        </w:rPr>
        <w:t>%。</w:t>
      </w:r>
    </w:p>
    <w:p>
      <w:pPr>
        <w:ind w:firstLineChars="250" w:firstLine="525"/>
        <w:rPr>
          <w:rFonts w:ascii="Times New Roman" w:eastAsia="仿宋_GB2312" w:cs="仿宋_GB2312" w:hAnsi="Times New Roman" w:hint="eastAsia"/>
          <w:color w:val="auto"/>
          <w:sz w:val="32"/>
          <w:szCs w:val="32"/>
          <w:lang w:eastAsia="zh-CN"/>
          <w:highlight w:val="auto"/>
        </w:rPr>
      </w:pPr>
      <w:r>
        <w:drawing>
          <wp:inline distT="0" distB="0" distL="114300" distR="114300">
            <wp:extent cx="4781550" cy="2857500"/>
            <wp:effectExtent l="0" t="0" r="0" b="0"/>
            <wp:docPr id="6" name="图表 14"/>
            <wp:cNvGraphicFramePr>
              <a:graphicFrameLocks noChangeAspect="1"/>
            </wp:cNvGraphicFramePr>
            <a:graphic>
              <a:graphicData uri="http://schemas.openxmlformats.org/drawingml/2006/chart">
                <c:chart xmlns:c="http://schemas.openxmlformats.org/drawingml/2006/chart" r:id="rId13"/>
              </a:graphicData>
            </a:graphic>
          </wp:inline>
        </w:drawing>
      </w:r>
    </w:p>
    <w:p>
      <w:pPr>
        <w:spacing w:line="600" w:lineRule="exact"/>
        <w:ind w:firstLineChars="200" w:firstLine="640"/>
        <w:outlineLvl w:val="1"/>
        <w:rPr>
          <w:rStyle w:val="2Char"/>
          <w:rFonts w:ascii="Times New Roman" w:eastAsia="黑体" w:hAnsi="Times New Roman"/>
          <w:b w:val="0"/>
          <w:color w:val="auto"/>
          <w:highlight w:val="auto"/>
        </w:rPr>
      </w:pPr>
      <w:bookmarkStart w:id="30" w:name="_Toc15396606"/>
      <w:bookmarkStart w:id="31" w:name="_Toc15377208"/>
      <w:r>
        <w:rPr>
          <w:rFonts w:ascii="Times New Roman" w:eastAsia="黑体" w:hAnsi="Times New Roman" w:hint="eastAsia"/>
          <w:color w:val="auto"/>
          <w:sz w:val="32"/>
          <w:szCs w:val="32"/>
          <w:highlight w:val="auto"/>
        </w:rPr>
        <w:t>四、财</w:t>
      </w:r>
      <w:r>
        <w:rPr>
          <w:rStyle w:val="2Char"/>
          <w:rFonts w:ascii="Times New Roman" w:eastAsia="黑体" w:hAnsi="Times New Roman" w:hint="eastAsia"/>
          <w:b w:val="0"/>
          <w:color w:val="auto"/>
          <w:highlight w:val="auto"/>
        </w:rPr>
        <w:t>政拨款收入支出决算总体情况说明</w:t>
      </w:r>
      <w:bookmarkEnd w:id="30"/>
      <w:bookmarkEnd w:id="31"/>
    </w:p>
    <w:p>
      <w:pPr>
        <w:keepNext w:val="0"/>
        <w:keepLines w:val="0"/>
        <w:pageBreakBefore w:val="0"/>
        <w:widowControl w:val="0"/>
        <w:kinsoku/>
        <w:wordWrap/>
        <w:overflowPunct/>
        <w:topLinePunct w:val="0"/>
        <w:autoSpaceDE/>
        <w:autoSpaceDN/>
        <w:bidi w:val="0"/>
        <w:adjustRightInd/>
        <w:snapToGrid/>
        <w:spacing w:line="360" w:lineRule="auto"/>
        <w:ind w:firstLineChars="200" w:firstLine="600"/>
        <w:textAlignment w:val="auto"/>
        <w:rPr>
          <w:rFonts w:ascii="仿宋" w:eastAsia="仿宋" w:hint="eastAsia"/>
          <w:color w:val="auto"/>
          <w:sz w:val="32"/>
          <w:szCs w:val="32"/>
          <w:highlight w:val="auto"/>
        </w:rPr>
      </w:pPr>
      <w:r>
        <w:rPr>
          <w:rFonts w:ascii="仿宋_GB2312" w:eastAsia="仿宋_GB2312" w:cs="仿宋_GB2312" w:hint="eastAsia"/>
          <w:kern w:val="0"/>
          <w:sz w:val="30"/>
          <w:highlight w:val="auto"/>
        </w:rPr>
        <w:t>2024年度财政拨款收、支总计均为</w:t>
      </w:r>
      <w:r>
        <w:rPr>
          <w:rFonts w:ascii="仿宋_GB2312" w:eastAsia="仿宋_GB2312" w:cs="仿宋_GB2312" w:hint="eastAsia"/>
          <w:kern w:val="0"/>
          <w:sz w:val="30"/>
          <w:lang w:val="en-US"/>
          <w:highlight w:val="auto"/>
        </w:rPr>
        <w:t>1521.76</w:t>
      </w:r>
      <w:r>
        <w:rPr>
          <w:rFonts w:ascii="仿宋_GB2312" w:eastAsia="仿宋_GB2312" w:cs="仿宋_GB2312" w:hint="eastAsia"/>
          <w:kern w:val="0"/>
          <w:sz w:val="30"/>
          <w:highlight w:val="auto"/>
        </w:rPr>
        <w:t>万元。与2023年度相比，财政拨款收、支总计各增加</w:t>
      </w:r>
      <w:r>
        <w:rPr>
          <w:rFonts w:ascii="仿宋_GB2312" w:eastAsia="仿宋_GB2312" w:cs="仿宋_GB2312" w:hint="eastAsia"/>
          <w:kern w:val="0"/>
          <w:sz w:val="30"/>
          <w:lang w:val="en-US"/>
          <w:highlight w:val="auto"/>
        </w:rPr>
        <w:t>239.61</w:t>
      </w:r>
      <w:r>
        <w:rPr>
          <w:rFonts w:ascii="仿宋_GB2312" w:eastAsia="仿宋_GB2312" w:cs="仿宋_GB2312" w:hint="eastAsia"/>
          <w:kern w:val="0"/>
          <w:sz w:val="30"/>
          <w:highlight w:val="auto"/>
        </w:rPr>
        <w:t>万元，增长</w:t>
      </w:r>
      <w:r>
        <w:rPr>
          <w:rFonts w:ascii="仿宋_GB2312" w:eastAsia="仿宋_GB2312" w:cs="仿宋_GB2312" w:hint="eastAsia"/>
          <w:kern w:val="0"/>
          <w:sz w:val="30"/>
          <w:lang w:val="en-US"/>
          <w:highlight w:val="auto"/>
        </w:rPr>
        <w:t>18.69</w:t>
      </w:r>
      <w:r>
        <w:rPr>
          <w:rFonts w:ascii="仿宋_GB2312" w:eastAsia="仿宋_GB2312" w:cs="仿宋_GB2312" w:hint="eastAsia"/>
          <w:kern w:val="0"/>
          <w:sz w:val="30"/>
          <w:highlight w:val="auto"/>
        </w:rPr>
        <w:t>%。主要变动原因是：</w:t>
      </w:r>
      <w:r>
        <w:rPr>
          <w:rFonts w:ascii="仿宋_GB2312" w:eastAsia="仿宋_GB2312" w:cs="仿宋_GB2312" w:hint="eastAsia"/>
          <w:kern w:val="0"/>
          <w:sz w:val="30"/>
          <w:lang w:val="en-US"/>
        </w:rPr>
        <w:t>1.新增茂县妇幼保健院综合能力提升项目及中羌医康养中心建设</w:t>
      </w:r>
      <w:r>
        <w:rPr>
          <w:rFonts w:ascii="仿宋_GB2312" w:eastAsia="仿宋_GB2312" w:cs="仿宋_GB2312" w:hint="eastAsia"/>
          <w:kern w:val="0"/>
          <w:sz w:val="30"/>
        </w:rPr>
        <w:t>项目；</w:t>
      </w:r>
      <w:r>
        <w:rPr>
          <w:rFonts w:ascii="仿宋_GB2312" w:eastAsia="仿宋_GB2312" w:cs="仿宋_GB2312" w:hint="eastAsia"/>
          <w:kern w:val="0"/>
          <w:sz w:val="30"/>
          <w:lang w:val="en-US"/>
        </w:rPr>
        <w:t>2.</w:t>
      </w:r>
      <w:r>
        <w:rPr>
          <w:rFonts w:ascii="仿宋_GB2312" w:eastAsia="仿宋_GB2312" w:cs="仿宋_GB2312" w:hint="eastAsia"/>
          <w:kern w:val="0"/>
          <w:sz w:val="30"/>
        </w:rPr>
        <w:t>人员正常晋升</w:t>
      </w:r>
      <w:r>
        <w:rPr>
          <w:rFonts w:ascii="仿宋" w:eastAsia="仿宋" w:hint="eastAsia"/>
          <w:color w:val="000000"/>
          <w:sz w:val="32"/>
          <w:szCs w:val="32"/>
          <w:lang w:eastAsia="zh-CN"/>
        </w:rPr>
        <w:t>工资上涨</w:t>
      </w:r>
      <w:r>
        <w:rPr>
          <w:rFonts w:ascii="仿宋" w:eastAsia="仿宋" w:hint="eastAsia"/>
          <w:color w:val="auto"/>
          <w:sz w:val="32"/>
          <w:szCs w:val="32"/>
          <w:lang w:eastAsia="zh-CN"/>
          <w:highlight w:val="auto"/>
        </w:rPr>
        <w:t>。</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ascii="Times New Roman" w:eastAsia="仿宋_GB2312" w:cs="仿宋_GB2312" w:hAnsi="Times New Roman" w:hint="eastAsia"/>
          <w:color w:val="auto"/>
          <w:kern w:val="2"/>
          <w:sz w:val="32"/>
          <w:szCs w:val="32"/>
          <w:lang w:val="en-US" w:eastAsia="zh-CN" w:bidi="ar-SA"/>
          <w:highlight w:val="auto"/>
        </w:rPr>
      </w:pPr>
      <w:r>
        <w:drawing>
          <wp:inline distT="0" distB="0" distL="114300" distR="114300">
            <wp:extent cx="4572000" cy="2857500"/>
            <wp:effectExtent l="0" t="0" r="0" b="0"/>
            <wp:docPr id="7" name="图表 16"/>
            <wp:cNvGraphicFramePr>
              <a:graphicFrameLocks noChangeAspect="1"/>
            </wp:cNvGraphicFramePr>
            <a:graphic>
              <a:graphicData uri="http://schemas.openxmlformats.org/drawingml/2006/chart">
                <c:chart xmlns:c="http://schemas.openxmlformats.org/drawingml/2006/chart" r:id="rId14"/>
              </a:graphicData>
            </a:graphic>
          </wp:inline>
        </w:drawing>
      </w:r>
    </w:p>
    <w:p>
      <w:pPr>
        <w:spacing w:line="600" w:lineRule="exact"/>
        <w:ind w:firstLineChars="200" w:firstLine="640"/>
        <w:outlineLvl w:val="1"/>
        <w:rPr>
          <w:rStyle w:val="2Char"/>
          <w:rFonts w:ascii="Times New Roman" w:eastAsia="黑体" w:hAnsi="Times New Roman"/>
          <w:b w:val="0"/>
          <w:color w:val="auto"/>
          <w:highlight w:val="auto"/>
        </w:rPr>
      </w:pPr>
      <w:bookmarkStart w:id="32" w:name="_Toc15396607"/>
      <w:bookmarkStart w:id="33" w:name="_Toc15377209"/>
      <w:r>
        <w:rPr>
          <w:rFonts w:ascii="Times New Roman" w:eastAsia="黑体" w:hAnsi="Times New Roman" w:hint="eastAsia"/>
          <w:color w:val="auto"/>
          <w:sz w:val="32"/>
          <w:szCs w:val="32"/>
          <w:highlight w:val="auto"/>
        </w:rPr>
        <w:t>五、</w:t>
      </w:r>
      <w:r>
        <w:rPr>
          <w:rFonts w:ascii="Times New Roman" w:eastAsia="黑体" w:hAnsi="Times New Roman" w:hint="eastAsia"/>
          <w:b/>
          <w:color w:val="auto"/>
          <w:sz w:val="32"/>
          <w:szCs w:val="32"/>
          <w:highlight w:val="auto"/>
        </w:rPr>
        <w:t>一</w:t>
      </w:r>
      <w:r>
        <w:rPr>
          <w:rStyle w:val="2Char"/>
          <w:rFonts w:ascii="Times New Roman" w:eastAsia="黑体" w:hAnsi="Times New Roman" w:hint="eastAsia"/>
          <w:b w:val="0"/>
          <w:color w:val="auto"/>
          <w:highlight w:val="auto"/>
        </w:rPr>
        <w:t>般公共预算财政拨款支出决算情况说明</w:t>
      </w:r>
      <w:bookmarkEnd w:id="32"/>
      <w:bookmarkEnd w:id="33"/>
    </w:p>
    <w:p>
      <w:pPr>
        <w:spacing w:line="600" w:lineRule="exact"/>
        <w:ind w:firstLineChars="200" w:firstLine="640"/>
        <w:outlineLvl w:val="2"/>
        <w:rPr>
          <w:rFonts w:ascii="Times New Roman" w:eastAsia="楷体_GB2312" w:cs="楷体_GB2312" w:hAnsi="Times New Roman" w:hint="eastAsia"/>
          <w:b/>
          <w:color w:val="auto"/>
          <w:sz w:val="32"/>
          <w:szCs w:val="32"/>
          <w:highlight w:val="auto"/>
        </w:rPr>
      </w:pPr>
      <w:bookmarkStart w:id="34" w:name="_Toc15377210"/>
      <w:r>
        <w:rPr>
          <w:rFonts w:ascii="Times New Roman" w:eastAsia="楷体_GB2312" w:cs="楷体_GB2312" w:hAnsi="Times New Roman" w:hint="eastAsia"/>
          <w:b/>
          <w:color w:val="auto"/>
          <w:sz w:val="32"/>
          <w:szCs w:val="32"/>
          <w:highlight w:val="auto"/>
        </w:rPr>
        <w:t>（一）一般公共预算财政拨款支出决算总体情况</w:t>
      </w:r>
      <w:bookmarkEnd w:id="34"/>
    </w:p>
    <w:p>
      <w:pPr>
        <w:keepNext w:val="0"/>
        <w:keepLines w:val="0"/>
        <w:pageBreakBefore w:val="0"/>
        <w:widowControl w:val="0"/>
        <w:kinsoku/>
        <w:wordWrap/>
        <w:overflowPunct/>
        <w:topLinePunct w:val="0"/>
        <w:autoSpaceDE/>
        <w:autoSpaceDN/>
        <w:bidi w:val="0"/>
        <w:adjustRightInd/>
        <w:snapToGrid/>
        <w:spacing w:line="360" w:lineRule="auto"/>
        <w:ind w:firstLineChars="200" w:firstLine="600"/>
        <w:textAlignment w:val="auto"/>
        <w:rPr>
          <w:rFonts w:ascii="仿宋_GB2312" w:eastAsia="仿宋_GB2312" w:cs="仿宋_GB2312" w:hint="eastAsia"/>
          <w:kern w:val="0"/>
          <w:sz w:val="30"/>
          <w:highlight w:val="auto"/>
        </w:rPr>
      </w:pPr>
      <w:r>
        <w:rPr>
          <w:rFonts w:ascii="仿宋_GB2312" w:eastAsia="仿宋_GB2312" w:cs="仿宋_GB2312" w:hint="eastAsia"/>
          <w:kern w:val="0"/>
          <w:sz w:val="30"/>
          <w:lang w:eastAsia="zh-CN"/>
          <w:highlight w:val="auto"/>
        </w:rPr>
        <w:t>2024年度</w:t>
      </w:r>
      <w:r>
        <w:rPr>
          <w:rFonts w:ascii="仿宋_GB2312" w:eastAsia="仿宋_GB2312" w:cs="仿宋_GB2312" w:hint="eastAsia"/>
          <w:kern w:val="0"/>
          <w:sz w:val="30"/>
          <w:highlight w:val="auto"/>
        </w:rPr>
        <w:t>一般公共预算财政拨款支出</w:t>
      </w:r>
      <w:r>
        <w:rPr>
          <w:rFonts w:ascii="仿宋_GB2312" w:eastAsia="仿宋_GB2312" w:cs="仿宋_GB2312" w:hint="eastAsia"/>
          <w:kern w:val="0"/>
          <w:sz w:val="30"/>
          <w:lang w:val="en-US" w:eastAsia="zh-CN"/>
          <w:highlight w:val="auto"/>
        </w:rPr>
        <w:t>1521.76</w:t>
      </w:r>
      <w:r>
        <w:rPr>
          <w:rFonts w:ascii="仿宋_GB2312" w:eastAsia="仿宋_GB2312" w:cs="仿宋_GB2312" w:hint="eastAsia"/>
          <w:kern w:val="0"/>
          <w:sz w:val="30"/>
          <w:highlight w:val="auto"/>
        </w:rPr>
        <w:t>万元，占本年支出合计的</w:t>
      </w:r>
      <w:r>
        <w:rPr>
          <w:rFonts w:ascii="仿宋_GB2312" w:eastAsia="仿宋_GB2312" w:cs="仿宋_GB2312" w:hint="eastAsia"/>
          <w:kern w:val="0"/>
          <w:sz w:val="30"/>
          <w:lang w:val="en-US" w:eastAsia="zh-CN"/>
          <w:highlight w:val="auto"/>
        </w:rPr>
        <w:t>64.01</w:t>
      </w:r>
      <w:r>
        <w:rPr>
          <w:rFonts w:ascii="仿宋_GB2312" w:eastAsia="仿宋_GB2312" w:cs="仿宋_GB2312" w:hint="eastAsia"/>
          <w:kern w:val="0"/>
          <w:sz w:val="30"/>
          <w:highlight w:val="auto"/>
        </w:rPr>
        <w:t>%。与</w:t>
      </w:r>
      <w:r>
        <w:rPr>
          <w:rFonts w:ascii="仿宋_GB2312" w:eastAsia="仿宋_GB2312" w:cs="仿宋_GB2312" w:hint="eastAsia"/>
          <w:kern w:val="0"/>
          <w:sz w:val="30"/>
          <w:lang w:eastAsia="zh-CN"/>
          <w:highlight w:val="auto"/>
        </w:rPr>
        <w:t>2023年度</w:t>
      </w:r>
      <w:r>
        <w:rPr>
          <w:rFonts w:ascii="仿宋_GB2312" w:eastAsia="仿宋_GB2312" w:cs="仿宋_GB2312" w:hint="eastAsia"/>
          <w:kern w:val="0"/>
          <w:sz w:val="30"/>
          <w:highlight w:val="auto"/>
        </w:rPr>
        <w:t>相比，一般公共预算财政拨款</w:t>
      </w:r>
      <w:r>
        <w:rPr>
          <w:rFonts w:ascii="仿宋_GB2312" w:eastAsia="仿宋_GB2312" w:cs="仿宋_GB2312" w:hint="eastAsia"/>
          <w:kern w:val="0"/>
          <w:sz w:val="30"/>
          <w:lang w:eastAsia="zh-CN"/>
          <w:highlight w:val="auto"/>
        </w:rPr>
        <w:t>支出</w:t>
      </w:r>
      <w:r>
        <w:rPr>
          <w:rFonts w:ascii="仿宋_GB2312" w:eastAsia="仿宋_GB2312" w:cs="仿宋_GB2312" w:hint="eastAsia"/>
          <w:kern w:val="0"/>
          <w:sz w:val="30"/>
          <w:highlight w:val="auto"/>
        </w:rPr>
        <w:t>增加</w:t>
      </w:r>
      <w:r>
        <w:rPr>
          <w:rFonts w:ascii="仿宋_GB2312" w:eastAsia="仿宋_GB2312" w:cs="仿宋_GB2312" w:hint="eastAsia"/>
          <w:kern w:val="0"/>
          <w:sz w:val="30"/>
          <w:lang w:val="en-US" w:eastAsia="zh-CN"/>
          <w:highlight w:val="auto"/>
        </w:rPr>
        <w:t>239.61</w:t>
      </w:r>
      <w:r>
        <w:rPr>
          <w:rFonts w:ascii="仿宋_GB2312" w:eastAsia="仿宋_GB2312" w:cs="仿宋_GB2312" w:hint="eastAsia"/>
          <w:kern w:val="0"/>
          <w:sz w:val="30"/>
          <w:highlight w:val="auto"/>
        </w:rPr>
        <w:t>万元，增长</w:t>
      </w:r>
      <w:r>
        <w:rPr>
          <w:rFonts w:ascii="仿宋_GB2312" w:eastAsia="仿宋_GB2312" w:cs="仿宋_GB2312" w:hint="eastAsia"/>
          <w:kern w:val="0"/>
          <w:sz w:val="30"/>
          <w:lang w:val="en-US" w:eastAsia="zh-CN"/>
          <w:highlight w:val="auto"/>
        </w:rPr>
        <w:t>18.69</w:t>
      </w:r>
      <w:r>
        <w:rPr>
          <w:rFonts w:ascii="仿宋_GB2312" w:eastAsia="仿宋_GB2312" w:cs="仿宋_GB2312" w:hint="eastAsia"/>
          <w:kern w:val="0"/>
          <w:sz w:val="30"/>
          <w:highlight w:val="auto"/>
        </w:rPr>
        <w:t>%。主要变动原因是</w:t>
      </w:r>
      <w:r>
        <w:rPr>
          <w:rFonts w:ascii="仿宋_GB2312" w:eastAsia="仿宋_GB2312" w:cs="仿宋_GB2312" w:hint="eastAsia"/>
          <w:kern w:val="0"/>
          <w:sz w:val="30"/>
          <w:lang w:eastAsia="zh-CN"/>
          <w:highlight w:val="auto"/>
        </w:rPr>
        <w:t>：</w:t>
      </w:r>
      <w:r>
        <w:rPr>
          <w:rFonts w:ascii="仿宋_GB2312" w:eastAsia="仿宋_GB2312" w:cs="仿宋_GB2312" w:hint="eastAsia"/>
          <w:kern w:val="0"/>
          <w:sz w:val="30"/>
          <w:lang w:val="en-US" w:eastAsia="zh-CN"/>
        </w:rPr>
        <w:t>1.新增茂县妇幼保健院综合能力提升项目及中羌医康养中心建设</w:t>
      </w:r>
      <w:r>
        <w:rPr>
          <w:rFonts w:ascii="仿宋_GB2312" w:eastAsia="仿宋_GB2312" w:cs="仿宋_GB2312" w:hint="eastAsia"/>
          <w:kern w:val="0"/>
          <w:sz w:val="30"/>
        </w:rPr>
        <w:t>项目</w:t>
      </w:r>
      <w:r>
        <w:rPr>
          <w:rFonts w:ascii="仿宋_GB2312" w:eastAsia="仿宋_GB2312" w:cs="仿宋_GB2312" w:hint="eastAsia"/>
          <w:kern w:val="0"/>
          <w:sz w:val="30"/>
          <w:lang w:eastAsia="zh-CN"/>
        </w:rPr>
        <w:t>；</w:t>
      </w:r>
      <w:r>
        <w:rPr>
          <w:rFonts w:ascii="仿宋_GB2312" w:eastAsia="仿宋_GB2312" w:cs="仿宋_GB2312" w:hint="eastAsia"/>
          <w:kern w:val="0"/>
          <w:sz w:val="30"/>
          <w:lang w:val="en-US" w:eastAsia="zh-CN"/>
        </w:rPr>
        <w:t>2.</w:t>
      </w:r>
      <w:r>
        <w:rPr>
          <w:rFonts w:ascii="仿宋_GB2312" w:eastAsia="仿宋_GB2312" w:cs="仿宋_GB2312" w:hint="eastAsia"/>
          <w:kern w:val="0"/>
          <w:sz w:val="30"/>
          <w:lang w:eastAsia="zh-CN"/>
        </w:rPr>
        <w:t>人员正常晋升工资上涨</w:t>
      </w:r>
      <w:r>
        <w:rPr>
          <w:rFonts w:ascii="仿宋_GB2312" w:eastAsia="仿宋_GB2312" w:cs="仿宋_GB2312" w:hint="eastAsia"/>
          <w:kern w:val="0"/>
          <w:sz w:val="30"/>
          <w:lang w:eastAsia="zh-CN"/>
          <w:highlight w:val="auto"/>
        </w:rPr>
        <w:t>。</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ascii="Times New Roman" w:eastAsia="仿宋_GB2312" w:cs="仿宋_GB2312" w:hAnsi="Times New Roman" w:hint="eastAsia"/>
          <w:color w:val="auto"/>
          <w:kern w:val="2"/>
          <w:sz w:val="32"/>
          <w:szCs w:val="32"/>
          <w:lang w:val="en-US" w:eastAsia="zh-CN" w:bidi="ar-SA"/>
          <w:highlight w:val="auto"/>
        </w:rPr>
      </w:pPr>
      <w:r>
        <w:drawing>
          <wp:inline distT="0" distB="0" distL="114300" distR="114300">
            <wp:extent cx="4857750" cy="2914650"/>
            <wp:effectExtent l="0" t="0" r="0" b="0"/>
            <wp:docPr id="8" name="图表 17"/>
            <wp:cNvGraphicFramePr>
              <a:graphicFrameLocks noChangeAspect="1"/>
            </wp:cNvGraphicFramePr>
            <a:graphic>
              <a:graphicData uri="http://schemas.openxmlformats.org/drawingml/2006/chart">
                <c:chart xmlns:c="http://schemas.openxmlformats.org/drawingml/2006/chart" r:id="rId15"/>
              </a:graphicData>
            </a:graphic>
          </wp:inline>
        </w:drawing>
      </w:r>
    </w:p>
    <w:p>
      <w:pPr>
        <w:keepNext w:val="0"/>
        <w:keepLines w:val="0"/>
        <w:pageBreakBefore w:val="0"/>
        <w:widowControl w:val="0"/>
        <w:kinsoku/>
        <w:wordWrap/>
        <w:overflowPunct/>
        <w:topLinePunct w:val="0"/>
        <w:autoSpaceDE/>
        <w:autoSpaceDN/>
        <w:adjustRightInd/>
        <w:snapToGrid/>
        <w:spacing w:line="360" w:lineRule="auto"/>
        <w:ind w:firstLineChars="200" w:firstLine="640"/>
        <w:rPr>
          <w:rFonts w:ascii="Times New Roman" w:eastAsia="楷体_GB2312" w:cs="楷体_GB2312" w:hAnsi="Times New Roman" w:hint="eastAsia"/>
          <w:b/>
          <w:color w:val="auto"/>
          <w:sz w:val="32"/>
          <w:szCs w:val="32"/>
          <w:highlight w:val="auto"/>
        </w:rPr>
      </w:pPr>
      <w:bookmarkStart w:id="35" w:name="_Toc15377211"/>
      <w:r>
        <w:rPr>
          <w:rFonts w:ascii="Times New Roman" w:eastAsia="楷体_GB2312" w:cs="楷体_GB2312" w:hAnsi="Times New Roman" w:hint="eastAsia"/>
          <w:b/>
          <w:color w:val="auto"/>
          <w:sz w:val="32"/>
          <w:szCs w:val="32"/>
          <w:highlight w:val="auto"/>
        </w:rPr>
        <w:t>（二）一般公共预算财政拨款支出决算结构情况</w:t>
      </w:r>
      <w:bookmarkEnd w:id="35"/>
    </w:p>
    <w:p>
      <w:pPr>
        <w:keepNext w:val="0"/>
        <w:keepLines w:val="0"/>
        <w:pageBreakBefore w:val="0"/>
        <w:widowControl w:val="0"/>
        <w:kinsoku/>
        <w:wordWrap/>
        <w:overflowPunct/>
        <w:topLinePunct w:val="0"/>
        <w:autoSpaceDE/>
        <w:autoSpaceDN/>
        <w:adjustRightInd/>
        <w:snapToGrid/>
        <w:spacing w:line="360" w:lineRule="auto"/>
        <w:ind w:firstLineChars="200" w:firstLine="600"/>
        <w:rPr>
          <w:rFonts w:ascii="仿宋_GB2312" w:eastAsia="仿宋_GB2312" w:cs="仿宋_GB2312" w:hint="eastAsia"/>
          <w:kern w:val="0"/>
          <w:sz w:val="30"/>
        </w:rPr>
      </w:pPr>
      <w:r>
        <w:rPr>
          <w:rFonts w:ascii="仿宋_GB2312" w:eastAsia="仿宋_GB2312" w:cs="仿宋_GB2312" w:hint="eastAsia"/>
          <w:kern w:val="0"/>
          <w:sz w:val="30"/>
          <w:lang w:eastAsia="zh-CN"/>
          <w:highlight w:val="auto"/>
        </w:rPr>
        <w:t>2024年度</w:t>
      </w:r>
      <w:r>
        <w:rPr>
          <w:rFonts w:ascii="仿宋_GB2312" w:eastAsia="仿宋_GB2312" w:cs="仿宋_GB2312" w:hint="eastAsia"/>
          <w:kern w:val="0"/>
          <w:sz w:val="30"/>
          <w:highlight w:val="auto"/>
        </w:rPr>
        <w:t>一般公共预算财政拨款支出</w:t>
      </w:r>
      <w:r>
        <w:rPr>
          <w:rFonts w:ascii="仿宋_GB2312" w:eastAsia="仿宋_GB2312" w:cs="仿宋_GB2312" w:hint="eastAsia"/>
          <w:kern w:val="0"/>
          <w:sz w:val="30"/>
          <w:lang w:val="en-US" w:eastAsia="zh-CN"/>
          <w:highlight w:val="auto"/>
        </w:rPr>
        <w:t>1521.76</w:t>
      </w:r>
      <w:r>
        <w:rPr>
          <w:rFonts w:ascii="仿宋_GB2312" w:eastAsia="仿宋_GB2312" w:cs="仿宋_GB2312" w:hint="eastAsia"/>
          <w:kern w:val="0"/>
          <w:sz w:val="30"/>
          <w:highlight w:val="auto"/>
        </w:rPr>
        <w:t>万元，主要用于以下方面:</w:t>
      </w:r>
      <w:r>
        <w:rPr>
          <w:rFonts w:ascii="仿宋_GB2312" w:eastAsia="仿宋_GB2312" w:cs="仿宋_GB2312" w:hint="eastAsia"/>
          <w:kern w:val="0"/>
          <w:sz w:val="30"/>
        </w:rPr>
        <w:t xml:space="preserve"> 社会保障和就业支出</w:t>
      </w:r>
      <w:r>
        <w:rPr>
          <w:rFonts w:ascii="仿宋_GB2312" w:eastAsia="仿宋_GB2312" w:cs="仿宋_GB2312" w:hint="eastAsia"/>
          <w:kern w:val="0"/>
          <w:sz w:val="30"/>
          <w:lang w:val="en-US" w:eastAsia="zh-CN"/>
        </w:rPr>
        <w:t>174.23</w:t>
      </w:r>
      <w:r>
        <w:rPr>
          <w:rFonts w:ascii="仿宋_GB2312" w:eastAsia="仿宋_GB2312" w:cs="仿宋_GB2312" w:hint="eastAsia"/>
          <w:kern w:val="0"/>
          <w:sz w:val="30"/>
        </w:rPr>
        <w:t>万元，占</w:t>
      </w:r>
      <w:r>
        <w:rPr>
          <w:rFonts w:ascii="仿宋_GB2312" w:eastAsia="仿宋_GB2312" w:cs="仿宋_GB2312" w:hint="eastAsia"/>
          <w:kern w:val="0"/>
          <w:sz w:val="30"/>
          <w:lang w:val="en-US" w:eastAsia="zh-CN"/>
        </w:rPr>
        <w:t>11.45</w:t>
      </w:r>
      <w:r>
        <w:rPr>
          <w:rFonts w:ascii="仿宋_GB2312" w:eastAsia="仿宋_GB2312" w:cs="仿宋_GB2312" w:hint="eastAsia"/>
          <w:kern w:val="0"/>
          <w:sz w:val="30"/>
        </w:rPr>
        <w:t>%；卫生健康支出</w:t>
      </w:r>
      <w:r>
        <w:rPr>
          <w:rFonts w:ascii="仿宋_GB2312" w:eastAsia="仿宋_GB2312" w:cs="仿宋_GB2312" w:hint="eastAsia"/>
          <w:kern w:val="0"/>
          <w:sz w:val="30"/>
          <w:lang w:val="en-US" w:eastAsia="zh-CN"/>
        </w:rPr>
        <w:t>1155.08</w:t>
      </w:r>
      <w:r>
        <w:rPr>
          <w:rFonts w:ascii="仿宋_GB2312" w:eastAsia="仿宋_GB2312" w:cs="仿宋_GB2312" w:hint="eastAsia"/>
          <w:kern w:val="0"/>
          <w:sz w:val="30"/>
        </w:rPr>
        <w:t>万元，占</w:t>
      </w:r>
      <w:r>
        <w:rPr>
          <w:rFonts w:ascii="仿宋_GB2312" w:eastAsia="仿宋_GB2312" w:cs="仿宋_GB2312" w:hint="eastAsia"/>
          <w:kern w:val="0"/>
          <w:sz w:val="30"/>
          <w:lang w:val="en-US" w:eastAsia="zh-CN"/>
        </w:rPr>
        <w:t>75.9</w:t>
      </w:r>
      <w:r>
        <w:rPr>
          <w:rFonts w:ascii="仿宋_GB2312" w:eastAsia="仿宋_GB2312" w:cs="仿宋_GB2312" w:hint="eastAsia"/>
          <w:kern w:val="0"/>
          <w:sz w:val="30"/>
        </w:rPr>
        <w:t>%；</w:t>
      </w:r>
      <w:r>
        <w:rPr>
          <w:rFonts w:ascii="仿宋_GB2312" w:eastAsia="仿宋_GB2312" w:cs="仿宋_GB2312" w:hint="eastAsia"/>
          <w:kern w:val="0"/>
          <w:sz w:val="30"/>
          <w:lang w:eastAsia="zh-CN"/>
        </w:rPr>
        <w:t>农林水支出</w:t>
      </w:r>
      <w:r>
        <w:rPr>
          <w:rFonts w:ascii="仿宋_GB2312" w:eastAsia="仿宋_GB2312" w:cs="仿宋_GB2312" w:hint="eastAsia"/>
          <w:kern w:val="0"/>
          <w:sz w:val="30"/>
          <w:lang w:val="en-US" w:eastAsia="zh-CN"/>
        </w:rPr>
        <w:t>99.81万元，占6.56%；</w:t>
      </w:r>
      <w:r>
        <w:rPr>
          <w:rFonts w:ascii="仿宋_GB2312" w:eastAsia="仿宋_GB2312" w:cs="仿宋_GB2312" w:hint="eastAsia"/>
          <w:kern w:val="0"/>
          <w:sz w:val="30"/>
        </w:rPr>
        <w:t>住房保障支出</w:t>
      </w:r>
      <w:r>
        <w:rPr>
          <w:rFonts w:ascii="仿宋_GB2312" w:eastAsia="仿宋_GB2312" w:cs="仿宋_GB2312" w:hint="eastAsia"/>
          <w:kern w:val="0"/>
          <w:sz w:val="30"/>
          <w:lang w:val="en-US" w:eastAsia="zh-CN"/>
        </w:rPr>
        <w:t>92.64</w:t>
      </w:r>
      <w:r>
        <w:rPr>
          <w:rFonts w:ascii="仿宋_GB2312" w:eastAsia="仿宋_GB2312" w:cs="仿宋_GB2312" w:hint="eastAsia"/>
          <w:kern w:val="0"/>
          <w:sz w:val="30"/>
        </w:rPr>
        <w:t>万元，占</w:t>
      </w:r>
      <w:r>
        <w:rPr>
          <w:rFonts w:ascii="仿宋_GB2312" w:eastAsia="仿宋_GB2312" w:cs="仿宋_GB2312" w:hint="eastAsia"/>
          <w:kern w:val="0"/>
          <w:sz w:val="30"/>
          <w:lang w:val="en-US" w:eastAsia="zh-CN"/>
        </w:rPr>
        <w:t>6.09</w:t>
      </w:r>
      <w:r>
        <w:rPr>
          <w:rFonts w:ascii="仿宋_GB2312" w:eastAsia="仿宋_GB2312" w:cs="仿宋_GB2312" w:hint="eastAsia"/>
          <w:kern w:val="0"/>
          <w:sz w:val="30"/>
        </w:rPr>
        <w:t>%。</w:t>
      </w:r>
    </w:p>
    <w:p>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ascii="Times New Roman" w:eastAsia="仿宋_GB2312" w:cs="仿宋_GB2312" w:hAnsi="Times New Roman" w:hint="eastAsia"/>
          <w:color w:val="auto"/>
          <w:kern w:val="2"/>
          <w:sz w:val="32"/>
          <w:szCs w:val="32"/>
          <w:lang w:val="en-US" w:eastAsia="zh-CN" w:bidi="ar-SA"/>
          <w:highlight w:val="auto"/>
        </w:rPr>
      </w:pPr>
      <w:r>
        <w:drawing>
          <wp:inline distT="0" distB="0" distL="114300" distR="114300">
            <wp:extent cx="4591050" cy="2686050"/>
            <wp:effectExtent l="0" t="0" r="0" b="0"/>
            <wp:docPr id="9" name="图表 18"/>
            <wp:cNvGraphicFramePr>
              <a:graphicFrameLocks noChangeAspect="1"/>
            </wp:cNvGraphicFramePr>
            <a:graphic>
              <a:graphicData uri="http://schemas.openxmlformats.org/drawingml/2006/chart">
                <c:chart xmlns:c="http://schemas.openxmlformats.org/drawingml/2006/chart" r:id="rId16"/>
              </a:graphicData>
            </a:graphic>
          </wp:inline>
        </w:drawing>
      </w:r>
    </w:p>
    <w:p>
      <w:pPr>
        <w:spacing w:line="600" w:lineRule="exact"/>
        <w:ind w:firstLineChars="200" w:firstLine="640"/>
        <w:outlineLvl w:val="2"/>
        <w:rPr>
          <w:rFonts w:ascii="Times New Roman" w:eastAsia="楷体_GB2312" w:cs="楷体_GB2312" w:hAnsi="Times New Roman" w:hint="eastAsia"/>
          <w:b/>
          <w:color w:val="auto"/>
          <w:sz w:val="32"/>
          <w:szCs w:val="32"/>
          <w:highlight w:val="auto"/>
        </w:rPr>
      </w:pPr>
      <w:bookmarkStart w:id="36" w:name="_Toc15377212"/>
      <w:r>
        <w:rPr>
          <w:rFonts w:ascii="Times New Roman" w:eastAsia="楷体_GB2312" w:cs="楷体_GB2312" w:hAnsi="Times New Roman" w:hint="eastAsia"/>
          <w:b/>
          <w:color w:val="auto"/>
          <w:sz w:val="32"/>
          <w:szCs w:val="32"/>
          <w:highlight w:val="auto"/>
        </w:rPr>
        <w:t>（三）一般公共预算财政拨款支出决算具体情况</w:t>
      </w:r>
      <w:bookmarkEnd w:id="36"/>
    </w:p>
    <w:p>
      <w:pPr>
        <w:spacing w:line="600" w:lineRule="exact"/>
        <w:ind w:firstLineChars="200" w:firstLine="640"/>
        <w:outlineLvl w:val="2"/>
        <w:rPr>
          <w:rFonts w:ascii="仿宋" w:eastAsia="仿宋"/>
          <w:color w:val="auto"/>
          <w:sz w:val="32"/>
          <w:szCs w:val="32"/>
          <w:highlight w:val="auto"/>
        </w:rPr>
      </w:pPr>
      <w:r>
        <w:rPr>
          <w:rFonts w:ascii="仿宋" w:eastAsia="仿宋" w:hint="eastAsia"/>
          <w:b/>
          <w:color w:val="auto"/>
          <w:sz w:val="32"/>
          <w:szCs w:val="32"/>
          <w:lang w:eastAsia="zh-CN"/>
          <w:highlight w:val="auto"/>
        </w:rPr>
        <w:t>2024年度一</w:t>
      </w:r>
      <w:r>
        <w:rPr>
          <w:rFonts w:ascii="仿宋" w:eastAsia="仿宋" w:hint="eastAsia"/>
          <w:b/>
          <w:color w:val="auto"/>
          <w:sz w:val="32"/>
          <w:szCs w:val="32"/>
          <w:highlight w:val="auto"/>
        </w:rPr>
        <w:t>般公共预算支出决算数为</w:t>
      </w:r>
      <w:r>
        <w:rPr>
          <w:rFonts w:ascii="仿宋" w:eastAsia="仿宋" w:hint="eastAsia"/>
          <w:b/>
          <w:color w:val="auto"/>
          <w:sz w:val="32"/>
          <w:szCs w:val="32"/>
          <w:lang w:val="en-US" w:eastAsia="zh-CN"/>
          <w:highlight w:val="auto"/>
        </w:rPr>
        <w:t>1521.76</w:t>
      </w:r>
      <w:r>
        <w:rPr>
          <w:rFonts w:ascii="仿宋" w:eastAsia="仿宋"/>
          <w:b/>
          <w:color w:val="auto"/>
          <w:sz w:val="32"/>
          <w:szCs w:val="32"/>
          <w:lang w:val="en-US" w:eastAsia="zh-CN"/>
          <w:highlight w:val="auto"/>
        </w:rPr>
        <w:t>万元</w:t>
      </w:r>
      <w:r>
        <w:rPr>
          <w:rFonts w:ascii="仿宋" w:eastAsia="仿宋" w:hint="eastAsia"/>
          <w:color w:val="auto"/>
          <w:sz w:val="32"/>
          <w:szCs w:val="32"/>
          <w:highlight w:val="auto"/>
        </w:rPr>
        <w:t>，</w:t>
      </w:r>
      <w:r>
        <w:rPr>
          <w:rStyle w:val="26"/>
          <w:rFonts w:ascii="仿宋" w:eastAsia="仿宋" w:hint="eastAsia"/>
          <w:bCs/>
          <w:color w:val="auto"/>
          <w:sz w:val="32"/>
          <w:szCs w:val="32"/>
          <w:highlight w:val="auto"/>
        </w:rPr>
        <w:t>完成预算</w:t>
      </w:r>
      <w:r>
        <w:rPr>
          <w:rStyle w:val="26"/>
          <w:rFonts w:ascii="仿宋" w:eastAsia="仿宋" w:hint="eastAsia"/>
          <w:bCs/>
          <w:color w:val="auto"/>
          <w:sz w:val="32"/>
          <w:szCs w:val="32"/>
          <w:lang w:val="en-US" w:eastAsia="zh-CN"/>
          <w:highlight w:val="auto"/>
        </w:rPr>
        <w:t>100</w:t>
      </w:r>
      <w:r>
        <w:rPr>
          <w:rStyle w:val="26"/>
          <w:rFonts w:ascii="仿宋" w:eastAsia="仿宋"/>
          <w:bCs/>
          <w:color w:val="auto"/>
          <w:sz w:val="32"/>
          <w:szCs w:val="32"/>
          <w:highlight w:val="auto"/>
        </w:rPr>
        <w:t>%</w:t>
      </w:r>
      <w:r>
        <w:rPr>
          <w:rStyle w:val="26"/>
          <w:rFonts w:ascii="仿宋" w:eastAsia="仿宋" w:hint="eastAsia"/>
          <w:bCs/>
          <w:color w:val="auto"/>
          <w:sz w:val="32"/>
          <w:szCs w:val="32"/>
          <w:highlight w:val="auto"/>
        </w:rPr>
        <w:t>。其中：</w:t>
      </w:r>
    </w:p>
    <w:p>
      <w:pPr>
        <w:keepNext w:val="0"/>
        <w:keepLines w:val="0"/>
        <w:pageBreakBefore w:val="0"/>
        <w:widowControl w:val="0"/>
        <w:kinsoku/>
        <w:wordWrap/>
        <w:overflowPunct/>
        <w:topLinePunct w:val="0"/>
        <w:autoSpaceDE/>
        <w:autoSpaceDN/>
        <w:adjustRightInd/>
        <w:snapToGrid/>
        <w:spacing w:line="360" w:lineRule="auto"/>
        <w:ind w:firstLineChars="200" w:firstLine="600"/>
        <w:rPr>
          <w:rStyle w:val="0"/>
          <w:rFonts w:ascii="仿宋_GB2312" w:eastAsia="仿宋_GB2312" w:cs="仿宋_GB2312" w:hint="eastAsia"/>
          <w:bCs/>
          <w:kern w:val="0"/>
          <w:sz w:val="30"/>
        </w:rPr>
      </w:pPr>
      <w:r>
        <w:rPr>
          <w:rStyle w:val="0"/>
          <w:rFonts w:ascii="仿宋_GB2312" w:eastAsia="仿宋_GB2312" w:cs="仿宋_GB2312" w:hint="eastAsia"/>
          <w:bCs/>
          <w:kern w:val="0"/>
          <w:sz w:val="30"/>
        </w:rPr>
        <w:t>1.社会保障和就业支出（</w:t>
      </w:r>
      <w:r>
        <w:rPr>
          <w:rStyle w:val="0"/>
          <w:rFonts w:ascii="仿宋_GB2312" w:eastAsia="仿宋_GB2312" w:cs="仿宋_GB2312" w:hint="eastAsia"/>
          <w:bCs/>
          <w:kern w:val="0"/>
          <w:sz w:val="30"/>
          <w:lang w:val="en-US"/>
        </w:rPr>
        <w:t>208</w:t>
      </w:r>
      <w:r>
        <w:rPr>
          <w:rStyle w:val="0"/>
          <w:rFonts w:ascii="仿宋_GB2312" w:eastAsia="仿宋_GB2312" w:cs="仿宋_GB2312" w:hint="eastAsia"/>
          <w:bCs/>
          <w:kern w:val="0"/>
          <w:sz w:val="30"/>
        </w:rPr>
        <w:t>）行政事业单位养老支出（</w:t>
      </w:r>
      <w:r>
        <w:rPr>
          <w:rStyle w:val="0"/>
          <w:rFonts w:ascii="仿宋_GB2312" w:eastAsia="仿宋_GB2312" w:cs="仿宋_GB2312" w:hint="eastAsia"/>
          <w:bCs/>
          <w:kern w:val="0"/>
          <w:sz w:val="30"/>
          <w:lang w:val="en-US"/>
        </w:rPr>
        <w:t>05</w:t>
      </w:r>
      <w:r>
        <w:rPr>
          <w:rStyle w:val="0"/>
          <w:rFonts w:ascii="仿宋_GB2312" w:eastAsia="仿宋_GB2312" w:cs="仿宋_GB2312" w:hint="eastAsia"/>
          <w:bCs/>
          <w:kern w:val="0"/>
          <w:sz w:val="30"/>
        </w:rPr>
        <w:t>）机关事业单位基本养老保险缴费费支出（</w:t>
      </w:r>
      <w:r>
        <w:rPr>
          <w:rStyle w:val="0"/>
          <w:rFonts w:ascii="仿宋_GB2312" w:eastAsia="仿宋_GB2312" w:cs="仿宋_GB2312" w:hint="eastAsia"/>
          <w:bCs/>
          <w:kern w:val="0"/>
          <w:sz w:val="30"/>
          <w:lang w:val="en-US"/>
        </w:rPr>
        <w:t>05</w:t>
      </w:r>
      <w:r>
        <w:rPr>
          <w:rStyle w:val="0"/>
          <w:rFonts w:ascii="仿宋_GB2312" w:eastAsia="仿宋_GB2312" w:cs="仿宋_GB2312" w:hint="eastAsia"/>
          <w:bCs/>
          <w:kern w:val="0"/>
          <w:sz w:val="30"/>
        </w:rPr>
        <w:t>）: 支出决算为</w:t>
      </w:r>
      <w:r>
        <w:rPr>
          <w:rStyle w:val="0"/>
          <w:rFonts w:ascii="仿宋_GB2312" w:eastAsia="仿宋_GB2312" w:cs="仿宋_GB2312" w:hint="eastAsia"/>
          <w:bCs/>
          <w:kern w:val="0"/>
          <w:sz w:val="30"/>
          <w:lang w:val="en-US"/>
        </w:rPr>
        <w:t>116.15</w:t>
      </w:r>
      <w:r>
        <w:rPr>
          <w:rStyle w:val="0"/>
          <w:rFonts w:ascii="仿宋_GB2312" w:eastAsia="仿宋_GB2312" w:cs="仿宋_GB2312" w:hint="eastAsia"/>
          <w:bCs/>
          <w:kern w:val="0"/>
          <w:sz w:val="30"/>
        </w:rPr>
        <w:t>万元，完成预算100%，决算数与预算数持平。</w:t>
      </w:r>
    </w:p>
    <w:p>
      <w:pPr>
        <w:keepNext w:val="0"/>
        <w:keepLines w:val="0"/>
        <w:pageBreakBefore w:val="0"/>
        <w:widowControl w:val="0"/>
        <w:kinsoku/>
        <w:wordWrap/>
        <w:overflowPunct/>
        <w:topLinePunct w:val="0"/>
        <w:autoSpaceDE/>
        <w:autoSpaceDN/>
        <w:adjustRightInd/>
        <w:snapToGrid/>
        <w:spacing w:line="360" w:lineRule="auto"/>
        <w:ind w:firstLineChars="200" w:firstLine="600"/>
        <w:rPr>
          <w:rStyle w:val="0"/>
          <w:rFonts w:ascii="仿宋_GB2312" w:eastAsia="仿宋_GB2312" w:cs="仿宋_GB2312" w:hint="eastAsia"/>
          <w:bCs/>
          <w:kern w:val="0"/>
          <w:sz w:val="30"/>
        </w:rPr>
      </w:pPr>
      <w:r>
        <w:rPr>
          <w:rStyle w:val="0"/>
          <w:rFonts w:ascii="仿宋_GB2312" w:eastAsia="仿宋_GB2312" w:cs="仿宋_GB2312" w:hint="eastAsia"/>
          <w:bCs/>
          <w:kern w:val="0"/>
          <w:sz w:val="30"/>
        </w:rPr>
        <w:t>2. 社会保障和就业支出（</w:t>
      </w:r>
      <w:r>
        <w:rPr>
          <w:rStyle w:val="0"/>
          <w:rFonts w:ascii="仿宋_GB2312" w:eastAsia="仿宋_GB2312" w:cs="仿宋_GB2312" w:hint="eastAsia"/>
          <w:bCs/>
          <w:kern w:val="0"/>
          <w:sz w:val="30"/>
          <w:lang w:val="en-US"/>
        </w:rPr>
        <w:t>208</w:t>
      </w:r>
      <w:r>
        <w:rPr>
          <w:rStyle w:val="0"/>
          <w:rFonts w:ascii="仿宋_GB2312" w:eastAsia="仿宋_GB2312" w:cs="仿宋_GB2312" w:hint="eastAsia"/>
          <w:bCs/>
          <w:kern w:val="0"/>
          <w:sz w:val="30"/>
        </w:rPr>
        <w:t>）行政事业单位养老支出（</w:t>
      </w:r>
      <w:r>
        <w:rPr>
          <w:rStyle w:val="0"/>
          <w:rFonts w:ascii="仿宋_GB2312" w:eastAsia="仿宋_GB2312" w:cs="仿宋_GB2312" w:hint="eastAsia"/>
          <w:bCs/>
          <w:kern w:val="0"/>
          <w:sz w:val="30"/>
          <w:lang w:val="en-US"/>
        </w:rPr>
        <w:t>05</w:t>
      </w:r>
      <w:r>
        <w:rPr>
          <w:rStyle w:val="0"/>
          <w:rFonts w:ascii="仿宋_GB2312" w:eastAsia="仿宋_GB2312" w:cs="仿宋_GB2312" w:hint="eastAsia"/>
          <w:bCs/>
          <w:kern w:val="0"/>
          <w:sz w:val="30"/>
        </w:rPr>
        <w:t>）机关事业单位职业年金缴费支出（</w:t>
      </w:r>
      <w:r>
        <w:rPr>
          <w:rStyle w:val="0"/>
          <w:rFonts w:ascii="仿宋_GB2312" w:eastAsia="仿宋_GB2312" w:cs="仿宋_GB2312" w:hint="eastAsia"/>
          <w:bCs/>
          <w:kern w:val="0"/>
          <w:sz w:val="30"/>
          <w:lang w:val="en-US"/>
        </w:rPr>
        <w:t>06</w:t>
      </w:r>
      <w:r>
        <w:rPr>
          <w:rStyle w:val="0"/>
          <w:rFonts w:ascii="仿宋_GB2312" w:eastAsia="仿宋_GB2312" w:cs="仿宋_GB2312" w:hint="eastAsia"/>
          <w:bCs/>
          <w:kern w:val="0"/>
          <w:sz w:val="30"/>
        </w:rPr>
        <w:t>）: 支出决算为</w:t>
      </w:r>
      <w:r>
        <w:rPr>
          <w:rStyle w:val="0"/>
          <w:rFonts w:ascii="仿宋_GB2312" w:eastAsia="仿宋_GB2312" w:cs="仿宋_GB2312" w:hint="eastAsia"/>
          <w:bCs/>
          <w:kern w:val="0"/>
          <w:sz w:val="30"/>
          <w:lang w:val="en-US"/>
        </w:rPr>
        <w:t>58.08</w:t>
      </w:r>
      <w:r>
        <w:rPr>
          <w:rStyle w:val="0"/>
          <w:rFonts w:ascii="仿宋_GB2312" w:eastAsia="仿宋_GB2312" w:cs="仿宋_GB2312" w:hint="eastAsia"/>
          <w:bCs/>
          <w:kern w:val="0"/>
          <w:sz w:val="30"/>
        </w:rPr>
        <w:t>万元，完成预算100%，决算数与预算数持平。</w:t>
      </w:r>
    </w:p>
    <w:p>
      <w:pPr>
        <w:keepNext w:val="0"/>
        <w:keepLines w:val="0"/>
        <w:pageBreakBefore w:val="0"/>
        <w:widowControl w:val="0"/>
        <w:kinsoku/>
        <w:wordWrap/>
        <w:overflowPunct/>
        <w:topLinePunct w:val="0"/>
        <w:autoSpaceDE/>
        <w:autoSpaceDN/>
        <w:adjustRightInd/>
        <w:snapToGrid/>
        <w:spacing w:line="360" w:lineRule="auto"/>
        <w:ind w:firstLineChars="200" w:firstLine="640"/>
        <w:rPr>
          <w:rStyle w:val="0"/>
          <w:rFonts w:ascii="仿宋_GB2312" w:eastAsia="仿宋_GB2312" w:cs="仿宋_GB2312" w:hint="eastAsia"/>
          <w:bCs/>
          <w:kern w:val="0"/>
          <w:sz w:val="30"/>
        </w:rPr>
      </w:pPr>
      <w:r>
        <w:rPr>
          <w:rStyle w:val="26"/>
          <w:rFonts w:ascii="仿宋" w:eastAsia="仿宋"/>
          <w:b w:val="0"/>
          <w:bCs/>
          <w:color w:val="000000"/>
          <w:kern w:val="2"/>
          <w:sz w:val="32"/>
          <w:szCs w:val="32"/>
        </w:rPr>
        <w:t>3.</w:t>
      </w:r>
      <w:r>
        <w:rPr>
          <w:rStyle w:val="0"/>
          <w:rFonts w:ascii="仿宋_GB2312" w:eastAsia="仿宋_GB2312" w:cs="仿宋_GB2312" w:hint="eastAsia"/>
          <w:bCs/>
          <w:kern w:val="0"/>
          <w:sz w:val="30"/>
        </w:rPr>
        <w:t xml:space="preserve"> 卫生健康支出（</w:t>
      </w:r>
      <w:r>
        <w:rPr>
          <w:rStyle w:val="0"/>
          <w:rFonts w:ascii="仿宋_GB2312" w:eastAsia="仿宋_GB2312" w:cs="仿宋_GB2312" w:hint="eastAsia"/>
          <w:bCs/>
          <w:kern w:val="0"/>
          <w:sz w:val="30"/>
          <w:lang w:val="en-US" w:eastAsia="zh-CN"/>
        </w:rPr>
        <w:t>210</w:t>
      </w:r>
      <w:r>
        <w:rPr>
          <w:rStyle w:val="0"/>
          <w:rFonts w:ascii="仿宋_GB2312" w:eastAsia="仿宋_GB2312" w:cs="仿宋_GB2312" w:hint="eastAsia"/>
          <w:bCs/>
          <w:kern w:val="0"/>
          <w:sz w:val="30"/>
        </w:rPr>
        <w:t>）公共卫生（</w:t>
      </w:r>
      <w:r>
        <w:rPr>
          <w:rStyle w:val="0"/>
          <w:rFonts w:ascii="仿宋_GB2312" w:eastAsia="仿宋_GB2312" w:cs="仿宋_GB2312" w:hint="eastAsia"/>
          <w:bCs/>
          <w:kern w:val="0"/>
          <w:sz w:val="30"/>
          <w:lang w:val="en-US" w:eastAsia="zh-CN"/>
        </w:rPr>
        <w:t>04</w:t>
      </w:r>
      <w:r>
        <w:rPr>
          <w:rStyle w:val="0"/>
          <w:rFonts w:ascii="仿宋_GB2312" w:eastAsia="仿宋_GB2312" w:cs="仿宋_GB2312" w:hint="eastAsia"/>
          <w:bCs/>
          <w:kern w:val="0"/>
          <w:sz w:val="30"/>
        </w:rPr>
        <w:t>）妇幼保健机构（</w:t>
      </w:r>
      <w:r>
        <w:rPr>
          <w:rStyle w:val="0"/>
          <w:rFonts w:ascii="仿宋_GB2312" w:eastAsia="仿宋_GB2312" w:cs="仿宋_GB2312" w:hint="eastAsia"/>
          <w:bCs/>
          <w:kern w:val="0"/>
          <w:sz w:val="30"/>
          <w:lang w:val="en-US" w:eastAsia="zh-CN"/>
        </w:rPr>
        <w:t>03</w:t>
      </w:r>
      <w:r>
        <w:rPr>
          <w:rStyle w:val="0"/>
          <w:rFonts w:ascii="仿宋_GB2312" w:eastAsia="仿宋_GB2312" w:cs="仿宋_GB2312" w:hint="eastAsia"/>
          <w:bCs/>
          <w:kern w:val="0"/>
          <w:sz w:val="30"/>
        </w:rPr>
        <w:t>）:支出决算为</w:t>
      </w:r>
      <w:r>
        <w:rPr>
          <w:rStyle w:val="0"/>
          <w:rFonts w:ascii="仿宋_GB2312" w:eastAsia="仿宋_GB2312" w:cs="仿宋_GB2312" w:hint="eastAsia"/>
          <w:bCs/>
          <w:kern w:val="0"/>
          <w:sz w:val="30"/>
          <w:lang w:val="en-US" w:eastAsia="zh-CN"/>
        </w:rPr>
        <w:t>853.42</w:t>
      </w:r>
      <w:r>
        <w:rPr>
          <w:rStyle w:val="0"/>
          <w:rFonts w:ascii="仿宋_GB2312" w:eastAsia="仿宋_GB2312" w:cs="仿宋_GB2312" w:hint="eastAsia"/>
          <w:bCs/>
          <w:kern w:val="0"/>
          <w:sz w:val="30"/>
        </w:rPr>
        <w:t>万元，完成预算100%，决算数与预算数持平。</w:t>
      </w:r>
    </w:p>
    <w:p>
      <w:pPr>
        <w:keepNext w:val="0"/>
        <w:keepLines w:val="0"/>
        <w:pageBreakBefore w:val="0"/>
        <w:widowControl w:val="0"/>
        <w:kinsoku/>
        <w:wordWrap/>
        <w:overflowPunct/>
        <w:topLinePunct w:val="0"/>
        <w:autoSpaceDE/>
        <w:autoSpaceDN/>
        <w:adjustRightInd/>
        <w:snapToGrid/>
        <w:spacing w:line="360" w:lineRule="auto"/>
        <w:ind w:firstLineChars="200" w:firstLine="600"/>
        <w:rPr>
          <w:rStyle w:val="0"/>
          <w:rFonts w:ascii="仿宋_GB2312" w:eastAsia="仿宋_GB2312" w:cs="仿宋_GB2312" w:hint="eastAsia"/>
          <w:bCs/>
          <w:kern w:val="0"/>
          <w:sz w:val="30"/>
        </w:rPr>
      </w:pPr>
      <w:r>
        <w:rPr>
          <w:rStyle w:val="0"/>
          <w:rFonts w:ascii="仿宋_GB2312" w:eastAsia="仿宋_GB2312" w:cs="仿宋_GB2312" w:hint="eastAsia"/>
          <w:bCs/>
          <w:kern w:val="0"/>
          <w:sz w:val="30"/>
        </w:rPr>
        <w:t>4.卫生健康支出（</w:t>
      </w:r>
      <w:r>
        <w:rPr>
          <w:rStyle w:val="0"/>
          <w:rFonts w:ascii="仿宋_GB2312" w:eastAsia="仿宋_GB2312" w:cs="仿宋_GB2312" w:hint="eastAsia"/>
          <w:bCs/>
          <w:kern w:val="0"/>
          <w:sz w:val="30"/>
          <w:lang w:val="en-US" w:eastAsia="zh-CN"/>
        </w:rPr>
        <w:t>210</w:t>
      </w:r>
      <w:r>
        <w:rPr>
          <w:rStyle w:val="0"/>
          <w:rFonts w:ascii="仿宋_GB2312" w:eastAsia="仿宋_GB2312" w:cs="仿宋_GB2312" w:hint="eastAsia"/>
          <w:bCs/>
          <w:kern w:val="0"/>
          <w:sz w:val="30"/>
        </w:rPr>
        <w:t>）公共卫生（</w:t>
      </w:r>
      <w:r>
        <w:rPr>
          <w:rStyle w:val="0"/>
          <w:rFonts w:ascii="仿宋_GB2312" w:eastAsia="仿宋_GB2312" w:cs="仿宋_GB2312" w:hint="eastAsia"/>
          <w:bCs/>
          <w:kern w:val="0"/>
          <w:sz w:val="30"/>
          <w:lang w:val="en-US" w:eastAsia="zh-CN"/>
        </w:rPr>
        <w:t>04</w:t>
      </w:r>
      <w:r>
        <w:rPr>
          <w:rStyle w:val="0"/>
          <w:rFonts w:ascii="仿宋_GB2312" w:eastAsia="仿宋_GB2312" w:cs="仿宋_GB2312" w:hint="eastAsia"/>
          <w:bCs/>
          <w:kern w:val="0"/>
          <w:sz w:val="30"/>
        </w:rPr>
        <w:t>）基本公共卫生服务（</w:t>
      </w:r>
      <w:r>
        <w:rPr>
          <w:rStyle w:val="0"/>
          <w:rFonts w:ascii="仿宋_GB2312" w:eastAsia="仿宋_GB2312" w:cs="仿宋_GB2312" w:hint="eastAsia"/>
          <w:bCs/>
          <w:kern w:val="0"/>
          <w:sz w:val="30"/>
          <w:lang w:val="en-US" w:eastAsia="zh-CN"/>
        </w:rPr>
        <w:t>08</w:t>
      </w:r>
      <w:r>
        <w:rPr>
          <w:rStyle w:val="0"/>
          <w:rFonts w:ascii="仿宋_GB2312" w:eastAsia="仿宋_GB2312" w:cs="仿宋_GB2312" w:hint="eastAsia"/>
          <w:bCs/>
          <w:kern w:val="0"/>
          <w:sz w:val="30"/>
        </w:rPr>
        <w:t>）:支出决算为</w:t>
      </w:r>
      <w:r>
        <w:rPr>
          <w:rStyle w:val="0"/>
          <w:rFonts w:ascii="仿宋_GB2312" w:eastAsia="仿宋_GB2312" w:cs="仿宋_GB2312" w:hint="eastAsia"/>
          <w:bCs/>
          <w:kern w:val="0"/>
          <w:sz w:val="30"/>
          <w:lang w:val="en-US" w:eastAsia="zh-CN"/>
        </w:rPr>
        <w:t>27.55</w:t>
      </w:r>
      <w:r>
        <w:rPr>
          <w:rStyle w:val="0"/>
          <w:rFonts w:ascii="仿宋_GB2312" w:eastAsia="仿宋_GB2312" w:cs="仿宋_GB2312" w:hint="eastAsia"/>
          <w:bCs/>
          <w:kern w:val="0"/>
          <w:sz w:val="30"/>
        </w:rPr>
        <w:t>万元，完成预算100%，决算数与预算数持平。</w:t>
      </w:r>
    </w:p>
    <w:p>
      <w:pPr>
        <w:keepNext w:val="0"/>
        <w:keepLines w:val="0"/>
        <w:pageBreakBefore w:val="0"/>
        <w:widowControl w:val="0"/>
        <w:kinsoku/>
        <w:wordWrap/>
        <w:overflowPunct/>
        <w:topLinePunct w:val="0"/>
        <w:autoSpaceDE/>
        <w:autoSpaceDN/>
        <w:adjustRightInd/>
        <w:snapToGrid/>
        <w:spacing w:line="360" w:lineRule="auto"/>
        <w:ind w:firstLineChars="200" w:firstLine="600"/>
        <w:rPr>
          <w:rStyle w:val="0"/>
          <w:rFonts w:ascii="仿宋_GB2312" w:eastAsia="仿宋_GB2312" w:cs="仿宋_GB2312" w:hint="eastAsia"/>
          <w:bCs/>
          <w:kern w:val="0"/>
          <w:sz w:val="30"/>
        </w:rPr>
      </w:pPr>
      <w:r>
        <w:rPr>
          <w:rStyle w:val="0"/>
          <w:rFonts w:ascii="仿宋_GB2312" w:eastAsia="仿宋_GB2312" w:cs="仿宋_GB2312" w:hint="eastAsia"/>
          <w:bCs/>
          <w:kern w:val="0"/>
          <w:sz w:val="30"/>
        </w:rPr>
        <w:t>5.卫生健康支出（</w:t>
      </w:r>
      <w:r>
        <w:rPr>
          <w:rStyle w:val="0"/>
          <w:rFonts w:ascii="仿宋_GB2312" w:eastAsia="仿宋_GB2312" w:cs="仿宋_GB2312" w:hint="eastAsia"/>
          <w:bCs/>
          <w:kern w:val="0"/>
          <w:sz w:val="30"/>
          <w:lang w:val="en-US" w:eastAsia="zh-CN"/>
        </w:rPr>
        <w:t>210</w:t>
      </w:r>
      <w:r>
        <w:rPr>
          <w:rStyle w:val="0"/>
          <w:rFonts w:ascii="仿宋_GB2312" w:eastAsia="仿宋_GB2312" w:cs="仿宋_GB2312" w:hint="eastAsia"/>
          <w:bCs/>
          <w:kern w:val="0"/>
          <w:sz w:val="30"/>
        </w:rPr>
        <w:t>）公共卫生（</w:t>
      </w:r>
      <w:r>
        <w:rPr>
          <w:rStyle w:val="0"/>
          <w:rFonts w:ascii="仿宋_GB2312" w:eastAsia="仿宋_GB2312" w:cs="仿宋_GB2312" w:hint="eastAsia"/>
          <w:bCs/>
          <w:kern w:val="0"/>
          <w:sz w:val="30"/>
          <w:lang w:val="en-US" w:eastAsia="zh-CN"/>
        </w:rPr>
        <w:t>04</w:t>
      </w:r>
      <w:r>
        <w:rPr>
          <w:rStyle w:val="0"/>
          <w:rFonts w:ascii="仿宋_GB2312" w:eastAsia="仿宋_GB2312" w:cs="仿宋_GB2312" w:hint="eastAsia"/>
          <w:bCs/>
          <w:kern w:val="0"/>
          <w:sz w:val="30"/>
        </w:rPr>
        <w:t>）重大公共卫生专项（</w:t>
      </w:r>
      <w:r>
        <w:rPr>
          <w:rStyle w:val="0"/>
          <w:rFonts w:ascii="仿宋_GB2312" w:eastAsia="仿宋_GB2312" w:cs="仿宋_GB2312" w:hint="eastAsia"/>
          <w:bCs/>
          <w:kern w:val="0"/>
          <w:sz w:val="30"/>
          <w:lang w:val="en-US" w:eastAsia="zh-CN"/>
        </w:rPr>
        <w:t>09</w:t>
      </w:r>
      <w:r>
        <w:rPr>
          <w:rStyle w:val="0"/>
          <w:rFonts w:ascii="仿宋_GB2312" w:eastAsia="仿宋_GB2312" w:cs="仿宋_GB2312" w:hint="eastAsia"/>
          <w:bCs/>
          <w:kern w:val="0"/>
          <w:sz w:val="30"/>
        </w:rPr>
        <w:t>）:支出决算为</w:t>
      </w:r>
      <w:r>
        <w:rPr>
          <w:rStyle w:val="0"/>
          <w:rFonts w:ascii="仿宋_GB2312" w:eastAsia="仿宋_GB2312" w:cs="仿宋_GB2312" w:hint="eastAsia"/>
          <w:bCs/>
          <w:kern w:val="0"/>
          <w:sz w:val="30"/>
          <w:lang w:val="en-US" w:eastAsia="zh-CN"/>
        </w:rPr>
        <w:t>117.39</w:t>
      </w:r>
      <w:r>
        <w:rPr>
          <w:rStyle w:val="0"/>
          <w:rFonts w:ascii="仿宋_GB2312" w:eastAsia="仿宋_GB2312" w:cs="仿宋_GB2312" w:hint="eastAsia"/>
          <w:bCs/>
          <w:kern w:val="0"/>
          <w:sz w:val="30"/>
        </w:rPr>
        <w:t>万元，完成预算100%，决算数与预算数持平。</w:t>
      </w:r>
    </w:p>
    <w:p>
      <w:pPr>
        <w:keepNext w:val="0"/>
        <w:keepLines w:val="0"/>
        <w:pageBreakBefore w:val="0"/>
        <w:widowControl w:val="0"/>
        <w:kinsoku/>
        <w:wordWrap/>
        <w:overflowPunct/>
        <w:topLinePunct w:val="0"/>
        <w:autoSpaceDE/>
        <w:autoSpaceDN/>
        <w:adjustRightInd/>
        <w:snapToGrid/>
        <w:spacing w:line="360" w:lineRule="auto"/>
        <w:ind w:firstLineChars="200" w:firstLine="600"/>
        <w:rPr>
          <w:rStyle w:val="0"/>
          <w:rFonts w:ascii="仿宋_GB2312" w:eastAsia="仿宋_GB2312" w:cs="仿宋_GB2312" w:hint="eastAsia"/>
          <w:bCs/>
          <w:kern w:val="0"/>
          <w:sz w:val="30"/>
        </w:rPr>
      </w:pPr>
      <w:r>
        <w:rPr>
          <w:rStyle w:val="0"/>
          <w:rFonts w:ascii="仿宋_GB2312" w:eastAsia="仿宋_GB2312" w:cs="仿宋_GB2312" w:hint="eastAsia"/>
          <w:bCs/>
          <w:kern w:val="0"/>
          <w:sz w:val="30"/>
          <w:lang w:val="en-US" w:eastAsia="zh-CN"/>
        </w:rPr>
        <w:t>6.</w:t>
      </w:r>
      <w:r>
        <w:rPr>
          <w:rStyle w:val="0"/>
          <w:rFonts w:ascii="仿宋_GB2312" w:eastAsia="仿宋_GB2312" w:cs="仿宋_GB2312" w:hint="eastAsia"/>
          <w:bCs/>
          <w:kern w:val="0"/>
          <w:sz w:val="30"/>
        </w:rPr>
        <w:t>卫生健康支出（</w:t>
      </w:r>
      <w:r>
        <w:rPr>
          <w:rStyle w:val="0"/>
          <w:rFonts w:ascii="仿宋_GB2312" w:eastAsia="仿宋_GB2312" w:cs="仿宋_GB2312" w:hint="eastAsia"/>
          <w:bCs/>
          <w:kern w:val="0"/>
          <w:sz w:val="30"/>
          <w:lang w:val="en-US" w:eastAsia="zh-CN"/>
        </w:rPr>
        <w:t>210</w:t>
      </w:r>
      <w:r>
        <w:rPr>
          <w:rStyle w:val="0"/>
          <w:rFonts w:ascii="仿宋_GB2312" w:eastAsia="仿宋_GB2312" w:cs="仿宋_GB2312" w:hint="eastAsia"/>
          <w:bCs/>
          <w:kern w:val="0"/>
          <w:sz w:val="30"/>
        </w:rPr>
        <w:t>）公共卫生（</w:t>
      </w:r>
      <w:r>
        <w:rPr>
          <w:rStyle w:val="0"/>
          <w:rFonts w:ascii="仿宋_GB2312" w:eastAsia="仿宋_GB2312" w:cs="仿宋_GB2312" w:hint="eastAsia"/>
          <w:bCs/>
          <w:kern w:val="0"/>
          <w:sz w:val="30"/>
          <w:lang w:val="en-US" w:eastAsia="zh-CN"/>
        </w:rPr>
        <w:t>04</w:t>
      </w:r>
      <w:r>
        <w:rPr>
          <w:rStyle w:val="0"/>
          <w:rFonts w:ascii="仿宋_GB2312" w:eastAsia="仿宋_GB2312" w:cs="仿宋_GB2312" w:hint="eastAsia"/>
          <w:bCs/>
          <w:kern w:val="0"/>
          <w:sz w:val="30"/>
        </w:rPr>
        <w:t>）其他公共卫生支出（</w:t>
      </w:r>
      <w:r>
        <w:rPr>
          <w:rStyle w:val="0"/>
          <w:rFonts w:ascii="仿宋_GB2312" w:eastAsia="仿宋_GB2312" w:cs="仿宋_GB2312" w:hint="eastAsia"/>
          <w:bCs/>
          <w:kern w:val="0"/>
          <w:sz w:val="30"/>
          <w:lang w:val="en-US" w:eastAsia="zh-CN"/>
        </w:rPr>
        <w:t>99</w:t>
      </w:r>
      <w:r>
        <w:rPr>
          <w:rStyle w:val="0"/>
          <w:rFonts w:ascii="仿宋_GB2312" w:eastAsia="仿宋_GB2312" w:cs="仿宋_GB2312" w:hint="eastAsia"/>
          <w:bCs/>
          <w:kern w:val="0"/>
          <w:sz w:val="30"/>
        </w:rPr>
        <w:t>）:支出决算为</w:t>
      </w:r>
      <w:r>
        <w:rPr>
          <w:rStyle w:val="0"/>
          <w:rFonts w:ascii="仿宋_GB2312" w:eastAsia="仿宋_GB2312" w:cs="仿宋_GB2312" w:hint="eastAsia"/>
          <w:bCs/>
          <w:kern w:val="0"/>
          <w:sz w:val="30"/>
          <w:lang w:val="en-US" w:eastAsia="zh-CN"/>
        </w:rPr>
        <w:t>55.8</w:t>
      </w:r>
      <w:r>
        <w:rPr>
          <w:rStyle w:val="0"/>
          <w:rFonts w:ascii="仿宋_GB2312" w:eastAsia="仿宋_GB2312" w:cs="仿宋_GB2312" w:hint="eastAsia"/>
          <w:bCs/>
          <w:kern w:val="0"/>
          <w:sz w:val="30"/>
        </w:rPr>
        <w:t>万元，完成预算100%，决算数与预算数持平。</w:t>
      </w:r>
    </w:p>
    <w:p>
      <w:pPr>
        <w:keepNext w:val="0"/>
        <w:keepLines w:val="0"/>
        <w:pageBreakBefore w:val="0"/>
        <w:widowControl w:val="0"/>
        <w:kinsoku/>
        <w:wordWrap/>
        <w:overflowPunct/>
        <w:topLinePunct w:val="0"/>
        <w:autoSpaceDE/>
        <w:autoSpaceDN/>
        <w:adjustRightInd/>
        <w:snapToGrid/>
        <w:spacing w:line="360" w:lineRule="auto"/>
        <w:ind w:firstLineChars="200" w:firstLine="600"/>
        <w:rPr>
          <w:rStyle w:val="0"/>
          <w:rFonts w:ascii="仿宋_GB2312" w:eastAsia="仿宋_GB2312" w:cs="仿宋_GB2312" w:hint="eastAsia"/>
          <w:bCs/>
          <w:kern w:val="0"/>
          <w:sz w:val="30"/>
        </w:rPr>
      </w:pPr>
      <w:r>
        <w:rPr>
          <w:rStyle w:val="0"/>
          <w:rFonts w:ascii="仿宋_GB2312" w:eastAsia="仿宋_GB2312" w:cs="仿宋_GB2312" w:hint="eastAsia"/>
          <w:bCs/>
          <w:kern w:val="0"/>
          <w:sz w:val="30"/>
          <w:lang w:val="en-US" w:eastAsia="zh-CN"/>
        </w:rPr>
        <w:t>7</w:t>
      </w:r>
      <w:r>
        <w:rPr>
          <w:rStyle w:val="0"/>
          <w:rFonts w:ascii="仿宋_GB2312" w:eastAsia="仿宋_GB2312" w:cs="仿宋_GB2312" w:hint="eastAsia"/>
          <w:bCs/>
          <w:kern w:val="0"/>
          <w:sz w:val="30"/>
        </w:rPr>
        <w:t>.卫生健康支出（</w:t>
      </w:r>
      <w:r>
        <w:rPr>
          <w:rStyle w:val="0"/>
          <w:rFonts w:ascii="仿宋_GB2312" w:eastAsia="仿宋_GB2312" w:cs="仿宋_GB2312" w:hint="eastAsia"/>
          <w:bCs/>
          <w:kern w:val="0"/>
          <w:sz w:val="30"/>
          <w:lang w:val="en-US" w:eastAsia="zh-CN"/>
        </w:rPr>
        <w:t>210</w:t>
      </w:r>
      <w:r>
        <w:rPr>
          <w:rStyle w:val="0"/>
          <w:rFonts w:ascii="仿宋_GB2312" w:eastAsia="仿宋_GB2312" w:cs="仿宋_GB2312" w:hint="eastAsia"/>
          <w:bCs/>
          <w:kern w:val="0"/>
          <w:sz w:val="30"/>
        </w:rPr>
        <w:t>）行政事业单位医疗（</w:t>
      </w:r>
      <w:r>
        <w:rPr>
          <w:rStyle w:val="0"/>
          <w:rFonts w:ascii="仿宋_GB2312" w:eastAsia="仿宋_GB2312" w:cs="仿宋_GB2312" w:hint="eastAsia"/>
          <w:bCs/>
          <w:kern w:val="0"/>
          <w:sz w:val="30"/>
          <w:lang w:val="en-US" w:eastAsia="zh-CN"/>
        </w:rPr>
        <w:t>11</w:t>
      </w:r>
      <w:r>
        <w:rPr>
          <w:rStyle w:val="0"/>
          <w:rFonts w:ascii="仿宋_GB2312" w:eastAsia="仿宋_GB2312" w:cs="仿宋_GB2312" w:hint="eastAsia"/>
          <w:bCs/>
          <w:kern w:val="0"/>
          <w:sz w:val="30"/>
        </w:rPr>
        <w:t>）事业单位医疗（</w:t>
      </w:r>
      <w:r>
        <w:rPr>
          <w:rStyle w:val="0"/>
          <w:rFonts w:ascii="仿宋_GB2312" w:eastAsia="仿宋_GB2312" w:cs="仿宋_GB2312" w:hint="eastAsia"/>
          <w:bCs/>
          <w:kern w:val="0"/>
          <w:sz w:val="30"/>
          <w:lang w:val="en-US" w:eastAsia="zh-CN"/>
        </w:rPr>
        <w:t>02</w:t>
      </w:r>
      <w:r>
        <w:rPr>
          <w:rStyle w:val="0"/>
          <w:rFonts w:ascii="仿宋_GB2312" w:eastAsia="仿宋_GB2312" w:cs="仿宋_GB2312" w:hint="eastAsia"/>
          <w:bCs/>
          <w:kern w:val="0"/>
          <w:sz w:val="30"/>
        </w:rPr>
        <w:t>）:支出决算为</w:t>
      </w:r>
      <w:r>
        <w:rPr>
          <w:rStyle w:val="0"/>
          <w:rFonts w:ascii="仿宋_GB2312" w:eastAsia="仿宋_GB2312" w:cs="仿宋_GB2312" w:hint="eastAsia"/>
          <w:bCs/>
          <w:kern w:val="0"/>
          <w:sz w:val="30"/>
          <w:lang w:val="en-US" w:eastAsia="zh-CN"/>
        </w:rPr>
        <w:t>73.19</w:t>
      </w:r>
      <w:r>
        <w:rPr>
          <w:rStyle w:val="0"/>
          <w:rFonts w:ascii="仿宋_GB2312" w:eastAsia="仿宋_GB2312" w:cs="仿宋_GB2312" w:hint="eastAsia"/>
          <w:bCs/>
          <w:kern w:val="0"/>
          <w:sz w:val="30"/>
        </w:rPr>
        <w:t>万元，完成预算100%，决算数与预算数持平。</w:t>
      </w:r>
    </w:p>
    <w:p>
      <w:pPr>
        <w:keepNext w:val="0"/>
        <w:keepLines w:val="0"/>
        <w:pageBreakBefore w:val="0"/>
        <w:widowControl w:val="0"/>
        <w:kinsoku/>
        <w:wordWrap/>
        <w:overflowPunct/>
        <w:topLinePunct w:val="0"/>
        <w:autoSpaceDE/>
        <w:autoSpaceDN/>
        <w:adjustRightInd/>
        <w:snapToGrid/>
        <w:spacing w:line="360" w:lineRule="auto"/>
        <w:ind w:firstLineChars="200" w:firstLine="600"/>
        <w:rPr>
          <w:rStyle w:val="0"/>
          <w:rFonts w:ascii="仿宋_GB2312" w:eastAsia="仿宋_GB2312" w:cs="仿宋_GB2312" w:hint="eastAsia"/>
          <w:bCs/>
          <w:kern w:val="0"/>
          <w:sz w:val="30"/>
        </w:rPr>
      </w:pPr>
      <w:r>
        <w:rPr>
          <w:rStyle w:val="0"/>
          <w:rFonts w:ascii="仿宋_GB2312" w:eastAsia="仿宋_GB2312" w:cs="仿宋_GB2312" w:hint="eastAsia"/>
          <w:bCs/>
          <w:kern w:val="0"/>
          <w:sz w:val="30"/>
        </w:rPr>
        <w:t>8.卫生健康支出（</w:t>
      </w:r>
      <w:r>
        <w:rPr>
          <w:rStyle w:val="0"/>
          <w:rFonts w:ascii="仿宋_GB2312" w:eastAsia="仿宋_GB2312" w:cs="仿宋_GB2312" w:hint="eastAsia"/>
          <w:bCs/>
          <w:kern w:val="0"/>
          <w:sz w:val="30"/>
          <w:lang w:val="en-US" w:eastAsia="zh-CN"/>
        </w:rPr>
        <w:t>210</w:t>
      </w:r>
      <w:r>
        <w:rPr>
          <w:rStyle w:val="0"/>
          <w:rFonts w:ascii="仿宋_GB2312" w:eastAsia="仿宋_GB2312" w:cs="仿宋_GB2312" w:hint="eastAsia"/>
          <w:bCs/>
          <w:kern w:val="0"/>
          <w:sz w:val="30"/>
        </w:rPr>
        <w:t>）其他卫生健康支出（</w:t>
      </w:r>
      <w:r>
        <w:rPr>
          <w:rStyle w:val="0"/>
          <w:rFonts w:ascii="仿宋_GB2312" w:eastAsia="仿宋_GB2312" w:cs="仿宋_GB2312" w:hint="eastAsia"/>
          <w:bCs/>
          <w:kern w:val="0"/>
          <w:sz w:val="30"/>
          <w:lang w:val="en-US" w:eastAsia="zh-CN"/>
        </w:rPr>
        <w:t>99</w:t>
      </w:r>
      <w:r>
        <w:rPr>
          <w:rStyle w:val="0"/>
          <w:rFonts w:ascii="仿宋_GB2312" w:eastAsia="仿宋_GB2312" w:cs="仿宋_GB2312" w:hint="eastAsia"/>
          <w:bCs/>
          <w:kern w:val="0"/>
          <w:sz w:val="30"/>
        </w:rPr>
        <w:t>）其他卫生健康支出（</w:t>
      </w:r>
      <w:r>
        <w:rPr>
          <w:rStyle w:val="0"/>
          <w:rFonts w:ascii="仿宋_GB2312" w:eastAsia="仿宋_GB2312" w:cs="仿宋_GB2312" w:hint="eastAsia"/>
          <w:bCs/>
          <w:kern w:val="0"/>
          <w:sz w:val="30"/>
          <w:lang w:val="en-US" w:eastAsia="zh-CN"/>
        </w:rPr>
        <w:t>99</w:t>
      </w:r>
      <w:r>
        <w:rPr>
          <w:rStyle w:val="0"/>
          <w:rFonts w:ascii="仿宋_GB2312" w:eastAsia="仿宋_GB2312" w:cs="仿宋_GB2312" w:hint="eastAsia"/>
          <w:bCs/>
          <w:kern w:val="0"/>
          <w:sz w:val="30"/>
        </w:rPr>
        <w:t>）:支出决算为</w:t>
      </w:r>
      <w:r>
        <w:rPr>
          <w:rStyle w:val="0"/>
          <w:rFonts w:ascii="仿宋_GB2312" w:eastAsia="仿宋_GB2312" w:cs="仿宋_GB2312" w:hint="eastAsia"/>
          <w:bCs/>
          <w:kern w:val="0"/>
          <w:sz w:val="30"/>
          <w:lang w:val="en-US" w:eastAsia="zh-CN"/>
        </w:rPr>
        <w:t>27.73</w:t>
      </w:r>
      <w:r>
        <w:rPr>
          <w:rStyle w:val="0"/>
          <w:rFonts w:ascii="仿宋_GB2312" w:eastAsia="仿宋_GB2312" w:cs="仿宋_GB2312" w:hint="eastAsia"/>
          <w:bCs/>
          <w:kern w:val="0"/>
          <w:sz w:val="30"/>
        </w:rPr>
        <w:t>万元，完成预算100%，决算数与预算数持平。</w:t>
      </w:r>
    </w:p>
    <w:p>
      <w:pPr>
        <w:keepNext w:val="0"/>
        <w:keepLines w:val="0"/>
        <w:pageBreakBefore w:val="0"/>
        <w:widowControl w:val="0"/>
        <w:kinsoku/>
        <w:wordWrap/>
        <w:overflowPunct/>
        <w:topLinePunct w:val="0"/>
        <w:autoSpaceDE/>
        <w:autoSpaceDN/>
        <w:adjustRightInd/>
        <w:snapToGrid/>
        <w:spacing w:line="360" w:lineRule="auto"/>
        <w:ind w:firstLineChars="200" w:firstLine="600"/>
        <w:rPr>
          <w:rStyle w:val="0"/>
          <w:rFonts w:ascii="仿宋_GB2312" w:eastAsia="仿宋_GB2312" w:cs="仿宋_GB2312" w:hint="eastAsia"/>
          <w:bCs/>
          <w:kern w:val="0"/>
          <w:sz w:val="30"/>
        </w:rPr>
      </w:pPr>
      <w:r>
        <w:rPr>
          <w:rStyle w:val="0"/>
          <w:rFonts w:ascii="仿宋_GB2312" w:eastAsia="仿宋_GB2312" w:cs="仿宋_GB2312" w:hint="eastAsia"/>
          <w:bCs/>
          <w:kern w:val="0"/>
          <w:sz w:val="30"/>
          <w:lang w:val="en-US" w:eastAsia="zh-CN"/>
        </w:rPr>
        <w:t>9.</w:t>
      </w:r>
      <w:r>
        <w:rPr>
          <w:rStyle w:val="0"/>
          <w:rFonts w:ascii="仿宋_GB2312" w:eastAsia="仿宋_GB2312" w:cs="仿宋_GB2312" w:hint="eastAsia"/>
          <w:bCs/>
          <w:kern w:val="0"/>
          <w:sz w:val="30"/>
          <w:lang w:eastAsia="zh-CN"/>
        </w:rPr>
        <w:t>农林水</w:t>
      </w:r>
      <w:r>
        <w:rPr>
          <w:rStyle w:val="0"/>
          <w:rFonts w:ascii="仿宋_GB2312" w:eastAsia="仿宋_GB2312" w:cs="仿宋_GB2312" w:hint="eastAsia"/>
          <w:bCs/>
          <w:kern w:val="0"/>
          <w:sz w:val="30"/>
        </w:rPr>
        <w:t>支出（</w:t>
      </w:r>
      <w:r>
        <w:rPr>
          <w:rStyle w:val="0"/>
          <w:rFonts w:ascii="仿宋_GB2312" w:eastAsia="仿宋_GB2312" w:cs="仿宋_GB2312" w:hint="eastAsia"/>
          <w:bCs/>
          <w:kern w:val="0"/>
          <w:sz w:val="30"/>
          <w:lang w:val="en-US" w:eastAsia="zh-CN"/>
        </w:rPr>
        <w:t>213</w:t>
      </w:r>
      <w:r>
        <w:rPr>
          <w:rStyle w:val="0"/>
          <w:rFonts w:ascii="仿宋_GB2312" w:eastAsia="仿宋_GB2312" w:cs="仿宋_GB2312" w:hint="eastAsia"/>
          <w:bCs/>
          <w:kern w:val="0"/>
          <w:sz w:val="30"/>
        </w:rPr>
        <w:t>）</w:t>
      </w:r>
      <w:r>
        <w:rPr>
          <w:rStyle w:val="0"/>
          <w:rFonts w:ascii="仿宋_GB2312" w:eastAsia="仿宋_GB2312" w:cs="仿宋_GB2312" w:hint="eastAsia"/>
          <w:bCs/>
          <w:kern w:val="0"/>
          <w:sz w:val="30"/>
          <w:lang w:eastAsia="zh-CN"/>
        </w:rPr>
        <w:t>巩固脱贫攻坚成果衔接乡村振兴</w:t>
      </w:r>
      <w:r>
        <w:rPr>
          <w:rStyle w:val="0"/>
          <w:rFonts w:ascii="仿宋_GB2312" w:eastAsia="仿宋_GB2312" w:cs="仿宋_GB2312" w:hint="eastAsia"/>
          <w:bCs/>
          <w:kern w:val="0"/>
          <w:sz w:val="30"/>
        </w:rPr>
        <w:t>（</w:t>
      </w:r>
      <w:r>
        <w:rPr>
          <w:rStyle w:val="0"/>
          <w:rFonts w:ascii="仿宋_GB2312" w:eastAsia="仿宋_GB2312" w:cs="仿宋_GB2312" w:hint="eastAsia"/>
          <w:bCs/>
          <w:kern w:val="0"/>
          <w:sz w:val="30"/>
          <w:lang w:val="en-US" w:eastAsia="zh-CN"/>
        </w:rPr>
        <w:t>05</w:t>
      </w:r>
      <w:r>
        <w:rPr>
          <w:rStyle w:val="0"/>
          <w:rFonts w:ascii="仿宋_GB2312" w:eastAsia="仿宋_GB2312" w:cs="仿宋_GB2312" w:hint="eastAsia"/>
          <w:bCs/>
          <w:kern w:val="0"/>
          <w:sz w:val="30"/>
        </w:rPr>
        <w:t>）</w:t>
      </w:r>
      <w:r>
        <w:rPr>
          <w:rStyle w:val="0"/>
          <w:rFonts w:ascii="仿宋_GB2312" w:eastAsia="仿宋_GB2312" w:cs="仿宋_GB2312" w:hint="eastAsia"/>
          <w:bCs/>
          <w:kern w:val="0"/>
          <w:sz w:val="30"/>
          <w:lang w:eastAsia="zh-CN"/>
        </w:rPr>
        <w:t>社会发展</w:t>
      </w:r>
      <w:r>
        <w:rPr>
          <w:rStyle w:val="0"/>
          <w:rFonts w:ascii="仿宋_GB2312" w:eastAsia="仿宋_GB2312" w:cs="仿宋_GB2312" w:hint="eastAsia"/>
          <w:bCs/>
          <w:kern w:val="0"/>
          <w:sz w:val="30"/>
        </w:rPr>
        <w:t>（</w:t>
      </w:r>
      <w:r>
        <w:rPr>
          <w:rStyle w:val="0"/>
          <w:rFonts w:ascii="仿宋_GB2312" w:eastAsia="仿宋_GB2312" w:cs="仿宋_GB2312" w:hint="eastAsia"/>
          <w:bCs/>
          <w:kern w:val="0"/>
          <w:sz w:val="30"/>
          <w:lang w:val="en-US" w:eastAsia="zh-CN"/>
        </w:rPr>
        <w:t>06</w:t>
      </w:r>
      <w:r>
        <w:rPr>
          <w:rStyle w:val="0"/>
          <w:rFonts w:ascii="仿宋_GB2312" w:eastAsia="仿宋_GB2312" w:cs="仿宋_GB2312" w:hint="eastAsia"/>
          <w:bCs/>
          <w:kern w:val="0"/>
          <w:sz w:val="30"/>
        </w:rPr>
        <w:t>）:支出决算为</w:t>
      </w:r>
      <w:r>
        <w:rPr>
          <w:rStyle w:val="0"/>
          <w:rFonts w:ascii="仿宋_GB2312" w:eastAsia="仿宋_GB2312" w:cs="仿宋_GB2312" w:hint="eastAsia"/>
          <w:bCs/>
          <w:kern w:val="0"/>
          <w:sz w:val="30"/>
          <w:lang w:val="en-US" w:eastAsia="zh-CN"/>
        </w:rPr>
        <w:t>99.81</w:t>
      </w:r>
      <w:r>
        <w:rPr>
          <w:rStyle w:val="0"/>
          <w:rFonts w:ascii="仿宋_GB2312" w:eastAsia="仿宋_GB2312" w:cs="仿宋_GB2312" w:hint="eastAsia"/>
          <w:bCs/>
          <w:kern w:val="0"/>
          <w:sz w:val="30"/>
        </w:rPr>
        <w:t>万元，完成预算100%，决算数与预算数持平。</w:t>
      </w:r>
    </w:p>
    <w:p>
      <w:pPr>
        <w:keepNext w:val="0"/>
        <w:keepLines w:val="0"/>
        <w:pageBreakBefore w:val="0"/>
        <w:widowControl w:val="0"/>
        <w:kinsoku/>
        <w:wordWrap/>
        <w:overflowPunct/>
        <w:topLinePunct w:val="0"/>
        <w:autoSpaceDE/>
        <w:autoSpaceDN/>
        <w:adjustRightInd/>
        <w:snapToGrid/>
        <w:spacing w:line="360" w:lineRule="auto"/>
        <w:ind w:firstLineChars="200" w:firstLine="600"/>
      </w:pPr>
      <w:r>
        <w:rPr>
          <w:rStyle w:val="0"/>
          <w:rFonts w:ascii="仿宋_GB2312" w:eastAsia="仿宋_GB2312" w:cs="仿宋_GB2312" w:hint="eastAsia"/>
          <w:bCs/>
          <w:kern w:val="0"/>
          <w:sz w:val="30"/>
          <w:lang w:val="en-US" w:eastAsia="zh-CN"/>
        </w:rPr>
        <w:t>10.</w:t>
      </w:r>
      <w:r>
        <w:rPr>
          <w:rStyle w:val="0"/>
          <w:rFonts w:ascii="仿宋_GB2312" w:eastAsia="仿宋_GB2312" w:cs="仿宋_GB2312" w:hint="eastAsia"/>
          <w:bCs/>
          <w:kern w:val="0"/>
          <w:sz w:val="30"/>
        </w:rPr>
        <w:t>住房保障支</w:t>
      </w:r>
      <w:r>
        <w:rPr>
          <w:rStyle w:val="0"/>
          <w:rFonts w:ascii="仿宋_GB2312" w:eastAsia="仿宋_GB2312" w:cs="仿宋_GB2312" w:hint="eastAsia"/>
          <w:bCs/>
          <w:kern w:val="0"/>
          <w:sz w:val="30"/>
          <w:highlight w:val="auto"/>
        </w:rPr>
        <w:t>出（</w:t>
      </w:r>
      <w:r>
        <w:rPr>
          <w:rStyle w:val="0"/>
          <w:rFonts w:ascii="仿宋_GB2312" w:eastAsia="仿宋_GB2312" w:cs="仿宋_GB2312" w:hint="eastAsia"/>
          <w:bCs/>
          <w:kern w:val="0"/>
          <w:sz w:val="30"/>
          <w:lang w:val="en-US" w:eastAsia="zh-CN"/>
          <w:highlight w:val="auto"/>
        </w:rPr>
        <w:t>221</w:t>
      </w:r>
      <w:r>
        <w:rPr>
          <w:rStyle w:val="0"/>
          <w:rFonts w:ascii="仿宋_GB2312" w:eastAsia="仿宋_GB2312" w:cs="仿宋_GB2312" w:hint="eastAsia"/>
          <w:bCs/>
          <w:kern w:val="0"/>
          <w:sz w:val="30"/>
          <w:highlight w:val="auto"/>
        </w:rPr>
        <w:t>）住房改革支出（</w:t>
      </w:r>
      <w:r>
        <w:rPr>
          <w:rStyle w:val="0"/>
          <w:rFonts w:ascii="仿宋_GB2312" w:eastAsia="仿宋_GB2312" w:cs="仿宋_GB2312" w:hint="eastAsia"/>
          <w:bCs/>
          <w:kern w:val="0"/>
          <w:sz w:val="30"/>
          <w:lang w:val="en-US" w:eastAsia="zh-CN"/>
          <w:highlight w:val="auto"/>
        </w:rPr>
        <w:t>02</w:t>
      </w:r>
      <w:r>
        <w:rPr>
          <w:rStyle w:val="0"/>
          <w:rFonts w:ascii="仿宋_GB2312" w:eastAsia="仿宋_GB2312" w:cs="仿宋_GB2312" w:hint="eastAsia"/>
          <w:bCs/>
          <w:kern w:val="0"/>
          <w:sz w:val="30"/>
          <w:highlight w:val="auto"/>
        </w:rPr>
        <w:t>）住房公积金（</w:t>
      </w:r>
      <w:r>
        <w:rPr>
          <w:rStyle w:val="0"/>
          <w:rFonts w:ascii="仿宋_GB2312" w:eastAsia="仿宋_GB2312" w:cs="仿宋_GB2312" w:hint="eastAsia"/>
          <w:bCs/>
          <w:kern w:val="0"/>
          <w:sz w:val="30"/>
          <w:lang w:val="en-US" w:eastAsia="zh-CN"/>
          <w:highlight w:val="auto"/>
        </w:rPr>
        <w:t>01</w:t>
      </w:r>
      <w:r>
        <w:rPr>
          <w:rStyle w:val="0"/>
          <w:rFonts w:ascii="仿宋_GB2312" w:eastAsia="仿宋_GB2312" w:cs="仿宋_GB2312" w:hint="eastAsia"/>
          <w:bCs/>
          <w:kern w:val="0"/>
          <w:sz w:val="30"/>
          <w:highlight w:val="auto"/>
        </w:rPr>
        <w:t>）:支出决算为</w:t>
      </w:r>
      <w:r>
        <w:rPr>
          <w:rStyle w:val="0"/>
          <w:rFonts w:ascii="仿宋_GB2312" w:eastAsia="仿宋_GB2312" w:cs="仿宋_GB2312" w:hint="eastAsia"/>
          <w:bCs/>
          <w:kern w:val="0"/>
          <w:sz w:val="30"/>
          <w:lang w:val="en-US" w:eastAsia="zh-CN"/>
          <w:highlight w:val="auto"/>
        </w:rPr>
        <w:t>91.62</w:t>
      </w:r>
      <w:r>
        <w:rPr>
          <w:rStyle w:val="0"/>
          <w:rFonts w:ascii="仿宋_GB2312" w:eastAsia="仿宋_GB2312" w:cs="仿宋_GB2312" w:hint="eastAsia"/>
          <w:bCs/>
          <w:kern w:val="0"/>
          <w:sz w:val="30"/>
          <w:highlight w:val="auto"/>
        </w:rPr>
        <w:t>万元，</w:t>
      </w:r>
      <w:r>
        <w:rPr>
          <w:rStyle w:val="0"/>
          <w:rFonts w:ascii="仿宋_GB2312" w:eastAsia="仿宋_GB2312" w:cs="仿宋_GB2312" w:hint="eastAsia"/>
          <w:bCs/>
          <w:kern w:val="0"/>
          <w:sz w:val="30"/>
        </w:rPr>
        <w:t>完成预算100%，决算数</w:t>
      </w:r>
      <w:r>
        <w:rPr>
          <w:rFonts w:ascii="仿宋" w:eastAsia="仿宋"/>
          <w:bCs/>
          <w:sz w:val="32"/>
          <w:szCs w:val="32"/>
        </w:rPr>
        <w:t>与预算数持平</w:t>
      </w:r>
      <w:r>
        <w:rPr>
          <w:rFonts w:ascii="仿宋" w:eastAsia="仿宋" w:hint="eastAsia"/>
          <w:bCs/>
          <w:sz w:val="32"/>
          <w:szCs w:val="32"/>
        </w:rPr>
        <w:t>。</w:t>
      </w:r>
    </w:p>
    <w:p>
      <w:pPr>
        <w:spacing w:line="600" w:lineRule="exact"/>
        <w:ind w:firstLineChars="200" w:firstLine="640"/>
        <w:rPr>
          <w:rStyle w:val="0"/>
          <w:rFonts w:ascii="仿宋_GB2312" w:eastAsia="仿宋_GB2312" w:cs="仿宋_GB2312" w:hint="eastAsia"/>
          <w:bCs/>
          <w:kern w:val="0"/>
          <w:sz w:val="30"/>
          <w:lang w:val="en-US" w:eastAsia="zh-CN" w:bidi="ar-SA"/>
          <w:highlight w:val="auto"/>
        </w:rPr>
      </w:pPr>
      <w:r>
        <w:rPr>
          <w:rFonts w:ascii="仿宋" w:eastAsia="仿宋" w:hint="eastAsia"/>
          <w:bCs/>
          <w:sz w:val="32"/>
          <w:szCs w:val="32"/>
          <w:lang w:val="en-US" w:eastAsia="zh-CN"/>
        </w:rPr>
        <w:t>11.</w:t>
      </w:r>
      <w:r>
        <w:rPr>
          <w:rFonts w:ascii="仿宋" w:eastAsia="仿宋" w:hint="eastAsia"/>
          <w:bCs/>
          <w:sz w:val="32"/>
          <w:szCs w:val="32"/>
        </w:rPr>
        <w:t>住房保障支</w:t>
      </w:r>
      <w:r>
        <w:rPr>
          <w:rFonts w:ascii="仿宋" w:eastAsia="仿宋" w:hint="eastAsia"/>
          <w:bCs/>
          <w:sz w:val="32"/>
          <w:szCs w:val="32"/>
          <w:highlight w:val="auto"/>
        </w:rPr>
        <w:t>出（</w:t>
      </w:r>
      <w:r>
        <w:rPr>
          <w:rFonts w:ascii="仿宋" w:eastAsia="仿宋" w:hint="eastAsia"/>
          <w:bCs/>
          <w:sz w:val="32"/>
          <w:szCs w:val="32"/>
          <w:lang w:val="en-US" w:eastAsia="zh-CN"/>
          <w:highlight w:val="auto"/>
        </w:rPr>
        <w:t>221</w:t>
      </w:r>
      <w:r>
        <w:rPr>
          <w:rFonts w:ascii="仿宋" w:eastAsia="仿宋" w:hint="eastAsia"/>
          <w:bCs/>
          <w:sz w:val="32"/>
          <w:szCs w:val="32"/>
          <w:highlight w:val="auto"/>
        </w:rPr>
        <w:t>）住房改革支出（</w:t>
      </w:r>
      <w:r>
        <w:rPr>
          <w:rFonts w:ascii="仿宋" w:eastAsia="仿宋" w:hint="eastAsia"/>
          <w:bCs/>
          <w:sz w:val="32"/>
          <w:szCs w:val="32"/>
          <w:lang w:val="en-US" w:eastAsia="zh-CN"/>
          <w:highlight w:val="auto"/>
        </w:rPr>
        <w:t>02</w:t>
      </w:r>
      <w:r>
        <w:rPr>
          <w:rFonts w:ascii="仿宋" w:eastAsia="仿宋" w:hint="eastAsia"/>
          <w:bCs/>
          <w:sz w:val="32"/>
          <w:szCs w:val="32"/>
          <w:highlight w:val="auto"/>
        </w:rPr>
        <w:t>）住房公积</w:t>
      </w:r>
      <w:r>
        <w:rPr>
          <w:rStyle w:val="0"/>
          <w:rFonts w:ascii="仿宋_GB2312" w:eastAsia="仿宋_GB2312" w:cs="仿宋_GB2312" w:hint="eastAsia"/>
          <w:bCs/>
          <w:kern w:val="0"/>
          <w:sz w:val="30"/>
          <w:highlight w:val="auto"/>
        </w:rPr>
        <w:t>金（</w:t>
      </w:r>
      <w:r>
        <w:rPr>
          <w:rStyle w:val="0"/>
          <w:rFonts w:ascii="仿宋_GB2312" w:eastAsia="仿宋_GB2312" w:cs="仿宋_GB2312" w:hint="eastAsia"/>
          <w:bCs/>
          <w:kern w:val="0"/>
          <w:sz w:val="30"/>
          <w:lang w:val="en-US" w:eastAsia="zh-CN"/>
          <w:highlight w:val="auto"/>
        </w:rPr>
        <w:t>03</w:t>
      </w:r>
      <w:r>
        <w:rPr>
          <w:rStyle w:val="0"/>
          <w:rFonts w:ascii="仿宋_GB2312" w:eastAsia="仿宋_GB2312" w:cs="仿宋_GB2312" w:hint="eastAsia"/>
          <w:bCs/>
          <w:kern w:val="0"/>
          <w:sz w:val="30"/>
          <w:highlight w:val="auto"/>
        </w:rPr>
        <w:t>）:支出决算为</w:t>
      </w:r>
      <w:r>
        <w:rPr>
          <w:rStyle w:val="0"/>
          <w:rFonts w:ascii="仿宋_GB2312" w:eastAsia="仿宋_GB2312" w:cs="仿宋_GB2312" w:hint="eastAsia"/>
          <w:bCs/>
          <w:kern w:val="0"/>
          <w:sz w:val="30"/>
          <w:lang w:val="en-US" w:eastAsia="zh-CN"/>
          <w:highlight w:val="auto"/>
        </w:rPr>
        <w:t>1.02</w:t>
      </w:r>
      <w:r>
        <w:rPr>
          <w:rStyle w:val="0"/>
          <w:rFonts w:ascii="仿宋_GB2312" w:eastAsia="仿宋_GB2312" w:cs="仿宋_GB2312" w:hint="eastAsia"/>
          <w:bCs/>
          <w:kern w:val="0"/>
          <w:sz w:val="30"/>
          <w:highlight w:val="auto"/>
        </w:rPr>
        <w:t>万元，</w:t>
      </w:r>
      <w:r>
        <w:rPr>
          <w:rStyle w:val="0"/>
          <w:rFonts w:ascii="仿宋_GB2312" w:eastAsia="仿宋_GB2312" w:cs="仿宋_GB2312" w:hint="eastAsia"/>
          <w:bCs/>
          <w:kern w:val="0"/>
          <w:sz w:val="30"/>
        </w:rPr>
        <w:t>完成预算100%，决算数与预算数持平。</w:t>
      </w:r>
    </w:p>
    <w:p>
      <w:pPr>
        <w:tabs>
          <w:tab w:val="right" w:pos="8306"/>
        </w:tabs>
        <w:spacing w:line="600" w:lineRule="exact"/>
        <w:ind w:firstLine="640"/>
        <w:outlineLvl w:val="1"/>
        <w:rPr>
          <w:rStyle w:val="2Char"/>
          <w:rFonts w:ascii="Times New Roman" w:hAnsi="Times New Roman"/>
          <w:color w:val="auto"/>
          <w:highlight w:val="auto"/>
        </w:rPr>
      </w:pPr>
      <w:bookmarkStart w:id="37" w:name="_Toc15377214"/>
      <w:bookmarkStart w:id="38" w:name="_Toc15396608"/>
      <w:r>
        <w:rPr>
          <w:rFonts w:ascii="Times New Roman" w:eastAsia="黑体" w:hAnsi="Times New Roman" w:hint="eastAsia"/>
          <w:color w:val="auto"/>
          <w:sz w:val="32"/>
          <w:szCs w:val="32"/>
          <w:highlight w:val="auto"/>
        </w:rPr>
        <w:t>六</w:t>
      </w:r>
      <w:r>
        <w:rPr>
          <w:rFonts w:ascii="Times New Roman" w:eastAsia="黑体" w:hAnsi="Times New Roman" w:hint="eastAsia"/>
          <w:b/>
          <w:color w:val="auto"/>
          <w:sz w:val="32"/>
          <w:szCs w:val="32"/>
          <w:highlight w:val="auto"/>
        </w:rPr>
        <w:t>、一</w:t>
      </w:r>
      <w:r>
        <w:rPr>
          <w:rStyle w:val="2Char"/>
          <w:rFonts w:ascii="Times New Roman" w:eastAsia="黑体" w:hAnsi="Times New Roman" w:hint="eastAsia"/>
          <w:b w:val="0"/>
          <w:color w:val="auto"/>
          <w:highlight w:val="auto"/>
        </w:rPr>
        <w:t>般公共预算财政拨款基本支出决算情况说明</w:t>
      </w:r>
      <w:bookmarkEnd w:id="37"/>
      <w:bookmarkEnd w:id="38"/>
      <w:r>
        <w:rPr>
          <w:rStyle w:val="2Char"/>
          <w:rFonts w:ascii="Times New Roman" w:eastAsia="黑体" w:hAnsi="Times New Roman"/>
          <w:b w:val="0"/>
          <w:color w:val="auto"/>
          <w:highlight w:val="auto"/>
        </w:rPr>
        <w:tab/>
      </w:r>
    </w:p>
    <w:p>
      <w:pPr>
        <w:spacing w:line="600" w:lineRule="exact"/>
        <w:ind w:firstLine="645"/>
        <w:rPr>
          <w:rStyle w:val="0"/>
          <w:rFonts w:ascii="仿宋_GB2312" w:eastAsia="仿宋_GB2312" w:cs="仿宋_GB2312" w:hint="eastAsia"/>
          <w:bCs/>
          <w:kern w:val="0"/>
          <w:sz w:val="30"/>
          <w:highlight w:val="auto"/>
        </w:rPr>
      </w:pPr>
      <w:r>
        <w:rPr>
          <w:rStyle w:val="0"/>
          <w:rFonts w:ascii="仿宋_GB2312" w:eastAsia="仿宋_GB2312" w:cs="仿宋_GB2312" w:hint="eastAsia"/>
          <w:bCs/>
          <w:kern w:val="0"/>
          <w:sz w:val="30"/>
          <w:lang w:eastAsia="zh-CN"/>
          <w:highlight w:val="auto"/>
        </w:rPr>
        <w:t>2024年度</w:t>
      </w:r>
      <w:r>
        <w:rPr>
          <w:rStyle w:val="0"/>
          <w:rFonts w:ascii="仿宋_GB2312" w:eastAsia="仿宋_GB2312" w:cs="仿宋_GB2312" w:hint="eastAsia"/>
          <w:bCs/>
          <w:kern w:val="0"/>
          <w:sz w:val="30"/>
          <w:highlight w:val="auto"/>
        </w:rPr>
        <w:t>一般公共预算财政拨款基本支出</w:t>
      </w:r>
      <w:r>
        <w:rPr>
          <w:rStyle w:val="0"/>
          <w:rFonts w:ascii="仿宋_GB2312" w:eastAsia="仿宋_GB2312" w:cs="仿宋_GB2312" w:hint="eastAsia"/>
          <w:bCs/>
          <w:kern w:val="0"/>
          <w:sz w:val="30"/>
          <w:lang w:val="en-US" w:eastAsia="zh-CN"/>
          <w:highlight w:val="auto"/>
        </w:rPr>
        <w:t>1198.07</w:t>
      </w:r>
      <w:r>
        <w:rPr>
          <w:rStyle w:val="0"/>
          <w:rFonts w:ascii="仿宋_GB2312" w:eastAsia="仿宋_GB2312" w:cs="仿宋_GB2312" w:hint="eastAsia"/>
          <w:bCs/>
          <w:kern w:val="0"/>
          <w:sz w:val="30"/>
          <w:highlight w:val="auto"/>
        </w:rPr>
        <w:t>万元，其中：</w:t>
      </w:r>
    </w:p>
    <w:p>
      <w:pPr>
        <w:spacing w:line="600" w:lineRule="exact"/>
        <w:ind w:firstLine="640"/>
        <w:rPr>
          <w:rStyle w:val="0"/>
          <w:rFonts w:ascii="仿宋_GB2312" w:eastAsia="仿宋_GB2312" w:cs="仿宋_GB2312" w:hint="eastAsia"/>
          <w:bCs/>
          <w:kern w:val="0"/>
          <w:sz w:val="30"/>
          <w:lang w:val="en-US" w:eastAsia="zh-CN"/>
          <w:highlight w:val="auto"/>
        </w:rPr>
      </w:pPr>
      <w:r>
        <w:rPr>
          <w:rStyle w:val="0"/>
          <w:rFonts w:ascii="仿宋_GB2312" w:eastAsia="仿宋_GB2312" w:cs="仿宋_GB2312" w:hint="eastAsia"/>
          <w:bCs/>
          <w:kern w:val="0"/>
          <w:sz w:val="30"/>
          <w:highlight w:val="auto"/>
        </w:rPr>
        <w:t>人员经费</w:t>
      </w:r>
      <w:r>
        <w:rPr>
          <w:rStyle w:val="0"/>
          <w:rFonts w:ascii="仿宋_GB2312" w:eastAsia="仿宋_GB2312" w:cs="仿宋_GB2312" w:hint="eastAsia"/>
          <w:bCs/>
          <w:kern w:val="0"/>
          <w:sz w:val="30"/>
          <w:lang w:val="en-US" w:eastAsia="zh-CN"/>
          <w:highlight w:val="auto"/>
        </w:rPr>
        <w:t>1198.07</w:t>
      </w:r>
      <w:r>
        <w:rPr>
          <w:rStyle w:val="0"/>
          <w:rFonts w:ascii="仿宋_GB2312" w:eastAsia="仿宋_GB2312" w:cs="仿宋_GB2312" w:hint="eastAsia"/>
          <w:bCs/>
          <w:kern w:val="0"/>
          <w:sz w:val="30"/>
          <w:highlight w:val="auto"/>
        </w:rPr>
        <w:t>万元，主要包括：</w:t>
      </w:r>
      <w:r>
        <w:rPr>
          <w:rStyle w:val="0"/>
          <w:rFonts w:ascii="仿宋_GB2312" w:eastAsia="仿宋_GB2312" w:cs="仿宋_GB2312" w:hint="eastAsia"/>
          <w:bCs/>
          <w:kern w:val="0"/>
          <w:sz w:val="30"/>
        </w:rPr>
        <w:t>基本工资、津贴补贴、奖金、伙食补助费、绩效工资、机关事业单位基本养老保险缴费、职业年金缴费、其他 社会保障缴费、其他工资福利支出、离休费、退休费、抚恤金、生活补助、医疗费补助、奖励金、住房公积金、其他对个人和家庭的补助支出等</w:t>
      </w:r>
      <w:r>
        <w:rPr>
          <w:rStyle w:val="0"/>
          <w:rFonts w:ascii="仿宋_GB2312" w:eastAsia="仿宋_GB2312" w:cs="仿宋_GB2312" w:hint="eastAsia"/>
          <w:bCs/>
          <w:kern w:val="0"/>
          <w:sz w:val="30"/>
          <w:highlight w:val="auto"/>
        </w:rPr>
        <w:t>。</w:t>
      </w:r>
      <w:r>
        <w:rPr>
          <w:rStyle w:val="0"/>
          <w:rFonts w:ascii="仿宋_GB2312" w:eastAsia="仿宋_GB2312" w:cs="仿宋_GB2312" w:hint="eastAsia"/>
          <w:bCs/>
          <w:kern w:val="0"/>
          <w:sz w:val="30"/>
          <w:lang w:val="en-US" w:eastAsia="zh-CN"/>
          <w:highlight w:val="auto"/>
        </w:rPr>
        <w:t xml:space="preserve">  </w:t>
      </w:r>
    </w:p>
    <w:p>
      <w:pPr>
        <w:spacing w:line="600" w:lineRule="exact"/>
        <w:ind w:firstLine="640"/>
        <w:rPr>
          <w:rStyle w:val="0"/>
          <w:rFonts w:ascii="仿宋_GB2312" w:eastAsia="仿宋_GB2312" w:cs="仿宋_GB2312" w:hint="eastAsia"/>
          <w:bCs/>
          <w:kern w:val="0"/>
          <w:sz w:val="30"/>
          <w:lang w:val="en-US" w:eastAsia="zh-CN" w:bidi="ar-SA"/>
          <w:highlight w:val="auto"/>
        </w:rPr>
      </w:pPr>
      <w:r>
        <w:rPr>
          <w:rStyle w:val="0"/>
          <w:rFonts w:ascii="仿宋_GB2312" w:eastAsia="仿宋_GB2312" w:cs="仿宋_GB2312" w:hint="eastAsia"/>
          <w:bCs/>
          <w:kern w:val="0"/>
          <w:sz w:val="30"/>
          <w:highlight w:val="auto"/>
        </w:rPr>
        <w:t>公用经费</w:t>
      </w:r>
      <w:r>
        <w:rPr>
          <w:rStyle w:val="0"/>
          <w:rFonts w:ascii="仿宋_GB2312" w:eastAsia="仿宋_GB2312" w:cs="仿宋_GB2312"/>
          <w:bCs/>
          <w:kern w:val="0"/>
          <w:sz w:val="30"/>
          <w:highlight w:val="auto"/>
        </w:rPr>
        <w:t>0.20</w:t>
      </w:r>
      <w:r>
        <w:rPr>
          <w:rStyle w:val="0"/>
          <w:rFonts w:ascii="仿宋_GB2312" w:eastAsia="仿宋_GB2312" w:cs="仿宋_GB2312" w:hint="eastAsia"/>
          <w:bCs/>
          <w:kern w:val="0"/>
          <w:sz w:val="30"/>
          <w:highlight w:val="auto"/>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Char"/>
          <w:rFonts w:ascii="Times New Roman" w:eastAsia="黑体" w:hAnsi="Times New Roman"/>
          <w:b w:val="0"/>
          <w:color w:val="auto"/>
          <w:highlight w:val="auto"/>
        </w:rPr>
      </w:pPr>
      <w:bookmarkStart w:id="39" w:name="_Toc15396609"/>
      <w:bookmarkStart w:id="40" w:name="_Toc15377215"/>
      <w:r>
        <w:rPr>
          <w:rFonts w:ascii="Times New Roman" w:eastAsia="黑体" w:hAnsi="Times New Roman" w:hint="eastAsia"/>
          <w:color w:val="auto"/>
          <w:sz w:val="32"/>
          <w:szCs w:val="32"/>
          <w:highlight w:val="auto"/>
        </w:rPr>
        <w:t>七、</w:t>
      </w:r>
      <w:r>
        <w:rPr>
          <w:rStyle w:val="2Char"/>
          <w:rFonts w:ascii="Times New Roman" w:eastAsia="黑体" w:hAnsi="Times New Roman" w:hint="eastAsia"/>
          <w:b w:val="0"/>
          <w:color w:val="auto"/>
          <w:highlight w:val="auto"/>
        </w:rPr>
        <w:t>财政拨款</w:t>
      </w:r>
      <w:r>
        <w:rPr>
          <w:rStyle w:val="2Char"/>
          <w:rFonts w:ascii="Times New Roman" w:eastAsia="黑体" w:hAnsi="Times New Roman" w:hint="eastAsia"/>
          <w:color w:val="auto"/>
          <w:highlight w:val="auto"/>
        </w:rPr>
        <w:t>“</w:t>
      </w:r>
      <w:r>
        <w:rPr>
          <w:rStyle w:val="2Char"/>
          <w:rFonts w:ascii="Times New Roman" w:eastAsia="黑体" w:hAnsi="Times New Roman" w:hint="eastAsia"/>
          <w:b w:val="0"/>
          <w:color w:val="auto"/>
          <w:highlight w:val="auto"/>
        </w:rPr>
        <w:t>三公”经费支出决算情况说明</w:t>
      </w:r>
      <w:bookmarkEnd w:id="39"/>
      <w:bookmarkEnd w:id="40"/>
    </w:p>
    <w:p>
      <w:pPr>
        <w:spacing w:line="600" w:lineRule="exact"/>
        <w:ind w:firstLine="640"/>
        <w:outlineLvl w:val="2"/>
        <w:rPr>
          <w:rFonts w:ascii="仿宋" w:eastAsia="仿宋"/>
          <w:b/>
          <w:color w:val="auto"/>
          <w:sz w:val="32"/>
          <w:szCs w:val="32"/>
          <w:highlight w:val="auto"/>
        </w:rPr>
      </w:pPr>
      <w:bookmarkStart w:id="41" w:name="_Toc15396610"/>
      <w:bookmarkStart w:id="42" w:name="_Toc15377218"/>
      <w:r>
        <w:rPr>
          <w:rFonts w:ascii="仿宋" w:eastAsia="仿宋" w:hint="eastAsia"/>
          <w:b/>
          <w:color w:val="auto"/>
          <w:sz w:val="32"/>
          <w:szCs w:val="32"/>
          <w:highlight w:val="auto"/>
        </w:rPr>
        <w:t>（一）“三公”经费财政拨款支出决算总体情况说明</w:t>
      </w:r>
    </w:p>
    <w:p>
      <w:pPr>
        <w:spacing w:line="600" w:lineRule="exact"/>
        <w:ind w:firstLine="645"/>
        <w:rPr>
          <w:rStyle w:val="0"/>
          <w:rFonts w:ascii="仿宋_GB2312" w:eastAsia="仿宋_GB2312" w:cs="仿宋_GB2312" w:hint="eastAsia"/>
          <w:bCs/>
          <w:kern w:val="0"/>
          <w:sz w:val="30"/>
          <w:highlight w:val="auto"/>
        </w:rPr>
      </w:pPr>
      <w:r>
        <w:rPr>
          <w:rStyle w:val="0"/>
          <w:rFonts w:ascii="仿宋_GB2312" w:eastAsia="仿宋_GB2312" w:cs="仿宋_GB2312" w:hint="eastAsia"/>
          <w:bCs/>
          <w:kern w:val="0"/>
          <w:sz w:val="30"/>
          <w:highlight w:val="auto"/>
        </w:rPr>
        <w:t>2024年度“三公”经费财政拨款支出决算为</w:t>
      </w:r>
      <w:r>
        <w:rPr>
          <w:rStyle w:val="0"/>
          <w:rFonts w:ascii="仿宋_GB2312" w:eastAsia="仿宋_GB2312" w:cs="仿宋_GB2312" w:hint="eastAsia"/>
          <w:bCs/>
          <w:kern w:val="0"/>
          <w:sz w:val="30"/>
          <w:lang w:val="en-US"/>
          <w:highlight w:val="auto"/>
        </w:rPr>
        <w:t>0.2</w:t>
      </w:r>
      <w:r>
        <w:rPr>
          <w:rStyle w:val="0"/>
          <w:rFonts w:ascii="仿宋_GB2312" w:eastAsia="仿宋_GB2312" w:cs="仿宋_GB2312"/>
          <w:bCs/>
          <w:kern w:val="0"/>
          <w:sz w:val="30"/>
          <w:lang w:val="en-US"/>
          <w:highlight w:val="auto"/>
        </w:rPr>
        <w:t>0</w:t>
      </w:r>
      <w:r>
        <w:rPr>
          <w:rStyle w:val="0"/>
          <w:rFonts w:ascii="仿宋_GB2312" w:eastAsia="仿宋_GB2312" w:cs="仿宋_GB2312" w:hint="eastAsia"/>
          <w:bCs/>
          <w:kern w:val="0"/>
          <w:sz w:val="30"/>
          <w:highlight w:val="auto"/>
        </w:rPr>
        <w:t>万元，完成预算</w:t>
      </w:r>
      <w:r>
        <w:rPr>
          <w:rStyle w:val="0"/>
          <w:rFonts w:ascii="仿宋_GB2312" w:eastAsia="仿宋_GB2312" w:cs="仿宋_GB2312" w:hint="eastAsia"/>
          <w:bCs/>
          <w:kern w:val="0"/>
          <w:sz w:val="30"/>
          <w:lang w:val="en-US"/>
          <w:highlight w:val="auto"/>
        </w:rPr>
        <w:t>100</w:t>
      </w:r>
      <w:r>
        <w:rPr>
          <w:rStyle w:val="0"/>
          <w:rFonts w:ascii="仿宋_GB2312" w:eastAsia="仿宋_GB2312" w:cs="仿宋_GB2312" w:hint="eastAsia"/>
          <w:bCs/>
          <w:kern w:val="0"/>
          <w:sz w:val="30"/>
          <w:highlight w:val="auto"/>
        </w:rPr>
        <w:t>%，</w:t>
      </w:r>
      <w:r>
        <w:rPr>
          <w:rStyle w:val="0"/>
          <w:rFonts w:ascii="仿宋_GB2312" w:eastAsia="仿宋_GB2312" w:cs="仿宋_GB2312"/>
          <w:bCs/>
          <w:kern w:val="0"/>
          <w:sz w:val="30"/>
          <w:highlight w:val="auto"/>
        </w:rPr>
        <w:t>与2023年度相比，</w:t>
      </w:r>
      <w:r>
        <w:rPr>
          <w:rStyle w:val="0"/>
          <w:rFonts w:ascii="仿宋_GB2312" w:eastAsia="仿宋_GB2312" w:cs="仿宋_GB2312" w:hint="eastAsia"/>
          <w:bCs/>
          <w:kern w:val="0"/>
          <w:sz w:val="30"/>
          <w:lang w:val="en-US"/>
          <w:highlight w:val="auto"/>
        </w:rPr>
        <w:t>减少0.08万元，下降28.57%。</w:t>
      </w:r>
    </w:p>
    <w:p>
      <w:pPr>
        <w:spacing w:line="600" w:lineRule="exact"/>
        <w:ind w:firstLine="640"/>
        <w:outlineLvl w:val="2"/>
        <w:rPr>
          <w:rFonts w:ascii="仿宋" w:eastAsia="仿宋"/>
          <w:b/>
          <w:color w:val="auto"/>
          <w:sz w:val="32"/>
          <w:szCs w:val="32"/>
          <w:highlight w:val="auto"/>
        </w:rPr>
      </w:pPr>
      <w:r>
        <w:rPr>
          <w:rFonts w:ascii="仿宋" w:eastAsia="仿宋" w:hint="eastAsia"/>
          <w:b/>
          <w:color w:val="auto"/>
          <w:sz w:val="32"/>
          <w:szCs w:val="32"/>
          <w:highlight w:val="auto"/>
        </w:rPr>
        <w:t>（二）“三公”经费财政拨款支出决算具体情况说明</w:t>
      </w:r>
    </w:p>
    <w:p>
      <w:pPr>
        <w:spacing w:line="600" w:lineRule="exact"/>
        <w:ind w:firstLine="645"/>
        <w:rPr>
          <w:rStyle w:val="0"/>
          <w:rFonts w:ascii="仿宋_GB2312" w:eastAsia="仿宋_GB2312" w:cs="仿宋_GB2312" w:hint="eastAsia"/>
          <w:bCs/>
          <w:kern w:val="0"/>
          <w:sz w:val="30"/>
          <w:highlight w:val="auto"/>
        </w:rPr>
      </w:pPr>
      <w:r>
        <w:rPr>
          <w:rStyle w:val="0"/>
          <w:rFonts w:ascii="仿宋_GB2312" w:eastAsia="仿宋_GB2312" w:cs="仿宋_GB2312" w:hint="eastAsia"/>
          <w:bCs/>
          <w:kern w:val="0"/>
          <w:sz w:val="30"/>
          <w:lang w:eastAsia="zh-CN"/>
          <w:highlight w:val="auto"/>
        </w:rPr>
        <w:t>2024年度</w:t>
      </w:r>
      <w:r>
        <w:rPr>
          <w:rStyle w:val="0"/>
          <w:rFonts w:ascii="仿宋_GB2312" w:eastAsia="仿宋_GB2312" w:cs="仿宋_GB2312" w:hint="eastAsia"/>
          <w:bCs/>
          <w:kern w:val="0"/>
          <w:sz w:val="30"/>
          <w:highlight w:val="auto"/>
        </w:rPr>
        <w:t>“三公”经费财政拨款支出决算中，因公出国（境）费支出决算</w:t>
      </w:r>
      <w:r>
        <w:rPr>
          <w:rStyle w:val="0"/>
          <w:rFonts w:ascii="仿宋_GB2312" w:eastAsia="仿宋_GB2312" w:cs="仿宋_GB2312" w:hint="eastAsia"/>
          <w:bCs/>
          <w:kern w:val="0"/>
          <w:sz w:val="30"/>
          <w:lang w:val="en-US" w:eastAsia="zh-CN"/>
          <w:highlight w:val="auto"/>
        </w:rPr>
        <w:t>0</w:t>
      </w:r>
      <w:r>
        <w:rPr>
          <w:rStyle w:val="0"/>
          <w:rFonts w:ascii="仿宋_GB2312" w:eastAsia="仿宋_GB2312" w:cs="仿宋_GB2312" w:hint="eastAsia"/>
          <w:bCs/>
          <w:kern w:val="0"/>
          <w:sz w:val="30"/>
          <w:highlight w:val="auto"/>
        </w:rPr>
        <w:t>万元；</w:t>
      </w:r>
      <w:r>
        <w:rPr>
          <w:rStyle w:val="0"/>
          <w:rFonts w:ascii="仿宋_GB2312" w:eastAsia="仿宋_GB2312" w:cs="仿宋_GB2312" w:hint="eastAsia"/>
          <w:bCs/>
          <w:kern w:val="0"/>
          <w:sz w:val="30"/>
          <w:lang w:val="en-US" w:eastAsia="zh-CN" w:bidi="ar-SA"/>
        </w:rPr>
        <w:t>无</w:t>
      </w:r>
      <w:r>
        <w:rPr>
          <w:rStyle w:val="0"/>
          <w:rFonts w:ascii="仿宋_GB2312" w:eastAsia="仿宋_GB2312" w:cs="仿宋_GB2312" w:hint="eastAsia"/>
          <w:bCs/>
          <w:kern w:val="0"/>
          <w:sz w:val="30"/>
          <w:lang w:bidi="ar-SA"/>
        </w:rPr>
        <w:t>公务用车购置</w:t>
      </w:r>
      <w:r>
        <w:rPr>
          <w:rStyle w:val="0"/>
          <w:rFonts w:ascii="仿宋_GB2312" w:eastAsia="仿宋_GB2312" w:cs="仿宋_GB2312" w:hint="eastAsia"/>
          <w:bCs/>
          <w:kern w:val="0"/>
          <w:sz w:val="30"/>
          <w:lang w:eastAsia="zh-CN" w:bidi="ar-SA"/>
        </w:rPr>
        <w:t>费；</w:t>
      </w:r>
      <w:r>
        <w:rPr>
          <w:rStyle w:val="0"/>
          <w:rFonts w:ascii="仿宋_GB2312" w:eastAsia="仿宋_GB2312" w:cs="仿宋_GB2312" w:hint="eastAsia"/>
          <w:bCs/>
          <w:kern w:val="0"/>
          <w:sz w:val="30"/>
        </w:rPr>
        <w:t>公务用车运行维护费支出决算</w:t>
      </w:r>
      <w:r>
        <w:rPr>
          <w:rStyle w:val="0"/>
          <w:rFonts w:ascii="仿宋_GB2312" w:eastAsia="仿宋_GB2312" w:cs="仿宋_GB2312" w:hint="eastAsia"/>
          <w:bCs/>
          <w:kern w:val="0"/>
          <w:sz w:val="30"/>
          <w:lang w:val="en-US" w:eastAsia="zh-CN"/>
        </w:rPr>
        <w:t>0.2</w:t>
      </w:r>
      <w:r>
        <w:rPr>
          <w:rStyle w:val="0"/>
          <w:rFonts w:ascii="仿宋_GB2312" w:eastAsia="仿宋_GB2312" w:cs="仿宋_GB2312"/>
          <w:bCs/>
          <w:kern w:val="0"/>
          <w:sz w:val="30"/>
          <w:lang w:val="en-US" w:eastAsia="zh-CN"/>
        </w:rPr>
        <w:t>0</w:t>
      </w:r>
      <w:r>
        <w:rPr>
          <w:rStyle w:val="0"/>
          <w:rFonts w:ascii="仿宋_GB2312" w:eastAsia="仿宋_GB2312" w:cs="仿宋_GB2312" w:hint="eastAsia"/>
          <w:bCs/>
          <w:kern w:val="0"/>
          <w:sz w:val="30"/>
        </w:rPr>
        <w:t>万元</w:t>
      </w:r>
      <w:r>
        <w:rPr>
          <w:rStyle w:val="0"/>
          <w:rFonts w:ascii="仿宋_GB2312" w:eastAsia="仿宋_GB2312" w:cs="仿宋_GB2312" w:hint="eastAsia"/>
          <w:bCs/>
          <w:kern w:val="0"/>
          <w:sz w:val="30"/>
          <w:lang w:eastAsia="zh-CN"/>
        </w:rPr>
        <w:t>，</w:t>
      </w:r>
      <w:r>
        <w:rPr>
          <w:rStyle w:val="0"/>
          <w:rFonts w:ascii="仿宋_GB2312" w:eastAsia="仿宋_GB2312" w:cs="仿宋_GB2312" w:hint="eastAsia"/>
          <w:bCs/>
          <w:kern w:val="0"/>
          <w:sz w:val="30"/>
          <w:highlight w:val="auto"/>
        </w:rPr>
        <w:t>占</w:t>
      </w:r>
      <w:r>
        <w:rPr>
          <w:rStyle w:val="0"/>
          <w:rFonts w:ascii="仿宋_GB2312" w:eastAsia="仿宋_GB2312" w:cs="仿宋_GB2312" w:hint="eastAsia"/>
          <w:bCs/>
          <w:kern w:val="0"/>
          <w:sz w:val="30"/>
          <w:lang w:val="en-US" w:eastAsia="zh-CN"/>
          <w:highlight w:val="auto"/>
        </w:rPr>
        <w:t>100</w:t>
      </w:r>
      <w:r>
        <w:rPr>
          <w:rStyle w:val="0"/>
          <w:rFonts w:ascii="仿宋_GB2312" w:eastAsia="仿宋_GB2312" w:cs="仿宋_GB2312" w:hint="eastAsia"/>
          <w:bCs/>
          <w:kern w:val="0"/>
          <w:sz w:val="30"/>
          <w:highlight w:val="auto"/>
        </w:rPr>
        <w:t>%；公务接待费支出决算</w:t>
      </w:r>
      <w:r>
        <w:rPr>
          <w:rStyle w:val="0"/>
          <w:rFonts w:ascii="仿宋_GB2312" w:eastAsia="仿宋_GB2312" w:cs="仿宋_GB2312" w:hint="eastAsia"/>
          <w:bCs/>
          <w:kern w:val="0"/>
          <w:sz w:val="30"/>
          <w:lang w:val="en-US" w:eastAsia="zh-CN"/>
          <w:highlight w:val="auto"/>
        </w:rPr>
        <w:t>0</w:t>
      </w:r>
      <w:r>
        <w:rPr>
          <w:rStyle w:val="0"/>
          <w:rFonts w:ascii="仿宋_GB2312" w:eastAsia="仿宋_GB2312" w:cs="仿宋_GB2312" w:hint="eastAsia"/>
          <w:bCs/>
          <w:kern w:val="0"/>
          <w:sz w:val="30"/>
          <w:highlight w:val="auto"/>
        </w:rPr>
        <w:t>万元。具体情况如下：</w:t>
      </w:r>
    </w:p>
    <w:p>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ascii="仿宋" w:eastAsia="仿宋"/>
          <w:color w:val="auto"/>
          <w:sz w:val="32"/>
          <w:szCs w:val="32"/>
          <w:highlight w:val="auto"/>
        </w:rPr>
      </w:pPr>
      <w:r>
        <w:drawing>
          <wp:inline distT="0" distB="0" distL="114300" distR="114300">
            <wp:extent cx="3981450" cy="2419350"/>
            <wp:effectExtent l="0" t="0" r="0" b="0"/>
            <wp:docPr id="10" name="图表 20"/>
            <wp:cNvGraphicFramePr>
              <a:graphicFrameLocks noChangeAspect="1"/>
            </wp:cNvGraphicFramePr>
            <a:graphic>
              <a:graphicData uri="http://schemas.openxmlformats.org/drawingml/2006/chart">
                <c:chart xmlns:c="http://schemas.openxmlformats.org/drawingml/2006/chart" r:id="rId17"/>
              </a:graphicData>
            </a:graphic>
          </wp:inline>
        </w:drawing>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1.因公出国（境）经费支出0万元。全年安排因公出国（境）团组0次，出国（境）0人。</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2.公务用车购置及运行维护费支出</w:t>
      </w:r>
      <w:r>
        <w:rPr>
          <w:rStyle w:val="0"/>
          <w:rFonts w:ascii="仿宋_GB2312" w:eastAsia="仿宋_GB2312" w:cs="仿宋_GB2312" w:hint="eastAsia"/>
          <w:bCs/>
          <w:kern w:val="0"/>
          <w:sz w:val="30"/>
          <w:lang w:val="en-US"/>
        </w:rPr>
        <w:t>0.2</w:t>
      </w:r>
      <w:r>
        <w:rPr>
          <w:rStyle w:val="0"/>
          <w:rFonts w:ascii="仿宋_GB2312" w:eastAsia="仿宋_GB2312" w:cs="仿宋_GB2312"/>
          <w:bCs/>
          <w:kern w:val="0"/>
          <w:sz w:val="30"/>
          <w:lang w:val="en-US"/>
        </w:rPr>
        <w:t>0</w:t>
      </w:r>
      <w:r>
        <w:rPr>
          <w:rStyle w:val="0"/>
          <w:rFonts w:ascii="仿宋_GB2312" w:eastAsia="仿宋_GB2312" w:cs="仿宋_GB2312" w:hint="eastAsia"/>
          <w:bCs/>
          <w:kern w:val="0"/>
          <w:sz w:val="30"/>
        </w:rPr>
        <w:t>万元，</w:t>
      </w:r>
      <w:r>
        <w:rPr>
          <w:rStyle w:val="0"/>
          <w:rFonts w:ascii="仿宋_GB2312" w:eastAsia="仿宋_GB2312" w:cs="仿宋_GB2312" w:hint="eastAsia"/>
          <w:bCs/>
          <w:kern w:val="0"/>
          <w:sz w:val="30"/>
          <w:lang w:val="en-US" w:bidi="ar-SA"/>
          <w:highlight w:val="auto"/>
        </w:rPr>
        <w:t>完成预算100%</w:t>
      </w:r>
      <w:r>
        <w:rPr>
          <w:rStyle w:val="0"/>
          <w:rFonts w:ascii="仿宋_GB2312" w:eastAsia="仿宋_GB2312" w:cs="仿宋_GB2312" w:hint="eastAsia"/>
          <w:bCs/>
          <w:kern w:val="0"/>
          <w:sz w:val="30"/>
        </w:rPr>
        <w:t>。公务用车购置及运行维护费支出</w:t>
      </w:r>
      <w:r>
        <w:rPr>
          <w:rStyle w:val="0"/>
          <w:rFonts w:ascii="仿宋_GB2312" w:eastAsia="仿宋_GB2312" w:cs="仿宋_GB2312"/>
          <w:bCs/>
          <w:kern w:val="0"/>
          <w:sz w:val="30"/>
        </w:rPr>
        <w:t>，</w:t>
      </w:r>
      <w:r>
        <w:rPr>
          <w:rStyle w:val="0"/>
          <w:rFonts w:ascii="仿宋_GB2312" w:eastAsia="仿宋_GB2312" w:cs="仿宋_GB2312"/>
          <w:bCs/>
          <w:kern w:val="0"/>
          <w:sz w:val="30"/>
          <w:highlight w:val="auto"/>
        </w:rPr>
        <w:t>与2023年度相比，</w:t>
      </w:r>
      <w:r>
        <w:rPr>
          <w:rStyle w:val="0"/>
          <w:rFonts w:ascii="仿宋_GB2312" w:eastAsia="仿宋_GB2312" w:cs="仿宋_GB2312" w:hint="eastAsia"/>
          <w:bCs/>
          <w:kern w:val="0"/>
          <w:sz w:val="30"/>
        </w:rPr>
        <w:t>增加</w:t>
      </w:r>
      <w:r>
        <w:rPr>
          <w:rStyle w:val="0"/>
          <w:rFonts w:ascii="仿宋_GB2312" w:eastAsia="仿宋_GB2312" w:cs="仿宋_GB2312" w:hint="eastAsia"/>
          <w:bCs/>
          <w:kern w:val="0"/>
          <w:sz w:val="30"/>
          <w:lang w:val="en-US"/>
        </w:rPr>
        <w:t>0.02</w:t>
      </w:r>
      <w:r>
        <w:rPr>
          <w:rStyle w:val="0"/>
          <w:rFonts w:ascii="仿宋_GB2312" w:eastAsia="仿宋_GB2312" w:cs="仿宋_GB2312" w:hint="eastAsia"/>
          <w:bCs/>
          <w:kern w:val="0"/>
          <w:sz w:val="30"/>
        </w:rPr>
        <w:t>万元，增长</w:t>
      </w:r>
      <w:r>
        <w:rPr>
          <w:rStyle w:val="0"/>
          <w:rFonts w:ascii="仿宋_GB2312" w:eastAsia="仿宋_GB2312" w:cs="仿宋_GB2312" w:hint="eastAsia"/>
          <w:bCs/>
          <w:kern w:val="0"/>
          <w:sz w:val="30"/>
          <w:lang w:val="en-US"/>
        </w:rPr>
        <w:t>11.11</w:t>
      </w:r>
      <w:r>
        <w:rPr>
          <w:rStyle w:val="0"/>
          <w:rFonts w:ascii="仿宋_GB2312" w:eastAsia="仿宋_GB2312" w:cs="仿宋_GB2312" w:hint="eastAsia"/>
          <w:bCs/>
          <w:kern w:val="0"/>
          <w:sz w:val="30"/>
        </w:rPr>
        <w:t>%。主要原因是</w:t>
      </w:r>
      <w:r>
        <w:rPr>
          <w:rStyle w:val="0"/>
          <w:rFonts w:ascii="仿宋_GB2312" w:eastAsia="仿宋_GB2312" w:cs="仿宋_GB2312"/>
          <w:bCs/>
          <w:kern w:val="0"/>
          <w:sz w:val="30"/>
        </w:rPr>
        <w:t>：</w:t>
      </w:r>
      <w:r>
        <w:rPr>
          <w:rStyle w:val="0"/>
          <w:rFonts w:ascii="仿宋_GB2312" w:eastAsia="仿宋_GB2312" w:cs="仿宋_GB2312" w:hint="eastAsia"/>
          <w:bCs/>
          <w:kern w:val="0"/>
          <w:sz w:val="30"/>
        </w:rPr>
        <w:t>下乡用车增加。</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其中：公务用车购置支出0万元。全年按规定更新购置公务用车</w:t>
      </w:r>
      <w:r>
        <w:rPr>
          <w:rStyle w:val="0"/>
          <w:rFonts w:ascii="仿宋_GB2312" w:eastAsia="仿宋_GB2312" w:cs="仿宋_GB2312" w:hint="eastAsia"/>
          <w:bCs/>
          <w:kern w:val="0"/>
          <w:sz w:val="30"/>
          <w:lang w:val="en-US"/>
        </w:rPr>
        <w:t>0</w:t>
      </w:r>
      <w:r>
        <w:rPr>
          <w:rStyle w:val="0"/>
          <w:rFonts w:ascii="仿宋_GB2312" w:eastAsia="仿宋_GB2312" w:cs="仿宋_GB2312" w:hint="eastAsia"/>
          <w:bCs/>
          <w:kern w:val="0"/>
          <w:sz w:val="30"/>
        </w:rPr>
        <w:t>辆，其中：轿车</w:t>
      </w:r>
      <w:r>
        <w:rPr>
          <w:rStyle w:val="0"/>
          <w:rFonts w:ascii="仿宋_GB2312" w:eastAsia="仿宋_GB2312" w:cs="仿宋_GB2312" w:hint="eastAsia"/>
          <w:bCs/>
          <w:kern w:val="0"/>
          <w:sz w:val="30"/>
          <w:lang w:val="en-US"/>
        </w:rPr>
        <w:t>0</w:t>
      </w:r>
      <w:r>
        <w:rPr>
          <w:rStyle w:val="0"/>
          <w:rFonts w:ascii="仿宋_GB2312" w:eastAsia="仿宋_GB2312" w:cs="仿宋_GB2312" w:hint="eastAsia"/>
          <w:bCs/>
          <w:kern w:val="0"/>
          <w:sz w:val="30"/>
        </w:rPr>
        <w:t>辆、金额</w:t>
      </w:r>
      <w:r>
        <w:rPr>
          <w:rStyle w:val="0"/>
          <w:rFonts w:ascii="仿宋_GB2312" w:eastAsia="仿宋_GB2312" w:cs="仿宋_GB2312" w:hint="eastAsia"/>
          <w:bCs/>
          <w:kern w:val="0"/>
          <w:sz w:val="30"/>
          <w:lang w:val="en-US"/>
        </w:rPr>
        <w:t>0</w:t>
      </w:r>
      <w:r>
        <w:rPr>
          <w:rStyle w:val="0"/>
          <w:rFonts w:ascii="仿宋_GB2312" w:eastAsia="仿宋_GB2312" w:cs="仿宋_GB2312" w:hint="eastAsia"/>
          <w:bCs/>
          <w:kern w:val="0"/>
          <w:sz w:val="30"/>
        </w:rPr>
        <w:t>万元，越野车</w:t>
      </w:r>
      <w:r>
        <w:rPr>
          <w:rStyle w:val="0"/>
          <w:rFonts w:ascii="仿宋_GB2312" w:eastAsia="仿宋_GB2312" w:cs="仿宋_GB2312" w:hint="eastAsia"/>
          <w:bCs/>
          <w:kern w:val="0"/>
          <w:sz w:val="30"/>
          <w:lang w:val="en-US"/>
        </w:rPr>
        <w:t>0</w:t>
      </w:r>
      <w:r>
        <w:rPr>
          <w:rStyle w:val="0"/>
          <w:rFonts w:ascii="仿宋_GB2312" w:eastAsia="仿宋_GB2312" w:cs="仿宋_GB2312" w:hint="eastAsia"/>
          <w:bCs/>
          <w:kern w:val="0"/>
          <w:sz w:val="30"/>
        </w:rPr>
        <w:t>辆、金额</w:t>
      </w:r>
      <w:r>
        <w:rPr>
          <w:rStyle w:val="0"/>
          <w:rFonts w:ascii="仿宋_GB2312" w:eastAsia="仿宋_GB2312" w:cs="仿宋_GB2312" w:hint="eastAsia"/>
          <w:bCs/>
          <w:kern w:val="0"/>
          <w:sz w:val="30"/>
          <w:lang w:val="en-US"/>
        </w:rPr>
        <w:t>0</w:t>
      </w:r>
      <w:r>
        <w:rPr>
          <w:rStyle w:val="0"/>
          <w:rFonts w:ascii="仿宋_GB2312" w:eastAsia="仿宋_GB2312" w:cs="仿宋_GB2312" w:hint="eastAsia"/>
          <w:bCs/>
          <w:kern w:val="0"/>
          <w:sz w:val="30"/>
        </w:rPr>
        <w:t>万元，载客汽车</w:t>
      </w:r>
      <w:r>
        <w:rPr>
          <w:rStyle w:val="0"/>
          <w:rFonts w:ascii="仿宋_GB2312" w:eastAsia="仿宋_GB2312" w:cs="仿宋_GB2312" w:hint="eastAsia"/>
          <w:bCs/>
          <w:kern w:val="0"/>
          <w:sz w:val="30"/>
          <w:lang w:val="en-US"/>
        </w:rPr>
        <w:t>0</w:t>
      </w:r>
      <w:r>
        <w:rPr>
          <w:rStyle w:val="0"/>
          <w:rFonts w:ascii="仿宋_GB2312" w:eastAsia="仿宋_GB2312" w:cs="仿宋_GB2312" w:hint="eastAsia"/>
          <w:bCs/>
          <w:kern w:val="0"/>
          <w:sz w:val="30"/>
        </w:rPr>
        <w:t>辆、金额</w:t>
      </w:r>
      <w:r>
        <w:rPr>
          <w:rStyle w:val="0"/>
          <w:rFonts w:ascii="仿宋_GB2312" w:eastAsia="仿宋_GB2312" w:cs="仿宋_GB2312" w:hint="eastAsia"/>
          <w:bCs/>
          <w:kern w:val="0"/>
          <w:sz w:val="30"/>
          <w:lang w:val="en-US"/>
        </w:rPr>
        <w:t>0</w:t>
      </w:r>
      <w:r>
        <w:rPr>
          <w:rStyle w:val="0"/>
          <w:rFonts w:ascii="仿宋_GB2312" w:eastAsia="仿宋_GB2312" w:cs="仿宋_GB2312" w:hint="eastAsia"/>
          <w:bCs/>
          <w:kern w:val="0"/>
          <w:sz w:val="30"/>
        </w:rPr>
        <w:t>万元。截至2024年12月31日，单位共有公务用车</w:t>
      </w:r>
      <w:r>
        <w:rPr>
          <w:rStyle w:val="0"/>
          <w:rFonts w:ascii="仿宋_GB2312" w:eastAsia="仿宋_GB2312" w:cs="仿宋_GB2312" w:hint="eastAsia"/>
          <w:bCs/>
          <w:kern w:val="0"/>
          <w:sz w:val="30"/>
          <w:lang w:val="en-US"/>
        </w:rPr>
        <w:t>4</w:t>
      </w:r>
      <w:r>
        <w:rPr>
          <w:rStyle w:val="0"/>
          <w:rFonts w:ascii="仿宋_GB2312" w:eastAsia="仿宋_GB2312" w:cs="仿宋_GB2312" w:hint="eastAsia"/>
          <w:bCs/>
          <w:kern w:val="0"/>
          <w:sz w:val="30"/>
        </w:rPr>
        <w:t>辆，其中：应急保障车辆</w:t>
      </w:r>
      <w:r>
        <w:rPr>
          <w:rStyle w:val="0"/>
          <w:rFonts w:ascii="仿宋_GB2312" w:eastAsia="仿宋_GB2312" w:cs="仿宋_GB2312" w:hint="eastAsia"/>
          <w:bCs/>
          <w:kern w:val="0"/>
          <w:sz w:val="30"/>
          <w:lang w:val="en-US"/>
        </w:rPr>
        <w:t>4</w:t>
      </w:r>
      <w:r>
        <w:rPr>
          <w:rStyle w:val="0"/>
          <w:rFonts w:ascii="仿宋_GB2312" w:eastAsia="仿宋_GB2312" w:cs="仿宋_GB2312" w:hint="eastAsia"/>
          <w:bCs/>
          <w:kern w:val="0"/>
          <w:sz w:val="30"/>
        </w:rPr>
        <w:t>辆。</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公务用车运行维护费支出0.2</w:t>
      </w:r>
      <w:r>
        <w:rPr>
          <w:rStyle w:val="0"/>
          <w:rFonts w:ascii="仿宋_GB2312" w:eastAsia="仿宋_GB2312" w:cs="仿宋_GB2312"/>
          <w:bCs/>
          <w:kern w:val="0"/>
          <w:sz w:val="30"/>
        </w:rPr>
        <w:t>0</w:t>
      </w:r>
      <w:r>
        <w:rPr>
          <w:rStyle w:val="0"/>
          <w:rFonts w:ascii="仿宋_GB2312" w:eastAsia="仿宋_GB2312" w:cs="仿宋_GB2312" w:hint="eastAsia"/>
          <w:bCs/>
          <w:kern w:val="0"/>
          <w:sz w:val="30"/>
        </w:rPr>
        <w:t>万元。主要用于出差、下乡及城内运转所需的公务用车燃料费、维修费、过路过桥费、保险费等支出。</w:t>
      </w:r>
    </w:p>
    <w:p>
      <w:pPr>
        <w:spacing w:line="600" w:lineRule="exact"/>
        <w:ind w:firstLine="645"/>
        <w:rPr>
          <w:rStyle w:val="0"/>
          <w:rFonts w:ascii="仿宋_GB2312" w:eastAsia="仿宋_GB2312" w:cs="仿宋_GB2312" w:hint="eastAsia"/>
          <w:bCs/>
          <w:kern w:val="0"/>
          <w:sz w:val="30"/>
          <w:lang w:val="en-US" w:eastAsia="zh-CN" w:bidi="ar-SA"/>
          <w:highlight w:val="auto"/>
        </w:rPr>
      </w:pPr>
      <w:r>
        <w:rPr>
          <w:rStyle w:val="0"/>
          <w:rFonts w:ascii="仿宋_GB2312" w:eastAsia="仿宋_GB2312" w:cs="仿宋_GB2312" w:hint="eastAsia"/>
          <w:bCs/>
          <w:kern w:val="0"/>
          <w:sz w:val="30"/>
        </w:rPr>
        <w:t>3.公务接待费支出</w:t>
      </w:r>
      <w:r>
        <w:rPr>
          <w:rStyle w:val="0"/>
          <w:rFonts w:ascii="仿宋_GB2312" w:eastAsia="仿宋_GB2312" w:cs="仿宋_GB2312" w:hint="eastAsia"/>
          <w:bCs/>
          <w:kern w:val="0"/>
          <w:sz w:val="30"/>
          <w:lang w:val="en-US" w:eastAsia="zh-CN"/>
        </w:rPr>
        <w:t>0</w:t>
      </w:r>
      <w:r>
        <w:rPr>
          <w:rStyle w:val="0"/>
          <w:rFonts w:ascii="仿宋_GB2312" w:eastAsia="仿宋_GB2312" w:cs="仿宋_GB2312" w:hint="eastAsia"/>
          <w:bCs/>
          <w:kern w:val="0"/>
          <w:sz w:val="30"/>
        </w:rPr>
        <w:t>万元</w:t>
      </w:r>
      <w:r>
        <w:rPr>
          <w:rStyle w:val="0"/>
          <w:rFonts w:ascii="仿宋_GB2312" w:eastAsia="仿宋_GB2312" w:cs="仿宋_GB2312" w:hint="eastAsia"/>
          <w:bCs/>
          <w:kern w:val="0"/>
          <w:sz w:val="30"/>
          <w:lang w:eastAsia="zh-CN"/>
          <w:highlight w:val="auto"/>
        </w:rPr>
        <w:t>。</w:t>
      </w:r>
      <w:r>
        <w:rPr>
          <w:rStyle w:val="0"/>
          <w:rFonts w:ascii="仿宋_GB2312" w:eastAsia="仿宋_GB2312" w:cs="仿宋_GB2312" w:hint="eastAsia"/>
          <w:bCs/>
          <w:kern w:val="0"/>
          <w:sz w:val="30"/>
          <w:highlight w:val="auto"/>
        </w:rPr>
        <w:t>其中：国内公务接待支出</w:t>
      </w:r>
      <w:r>
        <w:rPr>
          <w:rStyle w:val="0"/>
          <w:rFonts w:ascii="仿宋_GB2312" w:eastAsia="仿宋_GB2312" w:cs="仿宋_GB2312" w:hint="eastAsia"/>
          <w:bCs/>
          <w:kern w:val="0"/>
          <w:sz w:val="30"/>
          <w:lang w:val="en-US" w:eastAsia="zh-CN"/>
          <w:highlight w:val="auto"/>
        </w:rPr>
        <w:t>0</w:t>
      </w:r>
      <w:r>
        <w:rPr>
          <w:rStyle w:val="0"/>
          <w:rFonts w:ascii="仿宋_GB2312" w:eastAsia="仿宋_GB2312" w:cs="仿宋_GB2312" w:hint="eastAsia"/>
          <w:bCs/>
          <w:kern w:val="0"/>
          <w:sz w:val="30"/>
          <w:highlight w:val="auto"/>
        </w:rPr>
        <w:t>万元</w:t>
      </w:r>
      <w:r>
        <w:rPr>
          <w:rStyle w:val="0"/>
          <w:rFonts w:ascii="仿宋_GB2312" w:eastAsia="仿宋_GB2312" w:cs="仿宋_GB2312" w:hint="eastAsia"/>
          <w:bCs/>
          <w:kern w:val="0"/>
          <w:sz w:val="30"/>
        </w:rPr>
        <w:t>。外事接待支出0万元。</w:t>
      </w:r>
    </w:p>
    <w:p>
      <w:pPr>
        <w:spacing w:line="600" w:lineRule="exact"/>
        <w:ind w:firstLine="640"/>
        <w:outlineLvl w:val="1"/>
        <w:rPr>
          <w:rStyle w:val="2Char"/>
          <w:rFonts w:ascii="Times New Roman" w:eastAsia="黑体" w:hAnsi="Times New Roman"/>
          <w:color w:val="auto"/>
          <w:highlight w:val="auto"/>
        </w:rPr>
      </w:pPr>
      <w:r>
        <w:rPr>
          <w:rFonts w:ascii="Times New Roman" w:eastAsia="黑体" w:hAnsi="Times New Roman" w:hint="eastAsia"/>
          <w:color w:val="auto"/>
          <w:sz w:val="32"/>
          <w:szCs w:val="32"/>
          <w:highlight w:val="auto"/>
        </w:rPr>
        <w:t>八、</w:t>
      </w:r>
      <w:r>
        <w:rPr>
          <w:rStyle w:val="2Char"/>
          <w:rFonts w:ascii="Times New Roman" w:eastAsia="黑体" w:hAnsi="Times New Roman" w:hint="eastAsia"/>
          <w:b w:val="0"/>
          <w:color w:val="auto"/>
          <w:highlight w:val="auto"/>
        </w:rPr>
        <w:t>政府性基金预算支出决算情况说明</w:t>
      </w:r>
      <w:bookmarkEnd w:id="41"/>
      <w:bookmarkEnd w:id="42"/>
    </w:p>
    <w:p>
      <w:pPr>
        <w:spacing w:line="600" w:lineRule="exact"/>
        <w:ind w:firstLine="645"/>
        <w:rPr>
          <w:rStyle w:val="0"/>
          <w:rFonts w:ascii="仿宋_GB2312" w:eastAsia="仿宋_GB2312" w:cs="仿宋_GB2312" w:hint="eastAsia"/>
          <w:bCs/>
          <w:kern w:val="0"/>
          <w:sz w:val="30"/>
          <w:lang w:val="en-US" w:eastAsia="zh-CN" w:bidi="ar-SA"/>
          <w:highlight w:val="auto"/>
        </w:rPr>
      </w:pPr>
      <w:r>
        <w:rPr>
          <w:rStyle w:val="0"/>
          <w:rFonts w:ascii="仿宋_GB2312" w:eastAsia="仿宋_GB2312" w:cs="仿宋_GB2312" w:hint="eastAsia"/>
          <w:bCs/>
          <w:kern w:val="0"/>
          <w:sz w:val="30"/>
          <w:lang w:val="en-US" w:eastAsia="zh-CN" w:bidi="ar-SA"/>
          <w:highlight w:val="auto"/>
        </w:rPr>
        <w:t>2024年度政府性基金预算财政拨款支出</w:t>
      </w:r>
      <w:r>
        <w:rPr>
          <w:rStyle w:val="0"/>
          <w:rFonts w:ascii="仿宋_GB2312" w:eastAsia="仿宋_GB2312" w:cs="仿宋_GB2312" w:hint="eastAsia"/>
          <w:bCs/>
          <w:kern w:val="0"/>
          <w:sz w:val="30"/>
        </w:rPr>
        <w:t>0</w:t>
      </w:r>
      <w:r>
        <w:rPr>
          <w:rStyle w:val="0"/>
          <w:rFonts w:ascii="仿宋_GB2312" w:eastAsia="仿宋_GB2312" w:cs="仿宋_GB2312" w:hint="eastAsia"/>
          <w:bCs/>
          <w:kern w:val="0"/>
          <w:sz w:val="30"/>
          <w:lang w:val="en-US" w:eastAsia="zh-CN" w:bidi="ar-SA"/>
          <w:highlight w:val="auto"/>
        </w:rPr>
        <w:t>万元。</w:t>
      </w:r>
    </w:p>
    <w:p>
      <w:pPr>
        <w:spacing w:line="600" w:lineRule="exact"/>
        <w:ind w:left="630"/>
        <w:outlineLvl w:val="1"/>
        <w:rPr>
          <w:rStyle w:val="2Char"/>
          <w:rFonts w:ascii="Times New Roman" w:eastAsia="黑体" w:hAnsi="Times New Roman"/>
          <w:b w:val="0"/>
          <w:color w:val="auto"/>
          <w:highlight w:val="auto"/>
        </w:rPr>
      </w:pPr>
      <w:bookmarkStart w:id="43" w:name="_Toc15396611"/>
      <w:bookmarkStart w:id="44" w:name="_Toc15377219"/>
      <w:r>
        <w:rPr>
          <w:rStyle w:val="2Char"/>
          <w:rFonts w:ascii="Times New Roman" w:eastAsia="黑体" w:hAnsi="Times New Roman" w:hint="eastAsia"/>
          <w:b w:val="0"/>
          <w:color w:val="auto"/>
          <w:lang w:eastAsia="zh-CN"/>
          <w:highlight w:val="auto"/>
        </w:rPr>
        <w:t>九、</w:t>
      </w:r>
      <w:r>
        <w:rPr>
          <w:rStyle w:val="2Char"/>
          <w:rFonts w:ascii="Times New Roman" w:eastAsia="黑体" w:hAnsi="Times New Roman" w:hint="eastAsia"/>
          <w:b w:val="0"/>
          <w:color w:val="auto"/>
          <w:highlight w:val="auto"/>
        </w:rPr>
        <w:t>国有资本经营预算支出决算情况说明</w:t>
      </w:r>
      <w:bookmarkEnd w:id="43"/>
      <w:bookmarkEnd w:id="44"/>
    </w:p>
    <w:p>
      <w:pPr>
        <w:spacing w:line="600" w:lineRule="exact"/>
        <w:ind w:firstLine="645"/>
        <w:rPr>
          <w:rStyle w:val="0"/>
          <w:rFonts w:ascii="仿宋_GB2312" w:eastAsia="仿宋_GB2312" w:cs="仿宋_GB2312" w:hint="eastAsia"/>
          <w:bCs/>
          <w:kern w:val="0"/>
          <w:sz w:val="30"/>
          <w:highlight w:val="auto"/>
        </w:rPr>
      </w:pPr>
      <w:r>
        <w:rPr>
          <w:rStyle w:val="0"/>
          <w:rFonts w:ascii="仿宋_GB2312" w:eastAsia="仿宋_GB2312" w:cs="仿宋_GB2312" w:hint="eastAsia"/>
          <w:bCs/>
          <w:kern w:val="0"/>
          <w:sz w:val="30"/>
          <w:highlight w:val="auto"/>
        </w:rPr>
        <w:t>2024年度国有资本经营预算财政拨款支出0万元。</w:t>
      </w:r>
    </w:p>
    <w:p>
      <w:pPr>
        <w:spacing w:line="600" w:lineRule="exact"/>
        <w:ind w:left="630"/>
        <w:outlineLvl w:val="1"/>
        <w:rPr>
          <w:rStyle w:val="2Char"/>
          <w:rFonts w:ascii="Times New Roman" w:eastAsia="黑体" w:hAnsi="Times New Roman" w:hint="eastAsia"/>
          <w:b w:val="0"/>
          <w:color w:val="auto"/>
          <w:highlight w:val="auto"/>
        </w:rPr>
      </w:pPr>
      <w:bookmarkStart w:id="45" w:name="_Toc15396612"/>
      <w:bookmarkStart w:id="46" w:name="_Toc15377221"/>
      <w:r>
        <w:rPr>
          <w:rStyle w:val="2Char"/>
          <w:rFonts w:ascii="Times New Roman" w:eastAsia="黑体" w:hAnsi="Times New Roman" w:hint="eastAsia"/>
          <w:b w:val="0"/>
          <w:color w:val="auto"/>
          <w:lang w:eastAsia="zh-CN"/>
          <w:highlight w:val="auto"/>
        </w:rPr>
        <w:t>十、</w:t>
      </w:r>
      <w:r>
        <w:rPr>
          <w:rStyle w:val="2Char"/>
          <w:rFonts w:ascii="Times New Roman" w:eastAsia="黑体" w:hAnsi="Times New Roman" w:hint="eastAsia"/>
          <w:b w:val="0"/>
          <w:color w:val="auto"/>
          <w:highlight w:val="auto"/>
        </w:rPr>
        <w:t>其他重要事项的情况说明</w:t>
      </w:r>
      <w:bookmarkEnd w:id="45"/>
      <w:bookmarkEnd w:id="46"/>
    </w:p>
    <w:p>
      <w:pPr>
        <w:spacing w:line="600" w:lineRule="exact"/>
        <w:ind w:firstLineChars="200" w:firstLine="640"/>
        <w:outlineLvl w:val="2"/>
        <w:rPr>
          <w:rFonts w:ascii="仿宋" w:eastAsia="仿宋"/>
          <w:color w:val="auto"/>
          <w:sz w:val="32"/>
          <w:szCs w:val="32"/>
          <w:highlight w:val="auto"/>
        </w:rPr>
      </w:pPr>
      <w:r>
        <w:rPr>
          <w:rFonts w:ascii="仿宋" w:eastAsia="仿宋" w:hint="eastAsia"/>
          <w:b/>
          <w:color w:val="auto"/>
          <w:sz w:val="32"/>
          <w:szCs w:val="32"/>
          <w:highlight w:val="auto"/>
        </w:rPr>
        <w:t>（一）机关运行经费支出情况</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202</w:t>
      </w:r>
      <w:r>
        <w:rPr>
          <w:rStyle w:val="0"/>
          <w:rFonts w:ascii="仿宋_GB2312" w:eastAsia="仿宋_GB2312" w:cs="仿宋_GB2312" w:hint="eastAsia"/>
          <w:bCs/>
          <w:kern w:val="0"/>
          <w:sz w:val="30"/>
          <w:lang w:val="en-US" w:eastAsia="zh-CN"/>
        </w:rPr>
        <w:t>4</w:t>
      </w:r>
      <w:r>
        <w:rPr>
          <w:rStyle w:val="0"/>
          <w:rFonts w:ascii="仿宋_GB2312" w:eastAsia="仿宋_GB2312" w:cs="仿宋_GB2312" w:hint="eastAsia"/>
          <w:bCs/>
          <w:kern w:val="0"/>
          <w:sz w:val="30"/>
        </w:rPr>
        <w:t>年</w:t>
      </w:r>
      <w:r>
        <w:rPr>
          <w:rStyle w:val="0"/>
          <w:rFonts w:ascii="仿宋_GB2312" w:eastAsia="仿宋_GB2312" w:cs="仿宋_GB2312" w:hint="eastAsia"/>
          <w:bCs/>
          <w:kern w:val="0"/>
          <w:sz w:val="30"/>
          <w:lang w:eastAsia="zh-CN"/>
        </w:rPr>
        <w:t>茂县妇幼保健院</w:t>
      </w:r>
      <w:r>
        <w:rPr>
          <w:rStyle w:val="0"/>
          <w:rFonts w:ascii="仿宋_GB2312" w:eastAsia="仿宋_GB2312" w:cs="仿宋_GB2312" w:hint="eastAsia"/>
          <w:bCs/>
          <w:kern w:val="0"/>
          <w:sz w:val="30"/>
        </w:rPr>
        <w:t>机关运行经费支出0万元。</w:t>
      </w:r>
    </w:p>
    <w:p>
      <w:pPr>
        <w:autoSpaceDE w:val="0"/>
        <w:autoSpaceDN w:val="0"/>
        <w:adjustRightInd w:val="0"/>
        <w:spacing w:line="600" w:lineRule="exact"/>
        <w:ind w:firstLineChars="200" w:firstLine="640"/>
        <w:jc w:val="left"/>
        <w:outlineLvl w:val="2"/>
        <w:rPr>
          <w:rFonts w:ascii="仿宋" w:eastAsia="仿宋"/>
          <w:b/>
          <w:color w:val="auto"/>
          <w:sz w:val="32"/>
          <w:szCs w:val="32"/>
          <w:highlight w:val="auto"/>
        </w:rPr>
      </w:pPr>
      <w:r>
        <w:rPr>
          <w:rFonts w:ascii="仿宋" w:eastAsia="仿宋" w:hint="eastAsia"/>
          <w:b/>
          <w:color w:val="auto"/>
          <w:sz w:val="32"/>
          <w:szCs w:val="32"/>
          <w:highlight w:val="auto"/>
        </w:rPr>
        <w:t>（二）政府采购支出情况</w:t>
      </w:r>
    </w:p>
    <w:p>
      <w:pPr>
        <w:spacing w:line="600" w:lineRule="exact"/>
        <w:ind w:firstLine="645"/>
        <w:rPr>
          <w:rStyle w:val="0"/>
          <w:rFonts w:ascii="仿宋_GB2312" w:eastAsia="仿宋_GB2312" w:cs="仿宋_GB2312" w:hint="eastAsia"/>
          <w:bCs/>
          <w:kern w:val="0"/>
          <w:sz w:val="30"/>
          <w:highlight w:val="auto"/>
        </w:rPr>
      </w:pPr>
      <w:r>
        <w:rPr>
          <w:rStyle w:val="0"/>
          <w:rFonts w:ascii="仿宋_GB2312" w:eastAsia="仿宋_GB2312" w:cs="仿宋_GB2312" w:hint="eastAsia"/>
          <w:bCs/>
          <w:kern w:val="0"/>
          <w:sz w:val="30"/>
          <w:lang w:eastAsia="zh-CN"/>
          <w:highlight w:val="auto"/>
        </w:rPr>
        <w:t>2024年度</w:t>
      </w:r>
      <w:r>
        <w:rPr>
          <w:rStyle w:val="0"/>
          <w:rFonts w:ascii="仿宋_GB2312" w:eastAsia="仿宋_GB2312" w:cs="仿宋_GB2312" w:hint="eastAsia"/>
          <w:bCs/>
          <w:kern w:val="0"/>
          <w:sz w:val="30"/>
          <w:highlight w:val="auto"/>
        </w:rPr>
        <w:t>，</w:t>
      </w:r>
      <w:r>
        <w:rPr>
          <w:rStyle w:val="0"/>
          <w:rFonts w:ascii="仿宋_GB2312" w:eastAsia="仿宋_GB2312" w:cs="仿宋_GB2312" w:hint="eastAsia"/>
          <w:bCs/>
          <w:kern w:val="0"/>
          <w:sz w:val="30"/>
          <w:lang w:eastAsia="zh-CN"/>
        </w:rPr>
        <w:t>茂县妇幼保健院</w:t>
      </w:r>
      <w:r>
        <w:rPr>
          <w:rStyle w:val="0"/>
          <w:rFonts w:ascii="仿宋_GB2312" w:eastAsia="仿宋_GB2312" w:cs="仿宋_GB2312" w:hint="eastAsia"/>
          <w:bCs/>
          <w:kern w:val="0"/>
          <w:sz w:val="30"/>
          <w:highlight w:val="auto"/>
        </w:rPr>
        <w:t>政府采购支出总额</w:t>
      </w:r>
      <w:r>
        <w:rPr>
          <w:rStyle w:val="0"/>
          <w:rFonts w:ascii="仿宋_GB2312" w:eastAsia="仿宋_GB2312" w:cs="仿宋_GB2312" w:hint="eastAsia"/>
          <w:bCs/>
          <w:kern w:val="0"/>
          <w:sz w:val="30"/>
          <w:lang w:val="en-US" w:eastAsia="zh-CN"/>
          <w:highlight w:val="auto"/>
        </w:rPr>
        <w:t>407.28</w:t>
      </w:r>
      <w:r>
        <w:rPr>
          <w:rStyle w:val="0"/>
          <w:rFonts w:ascii="仿宋_GB2312" w:eastAsia="仿宋_GB2312" w:cs="仿宋_GB2312" w:hint="eastAsia"/>
          <w:bCs/>
          <w:kern w:val="0"/>
          <w:sz w:val="30"/>
          <w:highlight w:val="auto"/>
        </w:rPr>
        <w:t>万元，其中：政府采购货物支出</w:t>
      </w:r>
      <w:r>
        <w:rPr>
          <w:rStyle w:val="0"/>
          <w:rFonts w:ascii="仿宋_GB2312" w:eastAsia="仿宋_GB2312" w:cs="仿宋_GB2312" w:hint="eastAsia"/>
          <w:bCs/>
          <w:kern w:val="0"/>
          <w:sz w:val="30"/>
          <w:lang w:val="en-US" w:eastAsia="zh-CN"/>
          <w:highlight w:val="auto"/>
        </w:rPr>
        <w:t>131.23</w:t>
      </w:r>
      <w:r>
        <w:rPr>
          <w:rStyle w:val="0"/>
          <w:rFonts w:ascii="仿宋_GB2312" w:eastAsia="仿宋_GB2312" w:cs="仿宋_GB2312" w:hint="eastAsia"/>
          <w:bCs/>
          <w:kern w:val="0"/>
          <w:sz w:val="30"/>
          <w:highlight w:val="auto"/>
        </w:rPr>
        <w:t>万元、政府采购工程支出</w:t>
      </w:r>
      <w:r>
        <w:rPr>
          <w:rStyle w:val="0"/>
          <w:rFonts w:ascii="仿宋_GB2312" w:eastAsia="仿宋_GB2312" w:cs="仿宋_GB2312" w:hint="eastAsia"/>
          <w:bCs/>
          <w:kern w:val="0"/>
          <w:sz w:val="30"/>
          <w:lang w:val="en-US" w:eastAsia="zh-CN"/>
          <w:highlight w:val="auto"/>
        </w:rPr>
        <w:t>147.12</w:t>
      </w:r>
      <w:r>
        <w:rPr>
          <w:rStyle w:val="0"/>
          <w:rFonts w:ascii="仿宋_GB2312" w:eastAsia="仿宋_GB2312" w:cs="仿宋_GB2312" w:hint="eastAsia"/>
          <w:bCs/>
          <w:kern w:val="0"/>
          <w:sz w:val="30"/>
          <w:highlight w:val="auto"/>
        </w:rPr>
        <w:t>万元、政府采购服务支出</w:t>
      </w:r>
      <w:r>
        <w:rPr>
          <w:rStyle w:val="0"/>
          <w:rFonts w:ascii="仿宋_GB2312" w:eastAsia="仿宋_GB2312" w:cs="仿宋_GB2312" w:hint="eastAsia"/>
          <w:bCs/>
          <w:kern w:val="0"/>
          <w:sz w:val="30"/>
          <w:lang w:val="en-US" w:eastAsia="zh-CN"/>
          <w:highlight w:val="auto"/>
        </w:rPr>
        <w:t>128.93</w:t>
      </w:r>
      <w:r>
        <w:rPr>
          <w:rStyle w:val="0"/>
          <w:rFonts w:ascii="仿宋_GB2312" w:eastAsia="仿宋_GB2312" w:cs="仿宋_GB2312" w:hint="eastAsia"/>
          <w:bCs/>
          <w:kern w:val="0"/>
          <w:sz w:val="30"/>
          <w:highlight w:val="auto"/>
        </w:rPr>
        <w:t>万元。主要用于</w:t>
      </w:r>
      <w:r>
        <w:rPr>
          <w:rStyle w:val="0"/>
          <w:rFonts w:ascii="仿宋_GB2312" w:eastAsia="仿宋_GB2312" w:cs="仿宋_GB2312" w:hint="eastAsia"/>
          <w:bCs/>
          <w:kern w:val="0"/>
          <w:sz w:val="30"/>
          <w:lang w:eastAsia="zh-CN"/>
          <w:highlight w:val="auto"/>
        </w:rPr>
        <w:t>茂县妇幼保健院综合能力提升项目及茂县中羌医康养中心建设</w:t>
      </w:r>
      <w:r>
        <w:rPr>
          <w:rStyle w:val="0"/>
          <w:rFonts w:ascii="仿宋_GB2312" w:eastAsia="仿宋_GB2312" w:cs="仿宋_GB2312" w:hint="eastAsia"/>
          <w:bCs/>
          <w:kern w:val="0"/>
          <w:sz w:val="30"/>
          <w:highlight w:val="auto"/>
        </w:rPr>
        <w:t>。授予中小企业合同金额</w:t>
      </w:r>
      <w:r>
        <w:rPr>
          <w:rStyle w:val="0"/>
          <w:rFonts w:ascii="仿宋_GB2312" w:eastAsia="仿宋_GB2312" w:cs="仿宋_GB2312" w:hint="eastAsia"/>
          <w:bCs/>
          <w:kern w:val="0"/>
          <w:sz w:val="30"/>
          <w:lang w:val="en-US" w:eastAsia="zh-CN"/>
          <w:highlight w:val="auto"/>
        </w:rPr>
        <w:t>278.34</w:t>
      </w:r>
      <w:r>
        <w:rPr>
          <w:rStyle w:val="0"/>
          <w:rFonts w:ascii="仿宋_GB2312" w:eastAsia="仿宋_GB2312" w:cs="仿宋_GB2312" w:hint="eastAsia"/>
          <w:bCs/>
          <w:kern w:val="0"/>
          <w:sz w:val="30"/>
          <w:highlight w:val="auto"/>
        </w:rPr>
        <w:t>万元，占政府采购支出总额的</w:t>
      </w:r>
      <w:r>
        <w:rPr>
          <w:rStyle w:val="0"/>
          <w:rFonts w:ascii="仿宋_GB2312" w:eastAsia="仿宋_GB2312" w:cs="仿宋_GB2312" w:hint="eastAsia"/>
          <w:bCs/>
          <w:kern w:val="0"/>
          <w:sz w:val="30"/>
          <w:lang w:val="en-US" w:eastAsia="zh-CN"/>
          <w:highlight w:val="auto"/>
        </w:rPr>
        <w:t>68.34</w:t>
      </w:r>
      <w:r>
        <w:rPr>
          <w:rStyle w:val="0"/>
          <w:rFonts w:ascii="仿宋_GB2312" w:eastAsia="仿宋_GB2312" w:cs="仿宋_GB2312" w:hint="eastAsia"/>
          <w:bCs/>
          <w:kern w:val="0"/>
          <w:sz w:val="30"/>
          <w:highlight w:val="auto"/>
        </w:rPr>
        <w:t>%，其中：授予小微企业合同金额</w:t>
      </w:r>
      <w:r>
        <w:rPr>
          <w:rStyle w:val="0"/>
          <w:rFonts w:ascii="仿宋_GB2312" w:eastAsia="仿宋_GB2312" w:cs="仿宋_GB2312" w:hint="eastAsia"/>
          <w:bCs/>
          <w:kern w:val="0"/>
          <w:sz w:val="30"/>
          <w:lang w:val="en-US" w:eastAsia="zh-CN"/>
          <w:highlight w:val="auto"/>
        </w:rPr>
        <w:t>278.34</w:t>
      </w:r>
      <w:r>
        <w:rPr>
          <w:rStyle w:val="0"/>
          <w:rFonts w:ascii="仿宋_GB2312" w:eastAsia="仿宋_GB2312" w:cs="仿宋_GB2312" w:hint="eastAsia"/>
          <w:bCs/>
          <w:kern w:val="0"/>
          <w:sz w:val="30"/>
          <w:highlight w:val="auto"/>
        </w:rPr>
        <w:t>万元，占政府采购支出总额的</w:t>
      </w:r>
      <w:r>
        <w:rPr>
          <w:rStyle w:val="0"/>
          <w:rFonts w:ascii="仿宋_GB2312" w:eastAsia="仿宋_GB2312" w:cs="仿宋_GB2312" w:hint="eastAsia"/>
          <w:bCs/>
          <w:kern w:val="0"/>
          <w:sz w:val="30"/>
          <w:lang w:val="en-US" w:eastAsia="zh-CN"/>
          <w:highlight w:val="auto"/>
        </w:rPr>
        <w:t>68.34</w:t>
      </w:r>
      <w:r>
        <w:rPr>
          <w:rStyle w:val="0"/>
          <w:rFonts w:ascii="仿宋_GB2312" w:eastAsia="仿宋_GB2312" w:cs="仿宋_GB2312" w:hint="eastAsia"/>
          <w:bCs/>
          <w:kern w:val="0"/>
          <w:sz w:val="30"/>
          <w:highlight w:val="auto"/>
        </w:rPr>
        <w:t>%。</w:t>
      </w:r>
    </w:p>
    <w:p>
      <w:pPr>
        <w:autoSpaceDE w:val="0"/>
        <w:autoSpaceDN w:val="0"/>
        <w:adjustRightInd w:val="0"/>
        <w:spacing w:line="600" w:lineRule="exact"/>
        <w:ind w:firstLineChars="200" w:firstLine="640"/>
        <w:jc w:val="left"/>
        <w:outlineLvl w:val="2"/>
        <w:rPr>
          <w:rFonts w:ascii="仿宋" w:eastAsia="仿宋"/>
          <w:b/>
          <w:color w:val="auto"/>
          <w:sz w:val="32"/>
          <w:szCs w:val="32"/>
          <w:highlight w:val="auto"/>
        </w:rPr>
      </w:pPr>
      <w:r>
        <w:rPr>
          <w:rFonts w:ascii="仿宋" w:eastAsia="仿宋" w:hint="eastAsia"/>
          <w:b/>
          <w:color w:val="auto"/>
          <w:sz w:val="32"/>
          <w:szCs w:val="32"/>
          <w:highlight w:val="auto"/>
        </w:rPr>
        <w:t>（三）国有资产占有使用情况</w:t>
      </w:r>
    </w:p>
    <w:p>
      <w:pPr>
        <w:spacing w:line="600" w:lineRule="exact"/>
        <w:ind w:firstLine="645"/>
        <w:rPr>
          <w:rStyle w:val="0"/>
          <w:rFonts w:ascii="仿宋_GB2312" w:eastAsia="仿宋_GB2312" w:cs="仿宋_GB2312" w:hint="eastAsia"/>
          <w:bCs/>
          <w:kern w:val="0"/>
          <w:sz w:val="30"/>
          <w:highlight w:val="auto"/>
        </w:rPr>
      </w:pPr>
      <w:r>
        <w:rPr>
          <w:rStyle w:val="0"/>
          <w:rFonts w:ascii="仿宋_GB2312" w:eastAsia="仿宋_GB2312" w:cs="仿宋_GB2312" w:hint="eastAsia"/>
          <w:bCs/>
          <w:kern w:val="0"/>
          <w:sz w:val="30"/>
          <w:highlight w:val="auto"/>
        </w:rPr>
        <w:t>截至2024年12月31日，</w:t>
      </w:r>
      <w:r>
        <w:rPr>
          <w:rStyle w:val="0"/>
          <w:rFonts w:ascii="仿宋_GB2312" w:eastAsia="仿宋_GB2312" w:cs="仿宋_GB2312" w:hint="eastAsia"/>
          <w:bCs/>
          <w:kern w:val="0"/>
          <w:sz w:val="30"/>
        </w:rPr>
        <w:t>茂县妇幼保健院共有车辆</w:t>
      </w:r>
      <w:r>
        <w:rPr>
          <w:rStyle w:val="0"/>
          <w:rFonts w:ascii="仿宋_GB2312" w:eastAsia="仿宋_GB2312" w:cs="仿宋_GB2312" w:hint="eastAsia"/>
          <w:bCs/>
          <w:kern w:val="0"/>
          <w:sz w:val="30"/>
          <w:lang w:val="en-US"/>
        </w:rPr>
        <w:t>4</w:t>
      </w:r>
      <w:r>
        <w:rPr>
          <w:rStyle w:val="0"/>
          <w:rFonts w:ascii="仿宋_GB2312" w:eastAsia="仿宋_GB2312" w:cs="仿宋_GB2312" w:hint="eastAsia"/>
          <w:bCs/>
          <w:kern w:val="0"/>
          <w:sz w:val="30"/>
        </w:rPr>
        <w:t>辆，其中：主要领导干部用车0辆、机要通信用车0辆、应急保障用车</w:t>
      </w:r>
      <w:r>
        <w:rPr>
          <w:rStyle w:val="0"/>
          <w:rFonts w:ascii="仿宋_GB2312" w:eastAsia="仿宋_GB2312" w:cs="仿宋_GB2312" w:hint="eastAsia"/>
          <w:bCs/>
          <w:kern w:val="0"/>
          <w:sz w:val="30"/>
          <w:lang w:val="en-US"/>
        </w:rPr>
        <w:t>4</w:t>
      </w:r>
      <w:r>
        <w:rPr>
          <w:rStyle w:val="0"/>
          <w:rFonts w:ascii="仿宋_GB2312" w:eastAsia="仿宋_GB2312" w:cs="仿宋_GB2312" w:hint="eastAsia"/>
          <w:bCs/>
          <w:kern w:val="0"/>
          <w:sz w:val="30"/>
        </w:rPr>
        <w:t>辆、其他用车</w:t>
      </w:r>
      <w:r>
        <w:rPr>
          <w:rStyle w:val="0"/>
          <w:rFonts w:ascii="仿宋_GB2312" w:eastAsia="仿宋_GB2312" w:cs="仿宋_GB2312" w:hint="eastAsia"/>
          <w:bCs/>
          <w:kern w:val="0"/>
          <w:sz w:val="30"/>
          <w:lang w:val="en-US"/>
        </w:rPr>
        <w:t>0</w:t>
      </w:r>
      <w:r>
        <w:rPr>
          <w:rStyle w:val="0"/>
          <w:rFonts w:ascii="仿宋_GB2312" w:eastAsia="仿宋_GB2312" w:cs="仿宋_GB2312" w:hint="eastAsia"/>
          <w:bCs/>
          <w:kern w:val="0"/>
          <w:sz w:val="30"/>
        </w:rPr>
        <w:t>辆。无单价50万元以上通用设备及单价100万元以上专用设备。</w:t>
      </w:r>
    </w:p>
    <w:p>
      <w:pPr>
        <w:autoSpaceDE w:val="0"/>
        <w:autoSpaceDN w:val="0"/>
        <w:adjustRightInd w:val="0"/>
        <w:spacing w:line="600" w:lineRule="exact"/>
        <w:ind w:firstLineChars="200" w:firstLine="640"/>
        <w:jc w:val="left"/>
        <w:outlineLvl w:val="2"/>
        <w:rPr>
          <w:rFonts w:ascii="仿宋" w:eastAsia="仿宋" w:hint="eastAsia"/>
          <w:b/>
          <w:color w:val="auto"/>
          <w:sz w:val="32"/>
          <w:szCs w:val="32"/>
          <w:lang w:eastAsia="zh-CN"/>
          <w:highlight w:val="auto"/>
        </w:rPr>
      </w:pPr>
      <w:r>
        <w:rPr>
          <w:rFonts w:ascii="仿宋" w:eastAsia="仿宋" w:hint="eastAsia"/>
          <w:b/>
          <w:color w:val="auto"/>
          <w:sz w:val="32"/>
          <w:szCs w:val="32"/>
          <w:highlight w:val="auto"/>
        </w:rPr>
        <w:t>（四）预算绩效管理情况</w:t>
      </w:r>
    </w:p>
    <w:p>
      <w:pPr>
        <w:spacing w:line="600" w:lineRule="exact"/>
        <w:ind w:firstLine="645"/>
        <w:rPr>
          <w:rStyle w:val="0"/>
          <w:rFonts w:ascii="仿宋_GB2312" w:eastAsia="仿宋_GB2312" w:cs="仿宋_GB2312" w:hint="eastAsia"/>
          <w:bCs/>
          <w:kern w:val="0"/>
          <w:sz w:val="30"/>
          <w:lang w:val="en-US" w:eastAsia="zh-CN" w:bidi="ar-SA"/>
          <w:highlight w:val="auto"/>
        </w:rPr>
      </w:pPr>
      <w:r>
        <w:rPr>
          <w:rStyle w:val="0"/>
          <w:rFonts w:ascii="仿宋_GB2312" w:eastAsia="仿宋_GB2312" w:cs="仿宋_GB2312" w:hint="eastAsia"/>
          <w:bCs/>
          <w:kern w:val="0"/>
          <w:sz w:val="30"/>
          <w:lang w:val="en-US" w:eastAsia="zh-CN" w:bidi="ar-SA"/>
          <w:highlight w:val="auto"/>
        </w:rPr>
        <w:t>根据预算绩效管理要求，本单位在2024年度预算编制阶段，组织对“两癌筛查”1个项目开展了预算事前绩效评估，对1个项目编制了绩效目标，预算执行过程中，选取1个项目开展绩效监控。</w:t>
      </w:r>
    </w:p>
    <w:p>
      <w:pPr>
        <w:spacing w:line="600" w:lineRule="exact"/>
        <w:ind w:firstLine="645"/>
        <w:rPr>
          <w:rStyle w:val="0"/>
          <w:rFonts w:ascii="仿宋_GB2312" w:eastAsia="仿宋_GB2312" w:cs="仿宋_GB2312" w:hint="eastAsia"/>
          <w:bCs/>
          <w:kern w:val="0"/>
          <w:sz w:val="30"/>
          <w:lang w:val="en-US" w:eastAsia="zh-CN" w:bidi="ar-SA"/>
          <w:highlight w:val="auto"/>
        </w:rPr>
      </w:pPr>
      <w:r>
        <w:rPr>
          <w:rStyle w:val="0"/>
          <w:rFonts w:ascii="仿宋_GB2312" w:eastAsia="仿宋_GB2312" w:cs="仿宋_GB2312" w:hint="eastAsia"/>
          <w:bCs/>
          <w:kern w:val="0"/>
          <w:sz w:val="30"/>
          <w:lang w:val="en-US" w:eastAsia="zh-CN" w:bidi="ar-SA"/>
          <w:highlight w:val="auto"/>
        </w:rPr>
        <w:t>组织对2024年度一般公共预算、政府性基金预算、国有资本经营预算、社会保险基金预算以及资本资产、债券资金等全面开展绩效自评，形成茂县妇幼保健院部门整体（含部门预算项目）绩效自评报告、“两癌筛查”专项预算项目绩效自评报告，其中，茂县妇幼保健院部门整体（含部门预算项目）绩效自评得分为88分，绩效自评综述：围绕医疗质量、服务效率、患者满意度及公共卫生职能展开进行评价，总体目标完成良好。“两癌筛查”专项预算项目绩效自评得分为83分，绩效自评综述：</w:t>
      </w:r>
      <w:r>
        <w:rPr>
          <w:rStyle w:val="0"/>
          <w:rFonts w:ascii="仿宋_GB2312" w:eastAsia="仿宋_GB2312" w:cs="仿宋_GB2312" w:hint="eastAsia"/>
          <w:bCs/>
          <w:kern w:val="0"/>
          <w:sz w:val="30"/>
          <w:lang w:val="zh-CN" w:eastAsia="zh-CN" w:bidi="ar-SA"/>
          <w:highlight w:val="auto"/>
        </w:rPr>
        <w:t>通过项目实施，妇女对两癌防治知识的知晓率显著提升，确诊患者得到及时治疗，生存率得到提高，群众对筛查服务的满意度大于等于90%。</w:t>
      </w:r>
      <w:r>
        <w:rPr>
          <w:rStyle w:val="0"/>
          <w:rFonts w:ascii="仿宋_GB2312" w:eastAsia="仿宋_GB2312" w:cs="仿宋_GB2312" w:hint="eastAsia"/>
          <w:bCs/>
          <w:kern w:val="0"/>
          <w:sz w:val="30"/>
          <w:lang w:val="en-US" w:eastAsia="zh-CN" w:bidi="ar-SA"/>
          <w:highlight w:val="auto"/>
        </w:rPr>
        <w:t>绩效自评报告详见附件。</w:t>
      </w:r>
    </w:p>
    <w:p>
      <w:pPr>
        <w:spacing w:line="600" w:lineRule="exact"/>
        <w:ind w:firstLine="640"/>
        <w:rPr>
          <w:rFonts w:ascii="Times New Roman" w:eastAsia="仿宋_GB2312" w:cs="仿宋_GB2312" w:hAnsi="Times New Roman" w:hint="eastAsia"/>
          <w:color w:val="auto"/>
          <w:kern w:val="2"/>
          <w:sz w:val="32"/>
          <w:szCs w:val="32"/>
          <w:lang w:val="en-US" w:eastAsia="zh-CN" w:bidi="ar-SA"/>
          <w:highlight w:val="auto"/>
        </w:rPr>
      </w:pPr>
    </w:p>
    <w:p>
      <w:pPr>
        <w:spacing w:line="600" w:lineRule="exact"/>
        <w:jc w:val="center"/>
        <w:outlineLvl w:val="0"/>
        <w:rPr>
          <w:rFonts w:ascii="Times New Roman" w:eastAsia="黑体" w:hAnsi="Times New Roman" w:hint="eastAsia"/>
          <w:color w:val="auto"/>
          <w:sz w:val="44"/>
          <w:szCs w:val="44"/>
          <w:highlight w:val="auto"/>
        </w:rPr>
      </w:pPr>
      <w:bookmarkStart w:id="47" w:name="_Toc15396613"/>
      <w:bookmarkStart w:id="48" w:name="_Toc15377225"/>
      <w:r>
        <w:rPr>
          <w:rFonts w:ascii="Times New Roman" w:eastAsia="黑体" w:hAnsi="Times New Roman" w:hint="eastAsia"/>
          <w:color w:val="auto"/>
          <w:sz w:val="44"/>
          <w:szCs w:val="44"/>
          <w:highlight w:val="auto"/>
        </w:rPr>
        <w:t>第</w:t>
      </w:r>
      <w:r>
        <w:rPr>
          <w:rFonts w:eastAsia="黑体" w:hint="eastAsia"/>
          <w:color w:val="auto"/>
          <w:sz w:val="44"/>
          <w:szCs w:val="44"/>
          <w:lang w:eastAsia="zh-CN"/>
          <w:highlight w:val="auto"/>
        </w:rPr>
        <w:t>三</w:t>
      </w:r>
      <w:r>
        <w:rPr>
          <w:rFonts w:ascii="Times New Roman" w:eastAsia="黑体" w:hAnsi="Times New Roman" w:hint="eastAsia"/>
          <w:color w:val="auto"/>
          <w:sz w:val="44"/>
          <w:szCs w:val="44"/>
          <w:highlight w:val="auto"/>
        </w:rPr>
        <w:t>部分</w:t>
      </w:r>
      <w:r>
        <w:rPr>
          <w:rFonts w:ascii="Times New Roman" w:eastAsia="黑体" w:hAnsi="Times New Roman" w:hint="eastAsia"/>
          <w:color w:val="auto"/>
          <w:sz w:val="44"/>
          <w:szCs w:val="44"/>
          <w:lang w:val="en-US" w:eastAsia="zh-CN"/>
          <w:highlight w:val="auto"/>
        </w:rPr>
        <w:t xml:space="preserve"> </w:t>
      </w:r>
      <w:r>
        <w:rPr>
          <w:rFonts w:eastAsia="黑体" w:hint="eastAsia"/>
          <w:color w:val="auto"/>
          <w:sz w:val="44"/>
          <w:szCs w:val="44"/>
          <w:lang w:val="en-US" w:eastAsia="zh-CN"/>
          <w:highlight w:val="auto"/>
        </w:rPr>
        <w:t xml:space="preserve"> </w:t>
      </w:r>
      <w:r>
        <w:rPr>
          <w:rFonts w:ascii="Times New Roman" w:eastAsia="黑体" w:hAnsi="Times New Roman" w:hint="eastAsia"/>
          <w:color w:val="auto"/>
          <w:sz w:val="44"/>
          <w:szCs w:val="44"/>
          <w:highlight w:val="auto"/>
        </w:rPr>
        <w:t>名词解释</w:t>
      </w:r>
      <w:bookmarkEnd w:id="47"/>
      <w:bookmarkEnd w:id="48"/>
    </w:p>
    <w:p>
      <w:pPr>
        <w:spacing w:line="600" w:lineRule="exact"/>
        <w:jc w:val="left"/>
        <w:rPr>
          <w:rFonts w:ascii="Times New Roman" w:hAnsi="Times New Roman"/>
          <w:b/>
          <w:color w:val="auto"/>
          <w:sz w:val="44"/>
          <w:szCs w:val="44"/>
          <w:highlight w:val="auto"/>
        </w:rPr>
      </w:pPr>
    </w:p>
    <w:p>
      <w:pPr>
        <w:spacing w:line="600" w:lineRule="exact"/>
        <w:ind w:firstLine="645"/>
        <w:rPr>
          <w:rStyle w:val="0"/>
          <w:rFonts w:ascii="仿宋_GB2312" w:eastAsia="仿宋_GB2312" w:cs="仿宋_GB2312" w:hint="eastAsia"/>
          <w:bCs/>
          <w:kern w:val="0"/>
          <w:sz w:val="30"/>
        </w:rPr>
      </w:pPr>
      <w:bookmarkStart w:id="49" w:name="_Toc15377226"/>
      <w:r>
        <w:rPr>
          <w:rStyle w:val="0"/>
          <w:rFonts w:ascii="仿宋_GB2312" w:eastAsia="仿宋_GB2312" w:cs="仿宋_GB2312" w:hint="eastAsia"/>
          <w:bCs/>
          <w:kern w:val="0"/>
          <w:sz w:val="30"/>
        </w:rPr>
        <w:t>1.财政拨款收入：指单位从同级财政部门取得的财政预算资金。</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2.事业收入：指事业单位开展专业业务活动及辅助活动取得的收入。</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3.经营收入：指事业单位在专业业务活动及其辅助活动之外开展非独立核算经营活动取得的收入。</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4.其他收入：指单位取得的除上述收入以外的各项收入。</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5.使用非财政拨款结余：指事业单位使用以前年度积累的非财政拨款结余弥补当年收支差额的金额。</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6.年初结转和结余：指以前年度尚未完成、结转到本年按有关规定继续使用的资金。</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7.结余分配：指事业单位按照会计制度规定缴纳的所得税、提取的专用结余以及转入非财政拨款结余的金额等。</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8.年末结转和结余：指单位按有关规定结转到下年或以后年度继续使用的资金。</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9.社会保障和就业支出（类）行政事业单位养老支出（款）机关事业单位基本养老保险缴费支出（项）:反映机关事业单位实施养老保险制度由单位缴纳的基本养老保险支出。</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10.社会保障和就业支出（类）行政事业单位养老支出（款）机关事业单位职业年金缴费支出（项）:指反映机关事业单位实施养老保险制度由单位缴纳的基本养老保险费支出。</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11.卫生健康支出（类）公共卫生（款）疾病预防控制机构(项)指反映主要用于事业单位完成日常工作任务而发生的人员支出和公用支出。</w:t>
      </w:r>
    </w:p>
    <w:p>
      <w:pPr>
        <w:spacing w:line="600" w:lineRule="exact"/>
        <w:ind w:firstLine="645"/>
        <w:rPr>
          <w:rStyle w:val="0"/>
          <w:rFonts w:ascii="仿宋_GB2312" w:eastAsia="仿宋_GB2312" w:cs="仿宋_GB2312" w:hint="eastAsia"/>
          <w:bCs/>
          <w:kern w:val="0"/>
          <w:sz w:val="30"/>
          <w:highlight w:val="auto"/>
        </w:rPr>
      </w:pPr>
      <w:r>
        <w:rPr>
          <w:rStyle w:val="0"/>
          <w:rFonts w:ascii="仿宋_GB2312" w:eastAsia="仿宋_GB2312" w:cs="仿宋_GB2312" w:hint="eastAsia"/>
          <w:bCs/>
          <w:kern w:val="0"/>
          <w:sz w:val="30"/>
          <w:highlight w:val="auto"/>
        </w:rPr>
        <w:t>12.卫生健康支出（类）公共卫生（款）基本公共卫生服务（项）:指反映重点地方病、重点疾病及危害因素监测、控制疾病流行、开展职业病监测等支出。</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13.卫生健康支出（类）公共卫生（款）重大公共卫生服务（项）:指反映重大疾病、重大传染病预防控制等重大公共卫生服务项目支出。</w:t>
      </w:r>
    </w:p>
    <w:p>
      <w:pPr>
        <w:spacing w:line="600" w:lineRule="exact"/>
        <w:ind w:firstLine="645"/>
        <w:rPr>
          <w:rStyle w:val="0"/>
          <w:rFonts w:ascii="仿宋_GB2312" w:eastAsia="仿宋_GB2312" w:cs="仿宋_GB2312" w:hint="eastAsia"/>
          <w:bCs/>
          <w:kern w:val="0"/>
          <w:sz w:val="30"/>
          <w:highlight w:val="auto"/>
        </w:rPr>
      </w:pPr>
      <w:r>
        <w:rPr>
          <w:rStyle w:val="0"/>
          <w:rFonts w:ascii="仿宋_GB2312" w:eastAsia="仿宋_GB2312" w:cs="仿宋_GB2312" w:hint="eastAsia"/>
          <w:bCs/>
          <w:kern w:val="0"/>
          <w:sz w:val="30"/>
        </w:rPr>
        <w:t>14.卫生健康支出（类）公共卫生（款）其他公共卫生支出（项）:</w:t>
      </w:r>
      <w:r>
        <w:rPr>
          <w:rStyle w:val="0"/>
          <w:rFonts w:ascii="仿宋_GB2312" w:eastAsia="仿宋_GB2312" w:cs="仿宋_GB2312" w:hint="eastAsia"/>
          <w:bCs/>
          <w:kern w:val="0"/>
          <w:sz w:val="30"/>
          <w:highlight w:val="auto"/>
        </w:rPr>
        <w:t>指反映双随机卫生监测和传染病管理支出。</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15.卫生健康支出（类）行政事业单位医疗（款）事业单位医疗（项）:指反映财政部门安排的事业单位基本医疗保险缴费经费，未参加医疗保险的事业单位的公费医疗经费，按国家规定享受离休人员待遇的医疗经费。</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16.卫生健康支出（类）公共卫生（款）其他卫生健康支出（项）:</w:t>
      </w:r>
      <w:r>
        <w:rPr>
          <w:rStyle w:val="0"/>
          <w:rFonts w:ascii="仿宋_GB2312" w:eastAsia="仿宋_GB2312" w:cs="仿宋_GB2312" w:hint="eastAsia"/>
          <w:bCs/>
          <w:kern w:val="0"/>
          <w:sz w:val="30"/>
          <w:highlight w:val="auto"/>
        </w:rPr>
        <w:t>指反映公共卫生特别服务岗人员工资保险支出。</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17.住房保障支出（类）住房改革支出（款）住房公积金（项）:指反映行政事业单位按人力资源和社会保障部、财政部规定的基本工资和津贴以及规定比例为职工缴纳的住房公积金。</w:t>
      </w:r>
    </w:p>
    <w:p>
      <w:pPr>
        <w:spacing w:line="600" w:lineRule="exact"/>
        <w:ind w:firstLine="645"/>
        <w:rPr>
          <w:rStyle w:val="0"/>
          <w:rFonts w:ascii="仿宋_GB2312" w:eastAsia="仿宋_GB2312" w:cs="仿宋_GB2312" w:hint="eastAsia"/>
          <w:bCs/>
          <w:kern w:val="0"/>
          <w:sz w:val="30"/>
          <w:highlight w:val="auto"/>
        </w:rPr>
      </w:pPr>
      <w:r>
        <w:rPr>
          <w:rStyle w:val="0"/>
          <w:rFonts w:ascii="仿宋_GB2312" w:eastAsia="仿宋_GB2312" w:cs="仿宋_GB2312" w:hint="eastAsia"/>
          <w:bCs/>
          <w:kern w:val="0"/>
          <w:sz w:val="30"/>
          <w:highlight w:val="auto"/>
        </w:rPr>
        <w:t>18.住房保障支出（类）住房改革支出（款）购房补贴（项）:指反映行政事业单位按人力资源和社会保障部规定发放给单位退休职工一次性住房补助费及搬家费。</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19.基本支出：指为保障机构正常运转、完成日常工作任务而发生的人员支出和公用支出。</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 xml:space="preserve">20.项目支出：指在基本支出之外为完成特定行政任务和事业发展目标所发生的支出。 </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21.经营支出：指事业单位在专业业务活动及其辅助活动之外开展非独立核算经营活动发生的支出。</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5"/>
        <w:rPr>
          <w:rStyle w:val="0"/>
          <w:rFonts w:ascii="仿宋_GB2312" w:eastAsia="仿宋_GB2312" w:cs="仿宋_GB2312" w:hint="eastAsia"/>
          <w:bCs/>
          <w:kern w:val="0"/>
          <w:sz w:val="30"/>
        </w:rPr>
      </w:pPr>
      <w:r>
        <w:rPr>
          <w:rStyle w:val="0"/>
          <w:rFonts w:ascii="仿宋_GB2312" w:eastAsia="仿宋_GB2312" w:cs="仿宋_GB2312" w:hint="eastAsia"/>
          <w:bCs/>
          <w:kern w:val="0"/>
          <w:sz w:val="30"/>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pPr>
        <w:spacing w:line="600" w:lineRule="exact"/>
        <w:jc w:val="center"/>
        <w:rPr>
          <w:rStyle w:val="1Char"/>
          <w:rFonts w:ascii="Times New Roman" w:eastAsia="黑体" w:hAnsi="Times New Roman" w:hint="eastAsia"/>
          <w:b w:val="0"/>
          <w:color w:val="auto"/>
          <w:lang w:eastAsia="zh-CN"/>
          <w:highlight w:val="auto"/>
        </w:rPr>
      </w:pPr>
      <w:r>
        <w:rPr>
          <w:rFonts w:ascii="Times New Roman" w:eastAsia="仿宋_GB2312" w:cs="仿宋_GB2312" w:hAnsi="Times New Roman" w:hint="eastAsia"/>
          <w:color w:val="auto"/>
          <w:kern w:val="2"/>
          <w:sz w:val="32"/>
          <w:szCs w:val="32"/>
          <w:lang w:val="en-US" w:eastAsia="zh-CN" w:bidi="ar-SA"/>
          <w:highlight w:val="auto"/>
        </w:rPr>
        <w:br w:type="page"/>
      </w:r>
      <w:bookmarkStart w:id="50" w:name="_Toc15396614"/>
      <w:r>
        <w:rPr>
          <w:rFonts w:ascii="Times New Roman" w:eastAsia="黑体" w:hAnsi="Times New Roman" w:hint="eastAsia"/>
          <w:color w:val="auto"/>
          <w:sz w:val="44"/>
          <w:szCs w:val="44"/>
          <w:highlight w:val="auto"/>
        </w:rPr>
        <w:t>第四部分</w:t>
      </w:r>
      <w:r>
        <w:rPr>
          <w:rFonts w:ascii="Times New Roman" w:eastAsia="黑体" w:hAnsi="Times New Roman" w:hint="eastAsia"/>
          <w:color w:val="auto"/>
          <w:sz w:val="44"/>
          <w:szCs w:val="44"/>
          <w:lang w:val="en-US" w:eastAsia="zh-CN"/>
          <w:highlight w:val="auto"/>
        </w:rPr>
        <w:t xml:space="preserve"> </w:t>
      </w:r>
      <w:r>
        <w:rPr>
          <w:rFonts w:ascii="Times New Roman" w:eastAsia="黑体" w:hAnsi="Times New Roman" w:hint="eastAsia"/>
          <w:color w:val="auto"/>
          <w:sz w:val="44"/>
          <w:szCs w:val="44"/>
          <w:highlight w:val="auto"/>
        </w:rPr>
        <w:t xml:space="preserve"> 附件</w:t>
      </w:r>
      <w:bookmarkEnd w:id="50"/>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ascii="Times New Roman" w:eastAsia="黑体" w:cs="黑体" w:hAnsi="Times New Roman" w:hint="eastAsia"/>
          <w:color w:val="FF0000"/>
          <w:sz w:val="32"/>
          <w:szCs w:val="32"/>
          <w:highlight w:val="auto"/>
        </w:rPr>
      </w:pP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ascii="Times New Roman" w:eastAsia="黑体" w:cs="方正小标宋简体" w:hAnsi="Times New Roman" w:hint="eastAsia"/>
          <w:color w:val="auto"/>
          <w:sz w:val="44"/>
          <w:szCs w:val="44"/>
          <w:lang w:val="en-US" w:eastAsia="zh-CN"/>
          <w:highlight w:val="auto"/>
        </w:rPr>
      </w:pPr>
      <w:r>
        <w:rPr>
          <w:rFonts w:ascii="Times New Roman" w:eastAsia="黑体" w:cs="黑体" w:hAnsi="Times New Roman" w:hint="eastAsia"/>
          <w:color w:val="auto"/>
          <w:sz w:val="32"/>
          <w:szCs w:val="32"/>
          <w:highlight w:val="auto"/>
        </w:rPr>
        <w:t>附件</w:t>
      </w:r>
      <w:r>
        <w:rPr>
          <w:rFonts w:ascii="Times New Roman" w:eastAsia="黑体" w:cs="黑体" w:hAnsi="Times New Roman" w:hint="eastAsia"/>
          <w:color w:val="auto"/>
          <w:sz w:val="32"/>
          <w:szCs w:val="32"/>
          <w:lang w:val="en-US" w:eastAsia="zh-CN"/>
          <w:highlight w:val="auto"/>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ascii="Times New Roman" w:eastAsia="方正小标宋简体" w:cs="Times New Roman" w:hAnsi="Times New Roman"/>
          <w:b w:val="0"/>
          <w:bCs/>
          <w:sz w:val="44"/>
          <w:szCs w:val="44"/>
          <w:shd w:val="clear" w:color="auto" w:fill="FFFFFF"/>
          <w:highlight w:val="auto"/>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eastAsia="方正小标宋简体" w:cs="Times New Roman" w:hint="eastAsia"/>
          <w:b w:val="0"/>
          <w:bCs/>
          <w:sz w:val="44"/>
          <w:szCs w:val="44"/>
          <w:shd w:val="clear" w:color="auto" w:fill="FFFFFF"/>
          <w:lang w:val="en-US" w:eastAsia="zh-CN"/>
          <w:highlight w:val="auto"/>
        </w:rPr>
      </w:pPr>
      <w:r>
        <w:rPr>
          <w:rFonts w:eastAsia="方正小标宋简体" w:cs="Times New Roman" w:hint="eastAsia"/>
          <w:b w:val="0"/>
          <w:bCs/>
          <w:sz w:val="44"/>
          <w:szCs w:val="44"/>
          <w:shd w:val="clear" w:color="auto" w:fill="FFFFFF"/>
          <w:lang w:val="en-US" w:eastAsia="zh-CN"/>
          <w:highlight w:val="auto"/>
        </w:rPr>
        <w:t>茂县妇幼保健院</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ascii="Times New Roman" w:eastAsia="方正小标宋简体" w:cs="Times New Roman" w:hAnsi="Times New Roman"/>
          <w:b w:val="0"/>
          <w:bCs/>
          <w:sz w:val="44"/>
          <w:szCs w:val="44"/>
          <w:shd w:val="clear" w:color="auto" w:fill="FFFFFF"/>
          <w:highlight w:val="auto"/>
        </w:rPr>
      </w:pPr>
      <w:r>
        <w:rPr>
          <w:rFonts w:eastAsia="方正小标宋简体" w:cs="Times New Roman" w:hint="eastAsia"/>
          <w:b w:val="0"/>
          <w:bCs/>
          <w:sz w:val="44"/>
          <w:szCs w:val="44"/>
          <w:shd w:val="clear" w:color="auto" w:fill="FFFFFF"/>
          <w:lang w:val="en-US" w:eastAsia="zh-CN"/>
          <w:highlight w:val="auto"/>
        </w:rPr>
        <w:t>2024年</w:t>
      </w:r>
      <w:r>
        <w:rPr>
          <w:rFonts w:ascii="Times New Roman" w:eastAsia="方正小标宋简体" w:cs="Times New Roman" w:hAnsi="Times New Roman"/>
          <w:b w:val="0"/>
          <w:bCs/>
          <w:sz w:val="44"/>
          <w:szCs w:val="44"/>
          <w:shd w:val="clear" w:color="auto" w:fill="FFFFFF"/>
          <w:highlight w:val="auto"/>
        </w:rPr>
        <w:t>部门</w:t>
      </w:r>
      <w:r>
        <w:rPr>
          <w:rFonts w:ascii="Times New Roman" w:eastAsia="方正小标宋简体" w:cs="Times New Roman" w:hAnsi="Times New Roman"/>
          <w:b w:val="0"/>
          <w:bCs/>
          <w:sz w:val="44"/>
          <w:szCs w:val="44"/>
          <w:shd w:val="clear" w:color="auto" w:fill="FFFFFF"/>
          <w:lang w:eastAsia="zh-CN"/>
          <w:highlight w:val="auto"/>
        </w:rPr>
        <w:t>预算</w:t>
      </w:r>
      <w:r>
        <w:rPr>
          <w:rFonts w:ascii="Times New Roman" w:eastAsia="方正小标宋简体" w:cs="Times New Roman" w:hAnsi="Times New Roman"/>
          <w:b w:val="0"/>
          <w:bCs/>
          <w:sz w:val="44"/>
          <w:szCs w:val="44"/>
          <w:shd w:val="clear" w:color="auto" w:fill="FFFFFF"/>
          <w:highlight w:val="auto"/>
        </w:rPr>
        <w:t>绩效</w:t>
      </w:r>
      <w:r>
        <w:rPr>
          <w:rFonts w:ascii="Times New Roman" w:eastAsia="方正小标宋简体" w:cs="Times New Roman" w:hAnsi="Times New Roman" w:hint="eastAsia"/>
          <w:b w:val="0"/>
          <w:bCs/>
          <w:sz w:val="44"/>
          <w:szCs w:val="44"/>
          <w:shd w:val="clear" w:color="auto" w:fill="FFFFFF"/>
          <w:lang w:eastAsia="zh-CN"/>
          <w:highlight w:val="auto"/>
        </w:rPr>
        <w:t>评价</w:t>
      </w:r>
      <w:r>
        <w:rPr>
          <w:rFonts w:ascii="Times New Roman" w:eastAsia="方正小标宋简体" w:cs="Times New Roman" w:hAnsi="Times New Roman"/>
          <w:b w:val="0"/>
          <w:bCs/>
          <w:sz w:val="44"/>
          <w:szCs w:val="44"/>
          <w:shd w:val="clear" w:color="auto" w:fill="FFFFFF"/>
          <w:highlight w:val="auto"/>
        </w:rPr>
        <w:t>报告</w:t>
      </w:r>
    </w:p>
    <w:p>
      <w:pPr>
        <w:keepNext w:val="0"/>
        <w:keepLines w:val="0"/>
        <w:pageBreakBefore w:val="0"/>
        <w:widowControl/>
        <w:kinsoku/>
        <w:wordWrap/>
        <w:overflowPunct/>
        <w:topLinePunct w:val="0"/>
        <w:autoSpaceDE/>
        <w:autoSpaceDN/>
        <w:bidi w:val="0"/>
        <w:adjustRightInd w:val="0"/>
        <w:snapToGrid w:val="0"/>
        <w:spacing w:line="578" w:lineRule="exact"/>
        <w:ind w:firstLineChars="200" w:firstLine="480"/>
        <w:contextualSpacing/>
        <w:jc w:val="left"/>
        <w:textAlignment w:val="auto"/>
        <w:outlineLvl w:val="9"/>
        <w:rPr>
          <w:rFonts w:ascii="Times New Roman" w:eastAsia="黑体" w:cs="Times New Roman" w:hAnsi="Times New Roman"/>
          <w:color w:val="000000"/>
          <w:kern w:val="0"/>
          <w:sz w:val="24"/>
          <w:szCs w:val="32"/>
          <w:shd w:val="clear" w:color="auto" w:fill="FFFFFF"/>
          <w:highlight w:val="auto"/>
        </w:rPr>
      </w:pPr>
    </w:p>
    <w:p>
      <w:pPr>
        <w:keepNext w:val="0"/>
        <w:keepLines w:val="0"/>
        <w:pageBreakBefore w:val="0"/>
        <w:widowControl/>
        <w:kinsoku/>
        <w:wordWrap/>
        <w:overflowPunct/>
        <w:topLinePunct w:val="0"/>
        <w:autoSpaceDE/>
        <w:autoSpaceDN/>
        <w:bidi w:val="0"/>
        <w:adjustRightInd w:val="0"/>
        <w:snapToGrid w:val="0"/>
        <w:spacing w:line="578" w:lineRule="exact"/>
        <w:ind w:left="0" w:firstLineChars="200" w:firstLine="640"/>
        <w:contextualSpacing/>
        <w:jc w:val="left"/>
        <w:textAlignment w:val="auto"/>
        <w:outlineLvl w:val="9"/>
        <w:rPr>
          <w:rFonts w:ascii="Times New Roman" w:eastAsia="黑体" w:cs="Times New Roman" w:hAnsi="Times New Roman"/>
          <w:color w:val="000000"/>
          <w:kern w:val="0"/>
          <w:sz w:val="32"/>
          <w:szCs w:val="32"/>
          <w:shd w:val="clear" w:color="auto" w:fill="FFFFFF"/>
          <w:lang w:val="zh-CN"/>
          <w:highlight w:val="auto"/>
        </w:rPr>
      </w:pPr>
      <w:r>
        <w:rPr>
          <w:rFonts w:ascii="Times New Roman" w:eastAsia="黑体" w:cs="Times New Roman" w:hAnsi="Times New Roman" w:hint="eastAsia"/>
          <w:color w:val="000000"/>
          <w:kern w:val="0"/>
          <w:sz w:val="32"/>
          <w:szCs w:val="32"/>
          <w:shd w:val="clear" w:color="auto" w:fill="FFFFFF"/>
          <w:lang w:val="zh-CN"/>
          <w:highlight w:val="auto"/>
        </w:rPr>
        <w:t>一、</w:t>
      </w:r>
      <w:r>
        <w:rPr>
          <w:rFonts w:ascii="Times New Roman" w:eastAsia="黑体" w:cs="Times New Roman" w:hAnsi="Times New Roman"/>
          <w:color w:val="000000"/>
          <w:kern w:val="0"/>
          <w:sz w:val="32"/>
          <w:szCs w:val="32"/>
          <w:shd w:val="clear" w:color="auto" w:fill="FFFFFF"/>
          <w:lang w:val="zh-CN"/>
          <w:highlight w:val="auto"/>
        </w:rPr>
        <w:t>部门（单位）基本情况</w:t>
      </w:r>
    </w:p>
    <w:p>
      <w:pPr>
        <w:keepNext w:val="0"/>
        <w:keepLines w:val="0"/>
        <w:pageBreakBefore w:val="0"/>
        <w:widowControl/>
        <w:kinsoku/>
        <w:wordWrap/>
        <w:overflowPunct/>
        <w:topLinePunct w:val="0"/>
        <w:autoSpaceDE/>
        <w:autoSpaceDN/>
        <w:bidi w:val="0"/>
        <w:adjustRightInd w:val="0"/>
        <w:snapToGrid w:val="0"/>
        <w:spacing w:line="578" w:lineRule="exact"/>
        <w:ind w:left="0" w:firstLineChars="200" w:firstLine="640"/>
        <w:contextualSpacing/>
        <w:jc w:val="left"/>
        <w:textAlignment w:val="auto"/>
        <w:outlineLvl w:val="9"/>
        <w:rPr>
          <w:rFonts w:ascii="Times New Roman" w:eastAsia="仿宋_GB2312" w:cs="仿宋_GB2312" w:hAnsi="Times New Roman"/>
          <w:color w:val="auto"/>
          <w:kern w:val="2"/>
          <w:sz w:val="32"/>
          <w:szCs w:val="32"/>
          <w:lang w:val="en-US" w:eastAsia="zh-CN" w:bidi="ar-SA"/>
          <w:highlight w:val="auto"/>
        </w:rPr>
      </w:pPr>
      <w:r>
        <w:rPr>
          <w:rFonts w:ascii="Times New Roman" w:eastAsia="楷体_GB2312" w:cs="楷体_GB2312" w:hAnsi="Times New Roman" w:hint="eastAsia"/>
          <w:b/>
          <w:color w:val="auto"/>
          <w:sz w:val="32"/>
          <w:szCs w:val="32"/>
          <w:lang w:val="zh-CN"/>
          <w:highlight w:val="auto"/>
        </w:rPr>
        <w:t>（一）</w:t>
      </w:r>
      <w:r>
        <w:rPr>
          <w:rFonts w:ascii="Times New Roman" w:eastAsia="楷体_GB2312" w:cs="楷体_GB2312" w:hAnsi="Times New Roman"/>
          <w:b/>
          <w:color w:val="auto"/>
          <w:sz w:val="32"/>
          <w:szCs w:val="32"/>
          <w:lang w:val="zh-CN"/>
          <w:highlight w:val="auto"/>
        </w:rPr>
        <w:t>机构组成</w:t>
      </w:r>
    </w:p>
    <w:p>
      <w:pPr>
        <w:spacing w:line="600" w:lineRule="exact"/>
        <w:ind w:firstLine="645"/>
        <w:rPr>
          <w:rStyle w:val="0"/>
          <w:rFonts w:ascii="仿宋_GB2312" w:eastAsia="仿宋_GB2312" w:cs="仿宋_GB2312" w:hint="eastAsia"/>
          <w:bCs/>
          <w:kern w:val="0"/>
          <w:sz w:val="30"/>
          <w:lang w:val="en-US" w:eastAsia="zh-CN" w:bidi="ar-SA"/>
          <w:highlight w:val="auto"/>
        </w:rPr>
      </w:pPr>
      <w:r>
        <w:rPr>
          <w:rStyle w:val="0"/>
          <w:rFonts w:ascii="仿宋_GB2312" w:eastAsia="仿宋_GB2312" w:cs="仿宋_GB2312" w:hint="eastAsia"/>
          <w:bCs/>
          <w:kern w:val="0"/>
          <w:sz w:val="30"/>
          <w:lang w:val="zh-CN"/>
        </w:rPr>
        <w:t>我单位茂县妇幼保健院属财政补助事业单位，为一级预算单位，内设院办、医务科、儿保科、财务科、检验科、超声科、妇保科、康复科等科室。</w:t>
      </w:r>
    </w:p>
    <w:p>
      <w:pPr>
        <w:keepNext w:val="0"/>
        <w:keepLines w:val="0"/>
        <w:pageBreakBefore w:val="0"/>
        <w:widowControl/>
        <w:kinsoku/>
        <w:wordWrap/>
        <w:overflowPunct/>
        <w:topLinePunct w:val="0"/>
        <w:autoSpaceDE/>
        <w:autoSpaceDN/>
        <w:bidi w:val="0"/>
        <w:adjustRightInd w:val="0"/>
        <w:snapToGrid w:val="0"/>
        <w:spacing w:line="578" w:lineRule="exact"/>
        <w:ind w:firstLineChars="200" w:firstLine="640"/>
        <w:contextualSpacing/>
        <w:jc w:val="left"/>
        <w:textAlignment w:val="auto"/>
        <w:outlineLvl w:val="9"/>
        <w:rPr>
          <w:rFonts w:ascii="Times New Roman" w:eastAsia="仿宋_GB2312" w:cs="Times New Roman" w:hAnsi="Times New Roman" w:hint="eastAsia"/>
          <w:sz w:val="32"/>
          <w:szCs w:val="32"/>
          <w:lang w:val="en-US" w:eastAsia="zh-CN"/>
        </w:rPr>
      </w:pPr>
      <w:r>
        <w:rPr>
          <w:rFonts w:ascii="Times New Roman" w:eastAsia="楷体_GB2312" w:cs="楷体_GB2312" w:hAnsi="Times New Roman"/>
          <w:b/>
          <w:color w:val="auto"/>
          <w:sz w:val="32"/>
          <w:szCs w:val="32"/>
          <w:lang w:val="zh-CN"/>
          <w:highlight w:val="auto"/>
        </w:rPr>
        <w:t>（二）机构职能</w:t>
      </w:r>
    </w:p>
    <w:p>
      <w:pPr>
        <w:spacing w:line="600" w:lineRule="exact"/>
        <w:ind w:firstLine="645"/>
        <w:rPr>
          <w:rStyle w:val="0"/>
          <w:rFonts w:ascii="仿宋_GB2312" w:eastAsia="仿宋_GB2312" w:cs="仿宋_GB2312" w:hint="eastAsia"/>
          <w:bCs/>
          <w:kern w:val="0"/>
          <w:sz w:val="30"/>
          <w:lang w:val="zh-CN" w:eastAsia="zh-CN"/>
        </w:rPr>
      </w:pPr>
      <w:r>
        <w:rPr>
          <w:rStyle w:val="0"/>
          <w:rFonts w:ascii="仿宋_GB2312" w:eastAsia="仿宋_GB2312" w:cs="仿宋_GB2312" w:hint="eastAsia"/>
          <w:bCs/>
          <w:kern w:val="0"/>
          <w:sz w:val="30"/>
          <w:lang w:val="zh-CN"/>
        </w:rPr>
        <w:t>深入贯彻《母婴保健法》、《中国妇女发展纲要》、《中国儿童发展纲要》，围绕实现“新两纲”目标和初级卫生保健指标。了解掌握妇女儿童健康状况及影响因素，负责本辖区儿童入托前健康体检及开展各类妇幼保健人员的业务培训，负责指导和开展本辖区妇幼保健健康教育与健康工作。组织实施公共卫生服务项目，如 “免费婚检”“避孕药具”“孕前优生健康检查”“ 预防艾滋病、梅毒及乙肝母婴传播”等。</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Times New Roman" w:eastAsia="楷体_GB2312" w:cs="Times New Roman" w:hAnsi="Times New Roman" w:hint="eastAsia"/>
          <w:b/>
          <w:bCs/>
          <w:color w:val="000000"/>
          <w:kern w:val="0"/>
          <w:sz w:val="32"/>
          <w:szCs w:val="32"/>
          <w:shd w:val="clear" w:color="auto" w:fill="FFFFFF"/>
          <w:lang w:val="zh-CN"/>
          <w:highlight w:val="auto"/>
        </w:rPr>
      </w:pPr>
      <w:r>
        <w:rPr>
          <w:rFonts w:ascii="Times New Roman" w:eastAsia="楷体_GB2312" w:cs="Times New Roman" w:hAnsi="Times New Roman"/>
          <w:b/>
          <w:bCs/>
          <w:color w:val="000000"/>
          <w:kern w:val="0"/>
          <w:sz w:val="32"/>
          <w:szCs w:val="32"/>
          <w:shd w:val="clear" w:color="auto" w:fill="FFFFFF"/>
          <w:lang w:val="zh-CN"/>
          <w:highlight w:val="auto"/>
        </w:rPr>
        <w:t>（</w:t>
      </w:r>
      <w:r>
        <w:rPr>
          <w:rFonts w:ascii="Times New Roman" w:eastAsia="楷体_GB2312" w:cs="Times New Roman" w:hAnsi="Times New Roman" w:hint="eastAsia"/>
          <w:b/>
          <w:bCs/>
          <w:color w:val="000000"/>
          <w:kern w:val="0"/>
          <w:sz w:val="32"/>
          <w:szCs w:val="32"/>
          <w:shd w:val="clear" w:color="auto" w:fill="FFFFFF"/>
          <w:lang w:val="zh-CN"/>
          <w:highlight w:val="auto"/>
        </w:rPr>
        <w:t>三</w:t>
      </w:r>
      <w:r>
        <w:rPr>
          <w:rFonts w:ascii="Times New Roman" w:eastAsia="楷体_GB2312" w:cs="Times New Roman" w:hAnsi="Times New Roman"/>
          <w:b/>
          <w:bCs/>
          <w:color w:val="000000"/>
          <w:kern w:val="0"/>
          <w:sz w:val="32"/>
          <w:szCs w:val="32"/>
          <w:shd w:val="clear" w:color="auto" w:fill="FFFFFF"/>
          <w:lang w:val="zh-CN"/>
          <w:highlight w:val="auto"/>
        </w:rPr>
        <w:t>）人员概况</w:t>
      </w:r>
    </w:p>
    <w:p>
      <w:pPr>
        <w:spacing w:line="600" w:lineRule="exact"/>
        <w:ind w:firstLine="645"/>
        <w:rPr>
          <w:rFonts w:ascii="Times New Roman" w:cs="Times New Roman" w:hAnsi="Times New Roman"/>
          <w:szCs w:val="32"/>
        </w:rPr>
      </w:pPr>
      <w:r>
        <w:rPr>
          <w:rStyle w:val="0"/>
          <w:rFonts w:ascii="仿宋_GB2312" w:eastAsia="仿宋_GB2312" w:cs="仿宋_GB2312" w:hint="eastAsia"/>
          <w:bCs/>
          <w:kern w:val="0"/>
          <w:sz w:val="30"/>
          <w:lang w:val="zh-CN"/>
        </w:rPr>
        <w:t>茂县妇幼保健院编制64人，在编6</w:t>
      </w:r>
      <w:r>
        <w:rPr>
          <w:rStyle w:val="0"/>
          <w:rFonts w:ascii="仿宋_GB2312" w:eastAsia="仿宋_GB2312" w:cs="仿宋_GB2312" w:hint="eastAsia"/>
          <w:bCs/>
          <w:kern w:val="0"/>
          <w:sz w:val="30"/>
          <w:lang w:val="zh-CN" w:eastAsia="zh-CN"/>
        </w:rPr>
        <w:t>0</w:t>
      </w:r>
      <w:r>
        <w:rPr>
          <w:rStyle w:val="0"/>
          <w:rFonts w:ascii="仿宋_GB2312" w:eastAsia="仿宋_GB2312" w:cs="仿宋_GB2312" w:hint="eastAsia"/>
          <w:bCs/>
          <w:kern w:val="0"/>
          <w:sz w:val="30"/>
          <w:lang w:val="zh-CN"/>
        </w:rPr>
        <w:t>人，退休16人，财政补差1人，无下属单位</w:t>
      </w:r>
      <w:r>
        <w:rPr>
          <w:rStyle w:val="0"/>
          <w:rFonts w:ascii="仿宋_GB2312" w:eastAsia="仿宋_GB2312" w:cs="仿宋_GB2312" w:hint="eastAsia"/>
          <w:bCs/>
          <w:kern w:val="0"/>
          <w:sz w:val="30"/>
          <w:lang w:val="zh-CN"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left="0" w:firstLineChars="200" w:firstLine="640"/>
        <w:contextualSpacing/>
        <w:jc w:val="left"/>
        <w:textAlignment w:val="auto"/>
        <w:outlineLvl w:val="9"/>
        <w:rPr>
          <w:rFonts w:ascii="Times New Roman" w:eastAsia="黑体" w:cs="Times New Roman" w:hAnsi="Times New Roman"/>
          <w:color w:val="000000"/>
          <w:kern w:val="0"/>
          <w:sz w:val="32"/>
          <w:szCs w:val="32"/>
          <w:shd w:val="clear" w:color="auto" w:fill="FFFFFF"/>
          <w:lang w:val="zh-CN" w:eastAsia="zh-CN"/>
          <w:highlight w:val="auto"/>
        </w:rPr>
      </w:pPr>
      <w:r>
        <w:rPr>
          <w:rFonts w:ascii="Times New Roman" w:eastAsia="黑体" w:cs="Times New Roman" w:hAnsi="Times New Roman"/>
          <w:color w:val="000000"/>
          <w:kern w:val="0"/>
          <w:sz w:val="32"/>
          <w:szCs w:val="32"/>
          <w:shd w:val="clear" w:color="auto" w:fill="FFFFFF"/>
          <w:lang w:val="zh-CN" w:eastAsia="zh-CN"/>
          <w:highlight w:val="auto"/>
        </w:rPr>
        <w:t>二、部门资金收支情况</w:t>
      </w:r>
    </w:p>
    <w:p>
      <w:pPr>
        <w:keepNext w:val="0"/>
        <w:keepLines w:val="0"/>
        <w:pageBreakBefore w:val="0"/>
        <w:widowControl/>
        <w:kinsoku/>
        <w:wordWrap/>
        <w:overflowPunct/>
        <w:topLinePunct w:val="0"/>
        <w:autoSpaceDE/>
        <w:autoSpaceDN/>
        <w:bidi w:val="0"/>
        <w:adjustRightInd w:val="0"/>
        <w:snapToGrid w:val="0"/>
        <w:spacing w:line="578" w:lineRule="exact"/>
        <w:ind w:firstLineChars="200" w:firstLine="640"/>
        <w:contextualSpacing/>
        <w:jc w:val="left"/>
        <w:textAlignment w:val="auto"/>
        <w:outlineLvl w:val="9"/>
        <w:rPr>
          <w:rFonts w:ascii="Times New Roman" w:eastAsia="仿宋_GB2312" w:cs="Times New Roman" w:hAnsi="Times New Roman" w:hint="eastAsia"/>
          <w:sz w:val="32"/>
          <w:szCs w:val="32"/>
          <w:lang w:val="en-US" w:eastAsia="zh-CN"/>
        </w:rPr>
      </w:pPr>
      <w:r>
        <w:rPr>
          <w:rFonts w:ascii="Times New Roman" w:eastAsia="楷体_GB2312" w:cs="Times New Roman" w:hAnsi="Times New Roman"/>
          <w:b/>
          <w:bCs/>
          <w:color w:val="000000"/>
          <w:kern w:val="0"/>
          <w:sz w:val="32"/>
          <w:szCs w:val="32"/>
          <w:shd w:val="clear" w:color="auto" w:fill="FFFFFF"/>
          <w:lang w:val="zh-CN"/>
          <w:highlight w:val="auto"/>
        </w:rPr>
        <w:t>（一）</w:t>
      </w:r>
      <w:r>
        <w:rPr>
          <w:rFonts w:ascii="Times New Roman" w:eastAsia="楷体_GB2312" w:cs="Times New Roman" w:hAnsi="Times New Roman" w:hint="eastAsia"/>
          <w:b/>
          <w:bCs/>
          <w:color w:val="000000"/>
          <w:kern w:val="0"/>
          <w:sz w:val="32"/>
          <w:szCs w:val="32"/>
          <w:shd w:val="clear" w:color="auto" w:fill="FFFFFF"/>
          <w:lang w:val="zh-CN"/>
          <w:highlight w:val="auto"/>
        </w:rPr>
        <w:t>收入情况</w:t>
      </w:r>
    </w:p>
    <w:p>
      <w:pPr>
        <w:spacing w:line="600" w:lineRule="exact"/>
        <w:ind w:firstLine="645"/>
        <w:rPr>
          <w:rStyle w:val="0"/>
          <w:rFonts w:ascii="仿宋_GB2312" w:eastAsia="仿宋_GB2312" w:cs="仿宋_GB2312" w:hint="eastAsia"/>
          <w:bCs/>
          <w:kern w:val="0"/>
          <w:sz w:val="30"/>
          <w:lang w:val="zh-CN"/>
          <w:highlight w:val="auto"/>
        </w:rPr>
      </w:pPr>
      <w:r>
        <w:rPr>
          <w:rStyle w:val="0"/>
          <w:rFonts w:ascii="仿宋_GB2312" w:eastAsia="仿宋_GB2312" w:cs="仿宋_GB2312" w:hint="eastAsia"/>
          <w:bCs/>
          <w:kern w:val="0"/>
          <w:sz w:val="30"/>
          <w:lang w:val="zh-CN" w:eastAsia="zh-CN"/>
          <w:highlight w:val="auto"/>
        </w:rPr>
        <w:t>2024年</w:t>
      </w:r>
      <w:r>
        <w:rPr>
          <w:rStyle w:val="0"/>
          <w:rFonts w:ascii="仿宋_GB2312" w:eastAsia="仿宋_GB2312" w:cs="仿宋_GB2312" w:hint="eastAsia"/>
          <w:bCs/>
          <w:kern w:val="0"/>
          <w:sz w:val="30"/>
          <w:lang w:val="zh-CN"/>
          <w:highlight w:val="auto"/>
        </w:rPr>
        <w:t>一般公共预算财政拨款收入</w:t>
      </w:r>
      <w:r>
        <w:rPr>
          <w:rStyle w:val="0"/>
          <w:rFonts w:ascii="仿宋_GB2312" w:eastAsia="仿宋_GB2312" w:cs="仿宋_GB2312" w:hint="eastAsia"/>
          <w:bCs/>
          <w:kern w:val="0"/>
          <w:sz w:val="30"/>
          <w:lang w:val="zh-CN" w:eastAsia="zh-CN"/>
          <w:highlight w:val="auto"/>
        </w:rPr>
        <w:t>1521.76</w:t>
      </w:r>
      <w:r>
        <w:rPr>
          <w:rStyle w:val="0"/>
          <w:rFonts w:ascii="仿宋_GB2312" w:eastAsia="仿宋_GB2312" w:cs="仿宋_GB2312" w:hint="eastAsia"/>
          <w:bCs/>
          <w:kern w:val="0"/>
          <w:sz w:val="30"/>
          <w:lang w:val="zh-CN"/>
          <w:highlight w:val="auto"/>
        </w:rPr>
        <w:t>万元,其中机关事业单位养老保险</w:t>
      </w:r>
      <w:r>
        <w:rPr>
          <w:rStyle w:val="0"/>
          <w:rFonts w:ascii="仿宋_GB2312" w:eastAsia="仿宋_GB2312" w:cs="仿宋_GB2312" w:hint="eastAsia"/>
          <w:bCs/>
          <w:kern w:val="0"/>
          <w:sz w:val="30"/>
          <w:lang w:val="zh-CN" w:eastAsia="zh-CN"/>
          <w:highlight w:val="auto"/>
        </w:rPr>
        <w:t>116.15</w:t>
      </w:r>
      <w:r>
        <w:rPr>
          <w:rStyle w:val="0"/>
          <w:rFonts w:ascii="仿宋_GB2312" w:eastAsia="仿宋_GB2312" w:cs="仿宋_GB2312" w:hint="eastAsia"/>
          <w:bCs/>
          <w:kern w:val="0"/>
          <w:sz w:val="30"/>
          <w:lang w:val="zh-CN"/>
          <w:highlight w:val="auto"/>
        </w:rPr>
        <w:t>万元，年金</w:t>
      </w:r>
      <w:r>
        <w:rPr>
          <w:rStyle w:val="0"/>
          <w:rFonts w:ascii="仿宋_GB2312" w:eastAsia="仿宋_GB2312" w:cs="仿宋_GB2312" w:hint="eastAsia"/>
          <w:bCs/>
          <w:kern w:val="0"/>
          <w:sz w:val="30"/>
          <w:lang w:val="zh-CN" w:eastAsia="zh-CN"/>
          <w:highlight w:val="auto"/>
        </w:rPr>
        <w:t>58.08</w:t>
      </w:r>
      <w:r>
        <w:rPr>
          <w:rStyle w:val="0"/>
          <w:rFonts w:ascii="仿宋_GB2312" w:eastAsia="仿宋_GB2312" w:cs="仿宋_GB2312" w:hint="eastAsia"/>
          <w:bCs/>
          <w:kern w:val="0"/>
          <w:sz w:val="30"/>
          <w:lang w:val="zh-CN"/>
          <w:highlight w:val="auto"/>
        </w:rPr>
        <w:t>万元，</w:t>
      </w:r>
      <w:r>
        <w:rPr>
          <w:rStyle w:val="0"/>
          <w:rFonts w:ascii="仿宋_GB2312" w:eastAsia="仿宋_GB2312" w:cs="仿宋_GB2312" w:hint="eastAsia"/>
          <w:bCs/>
          <w:kern w:val="0"/>
          <w:sz w:val="30"/>
          <w:lang w:val="zh-CN"/>
        </w:rPr>
        <w:t>妇幼保健机构</w:t>
      </w:r>
      <w:r>
        <w:rPr>
          <w:rStyle w:val="0"/>
          <w:rFonts w:ascii="仿宋_GB2312" w:eastAsia="仿宋_GB2312" w:cs="仿宋_GB2312" w:hint="eastAsia"/>
          <w:bCs/>
          <w:kern w:val="0"/>
          <w:sz w:val="30"/>
          <w:lang w:val="zh-CN" w:eastAsia="zh-CN"/>
        </w:rPr>
        <w:t>853.42万元，</w:t>
      </w:r>
      <w:r>
        <w:rPr>
          <w:rStyle w:val="0"/>
          <w:rFonts w:ascii="仿宋_GB2312" w:eastAsia="仿宋_GB2312" w:cs="仿宋_GB2312" w:hint="eastAsia"/>
          <w:bCs/>
          <w:kern w:val="0"/>
          <w:sz w:val="30"/>
          <w:lang w:val="zh-CN"/>
          <w:highlight w:val="auto"/>
        </w:rPr>
        <w:t>基本公共卫生</w:t>
      </w:r>
      <w:r>
        <w:rPr>
          <w:rStyle w:val="0"/>
          <w:rFonts w:ascii="仿宋_GB2312" w:eastAsia="仿宋_GB2312" w:cs="仿宋_GB2312" w:hint="eastAsia"/>
          <w:bCs/>
          <w:kern w:val="0"/>
          <w:sz w:val="30"/>
          <w:lang w:val="zh-CN" w:eastAsia="zh-CN"/>
          <w:highlight w:val="auto"/>
        </w:rPr>
        <w:t>27.55</w:t>
      </w:r>
      <w:r>
        <w:rPr>
          <w:rStyle w:val="0"/>
          <w:rFonts w:ascii="仿宋_GB2312" w:eastAsia="仿宋_GB2312" w:cs="仿宋_GB2312" w:hint="eastAsia"/>
          <w:bCs/>
          <w:kern w:val="0"/>
          <w:sz w:val="30"/>
          <w:lang w:val="zh-CN"/>
          <w:highlight w:val="auto"/>
        </w:rPr>
        <w:t>万元，重大公共卫生</w:t>
      </w:r>
      <w:r>
        <w:rPr>
          <w:rStyle w:val="0"/>
          <w:rFonts w:ascii="仿宋_GB2312" w:eastAsia="仿宋_GB2312" w:cs="仿宋_GB2312" w:hint="eastAsia"/>
          <w:bCs/>
          <w:kern w:val="0"/>
          <w:sz w:val="30"/>
          <w:lang w:val="zh-CN" w:eastAsia="zh-CN"/>
          <w:highlight w:val="auto"/>
        </w:rPr>
        <w:t>117.39</w:t>
      </w:r>
      <w:r>
        <w:rPr>
          <w:rStyle w:val="0"/>
          <w:rFonts w:ascii="仿宋_GB2312" w:eastAsia="仿宋_GB2312" w:cs="仿宋_GB2312" w:hint="eastAsia"/>
          <w:bCs/>
          <w:kern w:val="0"/>
          <w:sz w:val="30"/>
          <w:lang w:val="zh-CN"/>
          <w:highlight w:val="auto"/>
        </w:rPr>
        <w:t>万元，其他公共卫生支出</w:t>
      </w:r>
      <w:r>
        <w:rPr>
          <w:rStyle w:val="0"/>
          <w:rFonts w:ascii="仿宋_GB2312" w:eastAsia="仿宋_GB2312" w:cs="仿宋_GB2312" w:hint="eastAsia"/>
          <w:bCs/>
          <w:kern w:val="0"/>
          <w:sz w:val="30"/>
          <w:lang w:val="zh-CN" w:eastAsia="zh-CN"/>
          <w:highlight w:val="auto"/>
        </w:rPr>
        <w:t>55.8</w:t>
      </w:r>
      <w:r>
        <w:rPr>
          <w:rStyle w:val="0"/>
          <w:rFonts w:ascii="仿宋_GB2312" w:eastAsia="仿宋_GB2312" w:cs="仿宋_GB2312" w:hint="eastAsia"/>
          <w:bCs/>
          <w:kern w:val="0"/>
          <w:sz w:val="30"/>
          <w:lang w:val="zh-CN"/>
          <w:highlight w:val="auto"/>
        </w:rPr>
        <w:t>万元，事业单位医疗</w:t>
      </w:r>
      <w:r>
        <w:rPr>
          <w:rStyle w:val="0"/>
          <w:rFonts w:ascii="仿宋_GB2312" w:eastAsia="仿宋_GB2312" w:cs="仿宋_GB2312" w:hint="eastAsia"/>
          <w:bCs/>
          <w:kern w:val="0"/>
          <w:sz w:val="30"/>
          <w:lang w:val="zh-CN" w:eastAsia="zh-CN"/>
          <w:highlight w:val="auto"/>
        </w:rPr>
        <w:t>73.19</w:t>
      </w:r>
      <w:r>
        <w:rPr>
          <w:rStyle w:val="0"/>
          <w:rFonts w:ascii="仿宋_GB2312" w:eastAsia="仿宋_GB2312" w:cs="仿宋_GB2312" w:hint="eastAsia"/>
          <w:bCs/>
          <w:kern w:val="0"/>
          <w:sz w:val="30"/>
          <w:lang w:val="zh-CN"/>
          <w:highlight w:val="auto"/>
        </w:rPr>
        <w:t>万元，其他卫生健康支出</w:t>
      </w:r>
      <w:r>
        <w:rPr>
          <w:rStyle w:val="0"/>
          <w:rFonts w:ascii="仿宋_GB2312" w:eastAsia="仿宋_GB2312" w:cs="仿宋_GB2312" w:hint="eastAsia"/>
          <w:bCs/>
          <w:kern w:val="0"/>
          <w:sz w:val="30"/>
          <w:lang w:val="zh-CN" w:eastAsia="zh-CN"/>
          <w:highlight w:val="auto"/>
        </w:rPr>
        <w:t>27.73</w:t>
      </w:r>
      <w:r>
        <w:rPr>
          <w:rStyle w:val="0"/>
          <w:rFonts w:ascii="仿宋_GB2312" w:eastAsia="仿宋_GB2312" w:cs="仿宋_GB2312" w:hint="eastAsia"/>
          <w:bCs/>
          <w:kern w:val="0"/>
          <w:sz w:val="30"/>
          <w:lang w:val="zh-CN"/>
          <w:highlight w:val="auto"/>
        </w:rPr>
        <w:t>万元，</w:t>
      </w:r>
      <w:r>
        <w:rPr>
          <w:rStyle w:val="0"/>
          <w:rFonts w:ascii="仿宋_GB2312" w:eastAsia="仿宋_GB2312" w:cs="仿宋_GB2312" w:hint="eastAsia"/>
          <w:bCs/>
          <w:kern w:val="0"/>
          <w:sz w:val="30"/>
          <w:lang w:val="zh-CN" w:eastAsia="zh-CN"/>
        </w:rPr>
        <w:t>社会发展99.81万元，</w:t>
      </w:r>
      <w:r>
        <w:rPr>
          <w:rStyle w:val="0"/>
          <w:rFonts w:ascii="仿宋_GB2312" w:eastAsia="仿宋_GB2312" w:cs="仿宋_GB2312" w:hint="eastAsia"/>
          <w:bCs/>
          <w:kern w:val="0"/>
          <w:sz w:val="30"/>
          <w:lang w:val="zh-CN"/>
          <w:highlight w:val="auto"/>
        </w:rPr>
        <w:t>住房公积金</w:t>
      </w:r>
      <w:r>
        <w:rPr>
          <w:rStyle w:val="0"/>
          <w:rFonts w:ascii="仿宋_GB2312" w:eastAsia="仿宋_GB2312" w:cs="仿宋_GB2312" w:hint="eastAsia"/>
          <w:bCs/>
          <w:kern w:val="0"/>
          <w:sz w:val="30"/>
          <w:lang w:val="zh-CN" w:eastAsia="zh-CN"/>
          <w:highlight w:val="auto"/>
        </w:rPr>
        <w:t>91.62</w:t>
      </w:r>
      <w:r>
        <w:rPr>
          <w:rStyle w:val="0"/>
          <w:rFonts w:ascii="仿宋_GB2312" w:eastAsia="仿宋_GB2312" w:cs="仿宋_GB2312" w:hint="eastAsia"/>
          <w:bCs/>
          <w:kern w:val="0"/>
          <w:sz w:val="30"/>
          <w:lang w:val="zh-CN"/>
          <w:highlight w:val="auto"/>
        </w:rPr>
        <w:t>万元，</w:t>
      </w:r>
      <w:r>
        <w:rPr>
          <w:rStyle w:val="0"/>
          <w:rFonts w:ascii="仿宋_GB2312" w:eastAsia="仿宋_GB2312" w:cs="仿宋_GB2312" w:hint="eastAsia"/>
          <w:bCs/>
          <w:kern w:val="0"/>
          <w:sz w:val="30"/>
          <w:lang w:val="zh-CN" w:eastAsia="zh-CN"/>
          <w:highlight w:val="auto"/>
        </w:rPr>
        <w:t>购房补贴1.02万元</w:t>
      </w:r>
      <w:r>
        <w:rPr>
          <w:rStyle w:val="0"/>
          <w:rFonts w:ascii="仿宋_GB2312" w:eastAsia="仿宋_GB2312" w:cs="仿宋_GB2312" w:hint="eastAsia"/>
          <w:bCs/>
          <w:kern w:val="0"/>
          <w:sz w:val="30"/>
          <w:lang w:val="zh-CN"/>
          <w:highlight w:val="auto"/>
        </w:rPr>
        <w:t>。</w:t>
      </w:r>
    </w:p>
    <w:p>
      <w:pPr>
        <w:keepNext w:val="0"/>
        <w:keepLines w:val="0"/>
        <w:pageBreakBefore w:val="0"/>
        <w:widowControl/>
        <w:kinsoku/>
        <w:wordWrap/>
        <w:overflowPunct/>
        <w:topLinePunct w:val="0"/>
        <w:autoSpaceDE/>
        <w:autoSpaceDN/>
        <w:bidi w:val="0"/>
        <w:adjustRightInd w:val="0"/>
        <w:snapToGrid w:val="0"/>
        <w:spacing w:line="578" w:lineRule="exact"/>
        <w:ind w:firstLineChars="200" w:firstLine="640"/>
        <w:contextualSpacing/>
        <w:jc w:val="left"/>
        <w:textAlignment w:val="auto"/>
        <w:outlineLvl w:val="9"/>
        <w:rPr>
          <w:rFonts w:ascii="Times New Roman" w:eastAsia="仿宋_GB2312" w:cs="Times New Roman" w:hAnsi="Times New Roman" w:hint="eastAsia"/>
          <w:sz w:val="32"/>
          <w:szCs w:val="32"/>
          <w:lang w:val="en-US" w:eastAsia="zh-CN"/>
        </w:rPr>
      </w:pPr>
      <w:r>
        <w:rPr>
          <w:rFonts w:ascii="Times New Roman" w:eastAsia="楷体_GB2312" w:cs="Times New Roman" w:hAnsi="Times New Roman"/>
          <w:b/>
          <w:bCs/>
          <w:color w:val="000000"/>
          <w:kern w:val="0"/>
          <w:sz w:val="32"/>
          <w:szCs w:val="32"/>
          <w:shd w:val="clear" w:color="auto" w:fill="FFFFFF"/>
          <w:lang w:val="zh-CN"/>
          <w:highlight w:val="auto"/>
        </w:rPr>
        <w:t>（</w:t>
      </w:r>
      <w:r>
        <w:rPr>
          <w:rFonts w:ascii="Times New Roman" w:eastAsia="楷体_GB2312" w:cs="Times New Roman" w:hAnsi="Times New Roman" w:hint="eastAsia"/>
          <w:b/>
          <w:bCs/>
          <w:color w:val="000000"/>
          <w:kern w:val="0"/>
          <w:sz w:val="32"/>
          <w:szCs w:val="32"/>
          <w:shd w:val="clear" w:color="auto" w:fill="FFFFFF"/>
          <w:lang w:val="zh-CN"/>
          <w:highlight w:val="auto"/>
        </w:rPr>
        <w:t>二</w:t>
      </w:r>
      <w:r>
        <w:rPr>
          <w:rFonts w:ascii="Times New Roman" w:eastAsia="楷体_GB2312" w:cs="Times New Roman" w:hAnsi="Times New Roman"/>
          <w:b/>
          <w:bCs/>
          <w:color w:val="000000"/>
          <w:kern w:val="0"/>
          <w:sz w:val="32"/>
          <w:szCs w:val="32"/>
          <w:shd w:val="clear" w:color="auto" w:fill="FFFFFF"/>
          <w:lang w:val="zh-CN"/>
          <w:highlight w:val="auto"/>
        </w:rPr>
        <w:t>）</w:t>
      </w:r>
      <w:r>
        <w:rPr>
          <w:rFonts w:ascii="Times New Roman" w:eastAsia="楷体_GB2312" w:cs="Times New Roman" w:hAnsi="Times New Roman" w:hint="eastAsia"/>
          <w:b/>
          <w:bCs/>
          <w:color w:val="000000"/>
          <w:kern w:val="0"/>
          <w:sz w:val="32"/>
          <w:szCs w:val="32"/>
          <w:shd w:val="clear" w:color="auto" w:fill="FFFFFF"/>
          <w:lang w:val="zh-CN"/>
          <w:highlight w:val="auto"/>
        </w:rPr>
        <w:t>支出情况</w:t>
      </w:r>
    </w:p>
    <w:p>
      <w:pPr>
        <w:spacing w:line="600" w:lineRule="exact"/>
        <w:ind w:firstLine="645"/>
        <w:rPr>
          <w:rStyle w:val="0"/>
          <w:rFonts w:ascii="仿宋_GB2312" w:eastAsia="仿宋_GB2312" w:cs="仿宋_GB2312" w:hint="eastAsia"/>
          <w:bCs/>
          <w:kern w:val="0"/>
          <w:sz w:val="30"/>
          <w:lang w:val="zh-CN"/>
        </w:rPr>
      </w:pPr>
      <w:r>
        <w:rPr>
          <w:rStyle w:val="0"/>
          <w:rFonts w:ascii="仿宋_GB2312" w:eastAsia="仿宋_GB2312" w:cs="仿宋_GB2312" w:hint="eastAsia"/>
          <w:bCs/>
          <w:kern w:val="0"/>
          <w:sz w:val="30"/>
          <w:lang w:val="zh-CN"/>
          <w:highlight w:val="auto"/>
        </w:rPr>
        <w:t>2024年一般公共预算财政拨款支出1282.15万元，其中人员经费1154.65万元。人员经费主要包括：基本工资、津贴补贴、绩效工资、机关事业单位基本养老保</w:t>
      </w:r>
      <w:r>
        <w:rPr>
          <w:rStyle w:val="0"/>
          <w:rFonts w:ascii="仿宋_GB2312" w:eastAsia="仿宋_GB2312" w:cs="仿宋_GB2312" w:hint="eastAsia"/>
          <w:bCs/>
          <w:kern w:val="0"/>
          <w:sz w:val="30"/>
          <w:lang w:val="zh-CN"/>
        </w:rPr>
        <w:t>险缴费、职业年金缴费、其他社会保障缴费、生活补助等。</w:t>
      </w:r>
    </w:p>
    <w:p>
      <w:pPr>
        <w:keepNext w:val="0"/>
        <w:keepLines w:val="0"/>
        <w:pageBreakBefore w:val="0"/>
        <w:widowControl/>
        <w:kinsoku/>
        <w:wordWrap/>
        <w:overflowPunct/>
        <w:topLinePunct w:val="0"/>
        <w:autoSpaceDE/>
        <w:autoSpaceDN/>
        <w:bidi w:val="0"/>
        <w:adjustRightInd w:val="0"/>
        <w:snapToGrid w:val="0"/>
        <w:spacing w:line="578" w:lineRule="exact"/>
        <w:ind w:firstLineChars="200" w:firstLine="640"/>
        <w:contextualSpacing/>
        <w:jc w:val="left"/>
        <w:textAlignment w:val="auto"/>
        <w:outlineLvl w:val="9"/>
        <w:rPr>
          <w:rFonts w:ascii="Times New Roman" w:eastAsia="楷体_GB2312" w:cs="Times New Roman" w:hAnsi="Times New Roman" w:hint="eastAsia"/>
          <w:b/>
          <w:bCs/>
          <w:color w:val="000000"/>
          <w:kern w:val="0"/>
          <w:sz w:val="32"/>
          <w:szCs w:val="32"/>
          <w:shd w:val="clear" w:color="auto" w:fill="FFFFFF"/>
          <w:lang w:val="zh-CN" w:eastAsia="zh-CN"/>
          <w:highlight w:val="auto"/>
        </w:rPr>
      </w:pPr>
      <w:r>
        <w:rPr>
          <w:rFonts w:ascii="Times New Roman" w:eastAsia="楷体_GB2312" w:cs="Times New Roman" w:hAnsi="Times New Roman"/>
          <w:b/>
          <w:bCs/>
          <w:color w:val="000000"/>
          <w:kern w:val="0"/>
          <w:sz w:val="32"/>
          <w:szCs w:val="32"/>
          <w:shd w:val="clear" w:color="auto" w:fill="FFFFFF"/>
          <w:lang w:val="zh-CN"/>
          <w:highlight w:val="auto"/>
        </w:rPr>
        <w:t>（</w:t>
      </w:r>
      <w:r>
        <w:rPr>
          <w:rFonts w:ascii="Times New Roman" w:eastAsia="楷体_GB2312" w:cs="Times New Roman" w:hAnsi="Times New Roman" w:hint="eastAsia"/>
          <w:b/>
          <w:bCs/>
          <w:color w:val="000000"/>
          <w:kern w:val="0"/>
          <w:sz w:val="32"/>
          <w:szCs w:val="32"/>
          <w:shd w:val="clear" w:color="auto" w:fill="FFFFFF"/>
          <w:lang w:val="zh-CN"/>
          <w:highlight w:val="auto"/>
        </w:rPr>
        <w:t>三</w:t>
      </w:r>
      <w:r>
        <w:rPr>
          <w:rFonts w:ascii="Times New Roman" w:eastAsia="楷体_GB2312" w:cs="Times New Roman" w:hAnsi="Times New Roman"/>
          <w:b/>
          <w:bCs/>
          <w:color w:val="000000"/>
          <w:kern w:val="0"/>
          <w:sz w:val="32"/>
          <w:szCs w:val="32"/>
          <w:shd w:val="clear" w:color="auto" w:fill="FFFFFF"/>
          <w:lang w:val="zh-CN"/>
          <w:highlight w:val="auto"/>
        </w:rPr>
        <w:t>）结余分配和结转结余情况</w:t>
      </w:r>
      <w:r>
        <w:rPr>
          <w:rFonts w:ascii="Times New Roman" w:eastAsia="楷体_GB2312" w:cs="Times New Roman" w:hAnsi="Times New Roman" w:hint="eastAsia"/>
          <w:b/>
          <w:bCs/>
          <w:color w:val="000000"/>
          <w:kern w:val="0"/>
          <w:sz w:val="32"/>
          <w:szCs w:val="32"/>
          <w:shd w:val="clear" w:color="auto" w:fill="FFFFFF"/>
          <w:lang w:val="zh-CN" w:eastAsia="zh-CN"/>
          <w:highlight w:val="auto"/>
        </w:rPr>
        <w:t>。</w:t>
      </w:r>
    </w:p>
    <w:p>
      <w:pPr>
        <w:spacing w:line="600" w:lineRule="exact"/>
        <w:ind w:firstLine="645"/>
        <w:rPr>
          <w:rFonts w:ascii="Times New Roman" w:eastAsia="楷体_GB2312" w:cs="Times New Roman" w:hAnsi="Times New Roman"/>
          <w:b/>
          <w:bCs/>
          <w:color w:val="000000"/>
          <w:kern w:val="0"/>
          <w:sz w:val="32"/>
          <w:szCs w:val="32"/>
          <w:shd w:val="clear" w:color="auto" w:fill="FFFFFF"/>
          <w:lang w:val="zh-CN" w:eastAsia="zh-CN"/>
          <w:highlight w:val="auto"/>
        </w:rPr>
      </w:pPr>
      <w:r>
        <w:rPr>
          <w:rStyle w:val="0"/>
          <w:rFonts w:ascii="仿宋_GB2312" w:eastAsia="仿宋_GB2312" w:cs="仿宋_GB2312" w:hint="eastAsia"/>
          <w:bCs/>
          <w:kern w:val="0"/>
          <w:sz w:val="30"/>
          <w:lang w:val="zh-CN"/>
        </w:rPr>
        <w:t>202</w:t>
      </w:r>
      <w:r>
        <w:rPr>
          <w:rStyle w:val="0"/>
          <w:rFonts w:ascii="仿宋_GB2312" w:eastAsia="仿宋_GB2312" w:cs="仿宋_GB2312" w:hint="eastAsia"/>
          <w:bCs/>
          <w:kern w:val="0"/>
          <w:sz w:val="30"/>
          <w:lang w:val="zh-CN" w:eastAsia="zh-CN"/>
        </w:rPr>
        <w:t>4</w:t>
      </w:r>
      <w:r>
        <w:rPr>
          <w:rStyle w:val="0"/>
          <w:rFonts w:ascii="仿宋_GB2312" w:eastAsia="仿宋_GB2312" w:cs="仿宋_GB2312" w:hint="eastAsia"/>
          <w:bCs/>
          <w:kern w:val="0"/>
          <w:sz w:val="30"/>
          <w:lang w:val="zh-CN"/>
        </w:rPr>
        <w:t>年结余分配</w:t>
      </w:r>
      <w:r>
        <w:rPr>
          <w:rStyle w:val="0"/>
          <w:rFonts w:ascii="仿宋_GB2312" w:eastAsia="仿宋_GB2312" w:cs="仿宋_GB2312" w:hint="eastAsia"/>
          <w:bCs/>
          <w:kern w:val="0"/>
          <w:sz w:val="30"/>
          <w:lang w:val="zh-CN" w:eastAsia="zh-CN"/>
        </w:rPr>
        <w:t>106.04万元</w:t>
      </w:r>
      <w:r>
        <w:rPr>
          <w:rStyle w:val="0"/>
          <w:rFonts w:ascii="仿宋_GB2312" w:eastAsia="仿宋_GB2312" w:cs="仿宋_GB2312" w:hint="eastAsia"/>
          <w:bCs/>
          <w:kern w:val="0"/>
          <w:sz w:val="30"/>
          <w:lang w:val="zh-CN"/>
        </w:rPr>
        <w:t>，无结转资金。</w:t>
      </w:r>
    </w:p>
    <w:p>
      <w:pPr>
        <w:keepNext w:val="0"/>
        <w:keepLines w:val="0"/>
        <w:pageBreakBefore w:val="0"/>
        <w:widowControl/>
        <w:kinsoku/>
        <w:wordWrap/>
        <w:overflowPunct/>
        <w:topLinePunct w:val="0"/>
        <w:autoSpaceDE/>
        <w:autoSpaceDN/>
        <w:bidi w:val="0"/>
        <w:adjustRightInd w:val="0"/>
        <w:snapToGrid w:val="0"/>
        <w:spacing w:line="578" w:lineRule="exact"/>
        <w:ind w:left="0" w:firstLineChars="200" w:firstLine="640"/>
        <w:contextualSpacing/>
        <w:jc w:val="left"/>
        <w:textAlignment w:val="auto"/>
        <w:outlineLvl w:val="9"/>
        <w:rPr>
          <w:rFonts w:ascii="Times New Roman" w:eastAsia="黑体" w:cs="Times New Roman" w:hAnsi="Times New Roman"/>
          <w:color w:val="000000"/>
          <w:kern w:val="0"/>
          <w:sz w:val="32"/>
          <w:szCs w:val="32"/>
          <w:shd w:val="clear" w:color="auto" w:fill="FFFFFF"/>
          <w:lang w:val="zh-CN" w:eastAsia="zh-CN"/>
          <w:highlight w:val="auto"/>
        </w:rPr>
      </w:pPr>
      <w:r>
        <w:rPr>
          <w:rFonts w:ascii="Times New Roman" w:eastAsia="黑体" w:cs="Times New Roman" w:hAnsi="Times New Roman"/>
          <w:color w:val="000000"/>
          <w:kern w:val="0"/>
          <w:sz w:val="32"/>
          <w:szCs w:val="32"/>
          <w:shd w:val="clear" w:color="auto" w:fill="FFFFFF"/>
          <w:lang w:val="zh-CN" w:eastAsia="zh-CN"/>
          <w:highlight w:val="auto"/>
        </w:rPr>
        <w:t>三、部门预算绩效分析</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contextualSpacing/>
        <w:jc w:val="left"/>
        <w:textAlignment w:val="auto"/>
        <w:outlineLvl w:val="9"/>
        <w:rPr>
          <w:rFonts w:ascii="Times New Roman" w:eastAsia="仿宋_GB2312" w:cs="仿宋_GB2312" w:hAnsi="Times New Roman"/>
          <w:color w:val="auto"/>
          <w:kern w:val="2"/>
          <w:sz w:val="32"/>
          <w:szCs w:val="32"/>
          <w:lang w:val="zh-CN" w:eastAsia="zh-CN" w:bidi="ar-SA"/>
          <w:highlight w:val="auto"/>
        </w:rPr>
      </w:pPr>
      <w:r>
        <w:rPr>
          <w:rFonts w:ascii="Times New Roman" w:eastAsia="楷体_GB2312" w:cs="Times New Roman" w:hAnsi="Times New Roman"/>
          <w:b/>
          <w:bCs/>
          <w:color w:val="000000"/>
          <w:kern w:val="0"/>
          <w:sz w:val="32"/>
          <w:szCs w:val="32"/>
          <w:shd w:val="clear" w:color="auto" w:fill="FFFFFF"/>
          <w:lang w:val="zh-CN"/>
          <w:highlight w:val="auto"/>
        </w:rPr>
        <w:t>（一）</w:t>
      </w:r>
      <w:r>
        <w:rPr>
          <w:rFonts w:ascii="Times New Roman" w:eastAsia="楷体_GB2312" w:cs="Times New Roman" w:hAnsi="Times New Roman" w:hint="eastAsia"/>
          <w:b/>
          <w:bCs/>
          <w:color w:val="000000"/>
          <w:kern w:val="0"/>
          <w:sz w:val="32"/>
          <w:szCs w:val="32"/>
          <w:shd w:val="clear" w:color="auto" w:fill="FFFFFF"/>
          <w:lang w:val="zh-CN"/>
          <w:highlight w:val="auto"/>
        </w:rPr>
        <w:t>部门预算</w:t>
      </w:r>
      <w:r>
        <w:rPr>
          <w:rFonts w:ascii="Times New Roman" w:eastAsia="楷体_GB2312" w:cs="Times New Roman" w:hAnsi="Times New Roman"/>
          <w:b/>
          <w:bCs/>
          <w:color w:val="000000"/>
          <w:kern w:val="0"/>
          <w:sz w:val="32"/>
          <w:szCs w:val="32"/>
          <w:shd w:val="clear" w:color="auto" w:fill="FFFFFF"/>
          <w:lang w:val="zh-CN"/>
          <w:highlight w:val="auto"/>
        </w:rPr>
        <w:t>总体绩效分析</w:t>
      </w:r>
    </w:p>
    <w:p>
      <w:pPr>
        <w:spacing w:line="600" w:lineRule="exact"/>
        <w:ind w:firstLine="645"/>
        <w:rPr>
          <w:rStyle w:val="0"/>
          <w:rFonts w:ascii="仿宋_GB2312" w:eastAsia="仿宋_GB2312" w:cs="仿宋_GB2312" w:hint="eastAsia"/>
          <w:bCs/>
          <w:kern w:val="0"/>
          <w:sz w:val="30"/>
          <w:lang w:val="zh-CN" w:eastAsia="zh-CN"/>
          <w:highlight w:val="auto"/>
        </w:rPr>
      </w:pPr>
      <w:r>
        <w:rPr>
          <w:rStyle w:val="0"/>
          <w:rFonts w:ascii="仿宋_GB2312" w:eastAsia="仿宋_GB2312" w:cs="仿宋_GB2312" w:hint="eastAsia"/>
          <w:bCs/>
          <w:kern w:val="0"/>
          <w:sz w:val="30"/>
          <w:lang w:val="zh-CN"/>
          <w:highlight w:val="auto"/>
        </w:rPr>
        <w:t>1.履职效能。主要负责本辖区妇女儿童健康工作与健康教育；开展公共卫生服务；负责本辖区妇幼工作的培训与督导。</w:t>
      </w:r>
      <w:r>
        <w:rPr>
          <w:rStyle w:val="0"/>
          <w:rFonts w:ascii="仿宋_GB2312" w:eastAsia="仿宋_GB2312" w:cs="仿宋_GB2312" w:hint="eastAsia"/>
          <w:bCs/>
          <w:kern w:val="0"/>
          <w:sz w:val="30"/>
          <w:lang w:val="zh-CN" w:eastAsia="zh-CN"/>
          <w:highlight w:val="auto"/>
        </w:rPr>
        <w:t>2024年我院</w:t>
      </w:r>
      <w:r>
        <w:rPr>
          <w:rStyle w:val="0"/>
          <w:rFonts w:ascii="仿宋_GB2312" w:eastAsia="仿宋_GB2312" w:cs="仿宋_GB2312" w:hint="eastAsia"/>
          <w:bCs/>
          <w:kern w:val="0"/>
          <w:sz w:val="30"/>
          <w:lang w:val="zh-CN"/>
          <w:highlight w:val="auto"/>
        </w:rPr>
        <w:t>围绕实现“新两纲”目标和初级卫生保健指标，了解掌握妇女儿童健康状况及影响因素，负责本辖区儿童入托前健康体检及开展各类妇幼保健人员的业务培训，负责指导和开展本辖区妇幼保健健康教育与健康工作。组织实施公共卫生服务项目，如 “免费婚检”“避孕药具”“孕前优生健康检查”“ 预防艾滋病、梅毒及乙肝母婴传播”等。</w:t>
      </w:r>
    </w:p>
    <w:p>
      <w:pPr>
        <w:spacing w:line="600" w:lineRule="exact"/>
        <w:ind w:firstLine="645"/>
        <w:rPr>
          <w:rStyle w:val="0"/>
          <w:rFonts w:ascii="仿宋_GB2312" w:eastAsia="仿宋_GB2312" w:cs="仿宋_GB2312" w:hint="eastAsia"/>
          <w:bCs/>
          <w:kern w:val="0"/>
          <w:sz w:val="30"/>
          <w:lang w:val="zh-CN"/>
          <w:highlight w:val="auto"/>
        </w:rPr>
      </w:pPr>
      <w:r>
        <w:rPr>
          <w:rStyle w:val="0"/>
          <w:rFonts w:ascii="仿宋_GB2312" w:eastAsia="仿宋_GB2312" w:cs="仿宋_GB2312" w:hint="eastAsia"/>
          <w:bCs/>
          <w:kern w:val="0"/>
          <w:sz w:val="30"/>
          <w:lang w:val="zh-CN"/>
          <w:highlight w:val="auto"/>
        </w:rPr>
        <w:t>2.预算管理。我单位</w:t>
      </w:r>
      <w:r>
        <w:rPr>
          <w:rStyle w:val="0"/>
          <w:rFonts w:ascii="仿宋_GB2312" w:eastAsia="仿宋_GB2312" w:cs="仿宋_GB2312" w:hint="eastAsia"/>
          <w:bCs/>
          <w:kern w:val="0"/>
          <w:sz w:val="30"/>
          <w:lang w:val="zh-CN" w:eastAsia="zh-CN"/>
          <w:highlight w:val="auto"/>
        </w:rPr>
        <w:t>严格按照要求编制年初部门预算，确保预算编制的科学性和准确性。严控 “三公”经费、培训费、差旅费、办公设备购置费等一般性支出。</w:t>
      </w:r>
      <w:r>
        <w:rPr>
          <w:rStyle w:val="0"/>
          <w:rFonts w:ascii="仿宋_GB2312" w:eastAsia="仿宋_GB2312" w:cs="仿宋_GB2312" w:hint="eastAsia"/>
          <w:bCs/>
          <w:kern w:val="0"/>
          <w:sz w:val="30"/>
          <w:lang w:val="zh-CN"/>
          <w:highlight w:val="auto"/>
        </w:rPr>
        <w:t>预算编制根据年度经济社会发展目标和跨年度预算平衡的需要，参考上一年预算执行情况、有关支出绩效评价结果和本年度收支预测，按照规定程序征求进行编制。</w:t>
      </w:r>
    </w:p>
    <w:p>
      <w:pPr>
        <w:spacing w:line="600" w:lineRule="exact"/>
        <w:ind w:firstLine="645"/>
        <w:rPr>
          <w:rStyle w:val="0"/>
          <w:rFonts w:ascii="仿宋_GB2312" w:eastAsia="仿宋_GB2312" w:cs="仿宋_GB2312" w:hint="eastAsia"/>
          <w:bCs/>
          <w:kern w:val="0"/>
          <w:sz w:val="30"/>
          <w:lang w:val="zh-CN" w:eastAsia="zh-CN"/>
          <w:highlight w:val="auto"/>
        </w:rPr>
      </w:pPr>
      <w:r>
        <w:rPr>
          <w:rStyle w:val="0"/>
          <w:rFonts w:ascii="仿宋_GB2312" w:eastAsia="仿宋_GB2312" w:cs="仿宋_GB2312" w:hint="eastAsia"/>
          <w:bCs/>
          <w:kern w:val="0"/>
          <w:sz w:val="30"/>
          <w:lang w:val="zh-CN"/>
          <w:highlight w:val="auto"/>
        </w:rPr>
        <w:t>3.财务管理。</w:t>
      </w:r>
      <w:r>
        <w:rPr>
          <w:rStyle w:val="0"/>
          <w:rFonts w:ascii="仿宋_GB2312" w:eastAsia="仿宋_GB2312" w:cs="仿宋_GB2312" w:hint="eastAsia"/>
          <w:bCs/>
          <w:kern w:val="0"/>
          <w:sz w:val="30"/>
          <w:lang w:val="zh-CN" w:eastAsia="zh-CN"/>
          <w:highlight w:val="auto"/>
        </w:rPr>
        <w:t>本部门财务管理制度健全，财务岗位设置合理，资金使用规范。</w:t>
      </w:r>
    </w:p>
    <w:p>
      <w:pPr>
        <w:spacing w:line="600" w:lineRule="exact"/>
        <w:ind w:firstLine="645"/>
        <w:rPr>
          <w:rStyle w:val="0"/>
          <w:rFonts w:ascii="仿宋_GB2312" w:eastAsia="仿宋_GB2312" w:cs="仿宋_GB2312" w:hint="eastAsia"/>
          <w:bCs/>
          <w:kern w:val="0"/>
          <w:sz w:val="30"/>
          <w:lang w:val="zh-CN"/>
          <w:highlight w:val="auto"/>
        </w:rPr>
      </w:pPr>
      <w:r>
        <w:rPr>
          <w:rStyle w:val="0"/>
          <w:rFonts w:ascii="仿宋_GB2312" w:eastAsia="仿宋_GB2312" w:cs="仿宋_GB2312" w:hint="eastAsia"/>
          <w:bCs/>
          <w:kern w:val="0"/>
          <w:sz w:val="30"/>
          <w:lang w:val="zh-CN"/>
          <w:highlight w:val="auto"/>
        </w:rPr>
        <w:t>4.资产管理。</w:t>
      </w:r>
      <w:r>
        <w:rPr>
          <w:rStyle w:val="0"/>
          <w:rFonts w:ascii="仿宋_GB2312" w:eastAsia="仿宋_GB2312" w:cs="仿宋_GB2312" w:hint="eastAsia"/>
          <w:bCs/>
          <w:kern w:val="0"/>
          <w:sz w:val="30"/>
          <w:lang w:val="zh-CN" w:eastAsia="zh-CN"/>
          <w:highlight w:val="auto"/>
        </w:rPr>
        <w:t>我单位2024年资产总额2603.31万元，其中非流动资产2386.67万元，无闲置一年以上资产，资产利用率较高，人均资产变化率、资产利用率等指标表现稳定</w:t>
      </w:r>
      <w:r>
        <w:rPr>
          <w:rStyle w:val="0"/>
          <w:rFonts w:ascii="仿宋_GB2312" w:eastAsia="仿宋_GB2312" w:cs="仿宋_GB2312" w:hint="eastAsia"/>
          <w:bCs/>
          <w:kern w:val="0"/>
          <w:sz w:val="30"/>
          <w:lang w:val="zh-CN"/>
          <w:highlight w:val="auto"/>
        </w:rPr>
        <w:t>。</w:t>
      </w:r>
    </w:p>
    <w:p>
      <w:pPr>
        <w:spacing w:line="600" w:lineRule="exact"/>
        <w:ind w:firstLine="645"/>
        <w:rPr>
          <w:rStyle w:val="0"/>
          <w:rFonts w:ascii="仿宋_GB2312" w:eastAsia="仿宋_GB2312" w:cs="仿宋_GB2312" w:hint="eastAsia"/>
          <w:bCs/>
          <w:kern w:val="0"/>
          <w:sz w:val="30"/>
          <w:lang w:val="zh-CN"/>
          <w:highlight w:val="auto"/>
        </w:rPr>
      </w:pPr>
      <w:r>
        <w:rPr>
          <w:rStyle w:val="0"/>
          <w:rFonts w:ascii="仿宋_GB2312" w:eastAsia="仿宋_GB2312" w:cs="仿宋_GB2312" w:hint="eastAsia"/>
          <w:bCs/>
          <w:kern w:val="0"/>
          <w:sz w:val="30"/>
          <w:lang w:val="zh-CN"/>
          <w:highlight w:val="auto"/>
        </w:rPr>
        <w:t>5.采购管理。</w:t>
      </w:r>
      <w:r>
        <w:rPr>
          <w:rStyle w:val="0"/>
          <w:rFonts w:ascii="仿宋_GB2312" w:eastAsia="仿宋_GB2312" w:cs="仿宋_GB2312" w:hint="eastAsia"/>
          <w:bCs/>
          <w:kern w:val="0"/>
          <w:sz w:val="30"/>
          <w:lang w:val="zh-CN" w:eastAsia="zh-CN"/>
          <w:highlight w:val="auto"/>
        </w:rPr>
        <w:t>本部门严格执行政府采购促进中小企业发展相关管理办法，2024年执行政府采购资金良好，采购执行率100%。</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contextualSpacing/>
        <w:jc w:val="both"/>
        <w:textAlignment w:val="auto"/>
        <w:outlineLvl w:val="9"/>
        <w:rPr>
          <w:rFonts w:ascii="Times New Roman" w:eastAsia="仿宋_GB2312" w:cs="仿宋_GB2312" w:hAnsi="Times New Roman"/>
          <w:color w:val="auto"/>
          <w:kern w:val="2"/>
          <w:sz w:val="32"/>
          <w:szCs w:val="32"/>
          <w:lang w:val="en-US" w:eastAsia="zh-CN" w:bidi="ar-SA"/>
          <w:highlight w:val="auto"/>
        </w:rPr>
      </w:pPr>
      <w:r>
        <w:rPr>
          <w:rFonts w:ascii="Times New Roman" w:eastAsia="楷体_GB2312" w:cs="Times New Roman" w:hAnsi="Times New Roman"/>
          <w:b/>
          <w:bCs/>
          <w:color w:val="000000"/>
          <w:kern w:val="0"/>
          <w:sz w:val="32"/>
          <w:szCs w:val="32"/>
          <w:shd w:val="clear" w:color="auto" w:fill="FFFFFF"/>
          <w:lang w:val="zh-CN"/>
          <w:highlight w:val="auto"/>
        </w:rPr>
        <w:t>（二）部门预算项目绩效分析</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40"/>
        <w:contextualSpacing/>
        <w:jc w:val="left"/>
        <w:rPr>
          <w:rFonts w:ascii="仿宋_GB2312" w:eastAsia="仿宋_GB2312" w:cs="仿宋_GB2312" w:hint="eastAsia"/>
          <w:b w:val="0"/>
          <w:bCs w:val="0"/>
          <w:color w:val="000000"/>
          <w:sz w:val="32"/>
          <w:szCs w:val="32"/>
          <w:lang w:val="zh-CN" w:eastAsia="zh-CN"/>
          <w:highlight w:val="auto"/>
        </w:rPr>
      </w:pPr>
      <w:r>
        <w:rPr>
          <w:rFonts w:ascii="仿宋_GB2312" w:eastAsia="仿宋_GB2312" w:cs="仿宋_GB2312" w:hint="eastAsia"/>
          <w:b w:val="0"/>
          <w:bCs w:val="0"/>
          <w:color w:val="000000"/>
          <w:sz w:val="32"/>
          <w:szCs w:val="32"/>
          <w:lang w:val="zh-CN" w:eastAsia="zh-CN"/>
          <w:highlight w:val="auto"/>
        </w:rPr>
        <w:t>常年项目绩效分析。该类项目总数8个，涉及预算总金额147.14万元，1—12月预算执行总体进度为76.35%，其中：预算结余率大于10%的项目共计4个。</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40"/>
        <w:contextualSpacing/>
        <w:jc w:val="left"/>
        <w:rPr>
          <w:rFonts w:ascii="仿宋_GB2312" w:eastAsia="仿宋_GB2312" w:cs="仿宋_GB2312" w:hint="eastAsia"/>
          <w:b w:val="0"/>
          <w:bCs w:val="0"/>
          <w:color w:val="000000"/>
          <w:sz w:val="32"/>
          <w:szCs w:val="32"/>
          <w:lang w:val="zh-CN" w:eastAsia="zh-CN"/>
          <w:highlight w:val="auto"/>
        </w:rPr>
      </w:pPr>
      <w:r>
        <w:rPr>
          <w:rFonts w:ascii="仿宋_GB2312" w:eastAsia="仿宋_GB2312" w:cs="仿宋_GB2312" w:hint="eastAsia"/>
          <w:b w:val="0"/>
          <w:bCs w:val="0"/>
          <w:color w:val="000000"/>
          <w:sz w:val="32"/>
          <w:szCs w:val="32"/>
          <w:lang w:val="zh-CN" w:eastAsia="zh-CN"/>
          <w:highlight w:val="auto"/>
        </w:rPr>
        <w:t>阶段（含一次性）项目绩效分析。该类项目总数2个，涉及预算总金额600万元，1—12月预算执行总体进度为49.62%，其中：预算结余率大于10%的项目共计2个。</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40"/>
        <w:contextualSpacing/>
        <w:jc w:val="left"/>
        <w:rPr>
          <w:rFonts w:ascii="仿宋_GB2312" w:eastAsia="仿宋_GB2312" w:cs="仿宋_GB2312" w:hint="eastAsia"/>
          <w:b w:val="0"/>
          <w:bCs w:val="0"/>
          <w:color w:val="000000"/>
          <w:sz w:val="32"/>
          <w:szCs w:val="32"/>
          <w:lang w:val="en-US" w:eastAsia="zh-CN"/>
          <w:highlight w:val="auto"/>
        </w:rPr>
      </w:pPr>
      <w:r>
        <w:rPr>
          <w:rFonts w:ascii="仿宋_GB2312" w:eastAsia="仿宋_GB2312" w:cs="仿宋_GB2312" w:hint="eastAsia"/>
          <w:b w:val="0"/>
          <w:bCs w:val="0"/>
          <w:color w:val="000000"/>
          <w:sz w:val="32"/>
          <w:szCs w:val="32"/>
          <w:lang w:val="zh-CN" w:eastAsia="zh-CN"/>
          <w:highlight w:val="auto"/>
        </w:rPr>
        <w:t>1.项目决策。根据2024年下达资金，建设项目库，包括资金指标额度、事前绩效评估、项目目标设置等。再根据基本公共卫生项目方案、两癌筛查方案等项目方案开展各项工作。按项目需达到的目的设置各项目目标，如数量指标、质量指标、时效指标、社会效益指标、满意度指标等。</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40"/>
        <w:contextualSpacing/>
        <w:jc w:val="left"/>
        <w:rPr>
          <w:rFonts w:ascii="仿宋_GB2312" w:eastAsia="仿宋_GB2312" w:cs="仿宋_GB2312" w:hint="eastAsia"/>
          <w:b w:val="0"/>
          <w:bCs w:val="0"/>
          <w:color w:val="000000"/>
          <w:sz w:val="32"/>
          <w:szCs w:val="32"/>
          <w:lang w:val="zh-CN" w:eastAsia="zh-CN"/>
          <w:highlight w:val="auto"/>
        </w:rPr>
      </w:pPr>
      <w:r>
        <w:rPr>
          <w:rFonts w:ascii="仿宋_GB2312" w:eastAsia="仿宋_GB2312" w:cs="仿宋_GB2312" w:hint="eastAsia"/>
          <w:b w:val="0"/>
          <w:bCs w:val="0"/>
          <w:color w:val="000000"/>
          <w:sz w:val="32"/>
          <w:szCs w:val="32"/>
          <w:lang w:val="zh-CN" w:eastAsia="zh-CN"/>
          <w:highlight w:val="auto"/>
        </w:rPr>
        <w:t>2.项目执行。常年项目绩效分析，该类项目总数8个，涉及预算总金额162.74万元，1—12月预算执行总体进度为78.62%，其中：预算结余率大于10%的项目共计4个。原因：艾滋病防治项目工作开展已完成，财政未点审相关计划，故资金支付未完成；孕前优生健康检查项目，公众认识不足不了解孕前检查的重要性，在一定程度上影响了孕前优生健康检查项目的覆盖面，另有一些农村地区宣传力度不够；婚前健康检查项目，由于财政未点审相关计划，故资金支付未完成；住院分娩项目，受分娩人口数以及项目资金申报要求限制，住院分娩补助人数未达到原定计划目标数。</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40"/>
        <w:contextualSpacing/>
        <w:jc w:val="left"/>
        <w:rPr>
          <w:rFonts w:ascii="仿宋_GB2312" w:eastAsia="仿宋_GB2312" w:cs="仿宋_GB2312" w:hint="eastAsia"/>
          <w:b w:val="0"/>
          <w:bCs w:val="0"/>
          <w:color w:val="000000"/>
          <w:sz w:val="32"/>
          <w:szCs w:val="32"/>
          <w:lang w:val="zh-CN" w:eastAsia="zh-CN"/>
          <w:highlight w:val="auto"/>
        </w:rPr>
      </w:pPr>
      <w:r>
        <w:rPr>
          <w:rFonts w:ascii="仿宋_GB2312" w:eastAsia="仿宋_GB2312" w:cs="仿宋_GB2312" w:hint="eastAsia"/>
          <w:b w:val="0"/>
          <w:bCs w:val="0"/>
          <w:color w:val="000000"/>
          <w:sz w:val="32"/>
          <w:szCs w:val="32"/>
          <w:lang w:val="zh-CN" w:eastAsia="zh-CN"/>
          <w:highlight w:val="auto"/>
        </w:rPr>
        <w:t>阶段（含一次性）项目绩效分析。该类项目总数2个，涉及预算总金额600万元，1—12月预算执行总体进度为49.62 %，其中：预算结余率大于10%的项目共计2个。原因：茂县妇幼保健院综合能力提升项目下拨资金400万元，最终项目完成需要资金为275万元；茂县中羌医康养中心项目已完工验收，财政未点审相关计划，故资金支付未完成。</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40"/>
        <w:contextualSpacing/>
        <w:jc w:val="left"/>
        <w:rPr>
          <w:rFonts w:ascii="仿宋_GB2312" w:eastAsia="仿宋_GB2312" w:cs="仿宋_GB2312" w:hint="eastAsia"/>
          <w:b w:val="0"/>
          <w:bCs w:val="0"/>
          <w:color w:val="000000"/>
          <w:sz w:val="32"/>
          <w:szCs w:val="32"/>
          <w:lang w:val="en-US" w:eastAsia="zh-CN"/>
          <w:highlight w:val="auto"/>
        </w:rPr>
      </w:pPr>
      <w:r>
        <w:rPr>
          <w:rFonts w:ascii="仿宋_GB2312" w:eastAsia="仿宋_GB2312" w:cs="仿宋_GB2312" w:hint="eastAsia"/>
          <w:b w:val="0"/>
          <w:bCs w:val="0"/>
          <w:color w:val="000000"/>
          <w:sz w:val="32"/>
          <w:szCs w:val="32"/>
          <w:lang w:val="zh-CN" w:eastAsia="zh-CN"/>
          <w:highlight w:val="auto"/>
        </w:rPr>
        <w:t>3.目标实现。我部门2024年目标基本完成，未出现目标偏离的情况。辖区妇女儿童健康工作和健康知识宣教正常开展，妇幼培训及督导按时完成，公共卫生项目开展良好，两癌筛查、新生儿疾病筛查、免费婚前健康检查等项目均达到预期目标。</w:t>
      </w:r>
    </w:p>
    <w:p>
      <w:pPr>
        <w:keepNext w:val="0"/>
        <w:keepLines w:val="0"/>
        <w:pageBreakBefore w:val="0"/>
        <w:widowControl w:val="0"/>
        <w:kinsoku/>
        <w:wordWrap/>
        <w:overflowPunct/>
        <w:topLinePunct w:val="0"/>
        <w:autoSpaceDE/>
        <w:autoSpaceDN/>
        <w:bidi w:val="0"/>
        <w:snapToGrid w:val="0"/>
        <w:spacing w:line="600" w:lineRule="exact"/>
        <w:ind w:firstLineChars="200" w:firstLine="640"/>
        <w:textAlignment w:val="auto"/>
        <w:rPr>
          <w:rFonts w:ascii="Times New Roman" w:eastAsia="楷体_GB2312" w:cs="Times New Roman" w:hAnsi="Times New Roman" w:hint="eastAsia"/>
          <w:b/>
          <w:bCs/>
          <w:color w:val="000000"/>
          <w:kern w:val="0"/>
          <w:sz w:val="32"/>
          <w:szCs w:val="32"/>
          <w:shd w:val="clear" w:color="auto" w:fill="FFFFFF"/>
          <w:lang w:val="zh-CN" w:eastAsia="zh-CN"/>
          <w:highlight w:val="auto"/>
        </w:rPr>
      </w:pPr>
      <w:r>
        <w:rPr>
          <w:rFonts w:ascii="Times New Roman" w:eastAsia="楷体_GB2312" w:cs="Times New Roman" w:hAnsi="Times New Roman"/>
          <w:b/>
          <w:bCs/>
          <w:color w:val="000000"/>
          <w:kern w:val="0"/>
          <w:sz w:val="32"/>
          <w:szCs w:val="32"/>
          <w:shd w:val="clear" w:color="auto" w:fill="FFFFFF"/>
          <w:lang w:val="zh-CN" w:eastAsia="zh-CN"/>
          <w:highlight w:val="auto"/>
        </w:rPr>
        <w:t>（</w:t>
      </w:r>
      <w:r>
        <w:rPr>
          <w:rFonts w:eastAsia="楷体_GB2312" w:cs="Times New Roman" w:hint="eastAsia"/>
          <w:b/>
          <w:bCs/>
          <w:color w:val="000000"/>
          <w:kern w:val="0"/>
          <w:sz w:val="32"/>
          <w:szCs w:val="32"/>
          <w:shd w:val="clear" w:color="auto" w:fill="FFFFFF"/>
          <w:lang w:val="en-US" w:eastAsia="zh-CN"/>
          <w:highlight w:val="auto"/>
        </w:rPr>
        <w:t>三</w:t>
      </w:r>
      <w:r>
        <w:rPr>
          <w:rFonts w:ascii="Times New Roman" w:eastAsia="楷体_GB2312" w:cs="Times New Roman" w:hAnsi="Times New Roman"/>
          <w:b/>
          <w:bCs/>
          <w:color w:val="000000"/>
          <w:kern w:val="0"/>
          <w:sz w:val="32"/>
          <w:szCs w:val="32"/>
          <w:shd w:val="clear" w:color="auto" w:fill="FFFFFF"/>
          <w:lang w:val="zh-CN" w:eastAsia="zh-CN"/>
          <w:highlight w:val="auto"/>
        </w:rPr>
        <w:t>）绩效结果应用情况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40"/>
        <w:contextualSpacing/>
        <w:jc w:val="left"/>
        <w:rPr>
          <w:rFonts w:ascii="仿宋_GB2312" w:eastAsia="仿宋_GB2312" w:cs="仿宋_GB2312"/>
          <w:b w:val="0"/>
          <w:bCs w:val="0"/>
          <w:color w:val="000000"/>
          <w:sz w:val="32"/>
          <w:szCs w:val="32"/>
          <w:lang w:val="zh-CN" w:eastAsia="zh-CN"/>
          <w:highlight w:val="auto"/>
        </w:rPr>
      </w:pPr>
      <w:r>
        <w:rPr>
          <w:rFonts w:ascii="仿宋_GB2312" w:eastAsia="仿宋_GB2312" w:cs="仿宋_GB2312" w:hint="eastAsia"/>
          <w:b w:val="0"/>
          <w:bCs w:val="0"/>
          <w:color w:val="000000"/>
          <w:sz w:val="32"/>
          <w:szCs w:val="32"/>
          <w:lang w:val="zh-CN" w:eastAsia="zh-CN"/>
          <w:highlight w:val="auto"/>
        </w:rPr>
        <w:t>内部应用情况：已将绩效结果作为部门内部考核的重要依据，促进了部门整体绩效的提升。信息公开情况：按照相关法律法规要求，及时公开了部门预算绩效相关信息并接受外部监督与审计，发现问题及时整改。</w:t>
      </w:r>
    </w:p>
    <w:p>
      <w:pPr>
        <w:keepNext w:val="0"/>
        <w:keepLines w:val="0"/>
        <w:pageBreakBefore w:val="0"/>
        <w:widowControl/>
        <w:kinsoku/>
        <w:wordWrap/>
        <w:overflowPunct/>
        <w:topLinePunct w:val="0"/>
        <w:autoSpaceDE/>
        <w:autoSpaceDN/>
        <w:bidi w:val="0"/>
        <w:adjustRightInd w:val="0"/>
        <w:snapToGrid w:val="0"/>
        <w:spacing w:line="578" w:lineRule="exact"/>
        <w:ind w:left="0" w:firstLineChars="200" w:firstLine="640"/>
        <w:contextualSpacing/>
        <w:jc w:val="left"/>
        <w:textAlignment w:val="auto"/>
        <w:outlineLvl w:val="9"/>
        <w:rPr>
          <w:rFonts w:ascii="Times New Roman" w:eastAsia="黑体" w:cs="Times New Roman" w:hAnsi="Times New Roman"/>
          <w:color w:val="000000"/>
          <w:kern w:val="0"/>
          <w:sz w:val="32"/>
          <w:szCs w:val="32"/>
          <w:shd w:val="clear" w:color="auto" w:fill="FFFFFF"/>
          <w:lang w:val="zh-CN"/>
          <w:highlight w:val="auto"/>
        </w:rPr>
      </w:pPr>
      <w:r>
        <w:rPr>
          <w:rFonts w:ascii="Times New Roman" w:eastAsia="黑体" w:cs="Times New Roman" w:hAnsi="Times New Roman"/>
          <w:color w:val="000000"/>
          <w:kern w:val="0"/>
          <w:sz w:val="32"/>
          <w:szCs w:val="32"/>
          <w:shd w:val="clear" w:color="auto" w:fill="FFFFFF"/>
          <w:lang w:val="zh-CN" w:eastAsia="zh-CN"/>
          <w:highlight w:val="auto"/>
        </w:rPr>
        <w:t>四、</w:t>
      </w:r>
      <w:r>
        <w:rPr>
          <w:rFonts w:ascii="Times New Roman" w:eastAsia="黑体" w:cs="Times New Roman" w:hAnsi="Times New Roman"/>
          <w:color w:val="000000"/>
          <w:kern w:val="0"/>
          <w:sz w:val="32"/>
          <w:szCs w:val="32"/>
          <w:shd w:val="clear" w:color="auto" w:fill="FFFFFF"/>
          <w:lang w:val="zh-CN"/>
          <w:highlight w:val="auto"/>
        </w:rPr>
        <w:t>评价结论及建议</w:t>
      </w:r>
    </w:p>
    <w:p>
      <w:pPr>
        <w:keepNext w:val="0"/>
        <w:keepLines w:val="0"/>
        <w:pageBreakBefore w:val="0"/>
        <w:widowControl/>
        <w:kinsoku/>
        <w:wordWrap/>
        <w:overflowPunct/>
        <w:topLinePunct w:val="0"/>
        <w:autoSpaceDE/>
        <w:autoSpaceDN/>
        <w:bidi w:val="0"/>
        <w:adjustRightInd w:val="0"/>
        <w:snapToGrid w:val="0"/>
        <w:spacing w:line="578" w:lineRule="exact"/>
        <w:ind w:firstLineChars="200" w:firstLine="640"/>
        <w:contextualSpacing/>
        <w:jc w:val="left"/>
        <w:textAlignment w:val="auto"/>
        <w:outlineLvl w:val="9"/>
        <w:rPr>
          <w:rFonts w:ascii="Times New Roman" w:eastAsia="仿宋_GB2312" w:cs="Times New Roman" w:hAnsi="Times New Roman" w:hint="eastAsia"/>
          <w:sz w:val="32"/>
          <w:szCs w:val="32"/>
          <w:u w:val="none"/>
          <w:lang w:val="en-US" w:eastAsia="zh-CN"/>
        </w:rPr>
      </w:pPr>
      <w:r>
        <w:rPr>
          <w:rFonts w:ascii="Times New Roman" w:eastAsia="楷体_GB2312" w:cs="Times New Roman" w:hAnsi="Times New Roman"/>
          <w:b/>
          <w:bCs/>
          <w:color w:val="000000"/>
          <w:kern w:val="0"/>
          <w:sz w:val="32"/>
          <w:szCs w:val="32"/>
          <w:shd w:val="clear" w:color="auto" w:fill="FFFFFF"/>
          <w:lang w:val="zh-CN"/>
          <w:highlight w:val="auto"/>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40"/>
        <w:contextualSpacing/>
        <w:jc w:val="left"/>
        <w:rPr>
          <w:rFonts w:ascii="仿宋_GB2312" w:eastAsia="仿宋_GB2312" w:cs="仿宋_GB2312" w:hint="eastAsia"/>
          <w:b w:val="0"/>
          <w:bCs w:val="0"/>
          <w:color w:val="000000"/>
          <w:sz w:val="32"/>
          <w:szCs w:val="32"/>
          <w:lang w:val="en-US" w:eastAsia="zh-CN"/>
          <w:highlight w:val="auto"/>
        </w:rPr>
      </w:pPr>
      <w:r>
        <w:rPr>
          <w:rFonts w:ascii="仿宋_GB2312" w:eastAsia="仿宋_GB2312" w:cs="仿宋_GB2312" w:hint="eastAsia"/>
          <w:b w:val="0"/>
          <w:bCs w:val="0"/>
          <w:color w:val="000000"/>
          <w:sz w:val="32"/>
          <w:szCs w:val="32"/>
          <w:lang w:val="en-US" w:eastAsia="zh-CN"/>
          <w:highlight w:val="auto"/>
        </w:rPr>
        <w:t>围绕医疗质量、服务效率、患者满意度及公共卫生职能展开进行评价，总体目标完成良好。例如：对高危孕产妇进行专案管理，督促乡村两级管理好高危孕产妇，做到宣传到位，确保母婴安全，2024年辖区内无孕产妇死亡；建立儿童健康档案，有效提高了全县儿童保健系统管理率；通过日常门诊为已婚妇女提供妇女保健、孕产期保健、妇女常见病防治、检查服务，在治疗同时对广大妇女进行健康传播，门诊妇女保健4953人次、计划生育手术128台，孕产期保健1968人次，孕妇学校培训12期；婚前医学检查共计142对；高危产妇住院率达100%，住院分娩率达100%，新生儿访视588人，访视率99.49%。</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40"/>
        <w:contextualSpacing/>
        <w:jc w:val="left"/>
        <w:rPr>
          <w:rFonts w:ascii="仿宋_GB2312" w:eastAsia="仿宋_GB2312" w:cs="仿宋_GB2312"/>
          <w:b w:val="0"/>
          <w:bCs w:val="0"/>
          <w:color w:val="000000"/>
          <w:sz w:val="32"/>
          <w:szCs w:val="32"/>
          <w:lang w:val="en-US" w:eastAsia="zh-CN"/>
          <w:highlight w:val="auto"/>
        </w:rPr>
      </w:pPr>
      <w:r>
        <w:rPr>
          <w:rFonts w:ascii="仿宋_GB2312" w:eastAsia="仿宋_GB2312" w:cs="仿宋_GB2312" w:hint="eastAsia"/>
          <w:b w:val="0"/>
          <w:bCs w:val="0"/>
          <w:color w:val="000000"/>
          <w:sz w:val="32"/>
          <w:szCs w:val="32"/>
          <w:lang w:val="en-US" w:eastAsia="zh-CN"/>
          <w:highlight w:val="auto"/>
        </w:rPr>
        <w:t xml:space="preserve"> 综上所述，部门预算绩效自评自评得分88分。</w:t>
      </w:r>
    </w:p>
    <w:p>
      <w:pPr>
        <w:keepNext w:val="0"/>
        <w:keepLines w:val="0"/>
        <w:pageBreakBefore w:val="0"/>
        <w:widowControl/>
        <w:kinsoku/>
        <w:wordWrap/>
        <w:overflowPunct/>
        <w:topLinePunct w:val="0"/>
        <w:autoSpaceDE/>
        <w:autoSpaceDN/>
        <w:bidi w:val="0"/>
        <w:adjustRightInd w:val="0"/>
        <w:snapToGrid w:val="0"/>
        <w:spacing w:line="578" w:lineRule="exact"/>
        <w:ind w:firstLineChars="200" w:firstLine="640"/>
        <w:contextualSpacing/>
        <w:jc w:val="left"/>
        <w:textAlignment w:val="auto"/>
        <w:outlineLvl w:val="9"/>
        <w:rPr>
          <w:rFonts w:ascii="Times New Roman" w:eastAsia="楷体_GB2312" w:cs="Times New Roman" w:hAnsi="Times New Roman"/>
          <w:b/>
          <w:bCs/>
          <w:color w:val="000000"/>
          <w:kern w:val="0"/>
          <w:sz w:val="32"/>
          <w:szCs w:val="32"/>
          <w:shd w:val="clear" w:color="auto" w:fill="FFFFFF"/>
          <w:lang w:val="zh-CN"/>
          <w:highlight w:val="auto"/>
        </w:rPr>
      </w:pPr>
      <w:r>
        <w:rPr>
          <w:rFonts w:ascii="Times New Roman" w:eastAsia="楷体_GB2312" w:cs="Times New Roman" w:hAnsi="Times New Roman"/>
          <w:b/>
          <w:bCs/>
          <w:color w:val="000000"/>
          <w:kern w:val="0"/>
          <w:sz w:val="32"/>
          <w:szCs w:val="32"/>
          <w:shd w:val="clear" w:color="auto" w:fill="FFFFFF"/>
          <w:lang w:val="zh-CN"/>
          <w:highlight w:val="auto"/>
        </w:rPr>
        <w:t>（二）存在问题</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40"/>
        <w:contextualSpacing/>
        <w:jc w:val="left"/>
        <w:rPr>
          <w:rFonts w:ascii="仿宋_GB2312" w:eastAsia="仿宋_GB2312" w:cs="仿宋_GB2312" w:hint="eastAsia"/>
          <w:b w:val="0"/>
          <w:bCs w:val="0"/>
          <w:color w:val="000000"/>
          <w:sz w:val="32"/>
          <w:szCs w:val="32"/>
          <w:lang w:val="en-US" w:eastAsia="zh-CN"/>
          <w:highlight w:val="auto"/>
        </w:rPr>
      </w:pPr>
      <w:r>
        <w:rPr>
          <w:rFonts w:ascii="仿宋_GB2312" w:eastAsia="仿宋_GB2312" w:cs="仿宋_GB2312" w:hint="eastAsia"/>
          <w:b w:val="0"/>
          <w:bCs w:val="0"/>
          <w:color w:val="000000"/>
          <w:sz w:val="32"/>
          <w:szCs w:val="32"/>
          <w:lang w:val="en-US" w:eastAsia="zh-CN"/>
          <w:highlight w:val="auto"/>
        </w:rPr>
        <w:t>我院各公共卫生项目开展存在宣传不足的问题，群众对孕前优生健康检查、婚前健康检查、预防艾滋病梅毒乙肝母婴传播等缺乏相关知识，认识不到各项目开展的积极意义及作用，不愿意配合和参与相关检查。</w:t>
      </w:r>
    </w:p>
    <w:p>
      <w:pPr>
        <w:keepNext w:val="0"/>
        <w:keepLines w:val="0"/>
        <w:pageBreakBefore w:val="0"/>
        <w:widowControl/>
        <w:kinsoku/>
        <w:wordWrap/>
        <w:overflowPunct/>
        <w:topLinePunct w:val="0"/>
        <w:autoSpaceDE/>
        <w:autoSpaceDN/>
        <w:bidi w:val="0"/>
        <w:adjustRightInd w:val="0"/>
        <w:snapToGrid w:val="0"/>
        <w:spacing w:line="578" w:lineRule="exact"/>
        <w:ind w:firstLineChars="200" w:firstLine="640"/>
        <w:contextualSpacing/>
        <w:jc w:val="left"/>
        <w:textAlignment w:val="auto"/>
        <w:outlineLvl w:val="9"/>
        <w:rPr>
          <w:rFonts w:ascii="Times New Roman" w:eastAsia="楷体_GB2312" w:cs="Times New Roman" w:hAnsi="Times New Roman"/>
          <w:b/>
          <w:bCs/>
          <w:color w:val="000000"/>
          <w:kern w:val="0"/>
          <w:sz w:val="32"/>
          <w:szCs w:val="32"/>
          <w:shd w:val="clear" w:color="auto" w:fill="FFFFFF"/>
          <w:lang w:val="zh-CN" w:eastAsia="zh-CN"/>
          <w:highlight w:val="auto"/>
        </w:rPr>
      </w:pPr>
      <w:r>
        <w:rPr>
          <w:rFonts w:ascii="Times New Roman" w:eastAsia="楷体_GB2312" w:cs="Times New Roman" w:hAnsi="Times New Roman"/>
          <w:b/>
          <w:bCs/>
          <w:color w:val="000000"/>
          <w:kern w:val="0"/>
          <w:sz w:val="32"/>
          <w:szCs w:val="32"/>
          <w:shd w:val="clear" w:color="auto" w:fill="FFFFFF"/>
          <w:lang w:val="zh-CN" w:eastAsia="zh-CN"/>
          <w:highlight w:val="auto"/>
        </w:rPr>
        <w:t>（三）改进建议</w:t>
      </w:r>
      <w:bookmarkStart w:id="51" w:name="_Hlk110546638"/>
    </w:p>
    <w:p>
      <w:pPr>
        <w:keepNext w:val="0"/>
        <w:keepLines w:val="0"/>
        <w:pageBreakBefore w:val="0"/>
        <w:widowControl w:val="0"/>
        <w:kinsoku/>
        <w:wordWrap/>
        <w:overflowPunct/>
        <w:topLinePunct w:val="0"/>
        <w:autoSpaceDE/>
        <w:autoSpaceDN/>
        <w:bidi w:val="0"/>
        <w:adjustRightInd w:val="0"/>
        <w:snapToGrid w:val="0"/>
        <w:spacing w:line="600" w:lineRule="exact"/>
        <w:ind w:firstLineChars="200" w:firstLine="640"/>
        <w:contextualSpacing/>
        <w:jc w:val="left"/>
        <w:rPr>
          <w:rFonts w:ascii="仿宋_GB2312" w:eastAsia="仿宋_GB2312" w:cs="仿宋_GB2312" w:hint="eastAsia"/>
          <w:b w:val="0"/>
          <w:bCs w:val="0"/>
          <w:color w:val="000000"/>
          <w:sz w:val="32"/>
          <w:szCs w:val="32"/>
          <w:lang w:eastAsia="zh-CN"/>
          <w:highlight w:val="auto"/>
        </w:rPr>
      </w:pPr>
      <w:r>
        <w:rPr>
          <w:rFonts w:ascii="仿宋_GB2312" w:eastAsia="仿宋_GB2312" w:cs="仿宋_GB2312" w:hint="eastAsia"/>
          <w:b w:val="0"/>
          <w:bCs w:val="0"/>
          <w:color w:val="000000"/>
          <w:sz w:val="32"/>
          <w:szCs w:val="32"/>
          <w:lang w:val="en-US" w:eastAsia="zh-CN"/>
          <w:highlight w:val="auto"/>
        </w:rPr>
        <w:t>强化宣传工作，提高群众的健康意识，优化检查项目并提高服务水平，强化部门协作，齐抓共管，做好经费保障。</w:t>
      </w:r>
    </w:p>
    <w:tbl>
      <w:tblPr>
        <w:jc w:val="center"/>
        <w:tblW w:w="10560"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1308"/>
        <w:gridCol w:w="1347"/>
        <w:gridCol w:w="1273"/>
        <w:gridCol w:w="1100"/>
        <w:gridCol w:w="1145"/>
        <w:gridCol w:w="1289"/>
        <w:gridCol w:w="1058"/>
        <w:gridCol w:w="926"/>
        <w:gridCol w:w="1114"/>
      </w:tblGrid>
      <w:tr>
        <w:trPr>
          <w:trHeight w:hRule="exact" w:val="762"/>
        </w:trPr>
        <w:tc>
          <w:tcPr>
            <w:tcW w:w="10560" w:type="dxa"/>
            <w:gridSpan w:val="9"/>
            <w:shd w:val="clear" w:color="auto" w:fill="auto"/>
            <w:vAlign w:val="center"/>
          </w:tcPr>
          <w:p>
            <w:pPr>
              <w:widowControl/>
              <w:spacing w:line="600" w:lineRule="exact"/>
              <w:jc w:val="center"/>
              <w:textAlignment w:val="center"/>
              <w:rPr>
                <w:rFonts w:eastAsia="黑体"/>
                <w:color w:val="000000"/>
                <w:sz w:val="28"/>
                <w:szCs w:val="28"/>
              </w:rPr>
            </w:pPr>
            <w:bookmarkEnd w:id="51"/>
            <w:r>
              <w:rPr>
                <w:rFonts w:eastAsia="方正小标宋简体"/>
                <w:color w:val="000000"/>
                <w:kern w:val="0"/>
                <w:sz w:val="44"/>
                <w:szCs w:val="44"/>
              </w:rPr>
              <w:t>部门整体绩效目标完成情况自评表</w:t>
            </w:r>
          </w:p>
        </w:tc>
      </w:tr>
      <w:tr>
        <w:trPr>
          <w:trHeight w:val="23"/>
        </w:trPr>
        <w:tc>
          <w:tcPr>
            <w:tcW w:w="10560" w:type="dxa"/>
            <w:gridSpan w:val="9"/>
            <w:shd w:val="clear" w:color="auto" w:fill="auto"/>
            <w:vAlign w:val="center"/>
          </w:tcPr>
          <w:p>
            <w:pPr>
              <w:widowControl/>
              <w:spacing w:line="300" w:lineRule="exact"/>
              <w:jc w:val="center"/>
              <w:textAlignment w:val="center"/>
              <w:rPr>
                <w:rFonts w:eastAsia="宋体"/>
                <w:color w:val="000000"/>
                <w:sz w:val="28"/>
                <w:szCs w:val="28"/>
              </w:rPr>
            </w:pPr>
            <w:r>
              <w:rPr>
                <w:rFonts w:eastAsia="宋体"/>
                <w:color w:val="000000"/>
                <w:kern w:val="0"/>
                <w:sz w:val="28"/>
                <w:szCs w:val="28"/>
              </w:rPr>
              <w:t>（202</w:t>
            </w:r>
            <w:r>
              <w:rPr>
                <w:rFonts w:eastAsia="宋体" w:hint="eastAsia"/>
                <w:color w:val="000000"/>
                <w:kern w:val="0"/>
                <w:sz w:val="28"/>
                <w:szCs w:val="28"/>
              </w:rPr>
              <w:t>4</w:t>
            </w:r>
            <w:r>
              <w:rPr>
                <w:rFonts w:eastAsia="宋体"/>
                <w:color w:val="000000"/>
                <w:kern w:val="0"/>
                <w:sz w:val="28"/>
                <w:szCs w:val="28"/>
              </w:rPr>
              <w:t>年度）</w:t>
            </w:r>
          </w:p>
        </w:tc>
      </w:tr>
      <w:tr>
        <w:trPr>
          <w:trHeight w:val="23"/>
        </w:trPr>
        <w:tc>
          <w:tcPr>
            <w:tcW w:w="10560" w:type="dxa"/>
            <w:gridSpan w:val="9"/>
            <w:tcBorders>
              <w:bottom w:val="single" w:sz="4" w:space="0" w:color="000000"/>
            </w:tcBorders>
            <w:shd w:val="clear" w:color="auto" w:fill="auto"/>
            <w:vAlign w:val="center"/>
          </w:tcPr>
          <w:p>
            <w:pPr>
              <w:widowControl/>
              <w:spacing w:line="300" w:lineRule="exact"/>
              <w:jc w:val="right"/>
              <w:textAlignment w:val="center"/>
              <w:rPr>
                <w:rFonts w:eastAsia="宋体"/>
                <w:color w:val="000000"/>
                <w:sz w:val="21"/>
                <w:szCs w:val="21"/>
              </w:rPr>
            </w:pPr>
            <w:r>
              <w:rPr>
                <w:rFonts w:eastAsia="宋体"/>
                <w:color w:val="000000"/>
                <w:kern w:val="0"/>
                <w:sz w:val="21"/>
                <w:szCs w:val="21"/>
              </w:rPr>
              <w:t>单位：万元</w:t>
            </w:r>
          </w:p>
        </w:tc>
      </w:tr>
      <w:tr>
        <w:trPr>
          <w:trHeight w:val="23"/>
        </w:trPr>
        <w:tc>
          <w:tcPr>
            <w:tcW w:w="39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部门名称</w:t>
            </w:r>
          </w:p>
        </w:tc>
        <w:tc>
          <w:tcPr>
            <w:tcW w:w="66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hint="eastAsia"/>
                <w:color w:val="000000"/>
                <w:sz w:val="24"/>
                <w:lang w:eastAsia="zh-CN"/>
              </w:rPr>
            </w:pPr>
            <w:r>
              <w:rPr>
                <w:rFonts w:eastAsia="宋体" w:hint="eastAsia"/>
                <w:color w:val="000000"/>
                <w:kern w:val="0"/>
                <w:sz w:val="24"/>
                <w:lang w:eastAsia="zh-CN"/>
              </w:rPr>
              <w:t>茂县妇幼保健院</w:t>
            </w:r>
          </w:p>
        </w:tc>
      </w:tr>
      <w:tr>
        <w:trPr>
          <w:trHeight w:val="23"/>
        </w:trPr>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年度部门整体支出预算</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资金总额</w:t>
            </w:r>
          </w:p>
        </w:tc>
        <w:tc>
          <w:tcPr>
            <w:tcW w:w="2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财政拨款</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其他资金</w:t>
            </w:r>
          </w:p>
        </w:tc>
      </w:tr>
      <w:tr>
        <w:trPr>
          <w:trHeight w:val="23"/>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sz w:val="24"/>
                <w:lang w:val="en-US" w:eastAsia="zh-CN"/>
              </w:rPr>
            </w:pPr>
            <w:r>
              <w:rPr>
                <w:rFonts w:eastAsia="宋体" w:hint="eastAsia"/>
                <w:color w:val="000000"/>
                <w:kern w:val="0"/>
                <w:sz w:val="24"/>
                <w:lang w:val="en-US" w:eastAsia="zh-CN"/>
              </w:rPr>
              <w:t>2483.18</w:t>
            </w:r>
          </w:p>
        </w:tc>
        <w:tc>
          <w:tcPr>
            <w:tcW w:w="2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sz w:val="24"/>
                <w:lang w:val="en-US" w:eastAsia="zh-CN"/>
              </w:rPr>
            </w:pPr>
            <w:r>
              <w:rPr>
                <w:rFonts w:eastAsia="宋体" w:hint="eastAsia"/>
                <w:color w:val="000000"/>
                <w:kern w:val="0"/>
                <w:sz w:val="24"/>
                <w:lang w:val="en-US" w:eastAsia="zh-CN"/>
              </w:rPr>
              <w:t>1521.76</w:t>
            </w:r>
          </w:p>
        </w:tc>
        <w:tc>
          <w:tcPr>
            <w:tcW w:w="43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sz w:val="24"/>
                <w:lang w:val="en-US" w:eastAsia="zh-CN"/>
              </w:rPr>
            </w:pPr>
            <w:r>
              <w:rPr>
                <w:rFonts w:eastAsia="宋体" w:hint="eastAsia"/>
                <w:color w:val="000000"/>
                <w:kern w:val="0"/>
                <w:sz w:val="24"/>
                <w:lang w:val="en-US" w:eastAsia="zh-CN"/>
              </w:rPr>
              <w:t>961.42</w:t>
            </w:r>
          </w:p>
        </w:tc>
      </w:tr>
      <w:tr>
        <w:trPr>
          <w:trHeight w:val="23"/>
        </w:trPr>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年度总体</w:t>
            </w:r>
          </w:p>
          <w:p>
            <w:pPr>
              <w:widowControl/>
              <w:spacing w:line="300" w:lineRule="exact"/>
              <w:jc w:val="center"/>
              <w:textAlignment w:val="center"/>
              <w:rPr>
                <w:rFonts w:eastAsia="宋体"/>
                <w:color w:val="000000"/>
                <w:sz w:val="24"/>
              </w:rPr>
            </w:pPr>
            <w:r>
              <w:rPr>
                <w:rFonts w:eastAsia="宋体"/>
                <w:color w:val="000000"/>
                <w:kern w:val="0"/>
                <w:sz w:val="24"/>
              </w:rPr>
              <w:t>目标</w:t>
            </w:r>
          </w:p>
        </w:tc>
        <w:tc>
          <w:tcPr>
            <w:tcW w:w="925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left"/>
              <w:textAlignment w:val="center"/>
              <w:rPr>
                <w:rFonts w:eastAsia="宋体" w:hint="eastAsia"/>
                <w:color w:val="000000"/>
                <w:sz w:val="24"/>
                <w:lang w:eastAsia="zh-CN"/>
              </w:rPr>
            </w:pPr>
            <w:r>
              <w:rPr>
                <w:rFonts w:ascii="国标宋体" w:eastAsia="国标宋体" w:cs="国标宋体" w:hint="eastAsia"/>
                <w:color w:val="000000"/>
                <w:kern w:val="0"/>
                <w:sz w:val="24"/>
                <w:szCs w:val="24"/>
                <w:shd w:val="clear" w:color="auto" w:fill="FFFFFF"/>
                <w:lang w:val="zh-CN"/>
              </w:rPr>
              <w:t>了解掌握妇女儿童健康状况及影响因素，负责本辖区儿童入托前健康体检及开展各类妇幼保健人员的业务培训，负责指导和开展本辖区妇幼保健健康教育与健康工作，组织实施公共卫生服务项目。</w:t>
            </w:r>
          </w:p>
        </w:tc>
      </w:tr>
      <w:tr>
        <w:trPr>
          <w:trHeight w:val="23"/>
        </w:trPr>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年度主要</w:t>
            </w:r>
          </w:p>
          <w:p>
            <w:pPr>
              <w:widowControl/>
              <w:spacing w:line="300" w:lineRule="exact"/>
              <w:jc w:val="center"/>
              <w:textAlignment w:val="center"/>
              <w:rPr>
                <w:rFonts w:eastAsia="宋体"/>
                <w:color w:val="000000"/>
                <w:sz w:val="24"/>
              </w:rPr>
            </w:pPr>
            <w:r>
              <w:rPr>
                <w:rFonts w:eastAsia="宋体"/>
                <w:color w:val="000000"/>
                <w:kern w:val="0"/>
                <w:sz w:val="24"/>
              </w:rPr>
              <w:t>任务</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任务名称</w:t>
            </w:r>
          </w:p>
        </w:tc>
        <w:tc>
          <w:tcPr>
            <w:tcW w:w="66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主要内容</w:t>
            </w:r>
          </w:p>
        </w:tc>
      </w:tr>
      <w:tr>
        <w:trPr>
          <w:trHeight w:val="23"/>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left"/>
              <w:textAlignment w:val="center"/>
              <w:rPr>
                <w:rFonts w:eastAsia="宋体" w:hint="eastAsia"/>
                <w:color w:val="000000"/>
                <w:sz w:val="24"/>
                <w:lang w:eastAsia="zh-CN"/>
              </w:rPr>
            </w:pPr>
            <w:r>
              <w:rPr>
                <w:rFonts w:eastAsia="宋体" w:hint="eastAsia"/>
                <w:color w:val="000000"/>
                <w:kern w:val="0"/>
                <w:sz w:val="24"/>
                <w:lang w:eastAsia="zh-CN"/>
              </w:rPr>
              <w:t>基础医疗服务</w:t>
            </w:r>
          </w:p>
        </w:tc>
        <w:tc>
          <w:tcPr>
            <w:tcW w:w="66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left"/>
              <w:textAlignment w:val="center"/>
              <w:rPr>
                <w:rFonts w:eastAsia="宋体"/>
                <w:color w:val="000000"/>
                <w:sz w:val="24"/>
              </w:rPr>
            </w:pPr>
            <w:r>
              <w:rPr>
                <w:rFonts w:eastAsia="宋体" w:hint="eastAsia"/>
                <w:color w:val="000000"/>
                <w:sz w:val="24"/>
                <w:lang w:eastAsia="zh-CN"/>
              </w:rPr>
              <w:t>开展妇女儿童医疗保健业务，如预防接种、儿童保健、计划生育手术等。</w:t>
            </w:r>
          </w:p>
        </w:tc>
      </w:tr>
      <w:tr>
        <w:trPr>
          <w:trHeight w:val="23"/>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left"/>
              <w:rPr>
                <w:rFonts w:eastAsia="宋体" w:hint="eastAsia"/>
                <w:color w:val="000000"/>
                <w:sz w:val="24"/>
                <w:lang w:eastAsia="zh-CN"/>
              </w:rPr>
            </w:pPr>
            <w:r>
              <w:rPr>
                <w:rFonts w:eastAsia="宋体" w:hint="eastAsia"/>
                <w:color w:val="000000"/>
                <w:sz w:val="24"/>
                <w:lang w:eastAsia="zh-CN"/>
              </w:rPr>
              <w:t>公共卫生服务</w:t>
            </w:r>
          </w:p>
        </w:tc>
        <w:tc>
          <w:tcPr>
            <w:tcW w:w="66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left"/>
              <w:rPr>
                <w:rFonts w:eastAsia="宋体"/>
                <w:color w:val="000000"/>
                <w:sz w:val="24"/>
              </w:rPr>
            </w:pPr>
            <w:r>
              <w:rPr>
                <w:rFonts w:eastAsia="宋体" w:hint="eastAsia"/>
                <w:color w:val="000000"/>
                <w:sz w:val="24"/>
                <w:lang w:eastAsia="zh-CN"/>
              </w:rPr>
              <w:t>开展公共卫生服务，如婚检、孕优、两癌筛查等。</w:t>
            </w:r>
          </w:p>
        </w:tc>
      </w:tr>
      <w:tr>
        <w:trPr>
          <w:trHeight w:val="23"/>
        </w:trPr>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年度绩效</w:t>
            </w:r>
          </w:p>
          <w:p>
            <w:pPr>
              <w:widowControl/>
              <w:spacing w:line="300" w:lineRule="exact"/>
              <w:jc w:val="center"/>
              <w:textAlignment w:val="center"/>
              <w:rPr>
                <w:rFonts w:eastAsia="宋体"/>
                <w:color w:val="000000"/>
                <w:sz w:val="24"/>
              </w:rPr>
            </w:pPr>
            <w:r>
              <w:rPr>
                <w:rFonts w:eastAsia="宋体"/>
                <w:color w:val="000000"/>
                <w:kern w:val="0"/>
                <w:sz w:val="24"/>
              </w:rPr>
              <w:t>指标</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一级指标</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二级指标</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三级指标</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绩效指标</w:t>
            </w:r>
          </w:p>
          <w:p>
            <w:pPr>
              <w:widowControl/>
              <w:spacing w:line="300" w:lineRule="exact"/>
              <w:jc w:val="center"/>
              <w:textAlignment w:val="center"/>
              <w:rPr>
                <w:rFonts w:eastAsia="宋体"/>
                <w:color w:val="000000"/>
                <w:sz w:val="24"/>
              </w:rPr>
            </w:pPr>
            <w:r>
              <w:rPr>
                <w:rFonts w:eastAsia="宋体"/>
                <w:color w:val="000000"/>
                <w:kern w:val="0"/>
                <w:sz w:val="24"/>
              </w:rPr>
              <w:t>性质</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绩效指标值</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绩效度量单位</w:t>
            </w:r>
          </w:p>
        </w:tc>
        <w:tc>
          <w:tcPr>
            <w:tcW w:w="926" w:type="dxa"/>
            <w:tcBorders>
              <w:top w:val="single" w:sz="4" w:space="0" w:color="000000"/>
              <w:left w:val="single" w:sz="4" w:space="0" w:color="000000"/>
              <w:bottom w:val="single" w:sz="4" w:space="0" w:color="00000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权重</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实际完成</w:t>
            </w:r>
          </w:p>
          <w:p>
            <w:pPr>
              <w:widowControl/>
              <w:spacing w:line="300" w:lineRule="exact"/>
              <w:jc w:val="center"/>
              <w:textAlignment w:val="center"/>
              <w:rPr>
                <w:rFonts w:eastAsia="宋体"/>
                <w:color w:val="000000"/>
                <w:sz w:val="24"/>
              </w:rPr>
            </w:pPr>
            <w:r>
              <w:rPr>
                <w:rFonts w:eastAsia="宋体"/>
                <w:color w:val="000000"/>
                <w:kern w:val="0"/>
                <w:sz w:val="24"/>
              </w:rPr>
              <w:t>指标值</w:t>
            </w:r>
          </w:p>
        </w:tc>
      </w:tr>
      <w:tr>
        <w:trPr>
          <w:trHeight w:val="23"/>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textAlignment w:val="center"/>
              <w:rPr>
                <w:rFonts w:ascii="Times New Roman" w:eastAsia="宋体" w:cs="Times New Roman" w:hAnsi="Times New Roman"/>
                <w:color w:val="000000"/>
                <w:kern w:val="2"/>
                <w:sz w:val="24"/>
                <w:szCs w:val="24"/>
                <w:lang w:val="en-US" w:eastAsia="zh-CN" w:bidi="ar-SA"/>
              </w:rPr>
            </w:pPr>
            <w:r>
              <w:rPr>
                <w:rFonts w:eastAsia="宋体"/>
                <w:color w:val="000000"/>
                <w:kern w:val="0"/>
                <w:sz w:val="24"/>
              </w:rPr>
              <w:t>产出指标</w:t>
            </w:r>
          </w:p>
          <w:p>
            <w:pPr>
              <w:widowControl/>
              <w:spacing w:line="300" w:lineRule="exact"/>
              <w:jc w:val="center"/>
              <w:textAlignment w:val="center"/>
              <w:rPr>
                <w:rFonts w:eastAsia="宋体"/>
                <w:color w:val="000000"/>
                <w:sz w:val="24"/>
              </w:rPr>
            </w:pP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textAlignment w:val="center"/>
              <w:rPr>
                <w:rFonts w:ascii="Times New Roman" w:eastAsia="宋体" w:cs="Times New Roman" w:hAnsi="Times New Roman"/>
                <w:color w:val="000000"/>
                <w:kern w:val="2"/>
                <w:sz w:val="24"/>
                <w:szCs w:val="24"/>
                <w:lang w:val="en-US" w:eastAsia="zh-CN" w:bidi="ar-SA"/>
              </w:rPr>
            </w:pPr>
            <w:r>
              <w:rPr>
                <w:rFonts w:eastAsia="宋体"/>
                <w:color w:val="000000"/>
                <w:kern w:val="0"/>
                <w:sz w:val="24"/>
              </w:rPr>
              <w:t>质量指标</w:t>
            </w:r>
          </w:p>
          <w:p>
            <w:pPr>
              <w:widowControl/>
              <w:spacing w:line="300" w:lineRule="exact"/>
              <w:jc w:val="center"/>
              <w:textAlignment w:val="center"/>
              <w:rPr>
                <w:rFonts w:eastAsia="宋体"/>
                <w:color w:val="000000"/>
                <w:sz w:val="24"/>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hint="eastAsia"/>
                <w:color w:val="000000"/>
                <w:kern w:val="2"/>
                <w:sz w:val="24"/>
                <w:szCs w:val="24"/>
                <w:lang w:val="en-US" w:eastAsia="zh-CN" w:bidi="ar-SA"/>
              </w:rPr>
            </w:pPr>
            <w:r>
              <w:rPr>
                <w:rFonts w:ascii="Times New Roman" w:eastAsia="宋体" w:cs="Times New Roman" w:hAnsi="Times New Roman" w:hint="eastAsia"/>
                <w:color w:val="000000"/>
                <w:kern w:val="2"/>
                <w:sz w:val="24"/>
                <w:szCs w:val="24"/>
                <w:lang w:val="en-US" w:eastAsia="zh-CN" w:bidi="ar-SA"/>
              </w:rPr>
              <w:t>管理高危孕产妇</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ascii="Times New Roman" w:eastAsia="宋体" w:cs="Times New Roman" w:hAnsi="Times New Roman" w:hint="eastAsia"/>
                <w:color w:val="000000"/>
                <w:kern w:val="2"/>
                <w:sz w:val="24"/>
                <w:szCs w:val="24"/>
                <w:lang w:val="en-US" w:eastAsia="zh-CN" w:bidi="ar-SA"/>
              </w:rPr>
              <w:t>高危孕产妇</w:t>
            </w:r>
            <w:r>
              <w:rPr>
                <w:rFonts w:eastAsia="宋体" w:cs="Times New Roman" w:hint="eastAsia"/>
                <w:color w:val="000000"/>
                <w:kern w:val="2"/>
                <w:sz w:val="24"/>
                <w:szCs w:val="24"/>
                <w:lang w:val="en-US" w:eastAsia="zh-CN" w:bidi="ar-SA"/>
              </w:rPr>
              <w:t>死亡率</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cs="Times New Roman" w:hint="eastAsia"/>
                <w:color w:val="000000"/>
                <w:kern w:val="2"/>
                <w:sz w:val="24"/>
                <w:szCs w:val="24"/>
                <w:lang w:val="en-US" w:eastAsia="zh-CN" w:bidi="ar-SA"/>
              </w:rPr>
              <w:t>无高危孕产妇死亡</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textAlignment w:val="center"/>
              <w:rPr>
                <w:rFonts w:ascii="Times New Roman" w:eastAsia="宋体" w:cs="Times New Roman" w:hAnsi="Times New Roman"/>
                <w:color w:val="000000"/>
                <w:kern w:val="2"/>
                <w:sz w:val="24"/>
                <w:szCs w:val="24"/>
                <w:lang w:val="en-US" w:eastAsia="zh-CN" w:bidi="ar-SA"/>
              </w:rPr>
            </w:pPr>
            <w:r>
              <w:rPr>
                <w:rFonts w:eastAsia="宋体" w:cs="Times New Roman" w:hint="eastAsia"/>
                <w:color w:val="000000"/>
                <w:kern w:val="2"/>
                <w:sz w:val="24"/>
                <w:szCs w:val="24"/>
                <w:lang w:val="en-US" w:eastAsia="zh-CN" w:bidi="ar-SA"/>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textAlignment w:val="center"/>
              <w:rPr>
                <w:rFonts w:ascii="Times New Roman" w:eastAsia="宋体" w:cs="Times New Roman" w:hAnsi="Times New Roman"/>
                <w:color w:val="000000"/>
                <w:kern w:val="2"/>
                <w:sz w:val="24"/>
                <w:szCs w:val="24"/>
                <w:lang w:val="en-US" w:eastAsia="zh-CN" w:bidi="ar-SA"/>
              </w:rPr>
            </w:pPr>
            <w:r>
              <w:rPr>
                <w:rFonts w:eastAsia="宋体" w:hint="eastAsia"/>
                <w:color w:val="000000"/>
                <w:sz w:val="24"/>
                <w:lang w:val="en-US" w:eastAsia="zh-CN"/>
              </w:rPr>
              <w:t>10</w:t>
            </w:r>
          </w:p>
        </w:tc>
        <w:tc>
          <w:tcPr>
            <w:tcW w:w="1114" w:type="dxa"/>
            <w:tcBorders>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textAlignment w:val="center"/>
              <w:rPr>
                <w:rFonts w:ascii="Times New Roman" w:eastAsia="宋体" w:cs="Times New Roman" w:hAnsi="Times New Roman"/>
                <w:color w:val="000000"/>
                <w:kern w:val="2"/>
                <w:sz w:val="24"/>
                <w:szCs w:val="24"/>
                <w:lang w:val="en-US" w:eastAsia="zh-CN" w:bidi="ar-SA"/>
              </w:rPr>
            </w:pPr>
            <w:r>
              <w:rPr>
                <w:rFonts w:eastAsia="宋体" w:cs="Times New Roman" w:hint="eastAsia"/>
                <w:color w:val="000000"/>
                <w:kern w:val="2"/>
                <w:sz w:val="24"/>
                <w:szCs w:val="24"/>
                <w:lang w:val="en-US" w:eastAsia="zh-CN" w:bidi="ar-SA"/>
              </w:rPr>
              <w:t>无高危孕产妇死亡</w:t>
            </w:r>
          </w:p>
        </w:tc>
      </w:tr>
      <w:tr>
        <w:trPr>
          <w:trHeight w:val="23"/>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hint="eastAsia"/>
                <w:color w:val="000000"/>
                <w:kern w:val="2"/>
                <w:sz w:val="24"/>
                <w:szCs w:val="24"/>
                <w:lang w:val="en-US" w:eastAsia="zh-CN" w:bidi="ar-SA"/>
              </w:rPr>
            </w:pPr>
            <w:r>
              <w:rPr>
                <w:rFonts w:eastAsia="宋体" w:hint="eastAsia"/>
                <w:color w:val="000000"/>
                <w:sz w:val="24"/>
                <w:lang w:eastAsia="zh-CN"/>
              </w:rPr>
              <w:t>妇女儿童健康知识宣教</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cs="Times New Roman" w:hint="eastAsia"/>
                <w:color w:val="000000"/>
                <w:kern w:val="2"/>
                <w:sz w:val="24"/>
                <w:szCs w:val="24"/>
                <w:lang w:val="en-US" w:eastAsia="zh-CN" w:bidi="ar-SA"/>
              </w:rPr>
              <w:t>孕妇学校培训次数</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cs="Times New Roman" w:hint="eastAsia"/>
                <w:color w:val="000000"/>
                <w:kern w:val="2"/>
                <w:sz w:val="24"/>
                <w:szCs w:val="24"/>
                <w:lang w:val="en-US" w:eastAsia="zh-CN" w:bidi="ar-SA"/>
              </w:rPr>
              <w:t>12次</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cs="Times New Roman" w:hint="eastAsia"/>
                <w:color w:val="000000"/>
                <w:kern w:val="2"/>
                <w:sz w:val="24"/>
                <w:szCs w:val="24"/>
                <w:lang w:val="en-US" w:eastAsia="zh-CN" w:bidi="ar-SA"/>
              </w:rPr>
              <w:t>次</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hint="eastAsia"/>
                <w:color w:val="000000"/>
                <w:sz w:val="24"/>
                <w:lang w:val="en-US" w:eastAsia="zh-CN"/>
              </w:rPr>
              <w:t>10</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cs="Times New Roman" w:hint="eastAsia"/>
                <w:color w:val="000000"/>
                <w:kern w:val="2"/>
                <w:sz w:val="24"/>
                <w:szCs w:val="24"/>
                <w:lang w:val="en-US" w:eastAsia="zh-CN" w:bidi="ar-SA"/>
              </w:rPr>
              <w:t>开展孕妇学校培训12次</w:t>
            </w:r>
          </w:p>
        </w:tc>
      </w:tr>
      <w:tr>
        <w:trPr>
          <w:trHeight w:val="23"/>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textAlignment w:val="center"/>
              <w:rPr>
                <w:rFonts w:ascii="Times New Roman" w:eastAsia="宋体" w:cs="Times New Roman" w:hAnsi="Times New Roman"/>
                <w:color w:val="000000"/>
                <w:kern w:val="2"/>
                <w:sz w:val="24"/>
                <w:szCs w:val="24"/>
                <w:lang w:val="en-US" w:eastAsia="zh-CN" w:bidi="ar-SA"/>
              </w:rPr>
            </w:pPr>
            <w:r>
              <w:rPr>
                <w:rFonts w:eastAsia="宋体"/>
                <w:color w:val="000000"/>
                <w:kern w:val="0"/>
                <w:sz w:val="24"/>
              </w:rPr>
              <w:t>质量指标</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hint="eastAsia"/>
                <w:color w:val="000000"/>
                <w:kern w:val="2"/>
                <w:sz w:val="24"/>
                <w:szCs w:val="24"/>
                <w:lang w:val="en-US" w:eastAsia="zh-CN" w:bidi="ar-SA"/>
              </w:rPr>
            </w:pPr>
            <w:r>
              <w:rPr>
                <w:rFonts w:eastAsia="宋体" w:cs="Times New Roman" w:hint="eastAsia"/>
                <w:color w:val="000000"/>
                <w:kern w:val="2"/>
                <w:sz w:val="24"/>
                <w:szCs w:val="24"/>
                <w:lang w:val="en-US" w:eastAsia="zh-CN" w:bidi="ar-SA"/>
              </w:rPr>
              <w:t>孕产妇</w:t>
            </w:r>
            <w:r>
              <w:rPr>
                <w:rFonts w:ascii="Times New Roman" w:eastAsia="宋体" w:cs="Times New Roman" w:hAnsi="Times New Roman" w:hint="eastAsia"/>
                <w:color w:val="000000"/>
                <w:kern w:val="2"/>
                <w:sz w:val="24"/>
                <w:szCs w:val="24"/>
                <w:lang w:val="en-US" w:eastAsia="zh-CN" w:bidi="ar-SA"/>
              </w:rPr>
              <w:t>住院分娩率</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ascii="Times New Roman" w:eastAsia="宋体" w:cs="Times New Roman" w:hAnsi="Times New Roman" w:hint="eastAsia"/>
                <w:color w:val="000000"/>
                <w:kern w:val="2"/>
                <w:sz w:val="24"/>
                <w:szCs w:val="24"/>
                <w:lang w:val="en-US" w:eastAsia="zh-CN" w:bidi="ar-SA"/>
              </w:rPr>
              <w:t>住院分娩率</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hint="eastAsia"/>
                <w:color w:val="000000"/>
                <w:sz w:val="24"/>
                <w:lang w:val="en-US" w:eastAsia="zh-CN"/>
              </w:rPr>
              <w:t>100%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cs="Times New Roman" w:hint="eastAsia"/>
                <w:color w:val="000000"/>
                <w:kern w:val="2"/>
                <w:sz w:val="24"/>
                <w:szCs w:val="24"/>
                <w:lang w:val="en-US" w:eastAsia="zh-CN" w:bidi="ar-SA"/>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hint="eastAsia"/>
                <w:color w:val="000000"/>
                <w:sz w:val="24"/>
                <w:lang w:val="en-US" w:eastAsia="zh-CN"/>
              </w:rPr>
              <w:t>10</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cs="Times New Roman" w:hint="eastAsia"/>
                <w:color w:val="000000"/>
                <w:kern w:val="2"/>
                <w:sz w:val="24"/>
                <w:szCs w:val="24"/>
                <w:lang w:val="en-US" w:eastAsia="zh-CN" w:bidi="ar-SA"/>
              </w:rPr>
              <w:t>孕产妇</w:t>
            </w:r>
            <w:r>
              <w:rPr>
                <w:rFonts w:ascii="Times New Roman" w:eastAsia="宋体" w:cs="Times New Roman" w:hAnsi="Times New Roman" w:hint="eastAsia"/>
                <w:color w:val="000000"/>
                <w:kern w:val="2"/>
                <w:sz w:val="24"/>
                <w:szCs w:val="24"/>
                <w:lang w:val="en-US" w:eastAsia="zh-CN" w:bidi="ar-SA"/>
              </w:rPr>
              <w:t>住院分娩率</w:t>
            </w:r>
            <w:r>
              <w:rPr>
                <w:rFonts w:eastAsia="宋体" w:cs="Times New Roman" w:hint="eastAsia"/>
                <w:color w:val="000000"/>
                <w:kern w:val="2"/>
                <w:sz w:val="24"/>
                <w:szCs w:val="24"/>
                <w:lang w:val="en-US" w:eastAsia="zh-CN" w:bidi="ar-SA"/>
              </w:rPr>
              <w:t>100%</w:t>
            </w:r>
          </w:p>
        </w:tc>
      </w:tr>
      <w:tr>
        <w:trPr>
          <w:trHeight w:val="23"/>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textAlignment w:val="center"/>
              <w:rPr>
                <w:rFonts w:ascii="Times New Roman" w:eastAsia="宋体" w:cs="Times New Roman" w:hAnsi="Times New Roman"/>
                <w:color w:val="000000"/>
                <w:kern w:val="0"/>
                <w:sz w:val="24"/>
                <w:szCs w:val="24"/>
                <w:lang w:val="en-US" w:eastAsia="zh-CN"/>
              </w:rPr>
            </w:pPr>
            <w:r>
              <w:rPr>
                <w:rFonts w:eastAsia="宋体"/>
                <w:color w:val="000000"/>
                <w:kern w:val="0"/>
                <w:sz w:val="24"/>
              </w:rPr>
              <w:t>质量指标</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hint="eastAsia"/>
                <w:color w:val="000000"/>
                <w:kern w:val="2"/>
                <w:sz w:val="24"/>
                <w:szCs w:val="24"/>
                <w:lang w:val="en-US" w:eastAsia="zh-CN" w:bidi="ar-SA"/>
              </w:rPr>
            </w:pPr>
            <w:r>
              <w:rPr>
                <w:rFonts w:ascii="Times New Roman" w:eastAsia="宋体" w:cs="Times New Roman" w:hAnsi="Times New Roman" w:hint="eastAsia"/>
                <w:color w:val="000000"/>
                <w:kern w:val="2"/>
                <w:sz w:val="24"/>
                <w:szCs w:val="24"/>
                <w:lang w:val="en-US" w:eastAsia="zh-CN" w:bidi="ar-SA"/>
              </w:rPr>
              <w:t>增补叶酸预防神经管缺陷</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hint="eastAsia"/>
                <w:color w:val="000000"/>
                <w:sz w:val="24"/>
                <w:lang w:eastAsia="zh-CN"/>
              </w:rPr>
              <w:t>叶酸片服用率</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hint="eastAsia"/>
                <w:color w:val="000000"/>
                <w:sz w:val="24"/>
                <w:lang w:val="en-US" w:eastAsia="zh-CN"/>
              </w:rPr>
              <w:t>80%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cs="Times New Roman" w:hint="eastAsia"/>
                <w:color w:val="000000"/>
                <w:kern w:val="2"/>
                <w:sz w:val="24"/>
                <w:szCs w:val="24"/>
                <w:lang w:val="en-US" w:eastAsia="zh-CN" w:bidi="ar-SA"/>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hint="eastAsia"/>
                <w:color w:val="000000"/>
                <w:sz w:val="24"/>
                <w:lang w:val="en-US" w:eastAsia="zh-CN"/>
              </w:rPr>
              <w:t>10</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cs="Times New Roman" w:hint="eastAsia"/>
                <w:color w:val="000000"/>
                <w:kern w:val="2"/>
                <w:sz w:val="24"/>
                <w:szCs w:val="24"/>
                <w:lang w:val="en-US" w:eastAsia="zh-CN" w:bidi="ar-SA"/>
              </w:rPr>
              <w:t>86.84%</w:t>
            </w:r>
          </w:p>
        </w:tc>
      </w:tr>
      <w:tr>
        <w:trPr>
          <w:trHeight w:val="23"/>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textAlignment w:val="center"/>
              <w:rPr>
                <w:rFonts w:ascii="Times New Roman" w:eastAsia="宋体" w:cs="Times New Roman" w:hAnsi="Times New Roman"/>
                <w:color w:val="000000"/>
                <w:kern w:val="2"/>
                <w:sz w:val="24"/>
                <w:szCs w:val="24"/>
                <w:lang w:val="en-US" w:eastAsia="zh-CN" w:bidi="ar-SA"/>
              </w:rPr>
            </w:pPr>
            <w:r>
              <w:rPr>
                <w:rFonts w:eastAsia="宋体"/>
                <w:color w:val="000000"/>
                <w:kern w:val="0"/>
                <w:sz w:val="24"/>
              </w:rPr>
              <w:t>质量指标</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hint="eastAsia"/>
                <w:color w:val="000000"/>
                <w:sz w:val="24"/>
                <w:lang w:val="en-US" w:eastAsia="zh-CN"/>
              </w:rPr>
              <w:t>开展公共卫生服务</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hint="eastAsia"/>
                <w:color w:val="000000"/>
                <w:sz w:val="24"/>
                <w:lang w:eastAsia="zh-CN"/>
              </w:rPr>
              <w:t>定性</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hint="eastAsia"/>
                <w:color w:val="000000"/>
                <w:sz w:val="24"/>
                <w:lang w:eastAsia="zh-CN"/>
              </w:rPr>
              <w:t>服务水平不断提高</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hint="eastAsia"/>
                <w:color w:val="000000"/>
                <w:sz w:val="24"/>
                <w:lang w:val="en-US" w:eastAsia="zh-CN"/>
              </w:rPr>
              <w:t>10</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hint="eastAsia"/>
                <w:color w:val="000000"/>
                <w:sz w:val="24"/>
                <w:lang w:eastAsia="zh-CN"/>
              </w:rPr>
              <w:t>服务水平不断提高</w:t>
            </w:r>
          </w:p>
        </w:tc>
      </w:tr>
      <w:tr>
        <w:trPr>
          <w:trHeight w:val="1860"/>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textAlignment w:val="center"/>
              <w:rPr>
                <w:rFonts w:ascii="Times New Roman" w:eastAsia="宋体" w:cs="Times New Roman" w:hAnsi="Times New Roman"/>
                <w:color w:val="000000"/>
                <w:kern w:val="2"/>
                <w:sz w:val="24"/>
                <w:szCs w:val="24"/>
                <w:lang w:val="en-US" w:eastAsia="zh-CN" w:bidi="ar-SA"/>
              </w:rPr>
            </w:pPr>
            <w:r>
              <w:rPr>
                <w:rFonts w:eastAsia="宋体"/>
                <w:color w:val="000000"/>
                <w:kern w:val="0"/>
                <w:sz w:val="24"/>
              </w:rPr>
              <w:t>效益指标效益指标</w:t>
            </w:r>
          </w:p>
          <w:p>
            <w:pPr>
              <w:widowControl/>
              <w:spacing w:line="300" w:lineRule="exact"/>
              <w:jc w:val="center"/>
              <w:textAlignment w:val="center"/>
              <w:rPr>
                <w:rFonts w:eastAsia="宋体"/>
                <w:color w:val="000000"/>
                <w:sz w:val="24"/>
              </w:rPr>
            </w:pPr>
          </w:p>
        </w:tc>
        <w:tc>
          <w:tcPr>
            <w:tcW w:w="1273" w:type="dxa"/>
            <w:tcBorders>
              <w:top w:val="single" w:sz="4" w:space="0" w:color="000000"/>
              <w:left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textAlignment w:val="center"/>
              <w:rPr>
                <w:rFonts w:ascii="Times New Roman" w:eastAsia="宋体" w:cs="Times New Roman" w:hAnsi="Times New Roman"/>
                <w:color w:val="000000"/>
                <w:kern w:val="2"/>
                <w:sz w:val="24"/>
                <w:szCs w:val="24"/>
                <w:lang w:val="en-US" w:eastAsia="zh-CN" w:bidi="ar-SA"/>
              </w:rPr>
            </w:pPr>
            <w:r>
              <w:rPr>
                <w:rFonts w:eastAsia="宋体"/>
                <w:color w:val="000000"/>
                <w:kern w:val="0"/>
                <w:sz w:val="24"/>
              </w:rPr>
              <w:t>时效指标</w:t>
            </w:r>
          </w:p>
          <w:p>
            <w:pPr>
              <w:widowControl/>
              <w:spacing w:line="300" w:lineRule="exact"/>
              <w:jc w:val="center"/>
              <w:textAlignment w:val="center"/>
              <w:rPr>
                <w:rFonts w:eastAsia="宋体"/>
                <w:color w:val="000000"/>
                <w:sz w:val="24"/>
              </w:rPr>
            </w:pPr>
          </w:p>
        </w:tc>
        <w:tc>
          <w:tcPr>
            <w:tcW w:w="1100" w:type="dxa"/>
            <w:tcBorders>
              <w:top w:val="single" w:sz="4" w:space="0" w:color="000000"/>
              <w:left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hint="eastAsia"/>
                <w:color w:val="000000"/>
                <w:sz w:val="24"/>
                <w:lang w:val="en-US" w:eastAsia="zh-CN"/>
              </w:rPr>
              <w:t>2024年</w:t>
            </w:r>
          </w:p>
        </w:tc>
        <w:tc>
          <w:tcPr>
            <w:tcW w:w="1145" w:type="dxa"/>
            <w:tcBorders>
              <w:top w:val="single" w:sz="4" w:space="0" w:color="000000"/>
              <w:left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hint="eastAsia"/>
                <w:color w:val="000000"/>
                <w:sz w:val="24"/>
                <w:lang w:eastAsia="zh-CN"/>
              </w:rPr>
              <w:t>全年执行</w:t>
            </w:r>
          </w:p>
        </w:tc>
        <w:tc>
          <w:tcPr>
            <w:tcW w:w="1289" w:type="dxa"/>
            <w:tcBorders>
              <w:top w:val="single" w:sz="4" w:space="0" w:color="000000"/>
              <w:left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hint="eastAsia"/>
                <w:color w:val="000000"/>
                <w:sz w:val="24"/>
                <w:lang w:val="en-US" w:eastAsia="zh-CN"/>
              </w:rPr>
              <w:t>2024年</w:t>
            </w:r>
          </w:p>
        </w:tc>
        <w:tc>
          <w:tcPr>
            <w:tcW w:w="1058" w:type="dxa"/>
            <w:tcBorders>
              <w:top w:val="single" w:sz="4" w:space="0" w:color="000000"/>
              <w:left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cs="Times New Roman" w:hint="eastAsia"/>
                <w:color w:val="000000"/>
                <w:kern w:val="2"/>
                <w:sz w:val="24"/>
                <w:szCs w:val="24"/>
                <w:lang w:val="en-US" w:eastAsia="zh-CN" w:bidi="ar-SA"/>
              </w:rPr>
              <w:t>年</w:t>
            </w:r>
          </w:p>
        </w:tc>
        <w:tc>
          <w:tcPr>
            <w:tcW w:w="926" w:type="dxa"/>
            <w:tcBorders>
              <w:top w:val="single" w:sz="4" w:space="0" w:color="000000"/>
              <w:left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cs="Times New Roman" w:hint="eastAsia"/>
                <w:color w:val="000000"/>
                <w:kern w:val="2"/>
                <w:sz w:val="24"/>
                <w:szCs w:val="24"/>
                <w:lang w:val="en-US" w:eastAsia="zh-CN" w:bidi="ar-SA"/>
              </w:rPr>
              <w:t>10</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hint="eastAsia"/>
                <w:color w:val="000000"/>
                <w:sz w:val="24"/>
                <w:lang w:val="en-US" w:eastAsia="zh-CN"/>
              </w:rPr>
              <w:t>2024年全年执行</w:t>
            </w:r>
          </w:p>
        </w:tc>
      </w:tr>
      <w:tr>
        <w:trPr>
          <w:trHeight w:val="23"/>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textAlignment w:val="center"/>
              <w:rPr>
                <w:rFonts w:eastAsia="宋体"/>
                <w:color w:val="000000"/>
                <w:kern w:val="0"/>
                <w:sz w:val="24"/>
              </w:rPr>
            </w:pPr>
            <w:r>
              <w:rPr>
                <w:rFonts w:eastAsia="宋体"/>
                <w:color w:val="000000"/>
                <w:kern w:val="0"/>
                <w:sz w:val="24"/>
              </w:rPr>
              <w:t>社会效益</w:t>
            </w:r>
          </w:p>
          <w:p>
            <w:pPr>
              <w:widowControl/>
              <w:spacing w:line="300" w:lineRule="exact"/>
              <w:jc w:val="both"/>
              <w:textAlignment w:val="center"/>
              <w:rPr>
                <w:rFonts w:eastAsia="宋体"/>
                <w:color w:val="000000"/>
                <w:sz w:val="24"/>
              </w:rPr>
            </w:pPr>
            <w:r>
              <w:rPr>
                <w:rFonts w:eastAsia="宋体"/>
                <w:color w:val="000000"/>
                <w:kern w:val="0"/>
                <w:sz w:val="24"/>
              </w:rPr>
              <w:t>指标</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hint="eastAsia"/>
                <w:color w:val="000000"/>
                <w:sz w:val="24"/>
                <w:lang w:eastAsia="zh-CN"/>
              </w:rPr>
              <w:t>保障辖区妇女儿童健康水平</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cs="Times New Roman" w:hint="eastAsia"/>
                <w:color w:val="000000"/>
                <w:kern w:val="2"/>
                <w:sz w:val="24"/>
                <w:szCs w:val="24"/>
                <w:lang w:val="en-US" w:eastAsia="zh-CN" w:bidi="ar-SA"/>
              </w:rPr>
              <w:t>不断提高</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hint="eastAsia"/>
                <w:color w:val="000000"/>
                <w:sz w:val="24"/>
                <w:lang w:eastAsia="zh-CN"/>
              </w:rPr>
              <w:t>保障辖区妇女儿童健康水平</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cs="Times New Roman" w:hint="eastAsia"/>
                <w:color w:val="000000"/>
                <w:kern w:val="2"/>
                <w:sz w:val="24"/>
                <w:szCs w:val="24"/>
                <w:lang w:val="en-US" w:eastAsia="zh-CN" w:bidi="ar-SA"/>
              </w:rPr>
              <w:t>不断提高</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cs="Times New Roman" w:hint="eastAsia"/>
                <w:color w:val="000000"/>
                <w:kern w:val="2"/>
                <w:sz w:val="24"/>
                <w:szCs w:val="24"/>
                <w:lang w:val="en-US" w:eastAsia="zh-CN" w:bidi="ar-SA"/>
              </w:rPr>
              <w:t>30</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hint="eastAsia"/>
                <w:color w:val="000000"/>
                <w:sz w:val="24"/>
                <w:lang w:eastAsia="zh-CN"/>
              </w:rPr>
              <w:t>保障辖区妇女儿童健康水平</w:t>
            </w:r>
            <w:r>
              <w:rPr>
                <w:rFonts w:eastAsia="宋体" w:cs="Times New Roman" w:hint="eastAsia"/>
                <w:color w:val="000000"/>
                <w:kern w:val="2"/>
                <w:sz w:val="24"/>
                <w:szCs w:val="24"/>
                <w:lang w:val="en-US" w:eastAsia="zh-CN" w:bidi="ar-SA"/>
              </w:rPr>
              <w:t>不断提高</w:t>
            </w:r>
          </w:p>
        </w:tc>
      </w:tr>
      <w:tr>
        <w:trPr>
          <w:trHeight w:val="23"/>
        </w:trPr>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满意度指标</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textAlignment w:val="center"/>
              <w:rPr>
                <w:rFonts w:ascii="Times New Roman" w:eastAsia="宋体" w:cs="Times New Roman" w:hAnsi="Times New Roman"/>
                <w:color w:val="000000"/>
                <w:kern w:val="2"/>
                <w:sz w:val="24"/>
                <w:szCs w:val="24"/>
                <w:lang w:val="en-US" w:eastAsia="zh-CN" w:bidi="ar-SA"/>
              </w:rPr>
            </w:pPr>
            <w:r>
              <w:rPr>
                <w:rFonts w:eastAsia="宋体"/>
                <w:color w:val="000000"/>
                <w:kern w:val="0"/>
                <w:sz w:val="24"/>
              </w:rPr>
              <w:t>满意度指标</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hint="eastAsia"/>
                <w:color w:val="000000"/>
                <w:sz w:val="24"/>
                <w:lang w:eastAsia="zh-CN"/>
              </w:rPr>
              <w:t>服务对象满意</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hint="eastAsia"/>
                <w:color w:val="000000"/>
                <w:sz w:val="24"/>
                <w:lang w:eastAsia="zh-CN"/>
              </w:rPr>
              <w:t>服务对象满意度</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cs="Times New Roman" w:hint="eastAsia"/>
                <w:color w:val="000000"/>
                <w:kern w:val="2"/>
                <w:sz w:val="24"/>
                <w:szCs w:val="24"/>
                <w:lang w:val="en-US" w:eastAsia="zh-CN" w:bidi="ar-SA"/>
              </w:rPr>
              <w:t>大于等于90%</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cs="Times New Roman" w:hint="eastAsia"/>
                <w:color w:val="000000"/>
                <w:kern w:val="2"/>
                <w:sz w:val="24"/>
                <w:szCs w:val="24"/>
                <w:lang w:val="en-US" w:eastAsia="zh-CN" w:bidi="ar-SA"/>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cs="Times New Roman" w:hint="eastAsia"/>
                <w:color w:val="000000"/>
                <w:kern w:val="2"/>
                <w:sz w:val="24"/>
                <w:szCs w:val="24"/>
                <w:lang w:val="en-US" w:eastAsia="zh-CN" w:bidi="ar-SA"/>
              </w:rPr>
              <w:t>10</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r>
              <w:rPr>
                <w:rFonts w:eastAsia="宋体" w:cs="Times New Roman" w:hint="eastAsia"/>
                <w:color w:val="000000"/>
                <w:kern w:val="2"/>
                <w:sz w:val="24"/>
                <w:szCs w:val="24"/>
                <w:lang w:val="en-US" w:eastAsia="zh-CN" w:bidi="ar-SA"/>
              </w:rPr>
              <w:t>服务对象满意度90%</w:t>
            </w:r>
          </w:p>
        </w:tc>
      </w:tr>
      <w:tr>
        <w:trPr>
          <w:trHeight w:val="23"/>
        </w:trPr>
        <w:tc>
          <w:tcPr/>
          <w:p>
            <w:pPr>
              <w:widowControl/>
              <w:spacing w:line="300" w:lineRule="exact"/>
              <w:jc w:val="center"/>
              <w:rPr>
                <w:rFonts w:eastAsia="宋体"/>
                <w:color w:val="000000"/>
                <w:sz w:val="24"/>
              </w:rPr>
            </w:pPr>
          </w:p>
        </w:tc>
        <w:tc>
          <w:tcPr>
            <w:vAlign w:val="center"/>
          </w:tcPr>
          <w:p>
            <w:pPr>
              <w:keepNext w:val="0"/>
              <w:keepLines w:val="0"/>
              <w:pageBreakBefore w:val="0"/>
              <w:widowControl/>
              <w:kinsoku/>
              <w:wordWrap/>
              <w:overflowPunct/>
              <w:topLinePunct w:val="0"/>
              <w:autoSpaceDE/>
              <w:autoSpaceDN/>
              <w:bidi w:val="0"/>
              <w:spacing w:line="600" w:lineRule="exact"/>
              <w:jc w:val="left"/>
              <w:textAlignment w:val="center"/>
              <w:rPr>
                <w:rFonts w:ascii="Times New Roman" w:eastAsia="宋体" w:cs="Times New Roman" w:hAnsi="Times New Roman"/>
                <w:color w:val="000000"/>
                <w:kern w:val="2"/>
                <w:sz w:val="24"/>
                <w:szCs w:val="24"/>
                <w:lang w:val="en-US" w:eastAsia="zh-CN" w:bidi="ar-SA"/>
              </w:rPr>
            </w:pPr>
          </w:p>
        </w:tc>
        <w:tc>
          <w:tcPr>
            <w:vAlign w:val="center"/>
          </w:tcPr>
          <w:p>
            <w:pPr>
              <w:keepNext w:val="0"/>
              <w:keepLines w:val="0"/>
              <w:pageBreakBefore w:val="0"/>
              <w:widowControl/>
              <w:kinsoku/>
              <w:wordWrap/>
              <w:overflowPunct/>
              <w:topLinePunct w:val="0"/>
              <w:autoSpaceDE/>
              <w:autoSpaceDN/>
              <w:bidi w:val="0"/>
              <w:spacing w:line="600" w:lineRule="exact"/>
              <w:jc w:val="left"/>
              <w:textAlignment w:val="center"/>
              <w:rPr>
                <w:rFonts w:ascii="Times New Roman" w:eastAsia="宋体" w:cs="Times New Roman" w:hAnsi="Times New Roman"/>
                <w:color w:val="000000"/>
                <w:kern w:val="2"/>
                <w:sz w:val="24"/>
                <w:szCs w:val="24"/>
                <w:lang w:val="en-US" w:eastAsia="zh-CN" w:bidi="ar-SA"/>
              </w:rPr>
            </w:pPr>
          </w:p>
        </w:tc>
        <w:tc>
          <w:tcPr>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hint="eastAsia"/>
                <w:color w:val="000000"/>
                <w:kern w:val="2"/>
                <w:sz w:val="24"/>
                <w:szCs w:val="24"/>
                <w:lang w:val="en-US" w:eastAsia="zh-CN" w:bidi="ar-SA"/>
              </w:rPr>
            </w:pPr>
          </w:p>
        </w:tc>
        <w:tc>
          <w:tcPr>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p>
        </w:tc>
        <w:tc>
          <w:tcPr>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hint="eastAsia"/>
                <w:color w:val="000000"/>
                <w:kern w:val="2"/>
                <w:sz w:val="24"/>
                <w:szCs w:val="24"/>
                <w:lang w:val="en-US" w:eastAsia="zh-CN" w:bidi="ar-SA"/>
              </w:rPr>
            </w:pPr>
          </w:p>
        </w:tc>
        <w:tc>
          <w:tcPr>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p>
        </w:tc>
        <w:tc>
          <w:tcPr>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p>
        </w:tc>
        <w:tc>
          <w:tcPr>
            <w:vAlign w:val="center"/>
          </w:tcPr>
          <w:p>
            <w:pPr>
              <w:keepNext w:val="0"/>
              <w:keepLines w:val="0"/>
              <w:pageBreakBefore w:val="0"/>
              <w:widowControl/>
              <w:kinsoku/>
              <w:wordWrap/>
              <w:overflowPunct/>
              <w:topLinePunct w:val="0"/>
              <w:autoSpaceDE/>
              <w:autoSpaceDN/>
              <w:bidi w:val="0"/>
              <w:spacing w:line="600" w:lineRule="exact"/>
              <w:jc w:val="left"/>
              <w:rPr>
                <w:rFonts w:ascii="Times New Roman" w:eastAsia="宋体" w:cs="Times New Roman" w:hAnsi="Times New Roman"/>
                <w:color w:val="000000"/>
                <w:kern w:val="2"/>
                <w:sz w:val="24"/>
                <w:szCs w:val="24"/>
                <w:lang w:val="en-US" w:eastAsia="zh-CN" w:bidi="ar-SA"/>
              </w:rPr>
            </w:pPr>
          </w:p>
        </w:tc>
      </w:tr>
    </w:tbl>
    <w:p>
      <w:pPr>
        <w:pStyle w:val="17"/>
        <w:keepNext w:val="0"/>
        <w:keepLines w:val="0"/>
        <w:pageBreakBefore w:val="0"/>
        <w:widowControl w:val="0"/>
        <w:kinsoku/>
        <w:wordWrap/>
        <w:overflowPunct/>
        <w:topLinePunct w:val="0"/>
        <w:autoSpaceDE/>
        <w:autoSpaceDN/>
        <w:bidi w:val="0"/>
        <w:spacing w:line="560" w:lineRule="exact"/>
        <w:textAlignment w:val="auto"/>
        <w:rPr>
          <w:rFonts w:ascii="Times New Roman" w:cs="Times New Roman" w:hAnsi="Times New Roman" w:hint="eastAsia"/>
          <w:sz w:val="32"/>
          <w:szCs w:val="32"/>
          <w:lang w:val="zh-CN" w:eastAsia="zh-CN"/>
          <w:highlight w:val="yellow"/>
        </w:rPr>
      </w:pPr>
    </w:p>
    <w:p>
      <w:pPr>
        <w:pStyle w:val="18"/>
        <w:rPr>
          <w:rFonts w:ascii="Times New Roman" w:cs="宋体" w:hAnsi="Times New Roman" w:hint="eastAsia"/>
          <w:color w:val="FF0000"/>
          <w:kern w:val="0"/>
          <w:sz w:val="32"/>
          <w:szCs w:val="32"/>
          <w:shd w:val="clear" w:color="auto" w:fill="FFFFFF"/>
          <w:lang w:val="zh-CN"/>
          <w:highlight w:val="yellow"/>
        </w:rPr>
      </w:pPr>
    </w:p>
    <w:p>
      <w:pPr>
        <w:rPr>
          <w:rFonts w:ascii="Times New Roman" w:eastAsia="黑体" w:cs="黑体" w:hAnsi="Times New Roman" w:hint="eastAsia"/>
          <w:color w:val="auto"/>
          <w:kern w:val="0"/>
          <w:sz w:val="32"/>
          <w:szCs w:val="32"/>
          <w:shd w:val="clear" w:color="auto" w:fill="FFFFFF"/>
          <w:lang w:val="zh-CN"/>
          <w:highlight w:val="auto"/>
        </w:rPr>
      </w:pPr>
      <w:r>
        <w:rPr>
          <w:rFonts w:ascii="Times New Roman" w:eastAsia="黑体" w:cs="黑体" w:hAnsi="Times New Roman" w:hint="eastAsia"/>
          <w:color w:val="auto"/>
          <w:kern w:val="0"/>
          <w:sz w:val="32"/>
          <w:szCs w:val="32"/>
          <w:shd w:val="clear" w:color="auto" w:fill="FFFFFF"/>
          <w:lang w:val="zh-CN"/>
          <w:highlight w:val="auto"/>
        </w:rPr>
        <w:br w:type="page"/>
      </w:r>
    </w:p>
    <w:p>
      <w:pPr>
        <w:pStyle w:val="18"/>
        <w:rPr>
          <w:rFonts w:ascii="Times New Roman" w:eastAsia="黑体" w:cs="黑体" w:hAnsi="Times New Roman" w:hint="eastAsia"/>
          <w:sz w:val="32"/>
          <w:szCs w:val="32"/>
        </w:rPr>
      </w:pPr>
      <w:r>
        <w:rPr>
          <w:rFonts w:ascii="Times New Roman" w:eastAsia="黑体" w:cs="黑体" w:hAnsi="Times New Roman" w:hint="eastAsia"/>
          <w:color w:val="auto"/>
          <w:kern w:val="0"/>
          <w:sz w:val="32"/>
          <w:szCs w:val="32"/>
          <w:shd w:val="clear" w:color="auto" w:fill="FFFFFF"/>
          <w:lang w:val="zh-CN"/>
          <w:highlight w:val="auto"/>
        </w:rPr>
        <w:t>附件</w:t>
      </w:r>
      <w:r>
        <w:rPr>
          <w:rFonts w:ascii="Times New Roman" w:eastAsia="黑体" w:cs="黑体" w:hAnsi="Times New Roman" w:hint="eastAsia"/>
          <w:color w:val="auto"/>
          <w:kern w:val="0"/>
          <w:sz w:val="32"/>
          <w:szCs w:val="32"/>
          <w:shd w:val="clear" w:color="auto" w:fill="FFFFFF"/>
          <w:lang w:val="en-US" w:eastAsia="zh-CN"/>
          <w:highlight w:val="auto"/>
        </w:rPr>
        <w:t>2</w:t>
      </w:r>
      <w:bookmarkStart w:id="52" w:name="_GoBack"/>
      <w:bookmarkEnd w:id="52"/>
    </w:p>
    <w:p>
      <w:pPr>
        <w:pStyle w:val="36"/>
        <w:spacing w:line="578" w:lineRule="exact"/>
        <w:rPr>
          <w:rFonts w:ascii="方正小标宋简体" w:eastAsia="方正小标宋简体" w:cs="方正小标宋简体"/>
          <w:color w:val="auto"/>
          <w:kern w:val="2"/>
          <w:sz w:val="44"/>
          <w:szCs w:val="44"/>
          <w:lang w:val="en-US"/>
        </w:rPr>
      </w:pPr>
    </w:p>
    <w:p>
      <w:pPr>
        <w:pStyle w:val="36"/>
        <w:keepNext w:val="0"/>
        <w:keepLines w:val="0"/>
        <w:pageBreakBefore w:val="0"/>
        <w:widowControl w:val="0"/>
        <w:kinsoku/>
        <w:wordWrap/>
        <w:overflowPunct/>
        <w:topLinePunct w:val="0"/>
        <w:autoSpaceDE/>
        <w:autoSpaceDN/>
        <w:bidi w:val="0"/>
        <w:spacing w:line="578" w:lineRule="exact"/>
        <w:ind w:left="0"/>
        <w:jc w:val="center"/>
        <w:textAlignment w:val="auto"/>
        <w:rPr>
          <w:rFonts w:ascii="方正小标宋简体" w:eastAsia="方正小标宋简体" w:cs="方正小标宋简体" w:hint="eastAsia"/>
          <w:color w:val="auto"/>
          <w:kern w:val="2"/>
          <w:sz w:val="44"/>
          <w:szCs w:val="44"/>
          <w:lang w:val="en-US" w:eastAsia="zh-CN"/>
        </w:rPr>
      </w:pPr>
      <w:r>
        <w:rPr>
          <w:rFonts w:ascii="方正小标宋简体" w:eastAsia="方正小标宋简体" w:cs="方正小标宋简体" w:hint="eastAsia"/>
          <w:color w:val="auto"/>
          <w:kern w:val="2"/>
          <w:sz w:val="44"/>
          <w:szCs w:val="44"/>
          <w:lang w:val="en-US" w:eastAsia="zh-CN"/>
        </w:rPr>
        <w:t>两癌筛查</w:t>
      </w:r>
    </w:p>
    <w:p>
      <w:pPr>
        <w:pStyle w:val="36"/>
        <w:keepNext w:val="0"/>
        <w:keepLines w:val="0"/>
        <w:pageBreakBefore w:val="0"/>
        <w:widowControl w:val="0"/>
        <w:kinsoku/>
        <w:wordWrap/>
        <w:overflowPunct/>
        <w:topLinePunct w:val="0"/>
        <w:autoSpaceDE/>
        <w:autoSpaceDN/>
        <w:bidi w:val="0"/>
        <w:spacing w:line="578" w:lineRule="exact"/>
        <w:ind w:left="0"/>
        <w:jc w:val="center"/>
        <w:textAlignment w:val="auto"/>
        <w:rPr>
          <w:rFonts w:ascii="Times New Roman" w:eastAsia="方正小标宋简体" w:cs="方正小标宋简体" w:hAnsi="Times New Roman" w:hint="eastAsia"/>
          <w:color w:val="auto"/>
          <w:kern w:val="2"/>
          <w:sz w:val="44"/>
          <w:szCs w:val="44"/>
          <w:lang w:val="en-US" w:eastAsia="zh-CN"/>
          <w:highlight w:val="auto"/>
        </w:rPr>
      </w:pPr>
      <w:r>
        <w:rPr>
          <w:rFonts w:ascii="Times New Roman" w:eastAsia="方正小标宋简体" w:cs="方正小标宋简体" w:hAnsi="Times New Roman" w:hint="eastAsia"/>
          <w:color w:val="auto"/>
          <w:kern w:val="2"/>
          <w:sz w:val="44"/>
          <w:szCs w:val="44"/>
          <w:lang w:val="en-US" w:eastAsia="zh-CN"/>
          <w:highlight w:val="auto"/>
        </w:rPr>
        <w:t>专项预算项目绩效评价报告</w:t>
      </w:r>
    </w:p>
    <w:p>
      <w:pPr>
        <w:pStyle w:val="36"/>
        <w:keepNext w:val="0"/>
        <w:keepLines w:val="0"/>
        <w:pageBreakBefore w:val="0"/>
        <w:widowControl w:val="0"/>
        <w:kinsoku/>
        <w:wordWrap/>
        <w:overflowPunct/>
        <w:topLinePunct w:val="0"/>
        <w:autoSpaceDE/>
        <w:autoSpaceDN/>
        <w:bidi w:val="0"/>
        <w:spacing w:line="578" w:lineRule="exact"/>
        <w:ind w:left="0" w:firstLine="640"/>
        <w:jc w:val="center"/>
        <w:textAlignment w:val="auto"/>
        <w:rPr>
          <w:rFonts w:ascii="Times New Roman" w:hAnsi="Times New Roman"/>
          <w:color w:val="auto"/>
          <w:kern w:val="2"/>
          <w:sz w:val="32"/>
          <w:szCs w:val="32"/>
          <w:highlight w:val="auto"/>
        </w:rPr>
      </w:pPr>
    </w:p>
    <w:p>
      <w:pPr>
        <w:keepNext w:val="0"/>
        <w:keepLines w:val="0"/>
        <w:pageBreakBefore w:val="0"/>
        <w:widowControl w:val="0"/>
        <w:kinsoku/>
        <w:wordWrap/>
        <w:overflowPunct/>
        <w:topLinePunct w:val="0"/>
        <w:autoSpaceDE/>
        <w:autoSpaceDN/>
        <w:bidi w:val="0"/>
        <w:adjustRightInd w:val="0"/>
        <w:snapToGrid w:val="0"/>
        <w:spacing w:line="578" w:lineRule="exact"/>
        <w:ind w:firstLineChars="200" w:firstLine="640"/>
        <w:textAlignment w:val="auto"/>
        <w:rPr>
          <w:rFonts w:ascii="Times New Roman" w:eastAsia="黑体" w:hAnsi="Times New Roman"/>
          <w:sz w:val="32"/>
          <w:szCs w:val="32"/>
          <w:lang w:val="zh-CN"/>
          <w:highlight w:val="auto"/>
        </w:rPr>
      </w:pPr>
      <w:r>
        <w:rPr>
          <w:rFonts w:ascii="Times New Roman" w:eastAsia="黑体" w:hAnsi="Times New Roman" w:hint="eastAsia"/>
          <w:sz w:val="32"/>
          <w:szCs w:val="32"/>
          <w:highlight w:val="auto"/>
        </w:rPr>
        <w:t>一、</w:t>
      </w:r>
      <w:r>
        <w:rPr>
          <w:rFonts w:ascii="Times New Roman" w:eastAsia="黑体" w:hAnsi="Times New Roman" w:hint="eastAsia"/>
          <w:sz w:val="32"/>
          <w:szCs w:val="32"/>
          <w:lang w:val="zh-CN"/>
          <w:highlight w:val="auto"/>
        </w:rPr>
        <w:t>项目概况</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textAlignment w:val="auto"/>
        <w:rPr>
          <w:rFonts w:ascii="Times New Roman" w:eastAsia="楷体_GB2312" w:hAnsi="Times New Roman" w:hint="eastAsia"/>
          <w:b/>
          <w:color w:val="auto"/>
          <w:sz w:val="32"/>
          <w:szCs w:val="32"/>
          <w:u w:val="none"/>
          <w:lang w:val="zh-CN"/>
          <w:highlight w:val="auto"/>
        </w:rPr>
      </w:pPr>
      <w:r>
        <w:rPr>
          <w:rFonts w:ascii="Times New Roman" w:eastAsia="楷体_GB2312" w:hAnsi="Times New Roman" w:hint="eastAsia"/>
          <w:b/>
          <w:color w:val="auto"/>
          <w:sz w:val="32"/>
          <w:szCs w:val="32"/>
          <w:u w:val="none"/>
          <w:lang w:val="zh-CN"/>
          <w:highlight w:val="auto"/>
        </w:rPr>
        <w:t>（一）设立背景及基本情况</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textAlignment w:val="auto"/>
        <w:rPr>
          <w:rFonts w:ascii="Times New Roman" w:eastAsia="仿宋_GB2312" w:cs="仿宋_GB2312" w:hAnsi="Times New Roman" w:hint="eastAsia"/>
          <w:b w:val="0"/>
          <w:bCs w:val="0"/>
          <w:kern w:val="0"/>
          <w:position w:val="0"/>
          <w:sz w:val="32"/>
          <w:szCs w:val="32"/>
          <w:lang w:val="en-US" w:eastAsia="zh-CN" w:bidi="ar-SA"/>
          <w:highlight w:val="auto"/>
        </w:rPr>
      </w:pPr>
      <w:r>
        <w:rPr>
          <w:rFonts w:ascii="Times New Roman" w:eastAsia="仿宋_GB2312" w:cs="仿宋_GB2312" w:hAnsi="Times New Roman" w:hint="eastAsia"/>
          <w:b w:val="0"/>
          <w:bCs w:val="0"/>
          <w:kern w:val="0"/>
          <w:position w:val="0"/>
          <w:sz w:val="32"/>
          <w:szCs w:val="32"/>
          <w:lang w:val="en-US" w:eastAsia="zh-CN" w:bidi="ar-SA"/>
          <w:highlight w:val="auto"/>
        </w:rPr>
        <w:t>为进一步做实、做细农村适龄宫颈癌、乳腺癌（以下简称“两癌”）筛查民生实事，着力提高农村适龄妇女“两癌”筛查服务质量，提高妇女健康水平，通过“两癌”筛查，及时发现并治疗癌前病变和早期癌症，降低妇女因“两癌”导致的死亡率。普及防治知识</w:t>
      </w:r>
      <w:r>
        <w:rPr>
          <w:rFonts w:eastAsia="仿宋_GB2312" w:cs="仿宋_GB2312" w:hint="eastAsia"/>
          <w:b w:val="0"/>
          <w:bCs w:val="0"/>
          <w:kern w:val="0"/>
          <w:position w:val="0"/>
          <w:sz w:val="32"/>
          <w:szCs w:val="32"/>
          <w:lang w:val="en-US" w:eastAsia="zh-CN" w:bidi="ar-SA"/>
          <w:highlight w:val="auto"/>
        </w:rPr>
        <w:t>，</w:t>
      </w:r>
      <w:r>
        <w:rPr>
          <w:rFonts w:ascii="Times New Roman" w:eastAsia="仿宋_GB2312" w:cs="仿宋_GB2312" w:hAnsi="Times New Roman" w:hint="eastAsia"/>
          <w:b w:val="0"/>
          <w:bCs w:val="0"/>
          <w:kern w:val="0"/>
          <w:position w:val="0"/>
          <w:sz w:val="32"/>
          <w:szCs w:val="32"/>
          <w:lang w:val="en-US" w:eastAsia="zh-CN" w:bidi="ar-SA"/>
          <w:highlight w:val="auto"/>
        </w:rPr>
        <w:t>通过项目的实施，提高妇女对“两癌”防治知识的知晓率，增强自我保健意识。</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textAlignment w:val="auto"/>
        <w:rPr>
          <w:rFonts w:ascii="Times New Roman" w:eastAsia="楷体_GB2312" w:cs="Times New Roman" w:hAnsi="Times New Roman" w:hint="eastAsia"/>
          <w:b/>
          <w:color w:val="auto"/>
          <w:sz w:val="32"/>
          <w:szCs w:val="32"/>
          <w:u w:val="none"/>
          <w:lang w:val="en-US" w:eastAsia="zh-CN"/>
          <w:highlight w:val="auto"/>
        </w:rPr>
      </w:pPr>
      <w:r>
        <w:rPr>
          <w:rFonts w:ascii="Times New Roman" w:eastAsia="楷体_GB2312" w:hAnsi="Times New Roman" w:hint="eastAsia"/>
          <w:b/>
          <w:color w:val="auto"/>
          <w:sz w:val="32"/>
          <w:szCs w:val="32"/>
          <w:u w:val="none"/>
          <w:lang w:val="zh-CN"/>
          <w:highlight w:val="auto"/>
        </w:rPr>
        <w:t>（</w:t>
      </w:r>
      <w:r>
        <w:rPr>
          <w:rFonts w:ascii="Times New Roman" w:eastAsia="楷体_GB2312" w:cs="Times New Roman" w:hAnsi="Times New Roman" w:hint="eastAsia"/>
          <w:b/>
          <w:color w:val="auto"/>
          <w:sz w:val="32"/>
          <w:szCs w:val="32"/>
          <w:u w:val="none"/>
          <w:lang w:val="zh-CN"/>
          <w:highlight w:val="auto"/>
        </w:rPr>
        <w:t>二）</w:t>
      </w:r>
      <w:r>
        <w:rPr>
          <w:rFonts w:ascii="Times New Roman" w:eastAsia="楷体_GB2312" w:cs="Times New Roman" w:hAnsi="Times New Roman"/>
          <w:b/>
          <w:color w:val="auto"/>
          <w:sz w:val="32"/>
          <w:szCs w:val="32"/>
          <w:u w:val="none"/>
          <w:lang w:val="en-US" w:eastAsia="zh-CN"/>
          <w:highlight w:val="auto"/>
        </w:rPr>
        <w:t>实施目的及支持方向</w:t>
      </w:r>
      <w:r>
        <w:rPr>
          <w:rFonts w:ascii="Times New Roman" w:eastAsia="楷体_GB2312" w:cs="Times New Roman" w:hAnsi="Times New Roman" w:hint="eastAsia"/>
          <w:b/>
          <w:color w:val="auto"/>
          <w:sz w:val="32"/>
          <w:szCs w:val="32"/>
          <w:u w:val="none"/>
          <w:lang w:val="en-US" w:eastAsia="zh-CN"/>
          <w:highlight w:val="auto"/>
        </w:rPr>
        <w:t>。</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textAlignment w:val="auto"/>
        <w:rPr>
          <w:rFonts w:ascii="Times New Roman" w:eastAsia="仿宋_GB2312" w:cs="仿宋_GB2312" w:hAnsi="Times New Roman" w:hint="eastAsia"/>
          <w:b w:val="0"/>
          <w:bCs w:val="0"/>
          <w:kern w:val="0"/>
          <w:position w:val="0"/>
          <w:sz w:val="32"/>
          <w:szCs w:val="32"/>
          <w:lang w:val="zh-CN" w:eastAsia="zh-CN" w:bidi="ar-SA"/>
          <w:highlight w:val="auto"/>
        </w:rPr>
      </w:pPr>
      <w:r>
        <w:rPr>
          <w:rFonts w:ascii="Times New Roman" w:eastAsia="仿宋_GB2312" w:cs="仿宋_GB2312" w:hAnsi="Times New Roman" w:hint="eastAsia"/>
          <w:b w:val="0"/>
          <w:bCs w:val="0"/>
          <w:kern w:val="0"/>
          <w:position w:val="0"/>
          <w:sz w:val="32"/>
          <w:szCs w:val="32"/>
          <w:lang w:val="zh-CN" w:eastAsia="zh-CN" w:bidi="ar-SA"/>
          <w:highlight w:val="auto"/>
        </w:rPr>
        <w:t>两癌项目实施的主要目的是通过先进的检查手段，对适龄妇女进行宫颈癌和乳腺癌（简称“两癌”）的筛查，以期达到早诊断、早发现、早预防、早治疗的效果，从而提高妇女的健康水平和生活质量。</w:t>
      </w:r>
    </w:p>
    <w:p>
      <w:pPr>
        <w:keepNext w:val="0"/>
        <w:keepLines w:val="0"/>
        <w:pageBreakBefore w:val="0"/>
        <w:widowControl/>
        <w:kinsoku/>
        <w:wordWrap/>
        <w:overflowPunct/>
        <w:topLinePunct w:val="0"/>
        <w:autoSpaceDE/>
        <w:autoSpaceDN/>
        <w:bidi w:val="0"/>
        <w:adjustRightInd w:val="0"/>
        <w:snapToGrid w:val="0"/>
        <w:spacing w:line="578" w:lineRule="exact"/>
        <w:ind w:left="0" w:firstLineChars="200" w:firstLine="640"/>
        <w:contextualSpacing/>
        <w:jc w:val="left"/>
        <w:textAlignment w:val="auto"/>
        <w:rPr>
          <w:rFonts w:ascii="Times New Roman" w:eastAsia="楷体_GB2312" w:cs="Times New Roman" w:hAnsi="Times New Roman" w:hint="eastAsia"/>
          <w:b/>
          <w:color w:val="auto"/>
          <w:sz w:val="32"/>
          <w:szCs w:val="32"/>
          <w:u w:val="none"/>
          <w:lang w:val="zh-CN" w:eastAsia="zh-CN"/>
          <w:highlight w:val="auto"/>
        </w:rPr>
      </w:pPr>
      <w:r>
        <w:rPr>
          <w:rFonts w:ascii="Times New Roman" w:eastAsia="楷体_GB2312" w:cs="Times New Roman" w:hAnsi="Times New Roman" w:hint="eastAsia"/>
          <w:b/>
          <w:color w:val="auto"/>
          <w:sz w:val="32"/>
          <w:szCs w:val="32"/>
          <w:u w:val="none"/>
          <w:lang w:val="zh-CN" w:eastAsia="zh-CN"/>
          <w:highlight w:val="auto"/>
        </w:rPr>
        <w:t>（三）</w:t>
      </w:r>
      <w:r>
        <w:rPr>
          <w:rFonts w:ascii="Times New Roman" w:eastAsia="楷体_GB2312" w:cs="Times New Roman" w:hAnsi="Times New Roman"/>
          <w:b/>
          <w:color w:val="auto"/>
          <w:sz w:val="32"/>
          <w:szCs w:val="32"/>
          <w:u w:val="none"/>
          <w:lang w:val="en-US" w:eastAsia="zh-CN"/>
          <w:highlight w:val="auto"/>
        </w:rPr>
        <w:t>预算安排及分配管理</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textAlignment w:val="auto"/>
        <w:rPr>
          <w:rFonts w:ascii="仿宋_GB2312" w:eastAsia="仿宋_GB2312" w:cs="仿宋_GB2312" w:hint="eastAsia"/>
          <w:b w:val="0"/>
          <w:bCs w:val="0"/>
          <w:color w:val="000000"/>
          <w:sz w:val="32"/>
          <w:szCs w:val="32"/>
          <w:lang w:val="zh-CN" w:eastAsia="zh-CN"/>
          <w:highlight w:val="auto"/>
        </w:rPr>
      </w:pPr>
      <w:r>
        <w:rPr>
          <w:rFonts w:ascii="Times New Roman" w:eastAsia="仿宋_GB2312" w:cs="仿宋_GB2312" w:hAnsi="Times New Roman" w:hint="eastAsia"/>
          <w:b w:val="0"/>
          <w:bCs w:val="0"/>
          <w:kern w:val="0"/>
          <w:position w:val="0"/>
          <w:sz w:val="32"/>
          <w:szCs w:val="32"/>
          <w:lang w:val="zh-CN" w:eastAsia="zh-CN" w:bidi="ar-SA"/>
          <w:highlight w:val="auto"/>
        </w:rPr>
        <w:t>以结算标准</w:t>
      </w:r>
      <w:r>
        <w:rPr>
          <w:rFonts w:ascii="仿宋_GB2312" w:eastAsia="仿宋_GB2312" w:cs="仿宋_GB2312" w:hint="eastAsia"/>
          <w:b w:val="0"/>
          <w:bCs w:val="0"/>
          <w:color w:val="000000"/>
          <w:sz w:val="32"/>
          <w:szCs w:val="32"/>
          <w:lang w:val="zh-CN" w:eastAsia="zh-CN"/>
          <w:highlight w:val="auto"/>
        </w:rPr>
        <w:t>128元/例（宫颈癌49元/例，乳腺癌79元/例，中央、省、州、县级配套），任务数4000人，州级扩面100人，合计4100人。州本级提标60元/人，下达中央、省级、州级、县级资金77.08万元。</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textAlignment w:val="auto"/>
        <w:rPr>
          <w:rFonts w:ascii="Times New Roman" w:eastAsia="仿宋_GB2312" w:cs="仿宋_GB2312" w:hAnsi="Times New Roman" w:hint="eastAsia"/>
          <w:b w:val="0"/>
          <w:bCs w:val="0"/>
          <w:kern w:val="0"/>
          <w:position w:val="0"/>
          <w:sz w:val="32"/>
          <w:szCs w:val="32"/>
          <w:lang w:val="zh-CN" w:eastAsia="zh-CN" w:bidi="ar-SA"/>
          <w:highlight w:val="auto"/>
        </w:rPr>
      </w:pPr>
      <w:r>
        <w:rPr>
          <w:rFonts w:ascii="Times New Roman" w:eastAsia="楷体_GB2312" w:cs="Times New Roman" w:hAnsi="Times New Roman" w:hint="eastAsia"/>
          <w:b/>
          <w:color w:val="auto"/>
          <w:sz w:val="32"/>
          <w:szCs w:val="32"/>
          <w:u w:val="none"/>
          <w:lang w:val="zh-CN" w:eastAsia="zh-CN"/>
          <w:highlight w:val="auto"/>
        </w:rPr>
        <w:t>（四）项目绩效目标设置</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textAlignment w:val="auto"/>
        <w:rPr>
          <w:rFonts w:ascii="仿宋_GB2312" w:eastAsia="仿宋_GB2312" w:cs="仿宋_GB2312" w:hint="eastAsia"/>
          <w:b w:val="0"/>
          <w:bCs w:val="0"/>
          <w:color w:val="000000"/>
          <w:sz w:val="32"/>
          <w:szCs w:val="32"/>
          <w:lang w:val="zh-CN" w:eastAsia="zh-CN"/>
          <w:highlight w:val="auto"/>
        </w:rPr>
      </w:pPr>
      <w:r>
        <w:rPr>
          <w:rFonts w:ascii="仿宋_GB2312" w:eastAsia="仿宋_GB2312" w:cs="仿宋_GB2312" w:hint="eastAsia"/>
          <w:b w:val="0"/>
          <w:bCs w:val="0"/>
          <w:color w:val="000000"/>
          <w:sz w:val="32"/>
          <w:szCs w:val="32"/>
          <w:lang w:val="zh-CN" w:eastAsia="zh-CN"/>
          <w:highlight w:val="auto"/>
        </w:rPr>
        <w:t>项目整体目标：为全县35-64岁农村妇女免费提供宫颈癌和乳腺癌筛查服务。4月底前完成40%年度筛查目标任务；6月底前完成80%年度筛查目标任务；8月底前全面完成年度筛查目标任务。</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textAlignment w:val="auto"/>
        <w:rPr>
          <w:rFonts w:ascii="仿宋_GB2312" w:eastAsia="仿宋_GB2312" w:cs="仿宋_GB2312" w:hint="eastAsia"/>
          <w:b w:val="0"/>
          <w:bCs w:val="0"/>
          <w:color w:val="000000"/>
          <w:sz w:val="32"/>
          <w:szCs w:val="32"/>
          <w:lang w:val="zh-CN" w:eastAsia="zh-CN"/>
          <w:highlight w:val="auto"/>
        </w:rPr>
      </w:pPr>
      <w:r>
        <w:rPr>
          <w:rFonts w:ascii="仿宋_GB2312" w:eastAsia="仿宋_GB2312" w:cs="仿宋_GB2312" w:hint="eastAsia"/>
          <w:b w:val="0"/>
          <w:bCs w:val="0"/>
          <w:color w:val="000000"/>
          <w:sz w:val="32"/>
          <w:szCs w:val="32"/>
          <w:lang w:val="zh-CN" w:eastAsia="zh-CN"/>
          <w:highlight w:val="auto"/>
        </w:rPr>
        <w:t>区域绩效目</w:t>
      </w:r>
      <w:r>
        <w:rPr>
          <w:rFonts w:ascii="仿宋_GB2312" w:eastAsia="仿宋_GB2312" w:cs="仿宋_GB2312" w:hint="eastAsia"/>
          <w:color w:val="000000"/>
          <w:sz w:val="32"/>
          <w:szCs w:val="32"/>
          <w:lang w:val="zh-CN"/>
          <w:highlight w:val="auto"/>
        </w:rPr>
        <w:t>标：対茂县3</w:t>
      </w:r>
      <w:r>
        <w:rPr>
          <w:rFonts w:ascii="仿宋_GB2312" w:eastAsia="仿宋_GB2312" w:cs="仿宋_GB2312" w:hint="eastAsia"/>
          <w:b w:val="0"/>
          <w:bCs w:val="0"/>
          <w:color w:val="000000"/>
          <w:sz w:val="32"/>
          <w:szCs w:val="32"/>
          <w:lang w:val="zh-CN" w:eastAsia="zh-CN"/>
          <w:highlight w:val="auto"/>
        </w:rPr>
        <w:t>5-64岁农村妇女提供两癌筛查。</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textAlignment w:val="auto"/>
        <w:rPr>
          <w:rFonts w:ascii="Times New Roman" w:eastAsia="仿宋_GB2312" w:cs="仿宋_GB2312" w:hAnsi="Times New Roman"/>
          <w:b w:val="0"/>
          <w:bCs w:val="0"/>
          <w:kern w:val="0"/>
          <w:position w:val="0"/>
          <w:sz w:val="32"/>
          <w:szCs w:val="32"/>
          <w:lang w:val="zh-CN" w:eastAsia="zh-CN" w:bidi="ar-SA"/>
          <w:highlight w:val="auto"/>
        </w:rPr>
      </w:pPr>
      <w:r>
        <w:rPr>
          <w:rFonts w:ascii="仿宋_GB2312" w:eastAsia="仿宋_GB2312" w:cs="仿宋_GB2312" w:hint="eastAsia"/>
          <w:b w:val="0"/>
          <w:bCs w:val="0"/>
          <w:color w:val="000000"/>
          <w:sz w:val="32"/>
          <w:szCs w:val="32"/>
          <w:lang w:val="zh-CN" w:eastAsia="zh-CN"/>
          <w:highlight w:val="auto"/>
        </w:rPr>
        <w:t>具体绩效目标：普及“两</w:t>
      </w:r>
      <w:r>
        <w:rPr>
          <w:rFonts w:ascii="Times New Roman" w:eastAsia="仿宋_GB2312" w:cs="仿宋_GB2312" w:hAnsi="Times New Roman" w:hint="eastAsia"/>
          <w:b w:val="0"/>
          <w:bCs w:val="0"/>
          <w:kern w:val="0"/>
          <w:position w:val="0"/>
          <w:sz w:val="32"/>
          <w:szCs w:val="32"/>
          <w:lang w:val="zh-CN" w:eastAsia="zh-CN" w:bidi="ar-SA"/>
          <w:highlight w:val="auto"/>
        </w:rPr>
        <w:t>癌”防治知识</w:t>
      </w:r>
      <w:r>
        <w:rPr>
          <w:rFonts w:eastAsia="仿宋_GB2312" w:cs="仿宋_GB2312" w:hint="eastAsia"/>
          <w:b w:val="0"/>
          <w:bCs w:val="0"/>
          <w:kern w:val="0"/>
          <w:position w:val="0"/>
          <w:sz w:val="32"/>
          <w:szCs w:val="32"/>
          <w:lang w:val="zh-CN" w:eastAsia="zh-CN" w:bidi="ar-SA"/>
          <w:highlight w:val="auto"/>
        </w:rPr>
        <w:t>，提高目标人群健康知识</w:t>
      </w:r>
      <w:r>
        <w:rPr>
          <w:rFonts w:ascii="Times New Roman" w:eastAsia="仿宋_GB2312" w:cs="仿宋_GB2312" w:hAnsi="Times New Roman" w:hint="eastAsia"/>
          <w:b w:val="0"/>
          <w:bCs w:val="0"/>
          <w:kern w:val="0"/>
          <w:position w:val="0"/>
          <w:sz w:val="32"/>
          <w:szCs w:val="32"/>
          <w:lang w:val="zh-CN" w:eastAsia="zh-CN" w:bidi="ar-SA"/>
          <w:highlight w:val="auto"/>
        </w:rPr>
        <w:t>知晓率。提高宫颈癌、乳腺癌早诊率</w:t>
      </w:r>
      <w:r>
        <w:rPr>
          <w:rFonts w:eastAsia="仿宋_GB2312" w:cs="仿宋_GB2312" w:hint="eastAsia"/>
          <w:b w:val="0"/>
          <w:bCs w:val="0"/>
          <w:kern w:val="0"/>
          <w:position w:val="0"/>
          <w:sz w:val="32"/>
          <w:szCs w:val="32"/>
          <w:lang w:val="zh-CN" w:eastAsia="zh-CN" w:bidi="ar-SA"/>
          <w:highlight w:val="auto"/>
        </w:rPr>
        <w:t>，保障妇女健康水平和生活质量。</w:t>
      </w:r>
    </w:p>
    <w:p>
      <w:pPr>
        <w:keepNext w:val="0"/>
        <w:keepLines w:val="0"/>
        <w:pageBreakBefore w:val="0"/>
        <w:widowControl w:val="0"/>
        <w:kinsoku/>
        <w:wordWrap/>
        <w:overflowPunct/>
        <w:topLinePunct w:val="0"/>
        <w:autoSpaceDE/>
        <w:autoSpaceDN/>
        <w:bidi w:val="0"/>
        <w:adjustRightInd w:val="0"/>
        <w:snapToGrid w:val="0"/>
        <w:spacing w:line="578" w:lineRule="exact"/>
        <w:ind w:firstLineChars="200" w:firstLine="640"/>
        <w:textAlignment w:val="auto"/>
        <w:outlineLvl w:val="9"/>
        <w:rPr>
          <w:rFonts w:ascii="Times New Roman" w:eastAsia="黑体" w:hAnsi="Times New Roman" w:hint="eastAsia"/>
          <w:sz w:val="32"/>
          <w:szCs w:val="32"/>
          <w:lang w:eastAsia="zh-CN"/>
          <w:highlight w:val="auto"/>
        </w:rPr>
      </w:pPr>
      <w:r>
        <w:rPr>
          <w:rFonts w:ascii="Times New Roman" w:eastAsia="黑体" w:hAnsi="Times New Roman" w:hint="eastAsia"/>
          <w:sz w:val="32"/>
          <w:szCs w:val="32"/>
          <w:highlight w:val="auto"/>
        </w:rPr>
        <w:t>二、</w:t>
      </w:r>
      <w:r>
        <w:rPr>
          <w:rFonts w:ascii="Times New Roman" w:eastAsia="黑体" w:hAnsi="Times New Roman" w:hint="eastAsia"/>
          <w:sz w:val="32"/>
          <w:szCs w:val="32"/>
          <w:lang w:eastAsia="zh-CN"/>
          <w:highlight w:val="auto"/>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楷体_GB2312" w:hAnsi="Times New Roman" w:hint="eastAsia"/>
          <w:b/>
          <w:color w:val="auto"/>
          <w:sz w:val="32"/>
          <w:szCs w:val="32"/>
          <w:u w:val="none"/>
          <w:lang w:val="zh-CN"/>
          <w:highlight w:val="auto"/>
        </w:rPr>
      </w:pPr>
      <w:r>
        <w:rPr>
          <w:rFonts w:ascii="Times New Roman" w:eastAsia="楷体_GB2312" w:hAnsi="Times New Roman" w:hint="eastAsia"/>
          <w:b/>
          <w:color w:val="auto"/>
          <w:sz w:val="32"/>
          <w:szCs w:val="32"/>
          <w:u w:val="none"/>
          <w:lang w:val="zh-CN"/>
          <w:highlight w:val="auto"/>
        </w:rPr>
        <w:t>（一）评价目的</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仿宋_GB2312" w:cs="仿宋_GB2312" w:hAnsi="Times New Roman" w:hint="eastAsia"/>
          <w:b w:val="0"/>
          <w:bCs w:val="0"/>
          <w:kern w:val="0"/>
          <w:position w:val="0"/>
          <w:sz w:val="32"/>
          <w:szCs w:val="32"/>
          <w:lang w:val="zh-CN" w:eastAsia="zh-CN" w:bidi="ar-SA"/>
          <w:highlight w:val="auto"/>
        </w:rPr>
      </w:pPr>
      <w:r>
        <w:rPr>
          <w:rFonts w:ascii="Times New Roman" w:eastAsia="仿宋_GB2312" w:cs="仿宋_GB2312" w:hAnsi="Times New Roman" w:hint="eastAsia"/>
          <w:b w:val="0"/>
          <w:bCs w:val="0"/>
          <w:kern w:val="0"/>
          <w:position w:val="0"/>
          <w:sz w:val="32"/>
          <w:szCs w:val="32"/>
          <w:lang w:val="zh-CN" w:eastAsia="zh-CN" w:bidi="ar-SA"/>
          <w:highlight w:val="auto"/>
        </w:rPr>
        <w:t>确保项目工作的绩效评价数据客观、真实，项目经费拨付合理、合规，国家惠民政策有效落地。</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textAlignment w:val="auto"/>
        <w:outlineLvl w:val="9"/>
        <w:rPr>
          <w:rFonts w:ascii="Times New Roman" w:eastAsia="楷体_GB2312" w:hAnsi="Times New Roman" w:hint="eastAsia"/>
          <w:b/>
          <w:color w:val="auto"/>
          <w:sz w:val="32"/>
          <w:szCs w:val="32"/>
          <w:u w:val="none"/>
          <w:lang w:val="zh-CN"/>
          <w:highlight w:val="auto"/>
        </w:rPr>
      </w:pPr>
      <w:r>
        <w:rPr>
          <w:rFonts w:ascii="Times New Roman" w:eastAsia="楷体_GB2312" w:hAnsi="Times New Roman" w:hint="eastAsia"/>
          <w:b/>
          <w:color w:val="auto"/>
          <w:sz w:val="32"/>
          <w:szCs w:val="32"/>
          <w:u w:val="none"/>
          <w:lang w:val="zh-CN"/>
          <w:highlight w:val="auto"/>
        </w:rPr>
        <w:t>（二）预设问题及评价重点。</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textAlignment w:val="auto"/>
        <w:outlineLvl w:val="9"/>
        <w:rPr>
          <w:rFonts w:ascii="Times New Roman" w:eastAsia="仿宋_GB2312" w:cs="仿宋_GB2312" w:hAnsi="Times New Roman" w:hint="eastAsia"/>
          <w:b w:val="0"/>
          <w:bCs w:val="0"/>
          <w:kern w:val="0"/>
          <w:position w:val="0"/>
          <w:sz w:val="32"/>
          <w:szCs w:val="32"/>
          <w:lang w:val="zh-CN" w:eastAsia="zh-CN" w:bidi="ar-SA"/>
          <w:highlight w:val="auto"/>
        </w:rPr>
      </w:pPr>
      <w:r>
        <w:rPr>
          <w:rFonts w:ascii="Times New Roman" w:eastAsia="仿宋_GB2312" w:cs="仿宋_GB2312" w:hAnsi="Times New Roman" w:hint="eastAsia"/>
          <w:b w:val="0"/>
          <w:bCs w:val="0"/>
          <w:kern w:val="0"/>
          <w:position w:val="0"/>
          <w:sz w:val="32"/>
          <w:szCs w:val="32"/>
          <w:lang w:val="zh-CN" w:eastAsia="zh-CN" w:bidi="ar-SA"/>
          <w:highlight w:val="auto"/>
        </w:rPr>
        <w:t>评估项目是否开展了有效的社会宣传和健康教育活动，提高了妇女对“两癌”的认识和重视程度；同时，评估这些活动是否促进了妇女参与筛查的积极性。提高农村适龄妇女“两癌”筛查服务质量，切实改善民生，促进“两癌”早诊早治，提升妇女健康水平。</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楷体_GB2312" w:hAnsi="Times New Roman" w:hint="eastAsia"/>
          <w:b/>
          <w:color w:val="auto"/>
          <w:sz w:val="32"/>
          <w:szCs w:val="32"/>
          <w:u w:val="none"/>
          <w:lang w:val="zh-CN"/>
          <w:highlight w:val="auto"/>
        </w:rPr>
      </w:pPr>
      <w:r>
        <w:rPr>
          <w:rFonts w:ascii="Times New Roman" w:eastAsia="楷体_GB2312" w:hAnsi="Times New Roman" w:hint="eastAsia"/>
          <w:b/>
          <w:color w:val="auto"/>
          <w:sz w:val="32"/>
          <w:szCs w:val="32"/>
          <w:u w:val="none"/>
          <w:lang w:val="zh-CN"/>
          <w:highlight w:val="auto"/>
        </w:rPr>
        <w:t>（三）评价选点</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楷体_GB2312" w:hAnsi="Times New Roman" w:hint="eastAsia"/>
          <w:b/>
          <w:color w:val="auto"/>
          <w:sz w:val="32"/>
          <w:szCs w:val="32"/>
          <w:u w:val="none"/>
          <w:lang w:val="zh-CN"/>
          <w:highlight w:val="auto"/>
        </w:rPr>
      </w:pPr>
      <w:r>
        <w:rPr>
          <w:rFonts w:ascii="Times New Roman" w:eastAsia="仿宋_GB2312" w:cs="仿宋_GB2312" w:hAnsi="Times New Roman" w:hint="eastAsia"/>
          <w:b w:val="0"/>
          <w:color w:val="auto"/>
          <w:kern w:val="0"/>
          <w:sz w:val="32"/>
          <w:szCs w:val="32"/>
          <w:u w:val="none"/>
          <w:lang w:val="zh-CN"/>
          <w:highlight w:val="auto"/>
        </w:rPr>
        <w:t>评估项目任务完成情况，包括筛查人数、阳性检出率、转诊率等关键指标。</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楷体_GB2312" w:hAnsi="Times New Roman" w:hint="eastAsia"/>
          <w:b/>
          <w:color w:val="auto"/>
          <w:sz w:val="32"/>
          <w:szCs w:val="32"/>
          <w:u w:val="none"/>
          <w:lang w:val="zh-CN"/>
          <w:highlight w:val="auto"/>
        </w:rPr>
      </w:pPr>
      <w:r>
        <w:rPr>
          <w:rFonts w:ascii="Times New Roman" w:eastAsia="楷体_GB2312" w:hAnsi="Times New Roman" w:hint="eastAsia"/>
          <w:b/>
          <w:color w:val="auto"/>
          <w:sz w:val="32"/>
          <w:szCs w:val="32"/>
          <w:u w:val="none"/>
          <w:lang w:val="zh-CN"/>
          <w:highlight w:val="auto"/>
        </w:rPr>
        <w:t>（四）评价方法</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仿宋_GB2312" w:cs="仿宋_GB2312" w:hAnsi="Times New Roman" w:hint="eastAsia"/>
          <w:b w:val="0"/>
          <w:bCs w:val="0"/>
          <w:kern w:val="0"/>
          <w:position w:val="0"/>
          <w:sz w:val="32"/>
          <w:szCs w:val="32"/>
          <w:lang w:val="zh-CN" w:eastAsia="zh-CN" w:bidi="ar-SA"/>
          <w:highlight w:val="auto"/>
        </w:rPr>
      </w:pPr>
      <w:r>
        <w:rPr>
          <w:rFonts w:ascii="Times New Roman" w:eastAsia="仿宋_GB2312" w:cs="仿宋_GB2312" w:hAnsi="Times New Roman" w:hint="eastAsia"/>
          <w:b w:val="0"/>
          <w:bCs w:val="0"/>
          <w:kern w:val="0"/>
          <w:position w:val="0"/>
          <w:sz w:val="32"/>
          <w:szCs w:val="32"/>
          <w:lang w:val="zh-CN" w:eastAsia="zh-CN" w:bidi="ar-SA"/>
          <w:highlight w:val="auto"/>
        </w:rPr>
        <w:t>采用单位自评法</w:t>
      </w:r>
      <w:r>
        <w:rPr>
          <w:rFonts w:eastAsia="仿宋_GB2312" w:cs="仿宋_GB2312" w:hint="eastAsia"/>
          <w:b w:val="0"/>
          <w:bCs w:val="0"/>
          <w:kern w:val="0"/>
          <w:position w:val="0"/>
          <w:sz w:val="32"/>
          <w:szCs w:val="32"/>
          <w:lang w:val="zh-CN" w:eastAsia="zh-CN" w:bidi="ar-SA"/>
          <w:highlight w:val="auto"/>
        </w:rPr>
        <w:t>，</w:t>
      </w:r>
      <w:r>
        <w:rPr>
          <w:rFonts w:ascii="Times New Roman" w:eastAsia="仿宋_GB2312" w:cs="仿宋_GB2312" w:hAnsi="Times New Roman" w:hint="eastAsia"/>
          <w:b w:val="0"/>
          <w:bCs w:val="0"/>
          <w:kern w:val="0"/>
          <w:position w:val="0"/>
          <w:sz w:val="32"/>
          <w:szCs w:val="32"/>
          <w:lang w:val="zh-CN" w:eastAsia="zh-CN" w:bidi="ar-SA"/>
          <w:highlight w:val="auto"/>
        </w:rPr>
        <w:t>组织相关专家进行实地评估，确保评估结果的准确性和公正性。</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仿宋_GB2312" w:cs="仿宋_GB2312" w:hAnsi="Times New Roman" w:hint="eastAsia"/>
          <w:b w:val="0"/>
          <w:bCs w:val="0"/>
          <w:kern w:val="0"/>
          <w:position w:val="0"/>
          <w:sz w:val="32"/>
          <w:szCs w:val="32"/>
          <w:lang w:val="zh-CN" w:eastAsia="zh-CN" w:bidi="ar-SA"/>
          <w:highlight w:val="auto"/>
        </w:rPr>
      </w:pPr>
      <w:r>
        <w:rPr>
          <w:rFonts w:ascii="Times New Roman" w:eastAsia="楷体_GB2312" w:hAnsi="Times New Roman" w:hint="eastAsia"/>
          <w:b/>
          <w:color w:val="auto"/>
          <w:sz w:val="32"/>
          <w:szCs w:val="32"/>
          <w:u w:val="none"/>
          <w:lang w:val="zh-CN"/>
          <w:highlight w:val="auto"/>
        </w:rPr>
        <w:t>（五）评价组织</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仿宋_GB2312" w:cs="Times New Roman" w:hAnsi="Times New Roman" w:hint="eastAsia"/>
          <w:bCs/>
          <w:lang w:eastAsia="zh-CN"/>
        </w:rPr>
      </w:pPr>
      <w:r>
        <w:rPr>
          <w:rFonts w:ascii="Times New Roman" w:eastAsia="仿宋_GB2312" w:cs="仿宋_GB2312" w:hAnsi="Times New Roman" w:hint="eastAsia"/>
          <w:b w:val="0"/>
          <w:bCs w:val="0"/>
          <w:kern w:val="0"/>
          <w:position w:val="0"/>
          <w:sz w:val="32"/>
          <w:szCs w:val="32"/>
          <w:lang w:val="zh-CN" w:eastAsia="zh-CN" w:bidi="ar-SA"/>
          <w:highlight w:val="auto"/>
        </w:rPr>
        <w:t>成立相应的两癌筛查项目评价组织，负责两癌筛查项目的评价工作。成员包括妇科、乳腺外科、病理科、检验科等相关科室的专家，以及项目管理、财务管理、审计监督等方面的专业人员。</w:t>
      </w:r>
    </w:p>
    <w:p>
      <w:pPr>
        <w:keepNext w:val="0"/>
        <w:keepLines w:val="0"/>
        <w:pageBreakBefore w:val="0"/>
        <w:widowControl w:val="0"/>
        <w:kinsoku/>
        <w:wordWrap/>
        <w:overflowPunct/>
        <w:topLinePunct w:val="0"/>
        <w:autoSpaceDE/>
        <w:autoSpaceDN/>
        <w:bidi w:val="0"/>
        <w:adjustRightInd w:val="0"/>
        <w:snapToGrid w:val="0"/>
        <w:spacing w:line="578" w:lineRule="exact"/>
        <w:ind w:firstLineChars="200" w:firstLine="640"/>
        <w:textAlignment w:val="auto"/>
        <w:rPr>
          <w:rFonts w:ascii="Times New Roman" w:hAnsi="Times New Roman"/>
          <w:color w:val="auto"/>
          <w:sz w:val="32"/>
          <w:szCs w:val="32"/>
          <w:u w:val="none"/>
          <w:lang w:val="zh-CN"/>
          <w:highlight w:val="auto"/>
        </w:rPr>
      </w:pPr>
      <w:r>
        <w:rPr>
          <w:rFonts w:ascii="Times New Roman" w:eastAsia="黑体" w:hAnsi="Times New Roman" w:hint="eastAsia"/>
          <w:color w:val="auto"/>
          <w:sz w:val="32"/>
          <w:szCs w:val="32"/>
          <w:u w:val="none"/>
          <w:highlight w:val="auto"/>
        </w:rPr>
        <w:t>三、</w:t>
      </w:r>
      <w:r>
        <w:rPr>
          <w:rFonts w:ascii="Times New Roman" w:eastAsia="黑体" w:hAnsi="Times New Roman" w:hint="eastAsia"/>
          <w:color w:val="auto"/>
          <w:sz w:val="32"/>
          <w:szCs w:val="32"/>
          <w:u w:val="none"/>
          <w:lang w:eastAsia="zh-CN"/>
          <w:highlight w:val="auto"/>
        </w:rPr>
        <w:t>绩效分析</w:t>
      </w:r>
      <w:r>
        <w:rPr>
          <w:rFonts w:ascii="Times New Roman" w:hAnsi="Times New Roman" w:hint="eastAsia"/>
          <w:color w:val="auto"/>
          <w:sz w:val="32"/>
          <w:szCs w:val="32"/>
          <w:u w:val="none"/>
          <w:lang w:val="zh-CN"/>
          <w:highlight w:val="auto"/>
        </w:rPr>
        <w:tab/>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textAlignment w:val="auto"/>
        <w:rPr>
          <w:rFonts w:ascii="Times New Roman" w:eastAsia="楷体_GB2312" w:cs="Times New Roman" w:hAnsi="Times New Roman" w:hint="eastAsia"/>
          <w:b/>
          <w:color w:val="auto"/>
          <w:sz w:val="32"/>
          <w:szCs w:val="32"/>
          <w:u w:val="none"/>
          <w:lang w:val="en-US" w:eastAsia="zh-CN"/>
          <w:highlight w:val="auto"/>
        </w:rPr>
      </w:pPr>
      <w:r>
        <w:rPr>
          <w:rFonts w:ascii="Times New Roman" w:eastAsia="楷体_GB2312" w:cs="Times New Roman" w:hAnsi="Times New Roman" w:hint="eastAsia"/>
          <w:b/>
          <w:color w:val="auto"/>
          <w:sz w:val="32"/>
          <w:szCs w:val="32"/>
          <w:u w:val="none"/>
          <w:lang w:val="zh-CN"/>
          <w:highlight w:val="auto"/>
        </w:rPr>
        <w:t>（一）</w:t>
      </w:r>
      <w:r>
        <w:rPr>
          <w:rFonts w:ascii="Times New Roman" w:eastAsia="楷体_GB2312" w:cs="Times New Roman" w:hAnsi="Times New Roman" w:hint="eastAsia"/>
          <w:b/>
          <w:color w:val="auto"/>
          <w:sz w:val="32"/>
          <w:szCs w:val="32"/>
          <w:u w:val="none"/>
          <w:lang w:val="en-US" w:eastAsia="zh-CN"/>
          <w:highlight w:val="auto"/>
        </w:rPr>
        <w:t>通用指标</w:t>
      </w:r>
      <w:r>
        <w:rPr>
          <w:rFonts w:ascii="Times New Roman" w:eastAsia="楷体_GB2312" w:cs="Times New Roman" w:hAnsi="Times New Roman"/>
          <w:b/>
          <w:bCs/>
          <w:color w:val="000000"/>
          <w:kern w:val="0"/>
          <w:sz w:val="32"/>
          <w:szCs w:val="32"/>
          <w:shd w:val="clear" w:color="auto" w:fill="FFFFFF"/>
          <w:lang w:val="zh-CN"/>
          <w:highlight w:val="auto"/>
        </w:rPr>
        <w:t>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仿宋_GB2312" w:cs="仿宋_GB2312" w:hAnsi="Times New Roman" w:hint="eastAsia"/>
          <w:b w:val="0"/>
          <w:bCs w:val="0"/>
          <w:kern w:val="0"/>
          <w:position w:val="0"/>
          <w:sz w:val="32"/>
          <w:szCs w:val="32"/>
          <w:lang w:val="zh-CN" w:eastAsia="zh-CN" w:bidi="ar-SA"/>
          <w:highlight w:val="auto"/>
        </w:rPr>
      </w:pPr>
      <w:r>
        <w:rPr>
          <w:rFonts w:ascii="仿宋_GB2312" w:eastAsia="仿宋_GB2312" w:cs="仿宋_GB2312" w:hint="eastAsia"/>
          <w:b w:val="0"/>
          <w:bCs w:val="0"/>
          <w:color w:val="000000"/>
          <w:sz w:val="32"/>
          <w:szCs w:val="32"/>
          <w:lang w:val="en-US" w:eastAsia="zh-CN"/>
          <w:highlight w:val="auto"/>
        </w:rPr>
        <w:t>1.</w:t>
      </w:r>
      <w:r>
        <w:rPr>
          <w:rFonts w:ascii="仿宋_GB2312" w:eastAsia="仿宋_GB2312" w:cs="仿宋_GB2312" w:hint="eastAsia"/>
          <w:b w:val="0"/>
          <w:bCs w:val="0"/>
          <w:color w:val="000000"/>
          <w:sz w:val="32"/>
          <w:szCs w:val="32"/>
          <w:lang w:val="zh-CN" w:eastAsia="zh-CN"/>
          <w:highlight w:val="auto"/>
        </w:rPr>
        <w:t>项</w:t>
      </w:r>
      <w:r>
        <w:rPr>
          <w:rFonts w:ascii="Times New Roman" w:eastAsia="仿宋_GB2312" w:cs="仿宋_GB2312" w:hAnsi="Times New Roman" w:hint="eastAsia"/>
          <w:b w:val="0"/>
          <w:bCs w:val="0"/>
          <w:kern w:val="0"/>
          <w:position w:val="0"/>
          <w:sz w:val="32"/>
          <w:szCs w:val="32"/>
          <w:lang w:val="zh-CN" w:eastAsia="zh-CN" w:bidi="ar-SA"/>
          <w:highlight w:val="auto"/>
        </w:rPr>
        <w:t>目决策</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textAlignment w:val="auto"/>
        <w:rPr>
          <w:rFonts w:ascii="仿宋_GB2312" w:eastAsia="仿宋_GB2312" w:cs="仿宋_GB2312" w:hint="eastAsia"/>
          <w:b w:val="0"/>
          <w:bCs w:val="0"/>
          <w:color w:val="000000"/>
          <w:sz w:val="32"/>
          <w:szCs w:val="32"/>
          <w:lang w:val="zh-CN" w:eastAsia="zh-CN"/>
          <w:highlight w:val="auto"/>
        </w:rPr>
      </w:pPr>
      <w:r>
        <w:rPr>
          <w:rFonts w:ascii="仿宋_GB2312" w:eastAsia="仿宋_GB2312" w:cs="仿宋_GB2312" w:hint="eastAsia"/>
          <w:b w:val="0"/>
          <w:bCs w:val="0"/>
          <w:color w:val="000000"/>
          <w:sz w:val="32"/>
          <w:szCs w:val="32"/>
          <w:lang w:val="zh-CN" w:eastAsia="zh-CN"/>
          <w:highlight w:val="auto"/>
        </w:rPr>
        <w:t>着力提高农村适龄妇女“两癌”筛查服务质量，促进“两癌”早诊早治，提升妇女健康水平。以结算标准128元/例（宫颈癌49元/例，乳腺癌79元/例，中央、省、州、县级配套），任务数4000人，州级扩面100人，合计4100人。州本级提标60元/人，下达中央、省级、州级、县级资金77.08万元。</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textAlignment w:val="auto"/>
        <w:rPr>
          <w:rFonts w:ascii="仿宋_GB2312" w:eastAsia="仿宋_GB2312" w:cs="仿宋_GB2312" w:hint="eastAsia"/>
          <w:b w:val="0"/>
          <w:bCs w:val="0"/>
          <w:color w:val="000000"/>
          <w:sz w:val="32"/>
          <w:szCs w:val="32"/>
          <w:lang w:val="zh-CN" w:eastAsia="zh-CN"/>
          <w:highlight w:val="auto"/>
        </w:rPr>
      </w:pPr>
      <w:r>
        <w:rPr>
          <w:rFonts w:ascii="仿宋_GB2312" w:eastAsia="仿宋_GB2312" w:cs="仿宋_GB2312" w:hint="eastAsia"/>
          <w:b w:val="0"/>
          <w:bCs w:val="0"/>
          <w:color w:val="000000"/>
          <w:sz w:val="32"/>
          <w:szCs w:val="32"/>
          <w:lang w:val="en-US" w:eastAsia="zh-CN"/>
          <w:highlight w:val="auto"/>
        </w:rPr>
        <w:t>2.</w:t>
      </w:r>
      <w:r>
        <w:rPr>
          <w:rFonts w:ascii="仿宋_GB2312" w:eastAsia="仿宋_GB2312" w:cs="仿宋_GB2312" w:hint="eastAsia"/>
          <w:b w:val="0"/>
          <w:bCs w:val="0"/>
          <w:color w:val="000000"/>
          <w:sz w:val="32"/>
          <w:szCs w:val="32"/>
          <w:lang w:val="zh-CN" w:eastAsia="zh-CN"/>
          <w:highlight w:val="auto"/>
        </w:rPr>
        <w:t>项目管理</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textAlignment w:val="auto"/>
        <w:rPr>
          <w:rFonts w:ascii="仿宋_GB2312" w:eastAsia="仿宋_GB2312" w:cs="仿宋_GB2312" w:hint="eastAsia"/>
          <w:b w:val="0"/>
          <w:bCs w:val="0"/>
          <w:color w:val="000000"/>
          <w:sz w:val="32"/>
          <w:szCs w:val="32"/>
          <w:lang w:val="zh-CN" w:eastAsia="zh-CN"/>
          <w:highlight w:val="auto"/>
        </w:rPr>
      </w:pPr>
      <w:r>
        <w:rPr>
          <w:rFonts w:ascii="仿宋_GB2312" w:eastAsia="仿宋_GB2312" w:cs="仿宋_GB2312" w:hint="eastAsia"/>
          <w:b w:val="0"/>
          <w:bCs w:val="0"/>
          <w:color w:val="000000"/>
          <w:sz w:val="32"/>
          <w:szCs w:val="32"/>
          <w:lang w:val="zh-CN" w:eastAsia="zh-CN"/>
          <w:highlight w:val="auto"/>
        </w:rPr>
        <w:t>各级下发两癌筛查工作方案，确保两癌筛查工作的有序进行。我们通过多渠道</w:t>
      </w:r>
      <w:r>
        <w:rPr>
          <w:rFonts w:ascii="Times New Roman" w:eastAsia="仿宋_GB2312" w:cs="仿宋_GB2312" w:hAnsi="Times New Roman" w:hint="eastAsia"/>
          <w:b w:val="0"/>
          <w:bCs w:val="0"/>
          <w:kern w:val="0"/>
          <w:position w:val="0"/>
          <w:sz w:val="32"/>
          <w:szCs w:val="32"/>
          <w:lang w:val="zh-CN" w:eastAsia="zh-CN" w:bidi="ar-SA"/>
          <w:highlight w:val="auto"/>
        </w:rPr>
        <w:t>宣传、流程标准化确保两癌筛查服务的规范性和高效性。项目资金实行专款专用，同时有着健全的财</w:t>
      </w:r>
      <w:r>
        <w:rPr>
          <w:rFonts w:ascii="仿宋_GB2312" w:eastAsia="仿宋_GB2312" w:cs="仿宋_GB2312" w:hint="eastAsia"/>
          <w:b w:val="0"/>
          <w:bCs w:val="0"/>
          <w:color w:val="000000"/>
          <w:sz w:val="32"/>
          <w:szCs w:val="32"/>
          <w:lang w:val="zh-CN" w:eastAsia="zh-CN"/>
          <w:highlight w:val="auto"/>
        </w:rPr>
        <w:t>务管理制度，对项目资金进行严格的财务管理和监督。</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textAlignment w:val="auto"/>
        <w:rPr>
          <w:rFonts w:ascii="仿宋_GB2312" w:eastAsia="仿宋_GB2312" w:cs="仿宋_GB2312" w:hint="eastAsia"/>
          <w:b w:val="0"/>
          <w:bCs w:val="0"/>
          <w:color w:val="000000"/>
          <w:sz w:val="32"/>
          <w:szCs w:val="32"/>
          <w:lang w:val="en-US" w:eastAsia="zh-CN"/>
          <w:highlight w:val="auto"/>
        </w:rPr>
      </w:pPr>
      <w:r>
        <w:rPr>
          <w:rFonts w:ascii="仿宋_GB2312" w:eastAsia="仿宋_GB2312" w:cs="仿宋_GB2312" w:hint="eastAsia"/>
          <w:b w:val="0"/>
          <w:bCs w:val="0"/>
          <w:color w:val="000000"/>
          <w:sz w:val="32"/>
          <w:szCs w:val="32"/>
          <w:lang w:val="en-US" w:eastAsia="zh-CN"/>
          <w:highlight w:val="auto"/>
        </w:rPr>
        <w:t>3.项目实施</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textAlignment w:val="auto"/>
        <w:rPr>
          <w:rFonts w:ascii="仿宋_GB2312" w:eastAsia="仿宋_GB2312" w:cs="仿宋_GB2312" w:hint="eastAsia"/>
          <w:b w:val="0"/>
          <w:bCs w:val="0"/>
          <w:color w:val="000000"/>
          <w:sz w:val="32"/>
          <w:szCs w:val="32"/>
          <w:lang w:val="zh-CN" w:eastAsia="zh-CN"/>
          <w:highlight w:val="auto"/>
        </w:rPr>
      </w:pPr>
      <w:r>
        <w:rPr>
          <w:rFonts w:ascii="仿宋_GB2312" w:eastAsia="仿宋_GB2312" w:cs="仿宋_GB2312" w:hint="eastAsia"/>
          <w:b w:val="0"/>
          <w:bCs w:val="0"/>
          <w:color w:val="000000"/>
          <w:sz w:val="32"/>
          <w:szCs w:val="32"/>
          <w:lang w:val="zh-CN" w:eastAsia="zh-CN"/>
          <w:highlight w:val="auto"/>
        </w:rPr>
        <w:t>两癌筛查任务数4000人，州级扩面100人，下达各级资金合计77.08万元，截止2024年12月，完成支付77.08元，支付进度100%。</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Chars="200" w:firstLine="640"/>
        <w:textAlignment w:val="auto"/>
        <w:rPr>
          <w:rFonts w:ascii="仿宋_GB2312" w:eastAsia="仿宋_GB2312" w:cs="仿宋_GB2312" w:hint="eastAsia"/>
          <w:b w:val="0"/>
          <w:bCs w:val="0"/>
          <w:color w:val="000000"/>
          <w:sz w:val="32"/>
          <w:szCs w:val="32"/>
          <w:lang w:val="en-US" w:eastAsia="zh-CN"/>
          <w:highlight w:val="auto"/>
        </w:rPr>
      </w:pPr>
      <w:r>
        <w:rPr>
          <w:rFonts w:ascii="仿宋_GB2312" w:eastAsia="仿宋_GB2312" w:cs="仿宋_GB2312" w:hint="eastAsia"/>
          <w:b w:val="0"/>
          <w:bCs w:val="0"/>
          <w:color w:val="000000"/>
          <w:sz w:val="32"/>
          <w:szCs w:val="32"/>
          <w:lang w:val="en-US" w:eastAsia="zh-CN"/>
          <w:highlight w:val="auto"/>
        </w:rPr>
        <w:t>4.项目结果</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仿宋_GB2312" w:cs="仿宋_GB2312" w:hAnsi="Times New Roman" w:hint="eastAsia"/>
          <w:b w:val="0"/>
          <w:bCs w:val="0"/>
          <w:kern w:val="0"/>
          <w:position w:val="0"/>
          <w:sz w:val="32"/>
          <w:szCs w:val="32"/>
          <w:lang w:val="zh-CN" w:eastAsia="zh-CN" w:bidi="ar-SA"/>
          <w:highlight w:val="auto"/>
        </w:rPr>
      </w:pPr>
      <w:r>
        <w:rPr>
          <w:rFonts w:ascii="Times New Roman" w:eastAsia="仿宋_GB2312" w:cs="仿宋_GB2312" w:hAnsi="Times New Roman" w:hint="eastAsia"/>
          <w:b w:val="0"/>
          <w:bCs w:val="0"/>
          <w:kern w:val="0"/>
          <w:position w:val="0"/>
          <w:sz w:val="32"/>
          <w:szCs w:val="32"/>
          <w:lang w:val="zh-CN" w:eastAsia="zh-CN" w:bidi="ar-SA"/>
          <w:highlight w:val="auto"/>
        </w:rPr>
        <w:t>该</w:t>
      </w:r>
      <w:r>
        <w:rPr>
          <w:rFonts w:eastAsia="仿宋_GB2312" w:cs="仿宋_GB2312" w:hint="eastAsia"/>
          <w:b w:val="0"/>
          <w:bCs w:val="0"/>
          <w:kern w:val="0"/>
          <w:position w:val="0"/>
          <w:sz w:val="32"/>
          <w:szCs w:val="32"/>
          <w:lang w:val="zh-CN" w:eastAsia="zh-CN" w:bidi="ar-SA"/>
          <w:highlight w:val="auto"/>
        </w:rPr>
        <w:t>项目</w:t>
      </w:r>
      <w:r>
        <w:rPr>
          <w:rFonts w:ascii="Times New Roman" w:eastAsia="仿宋_GB2312" w:cs="仿宋_GB2312" w:hAnsi="Times New Roman" w:hint="eastAsia"/>
          <w:b w:val="0"/>
          <w:bCs w:val="0"/>
          <w:kern w:val="0"/>
          <w:position w:val="0"/>
          <w:sz w:val="32"/>
          <w:szCs w:val="32"/>
          <w:lang w:val="zh-CN" w:eastAsia="zh-CN" w:bidi="ar-SA"/>
          <w:highlight w:val="auto"/>
        </w:rPr>
        <w:t>计划完成宫颈癌筛查任务</w:t>
      </w:r>
      <w:r>
        <w:rPr>
          <w:rFonts w:ascii="仿宋_GB2312" w:eastAsia="仿宋_GB2312" w:cs="仿宋_GB2312" w:hint="eastAsia"/>
          <w:b w:val="0"/>
          <w:bCs w:val="0"/>
          <w:color w:val="000000"/>
          <w:sz w:val="32"/>
          <w:szCs w:val="32"/>
          <w:lang w:val="zh-CN" w:eastAsia="zh-CN"/>
          <w:highlight w:val="auto"/>
        </w:rPr>
        <w:t>数4000人，实际完成4100人，完成率为102.5%，乳腺癌筛查4000人，实际完成4100人，完成率为102.5%。通过项目实施，妇女对两癌防治知识的知晓率显著提升；确诊患者得到及时治疗，生存率得到提高；群众对筛查服务的满意度大于等于90%。承担筛查任务的医疗机构在技术水平、服务能力等方面得</w:t>
      </w:r>
      <w:r>
        <w:rPr>
          <w:rFonts w:ascii="Times New Roman" w:eastAsia="仿宋_GB2312" w:cs="仿宋_GB2312" w:hAnsi="Times New Roman" w:hint="eastAsia"/>
          <w:b w:val="0"/>
          <w:bCs w:val="0"/>
          <w:kern w:val="0"/>
          <w:position w:val="0"/>
          <w:sz w:val="32"/>
          <w:szCs w:val="32"/>
          <w:lang w:val="zh-CN" w:eastAsia="zh-CN" w:bidi="ar-SA"/>
          <w:highlight w:val="auto"/>
        </w:rPr>
        <w:t>到显著提升</w:t>
      </w:r>
      <w:r>
        <w:rPr>
          <w:rFonts w:eastAsia="仿宋_GB2312" w:cs="仿宋_GB2312" w:hint="eastAsia"/>
          <w:b w:val="0"/>
          <w:bCs w:val="0"/>
          <w:kern w:val="0"/>
          <w:position w:val="0"/>
          <w:sz w:val="32"/>
          <w:szCs w:val="32"/>
          <w:lang w:val="zh-CN" w:eastAsia="zh-CN" w:bidi="ar-SA"/>
          <w:highlight w:val="auto"/>
        </w:rPr>
        <w:t>，</w:t>
      </w:r>
      <w:r>
        <w:rPr>
          <w:rFonts w:ascii="Times New Roman" w:eastAsia="仿宋_GB2312" w:cs="仿宋_GB2312" w:hAnsi="Times New Roman" w:hint="eastAsia"/>
          <w:b w:val="0"/>
          <w:bCs w:val="0"/>
          <w:kern w:val="0"/>
          <w:position w:val="0"/>
          <w:sz w:val="32"/>
          <w:szCs w:val="32"/>
          <w:lang w:val="zh-CN" w:eastAsia="zh-CN" w:bidi="ar-SA"/>
          <w:highlight w:val="auto"/>
        </w:rPr>
        <w:t>社会各界对两癌防治的关注度进一步提高。</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仿宋_GB2312" w:cs="仿宋_GB2312" w:hAnsi="Times New Roman" w:hint="eastAsia"/>
          <w:b w:val="0"/>
          <w:bCs w:val="0"/>
          <w:kern w:val="0"/>
          <w:position w:val="0"/>
          <w:sz w:val="32"/>
          <w:szCs w:val="32"/>
          <w:lang w:val="zh-CN" w:eastAsia="zh-CN" w:bidi="ar-SA"/>
          <w:highlight w:val="auto"/>
        </w:rPr>
      </w:pPr>
      <w:r>
        <w:rPr>
          <w:rFonts w:ascii="Times New Roman" w:eastAsia="楷体_GB2312" w:cs="Times New Roman" w:hAnsi="Times New Roman" w:hint="eastAsia"/>
          <w:b/>
          <w:color w:val="auto"/>
          <w:sz w:val="32"/>
          <w:szCs w:val="32"/>
          <w:u w:val="none"/>
          <w:lang w:val="zh-CN"/>
          <w:highlight w:val="auto"/>
        </w:rPr>
        <w:t>（二）</w:t>
      </w:r>
      <w:r>
        <w:rPr>
          <w:rFonts w:ascii="Times New Roman" w:eastAsia="楷体_GB2312" w:cs="Times New Roman" w:hAnsi="Times New Roman" w:hint="eastAsia"/>
          <w:b/>
          <w:color w:val="auto"/>
          <w:sz w:val="32"/>
          <w:szCs w:val="32"/>
          <w:u w:val="none"/>
          <w:lang w:val="en-US" w:eastAsia="zh-CN"/>
          <w:highlight w:val="auto"/>
        </w:rPr>
        <w:t>专用指标</w:t>
      </w:r>
      <w:r>
        <w:rPr>
          <w:rFonts w:ascii="Times New Roman" w:eastAsia="楷体_GB2312" w:cs="Times New Roman" w:hAnsi="Times New Roman"/>
          <w:b/>
          <w:bCs/>
          <w:color w:val="000000"/>
          <w:kern w:val="0"/>
          <w:sz w:val="32"/>
          <w:szCs w:val="32"/>
          <w:shd w:val="clear" w:color="auto" w:fill="FFFFFF"/>
          <w:lang w:val="zh-CN"/>
          <w:highlight w:val="auto"/>
        </w:rPr>
        <w:t>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仿宋_GB2312" w:eastAsia="仿宋_GB2312" w:cs="仿宋_GB2312" w:hint="eastAsia"/>
          <w:b w:val="0"/>
          <w:bCs w:val="0"/>
          <w:color w:val="000000"/>
          <w:sz w:val="32"/>
          <w:szCs w:val="32"/>
          <w:lang w:val="en-US" w:eastAsia="zh-CN"/>
          <w:highlight w:val="auto"/>
        </w:rPr>
      </w:pPr>
      <w:r>
        <w:rPr>
          <w:rFonts w:ascii="仿宋_GB2312" w:eastAsia="仿宋_GB2312" w:cs="仿宋_GB2312" w:hint="eastAsia"/>
          <w:b w:val="0"/>
          <w:bCs w:val="0"/>
          <w:color w:val="000000"/>
          <w:sz w:val="32"/>
          <w:szCs w:val="32"/>
          <w:lang w:val="en-US" w:eastAsia="zh-CN"/>
          <w:highlight w:val="auto"/>
        </w:rPr>
        <w:t>1.产业发展。该项目属于民生项目，与收益群体切身利益相关，提高了初筛机构医疗服务水平。</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仿宋_GB2312" w:eastAsia="仿宋_GB2312" w:cs="仿宋_GB2312" w:hint="eastAsia"/>
          <w:b w:val="0"/>
          <w:bCs w:val="0"/>
          <w:color w:val="000000"/>
          <w:sz w:val="32"/>
          <w:szCs w:val="32"/>
          <w:lang w:val="en-US" w:eastAsia="zh-CN"/>
          <w:highlight w:val="auto"/>
        </w:rPr>
      </w:pPr>
      <w:r>
        <w:rPr>
          <w:rFonts w:ascii="仿宋_GB2312" w:eastAsia="仿宋_GB2312" w:cs="仿宋_GB2312" w:hint="eastAsia"/>
          <w:b w:val="0"/>
          <w:bCs w:val="0"/>
          <w:color w:val="000000"/>
          <w:sz w:val="32"/>
          <w:szCs w:val="32"/>
          <w:lang w:val="en-US" w:eastAsia="zh-CN"/>
          <w:highlight w:val="auto"/>
        </w:rPr>
        <w:t>2.</w:t>
      </w:r>
      <w:r>
        <w:rPr>
          <w:rFonts w:ascii="仿宋_GB2312" w:eastAsia="仿宋_GB2312" w:cs="仿宋_GB2312" w:hint="eastAsia"/>
          <w:b w:val="0"/>
          <w:bCs w:val="0"/>
          <w:color w:val="000000"/>
          <w:sz w:val="32"/>
          <w:szCs w:val="32"/>
          <w:lang w:val="zh-CN" w:eastAsia="zh-CN"/>
          <w:highlight w:val="auto"/>
        </w:rPr>
        <w:t>民生保障。</w:t>
      </w:r>
      <w:r>
        <w:rPr>
          <w:rFonts w:ascii="仿宋_GB2312" w:eastAsia="仿宋_GB2312" w:cs="仿宋_GB2312" w:hint="eastAsia"/>
          <w:b w:val="0"/>
          <w:bCs w:val="0"/>
          <w:color w:val="000000"/>
          <w:sz w:val="32"/>
          <w:szCs w:val="32"/>
          <w:lang w:val="en-US" w:eastAsia="zh-CN"/>
          <w:highlight w:val="auto"/>
        </w:rPr>
        <w:t>通过“两癌”筛查项目，能够早期发现宫颈癌和乳腺癌的潜在风险，使患者在疾病早期阶段得到诊断和治疗，从而提高治愈率和生存率，群众对筛查服务的满意度较高。</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仿宋_GB2312" w:eastAsia="仿宋_GB2312" w:cs="仿宋_GB2312" w:hint="eastAsia"/>
          <w:b w:val="0"/>
          <w:bCs w:val="0"/>
          <w:color w:val="000000"/>
          <w:sz w:val="32"/>
          <w:szCs w:val="32"/>
          <w:lang w:val="en-US" w:eastAsia="zh-CN"/>
          <w:highlight w:val="auto"/>
        </w:rPr>
      </w:pPr>
      <w:r>
        <w:rPr>
          <w:rFonts w:ascii="仿宋_GB2312" w:eastAsia="仿宋_GB2312" w:cs="仿宋_GB2312" w:hint="eastAsia"/>
          <w:b w:val="0"/>
          <w:bCs w:val="0"/>
          <w:color w:val="000000"/>
          <w:sz w:val="32"/>
          <w:szCs w:val="32"/>
          <w:lang w:val="en-US" w:eastAsia="zh-CN"/>
          <w:highlight w:val="auto"/>
        </w:rPr>
        <w:t>3.基础设施。该项目不涉及基础设施建设</w:t>
      </w:r>
      <w:r>
        <w:rPr>
          <w:rFonts w:ascii="仿宋_GB2312" w:eastAsia="仿宋_GB2312" w:cs="仿宋_GB2312" w:hint="eastAsia"/>
          <w:b w:val="0"/>
          <w:bCs w:val="0"/>
          <w:color w:val="000000"/>
          <w:sz w:val="32"/>
          <w:szCs w:val="32"/>
          <w:lang w:val="zh-CN" w:eastAsia="zh-CN"/>
          <w:highlight w:val="auto"/>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仿宋_GB2312" w:cs="仿宋_GB2312" w:hAnsi="Times New Roman" w:hint="eastAsia"/>
          <w:b w:val="0"/>
          <w:bCs w:val="0"/>
          <w:kern w:val="0"/>
          <w:position w:val="0"/>
          <w:sz w:val="32"/>
          <w:szCs w:val="32"/>
          <w:lang w:val="en-US" w:eastAsia="zh-CN" w:bidi="ar-SA"/>
          <w:highlight w:val="auto"/>
        </w:rPr>
      </w:pPr>
      <w:r>
        <w:rPr>
          <w:rFonts w:ascii="仿宋_GB2312" w:eastAsia="仿宋_GB2312" w:cs="仿宋_GB2312" w:hint="eastAsia"/>
          <w:b w:val="0"/>
          <w:bCs w:val="0"/>
          <w:color w:val="000000"/>
          <w:sz w:val="32"/>
          <w:szCs w:val="32"/>
          <w:lang w:val="en-US" w:eastAsia="zh-CN"/>
          <w:highlight w:val="auto"/>
        </w:rPr>
        <w:t>4.</w:t>
      </w:r>
      <w:r>
        <w:rPr>
          <w:rFonts w:ascii="仿宋_GB2312" w:eastAsia="仿宋_GB2312" w:cs="仿宋_GB2312" w:hint="eastAsia"/>
          <w:b w:val="0"/>
          <w:bCs w:val="0"/>
          <w:color w:val="000000"/>
          <w:sz w:val="32"/>
          <w:szCs w:val="32"/>
          <w:lang w:val="zh-CN" w:eastAsia="zh-CN"/>
          <w:highlight w:val="auto"/>
        </w:rPr>
        <w:t>行政运转。项目资金主要来源于中央财政和地方财政的专项补助，</w:t>
      </w:r>
      <w:r>
        <w:rPr>
          <w:rFonts w:ascii="Times New Roman" w:eastAsia="仿宋_GB2312" w:cs="仿宋_GB2312" w:hAnsi="Times New Roman" w:hint="eastAsia"/>
          <w:b w:val="0"/>
          <w:bCs w:val="0"/>
          <w:kern w:val="0"/>
          <w:position w:val="0"/>
          <w:sz w:val="32"/>
          <w:szCs w:val="32"/>
          <w:lang w:val="zh-CN" w:eastAsia="zh-CN" w:bidi="ar-SA"/>
          <w:highlight w:val="auto"/>
        </w:rPr>
        <w:t>各级财政部门负责资金的拨付和监管，确保资金专款专用。为了提高筛查的准确性和效率，医疗机构会对相关医务人员进行培训</w:t>
      </w:r>
      <w:r>
        <w:rPr>
          <w:rFonts w:eastAsia="仿宋_GB2312" w:cs="仿宋_GB2312" w:hint="eastAsia"/>
          <w:b w:val="0"/>
          <w:bCs w:val="0"/>
          <w:kern w:val="0"/>
          <w:position w:val="0"/>
          <w:sz w:val="32"/>
          <w:szCs w:val="32"/>
          <w:lang w:val="zh-CN" w:eastAsia="zh-CN" w:bidi="ar-SA"/>
          <w:highlight w:val="auto"/>
        </w:rPr>
        <w:t>，</w:t>
      </w:r>
      <w:r>
        <w:rPr>
          <w:rFonts w:ascii="Times New Roman" w:eastAsia="仿宋_GB2312" w:cs="仿宋_GB2312" w:hAnsi="Times New Roman" w:hint="eastAsia"/>
          <w:b w:val="0"/>
          <w:bCs w:val="0"/>
          <w:kern w:val="0"/>
          <w:position w:val="0"/>
          <w:sz w:val="32"/>
          <w:szCs w:val="32"/>
          <w:lang w:val="zh-CN" w:eastAsia="zh-CN" w:bidi="ar-SA"/>
          <w:highlight w:val="auto"/>
        </w:rPr>
        <w:t>培训内容包括项目实施方案、筛查技术、诊断标准、治疗方案等。宣传方式包括制作宣传册、播放宣传片、举办讲座、开展义诊等</w:t>
      </w:r>
      <w:r>
        <w:rPr>
          <w:rFonts w:eastAsia="仿宋_GB2312" w:cs="仿宋_GB2312" w:hint="eastAsia"/>
          <w:b w:val="0"/>
          <w:bCs w:val="0"/>
          <w:kern w:val="0"/>
          <w:position w:val="0"/>
          <w:sz w:val="32"/>
          <w:szCs w:val="32"/>
          <w:lang w:val="zh-CN" w:eastAsia="zh-CN" w:bidi="ar-SA"/>
          <w:highlight w:val="auto"/>
        </w:rPr>
        <w:t>，</w:t>
      </w:r>
      <w:r>
        <w:rPr>
          <w:rFonts w:ascii="Times New Roman" w:eastAsia="仿宋_GB2312" w:cs="仿宋_GB2312" w:hAnsi="Times New Roman" w:hint="eastAsia"/>
          <w:b w:val="0"/>
          <w:bCs w:val="0"/>
          <w:kern w:val="0"/>
          <w:position w:val="0"/>
          <w:sz w:val="32"/>
          <w:szCs w:val="32"/>
          <w:lang w:val="zh-CN" w:eastAsia="zh-CN" w:bidi="ar-SA"/>
          <w:highlight w:val="auto"/>
        </w:rPr>
        <w:t>这些活动旨在普及“两癌”防治知识，提高妇女的自我保健意识。医疗机构负责具体的筛查、诊断和治疗工作。</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ascii="Times New Roman" w:eastAsia="楷体_GB2312" w:cs="Times New Roman" w:hAnsi="Times New Roman"/>
          <w:b/>
          <w:bCs/>
          <w:color w:val="000000"/>
          <w:kern w:val="0"/>
          <w:sz w:val="32"/>
          <w:szCs w:val="32"/>
          <w:shd w:val="clear" w:color="auto" w:fill="FFFFFF"/>
          <w:lang w:val="zh-CN"/>
          <w:highlight w:val="auto"/>
        </w:rPr>
      </w:pPr>
      <w:r>
        <w:rPr>
          <w:rFonts w:ascii="Times New Roman" w:eastAsia="楷体_GB2312" w:cs="Times New Roman" w:hAnsi="Times New Roman" w:hint="eastAsia"/>
          <w:b/>
          <w:color w:val="auto"/>
          <w:sz w:val="32"/>
          <w:szCs w:val="32"/>
          <w:u w:val="none"/>
          <w:lang w:val="zh-CN"/>
          <w:highlight w:val="auto"/>
        </w:rPr>
        <w:t>（三）</w:t>
      </w:r>
      <w:r>
        <w:rPr>
          <w:rFonts w:ascii="Times New Roman" w:eastAsia="楷体_GB2312" w:cs="Times New Roman" w:hAnsi="Times New Roman" w:hint="eastAsia"/>
          <w:b/>
          <w:color w:val="auto"/>
          <w:sz w:val="32"/>
          <w:szCs w:val="32"/>
          <w:u w:val="none"/>
          <w:lang w:val="en-US" w:eastAsia="zh-CN"/>
          <w:highlight w:val="auto"/>
        </w:rPr>
        <w:t>个性指标</w:t>
      </w:r>
      <w:r>
        <w:rPr>
          <w:rFonts w:ascii="Times New Roman" w:eastAsia="楷体_GB2312" w:cs="Times New Roman" w:hAnsi="Times New Roman"/>
          <w:b/>
          <w:bCs/>
          <w:color w:val="000000"/>
          <w:kern w:val="0"/>
          <w:sz w:val="32"/>
          <w:szCs w:val="32"/>
          <w:shd w:val="clear" w:color="auto" w:fill="FFFFFF"/>
          <w:lang w:val="zh-CN"/>
          <w:highlight w:val="auto"/>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lang w:val="en-US" w:eastAsia="zh-CN"/>
        </w:rPr>
      </w:pPr>
      <w:r>
        <w:rPr>
          <w:rFonts w:eastAsia="仿宋_GB2312" w:cs="仿宋_GB2312" w:hint="eastAsia"/>
          <w:b w:val="0"/>
          <w:bCs w:val="0"/>
          <w:kern w:val="0"/>
          <w:position w:val="0"/>
          <w:sz w:val="32"/>
          <w:szCs w:val="32"/>
          <w:lang w:val="zh-CN" w:eastAsia="zh-CN" w:bidi="ar-SA"/>
          <w:highlight w:val="auto"/>
        </w:rPr>
        <w:t>该项目</w:t>
      </w:r>
      <w:r>
        <w:rPr>
          <w:rFonts w:ascii="Times New Roman" w:eastAsia="仿宋_GB2312" w:cs="仿宋_GB2312" w:hAnsi="Times New Roman" w:hint="eastAsia"/>
          <w:b w:val="0"/>
          <w:bCs w:val="0"/>
          <w:kern w:val="0"/>
          <w:position w:val="0"/>
          <w:sz w:val="32"/>
          <w:szCs w:val="32"/>
          <w:lang w:val="zh-CN" w:eastAsia="zh-CN" w:bidi="ar-SA"/>
          <w:highlight w:val="auto"/>
        </w:rPr>
        <w:t>未设定个性指标绩效。</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黑体" w:eastAsia="黑体" w:cs="黑体" w:hint="eastAsia"/>
          <w:b w:val="0"/>
          <w:bCs w:val="0"/>
          <w:kern w:val="0"/>
          <w:position w:val="0"/>
          <w:sz w:val="32"/>
          <w:szCs w:val="32"/>
          <w:lang w:val="en-US" w:eastAsia="zh-CN" w:bidi="ar-SA"/>
          <w:highlight w:val="auto"/>
        </w:rPr>
      </w:pPr>
      <w:r>
        <w:rPr>
          <w:rFonts w:ascii="黑体" w:eastAsia="黑体" w:cs="黑体" w:hint="eastAsia"/>
          <w:b w:val="0"/>
          <w:bCs w:val="0"/>
          <w:kern w:val="0"/>
          <w:position w:val="0"/>
          <w:sz w:val="32"/>
          <w:szCs w:val="32"/>
          <w:lang w:val="en-US" w:eastAsia="zh-CN" w:bidi="ar-SA"/>
          <w:highlight w:val="auto"/>
        </w:rPr>
        <w:t>四、评价结论</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仿宋_GB2312" w:cs="仿宋_GB2312" w:hAnsi="Times New Roman" w:hint="eastAsia"/>
          <w:b w:val="0"/>
          <w:bCs w:val="0"/>
          <w:kern w:val="0"/>
          <w:position w:val="0"/>
          <w:sz w:val="32"/>
          <w:szCs w:val="32"/>
          <w:lang w:val="en-US" w:eastAsia="zh-CN" w:bidi="ar-SA"/>
          <w:highlight w:val="auto"/>
        </w:rPr>
      </w:pPr>
      <w:r>
        <w:rPr>
          <w:rFonts w:ascii="Times New Roman" w:eastAsia="仿宋_GB2312" w:cs="仿宋_GB2312" w:hAnsi="Times New Roman" w:hint="eastAsia"/>
          <w:b w:val="0"/>
          <w:bCs w:val="0"/>
          <w:kern w:val="0"/>
          <w:position w:val="0"/>
          <w:sz w:val="32"/>
          <w:szCs w:val="32"/>
          <w:lang w:val="en-US" w:eastAsia="zh-CN" w:bidi="ar-SA"/>
          <w:highlight w:val="auto"/>
        </w:rPr>
        <w:t>项目自评得</w:t>
      </w:r>
      <w:r>
        <w:rPr>
          <w:rFonts w:ascii="仿宋_GB2312" w:eastAsia="仿宋_GB2312" w:cs="仿宋_GB2312" w:hint="eastAsia"/>
          <w:b w:val="0"/>
          <w:bCs w:val="0"/>
          <w:color w:val="000000"/>
          <w:sz w:val="32"/>
          <w:szCs w:val="32"/>
          <w:lang w:val="en-US" w:eastAsia="zh-CN"/>
          <w:highlight w:val="auto"/>
        </w:rPr>
        <w:t>分83分。通</w:t>
      </w:r>
      <w:r>
        <w:rPr>
          <w:rFonts w:ascii="Times New Roman" w:eastAsia="仿宋_GB2312" w:cs="仿宋_GB2312" w:hAnsi="Times New Roman" w:hint="eastAsia"/>
          <w:b w:val="0"/>
          <w:bCs w:val="0"/>
          <w:kern w:val="0"/>
          <w:position w:val="0"/>
          <w:sz w:val="32"/>
          <w:szCs w:val="32"/>
          <w:lang w:val="en-US" w:eastAsia="zh-CN" w:bidi="ar-SA"/>
          <w:highlight w:val="auto"/>
        </w:rPr>
        <w:t>过“两癌”筛查项目，能够在早期发现宫颈癌和乳腺癌的潜在风险，使患者在疾病早期阶段得到诊断和治疗，从而提高治愈率和生存率，早期筛查有助于降低“两癌”的死亡率。早期筛查和治疗可以避免晚期癌症的高额医疗费用，减轻患者和家庭的经济负担。对于低收入家庭而言，“两癌”筛查项目尤为重要，它可以防止患者因高昂的医疗费用而陷入贫困。通过“两癌”筛查项目，妇女可以及时了解自己的健康状况，采取积极的预防措施，从而提高生活质量。促进了社会和谐稳定。项目的实施还促进了公众对女性健康的关注，提高了人们的健康意识，有助于形成健康的生活方式。</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黑体" w:eastAsia="黑体" w:cs="黑体" w:hint="eastAsia"/>
          <w:b w:val="0"/>
          <w:bCs w:val="0"/>
          <w:kern w:val="0"/>
          <w:position w:val="0"/>
          <w:sz w:val="32"/>
          <w:szCs w:val="32"/>
          <w:lang w:val="en-US" w:eastAsia="zh-CN" w:bidi="ar-SA"/>
          <w:highlight w:val="auto"/>
        </w:rPr>
      </w:pPr>
      <w:r>
        <w:rPr>
          <w:rFonts w:ascii="黑体" w:eastAsia="黑体" w:cs="黑体" w:hint="eastAsia"/>
          <w:b w:val="0"/>
          <w:bCs w:val="0"/>
          <w:kern w:val="0"/>
          <w:position w:val="0"/>
          <w:sz w:val="32"/>
          <w:szCs w:val="32"/>
          <w:lang w:val="en-US" w:eastAsia="zh-CN" w:bidi="ar-SA"/>
          <w:highlight w:val="auto"/>
        </w:rPr>
        <w:t>五、存在主要问题</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仿宋_GB2312" w:eastAsia="仿宋_GB2312" w:cs="仿宋_GB2312" w:hint="eastAsia"/>
          <w:b w:val="0"/>
          <w:bCs w:val="0"/>
          <w:color w:val="000000"/>
          <w:sz w:val="32"/>
          <w:szCs w:val="32"/>
          <w:lang w:val="en-US" w:eastAsia="zh-CN"/>
          <w:highlight w:val="auto"/>
        </w:rPr>
      </w:pPr>
      <w:r>
        <w:rPr>
          <w:rFonts w:ascii="仿宋_GB2312" w:eastAsia="仿宋_GB2312" w:cs="仿宋_GB2312" w:hint="eastAsia"/>
          <w:b w:val="0"/>
          <w:bCs w:val="0"/>
          <w:color w:val="000000"/>
          <w:sz w:val="32"/>
          <w:szCs w:val="32"/>
          <w:lang w:val="en-US" w:eastAsia="zh-CN"/>
          <w:highlight w:val="auto"/>
        </w:rPr>
        <w:t>1.部分妇女对筛查工作的重要性认识不足，缺乏主动参加筛查的积极性，他们认为没有症状就不需要检查，并认为自己不可能患上这类疾病，从而忽视了筛查的重要性，导致参与度不高。</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仿宋_GB2312" w:eastAsia="仿宋_GB2312" w:cs="仿宋_GB2312" w:hint="eastAsia"/>
          <w:b w:val="0"/>
          <w:bCs w:val="0"/>
          <w:color w:val="000000"/>
          <w:sz w:val="32"/>
          <w:szCs w:val="32"/>
          <w:lang w:val="en-US" w:eastAsia="zh-CN"/>
          <w:highlight w:val="auto"/>
        </w:rPr>
      </w:pPr>
      <w:r>
        <w:rPr>
          <w:rFonts w:ascii="仿宋_GB2312" w:eastAsia="仿宋_GB2312" w:cs="仿宋_GB2312" w:hint="eastAsia"/>
          <w:b w:val="0"/>
          <w:bCs w:val="0"/>
          <w:color w:val="000000"/>
          <w:sz w:val="32"/>
          <w:szCs w:val="32"/>
          <w:lang w:val="en-US" w:eastAsia="zh-CN"/>
          <w:highlight w:val="auto"/>
        </w:rPr>
        <w:t>2.“两癌”筛查身份识别不精准导致部分城乡居民参与农村妇女免费“两癌”筛查。</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仿宋_GB2312" w:eastAsia="仿宋_GB2312" w:cs="仿宋_GB2312" w:hint="eastAsia"/>
          <w:b w:val="0"/>
          <w:bCs w:val="0"/>
          <w:color w:val="000000"/>
          <w:sz w:val="32"/>
          <w:szCs w:val="32"/>
          <w:lang w:val="en-US" w:eastAsia="zh-CN"/>
          <w:highlight w:val="auto"/>
        </w:rPr>
      </w:pPr>
      <w:r>
        <w:rPr>
          <w:rFonts w:ascii="仿宋_GB2312" w:eastAsia="仿宋_GB2312" w:cs="仿宋_GB2312" w:hint="eastAsia"/>
          <w:b w:val="0"/>
          <w:bCs w:val="0"/>
          <w:color w:val="000000"/>
          <w:sz w:val="32"/>
          <w:szCs w:val="32"/>
          <w:lang w:val="en-US" w:eastAsia="zh-CN"/>
          <w:highlight w:val="auto"/>
        </w:rPr>
        <w:t>3.患者配合力度不高，个别患者在医生随访时不主动配合甚至拉黑电话，上级医院检查后结果不告知随访医生。</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仿宋_GB2312" w:cs="仿宋_GB2312" w:hAnsi="Times New Roman" w:hint="eastAsia"/>
          <w:b w:val="0"/>
          <w:bCs w:val="0"/>
          <w:kern w:val="0"/>
          <w:position w:val="0"/>
          <w:sz w:val="32"/>
          <w:szCs w:val="32"/>
          <w:lang w:val="en-US" w:eastAsia="zh-CN" w:bidi="ar-SA"/>
          <w:highlight w:val="auto"/>
        </w:rPr>
      </w:pPr>
      <w:r>
        <w:rPr>
          <w:rFonts w:ascii="仿宋_GB2312" w:eastAsia="仿宋_GB2312" w:cs="仿宋_GB2312" w:hint="eastAsia"/>
          <w:b w:val="0"/>
          <w:bCs w:val="0"/>
          <w:color w:val="000000"/>
          <w:sz w:val="32"/>
          <w:szCs w:val="32"/>
          <w:lang w:val="en-US" w:eastAsia="zh-CN"/>
          <w:highlight w:val="auto"/>
        </w:rPr>
        <w:t>4.覆盖范围有限。当前“两癌”筛查工作主要针对农村适龄妇女，而</w:t>
      </w:r>
      <w:r>
        <w:rPr>
          <w:rFonts w:ascii="Times New Roman" w:eastAsia="仿宋_GB2312" w:cs="仿宋_GB2312" w:hAnsi="Times New Roman" w:hint="eastAsia"/>
          <w:b w:val="0"/>
          <w:bCs w:val="0"/>
          <w:kern w:val="0"/>
          <w:position w:val="0"/>
          <w:sz w:val="32"/>
          <w:szCs w:val="32"/>
          <w:lang w:val="en-US" w:eastAsia="zh-CN" w:bidi="ar-SA"/>
          <w:highlight w:val="auto"/>
        </w:rPr>
        <w:t>城镇困难家庭未参加。</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黑体" w:eastAsia="黑体" w:cs="黑体" w:hint="eastAsia"/>
          <w:b w:val="0"/>
          <w:bCs w:val="0"/>
          <w:kern w:val="0"/>
          <w:position w:val="0"/>
          <w:sz w:val="32"/>
          <w:szCs w:val="32"/>
          <w:lang w:val="zh-CN" w:eastAsia="zh-CN" w:bidi="ar-SA"/>
          <w:highlight w:val="auto"/>
        </w:rPr>
      </w:pPr>
      <w:r>
        <w:rPr>
          <w:rFonts w:ascii="黑体" w:eastAsia="黑体" w:cs="黑体" w:hint="eastAsia"/>
          <w:b w:val="0"/>
          <w:bCs w:val="0"/>
          <w:kern w:val="0"/>
          <w:position w:val="0"/>
          <w:sz w:val="32"/>
          <w:szCs w:val="32"/>
          <w:lang w:val="zh-CN" w:eastAsia="zh-CN" w:bidi="ar-SA"/>
          <w:highlight w:val="auto"/>
        </w:rPr>
        <w:t>六、改进建议</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仿宋_GB2312" w:cs="仿宋_GB2312" w:hAnsi="Times New Roman" w:hint="eastAsia"/>
          <w:b w:val="0"/>
          <w:bCs w:val="0"/>
          <w:kern w:val="0"/>
          <w:position w:val="0"/>
          <w:sz w:val="32"/>
          <w:szCs w:val="32"/>
          <w:lang w:val="en-US" w:eastAsia="zh-CN" w:bidi="ar-SA"/>
          <w:highlight w:val="auto"/>
        </w:rPr>
      </w:pPr>
      <w:r>
        <w:rPr>
          <w:rFonts w:ascii="Times New Roman" w:eastAsia="仿宋_GB2312" w:cs="仿宋_GB2312" w:hAnsi="Times New Roman" w:hint="eastAsia"/>
          <w:b w:val="0"/>
          <w:bCs w:val="0"/>
          <w:kern w:val="0"/>
          <w:position w:val="0"/>
          <w:sz w:val="32"/>
          <w:szCs w:val="32"/>
          <w:lang w:val="en-US" w:eastAsia="zh-CN" w:bidi="ar-SA"/>
          <w:highlight w:val="auto"/>
        </w:rPr>
        <w:t>加大对农村适龄妇女免费“两癌”筛查工作的宣传使两癌的危害人人皆知“两癌”免费普查政策家喻户晓。对不配合的患者及时联系当地发药员及妇联及时告知患者检查结果，让其尽快联系医生来院治疗。</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仿宋_GB2312" w:cs="仿宋_GB2312" w:hAnsi="Times New Roman" w:hint="eastAsia"/>
          <w:b w:val="0"/>
          <w:bCs w:val="0"/>
          <w:kern w:val="0"/>
          <w:position w:val="0"/>
          <w:sz w:val="32"/>
          <w:szCs w:val="32"/>
          <w:lang w:val="en-US" w:eastAsia="zh-CN" w:bidi="ar-SA"/>
          <w:highlight w:val="auto"/>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仿宋_GB2312" w:cs="仿宋_GB2312" w:hAnsi="Times New Roman" w:hint="eastAsia"/>
          <w:b w:val="0"/>
          <w:bCs w:val="0"/>
          <w:kern w:val="0"/>
          <w:position w:val="0"/>
          <w:sz w:val="32"/>
          <w:szCs w:val="32"/>
          <w:lang w:val="en-US" w:eastAsia="zh-CN" w:bidi="ar-SA"/>
          <w:highlight w:val="auto"/>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Times New Roman" w:eastAsia="仿宋_GB2312" w:cs="仿宋_GB2312" w:hAnsi="Times New Roman" w:hint="eastAsia"/>
          <w:b w:val="0"/>
          <w:bCs w:val="0"/>
          <w:kern w:val="0"/>
          <w:position w:val="0"/>
          <w:sz w:val="32"/>
          <w:szCs w:val="32"/>
          <w:lang w:val="en-US" w:eastAsia="zh-CN" w:bidi="ar-SA"/>
          <w:highlight w:val="auto"/>
        </w:rPr>
      </w:pPr>
      <w:bookmarkStart w:id="53" w:name="_Toc15396618"/>
      <w:r>
        <w:rPr>
          <w:rFonts w:ascii="Times New Roman" w:eastAsia="仿宋_GB2312" w:cs="仿宋_GB2312" w:hAnsi="Times New Roman" w:hint="eastAsia"/>
          <w:b w:val="0"/>
          <w:bCs w:val="0"/>
          <w:kern w:val="0"/>
          <w:position w:val="0"/>
          <w:sz w:val="32"/>
          <w:szCs w:val="32"/>
          <w:lang w:val="en-US" w:eastAsia="zh-CN" w:bidi="ar-SA"/>
          <w:highlight w:val="auto"/>
        </w:rPr>
        <w:br w:type="page"/>
      </w:r>
    </w:p>
    <w:p>
      <w:pPr>
        <w:widowControl/>
        <w:jc w:val="center"/>
        <w:rPr>
          <w:rFonts w:ascii="Times New Roman" w:eastAsia="仿宋" w:hAnsi="Times New Roman" w:hint="eastAsia"/>
          <w:b w:val="0"/>
          <w:color w:val="auto"/>
          <w:highlight w:val="auto"/>
        </w:rPr>
      </w:pPr>
      <w:r>
        <w:rPr>
          <w:rFonts w:ascii="Times New Roman" w:eastAsia="黑体" w:hAnsi="Times New Roman" w:hint="eastAsia"/>
          <w:color w:val="auto"/>
          <w:sz w:val="44"/>
          <w:szCs w:val="44"/>
          <w:highlight w:val="auto"/>
        </w:rPr>
        <w:t>第</w:t>
      </w:r>
      <w:r>
        <w:rPr>
          <w:rStyle w:val="1Char"/>
          <w:rFonts w:ascii="Times New Roman" w:eastAsia="黑体" w:hAnsi="Times New Roman" w:hint="eastAsia"/>
          <w:b w:val="0"/>
          <w:color w:val="auto"/>
          <w:highlight w:val="auto"/>
        </w:rPr>
        <w:t>五部分 附表</w:t>
      </w:r>
      <w:bookmarkStart w:id="54" w:name="_Toc15396619"/>
      <w:bookmarkEnd w:id="49"/>
      <w:bookmarkEnd w:id="53"/>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jc w:val="left"/>
        <w:textAlignment w:val="auto"/>
        <w:rPr>
          <w:rFonts w:ascii="Times New Roman" w:eastAsia="仿宋_GB2312" w:cs="仿宋_GB2312" w:hAnsi="Times New Roman" w:hint="eastAsia"/>
          <w:color w:val="auto"/>
          <w:sz w:val="32"/>
          <w:szCs w:val="32"/>
          <w:highlight w:val="auto"/>
        </w:rPr>
      </w:pP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jc w:val="left"/>
        <w:textAlignment w:val="auto"/>
        <w:rPr>
          <w:rFonts w:ascii="Times New Roman" w:eastAsia="仿宋_GB2312" w:cs="仿宋_GB2312" w:hAnsi="Times New Roman" w:hint="eastAsia"/>
          <w:color w:val="auto"/>
          <w:sz w:val="32"/>
          <w:szCs w:val="32"/>
          <w:highlight w:val="auto"/>
        </w:rPr>
      </w:pPr>
      <w:r>
        <w:rPr>
          <w:rFonts w:ascii="Times New Roman" w:eastAsia="仿宋_GB2312" w:cs="仿宋_GB2312" w:hAnsi="Times New Roman" w:hint="eastAsia"/>
          <w:color w:val="auto"/>
          <w:sz w:val="32"/>
          <w:szCs w:val="32"/>
          <w:highlight w:val="auto"/>
        </w:rPr>
        <w:t>一、收入支出决算总表</w:t>
      </w:r>
      <w:bookmarkEnd w:id="54"/>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jc w:val="left"/>
        <w:textAlignment w:val="auto"/>
        <w:rPr>
          <w:rFonts w:ascii="Times New Roman" w:eastAsia="仿宋_GB2312" w:cs="仿宋_GB2312" w:hAnsi="Times New Roman" w:hint="eastAsia"/>
          <w:color w:val="auto"/>
          <w:sz w:val="32"/>
          <w:szCs w:val="32"/>
          <w:highlight w:val="auto"/>
        </w:rPr>
      </w:pPr>
      <w:bookmarkStart w:id="55" w:name="_Toc15396620"/>
      <w:r>
        <w:rPr>
          <w:rFonts w:ascii="Times New Roman" w:eastAsia="仿宋_GB2312" w:cs="仿宋_GB2312" w:hAnsi="Times New Roman" w:hint="eastAsia"/>
          <w:color w:val="auto"/>
          <w:sz w:val="32"/>
          <w:szCs w:val="32"/>
          <w:highlight w:val="auto"/>
        </w:rPr>
        <w:t>二、收入决算表</w:t>
      </w:r>
      <w:bookmarkEnd w:id="55"/>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jc w:val="left"/>
        <w:textAlignment w:val="auto"/>
        <w:rPr>
          <w:rFonts w:ascii="Times New Roman" w:eastAsia="仿宋_GB2312" w:cs="仿宋_GB2312" w:hAnsi="Times New Roman" w:hint="eastAsia"/>
          <w:color w:val="auto"/>
          <w:sz w:val="32"/>
          <w:szCs w:val="32"/>
          <w:highlight w:val="auto"/>
        </w:rPr>
      </w:pPr>
      <w:bookmarkStart w:id="56" w:name="_Toc15396621"/>
      <w:r>
        <w:rPr>
          <w:rFonts w:ascii="Times New Roman" w:eastAsia="仿宋_GB2312" w:cs="仿宋_GB2312" w:hAnsi="Times New Roman" w:hint="eastAsia"/>
          <w:color w:val="auto"/>
          <w:sz w:val="32"/>
          <w:szCs w:val="32"/>
          <w:highlight w:val="auto"/>
        </w:rPr>
        <w:t>三、支出决算表</w:t>
      </w:r>
      <w:bookmarkEnd w:id="56"/>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jc w:val="left"/>
        <w:textAlignment w:val="auto"/>
        <w:rPr>
          <w:rFonts w:ascii="Times New Roman" w:eastAsia="仿宋_GB2312" w:cs="仿宋_GB2312" w:hAnsi="Times New Roman" w:hint="eastAsia"/>
          <w:color w:val="auto"/>
          <w:sz w:val="32"/>
          <w:szCs w:val="32"/>
          <w:highlight w:val="auto"/>
        </w:rPr>
      </w:pPr>
      <w:bookmarkStart w:id="57" w:name="_Toc15396622"/>
      <w:r>
        <w:rPr>
          <w:rFonts w:ascii="Times New Roman" w:eastAsia="仿宋_GB2312" w:cs="仿宋_GB2312" w:hAnsi="Times New Roman" w:hint="eastAsia"/>
          <w:color w:val="auto"/>
          <w:sz w:val="32"/>
          <w:szCs w:val="32"/>
          <w:highlight w:val="auto"/>
        </w:rPr>
        <w:t>四、财政拨款收入支出决算总表</w:t>
      </w:r>
      <w:bookmarkEnd w:id="57"/>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jc w:val="left"/>
        <w:textAlignment w:val="auto"/>
        <w:rPr>
          <w:rFonts w:ascii="Times New Roman" w:eastAsia="仿宋_GB2312" w:cs="仿宋_GB2312" w:hAnsi="Times New Roman" w:hint="eastAsia"/>
          <w:color w:val="auto"/>
          <w:sz w:val="32"/>
          <w:szCs w:val="32"/>
          <w:highlight w:val="auto"/>
        </w:rPr>
      </w:pPr>
      <w:bookmarkStart w:id="58" w:name="_Toc15396623"/>
      <w:r>
        <w:rPr>
          <w:rFonts w:ascii="Times New Roman" w:eastAsia="仿宋_GB2312" w:cs="仿宋_GB2312" w:hAnsi="Times New Roman" w:hint="eastAsia"/>
          <w:color w:val="auto"/>
          <w:sz w:val="32"/>
          <w:szCs w:val="32"/>
          <w:highlight w:val="auto"/>
        </w:rPr>
        <w:t>五、财政拨款支出决算明细表</w:t>
      </w:r>
      <w:bookmarkStart w:id="59" w:name="_Toc15396624"/>
      <w:bookmarkEnd w:id="58"/>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jc w:val="left"/>
        <w:textAlignment w:val="auto"/>
        <w:rPr>
          <w:rFonts w:ascii="Times New Roman" w:eastAsia="仿宋_GB2312" w:cs="仿宋_GB2312" w:hAnsi="Times New Roman" w:hint="eastAsia"/>
          <w:color w:val="auto"/>
          <w:sz w:val="32"/>
          <w:szCs w:val="32"/>
          <w:highlight w:val="auto"/>
        </w:rPr>
      </w:pPr>
      <w:r>
        <w:rPr>
          <w:rFonts w:ascii="Times New Roman" w:eastAsia="仿宋_GB2312" w:cs="仿宋_GB2312" w:hAnsi="Times New Roman" w:hint="eastAsia"/>
          <w:color w:val="auto"/>
          <w:sz w:val="32"/>
          <w:szCs w:val="32"/>
          <w:highlight w:val="auto"/>
        </w:rPr>
        <w:t>六、一般公共预算财政拨款支出决算表</w:t>
      </w:r>
      <w:bookmarkEnd w:id="59"/>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jc w:val="left"/>
        <w:textAlignment w:val="auto"/>
        <w:rPr>
          <w:rFonts w:ascii="Times New Roman" w:eastAsia="仿宋_GB2312" w:cs="仿宋_GB2312" w:hAnsi="Times New Roman" w:hint="eastAsia"/>
          <w:color w:val="auto"/>
          <w:sz w:val="32"/>
          <w:szCs w:val="32"/>
          <w:highlight w:val="auto"/>
        </w:rPr>
      </w:pPr>
      <w:bookmarkStart w:id="60" w:name="_Toc15396625"/>
      <w:r>
        <w:rPr>
          <w:rFonts w:ascii="Times New Roman" w:eastAsia="仿宋_GB2312" w:cs="仿宋_GB2312" w:hAnsi="Times New Roman" w:hint="eastAsia"/>
          <w:color w:val="auto"/>
          <w:sz w:val="32"/>
          <w:szCs w:val="32"/>
          <w:highlight w:val="auto"/>
        </w:rPr>
        <w:t>七、一般公共预算财政拨款支出决算明细表</w:t>
      </w:r>
      <w:bookmarkEnd w:id="60"/>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jc w:val="left"/>
        <w:textAlignment w:val="auto"/>
        <w:rPr>
          <w:rFonts w:ascii="Times New Roman" w:eastAsia="仿宋_GB2312" w:cs="仿宋_GB2312" w:hAnsi="Times New Roman" w:hint="eastAsia"/>
          <w:color w:val="auto"/>
          <w:sz w:val="32"/>
          <w:szCs w:val="32"/>
          <w:highlight w:val="auto"/>
        </w:rPr>
      </w:pPr>
      <w:bookmarkStart w:id="61" w:name="_Toc15396626"/>
      <w:r>
        <w:rPr>
          <w:rFonts w:ascii="Times New Roman" w:eastAsia="仿宋_GB2312" w:cs="仿宋_GB2312" w:hAnsi="Times New Roman" w:hint="eastAsia"/>
          <w:color w:val="auto"/>
          <w:sz w:val="32"/>
          <w:szCs w:val="32"/>
          <w:highlight w:val="auto"/>
        </w:rPr>
        <w:t>八、一般公共预算财政拨款基本支出决算表</w:t>
      </w:r>
      <w:bookmarkEnd w:id="61"/>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jc w:val="left"/>
        <w:textAlignment w:val="auto"/>
        <w:rPr>
          <w:rFonts w:ascii="Times New Roman" w:eastAsia="仿宋_GB2312" w:cs="仿宋_GB2312" w:hAnsi="Times New Roman" w:hint="eastAsia"/>
          <w:color w:val="auto"/>
          <w:sz w:val="32"/>
          <w:szCs w:val="32"/>
          <w:highlight w:val="auto"/>
        </w:rPr>
      </w:pPr>
      <w:bookmarkStart w:id="62" w:name="_Toc15396627"/>
      <w:r>
        <w:rPr>
          <w:rFonts w:ascii="Times New Roman" w:eastAsia="仿宋_GB2312" w:cs="仿宋_GB2312" w:hAnsi="Times New Roman" w:hint="eastAsia"/>
          <w:color w:val="auto"/>
          <w:sz w:val="32"/>
          <w:szCs w:val="32"/>
          <w:highlight w:val="auto"/>
        </w:rPr>
        <w:t>九、一般公共预算财政拨款项目支出决算表</w:t>
      </w:r>
      <w:bookmarkEnd w:id="62"/>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jc w:val="left"/>
        <w:textAlignment w:val="auto"/>
        <w:rPr>
          <w:rFonts w:ascii="Times New Roman" w:eastAsia="仿宋_GB2312" w:cs="仿宋_GB2312" w:hAnsi="Times New Roman" w:hint="eastAsia"/>
          <w:color w:val="auto"/>
          <w:sz w:val="32"/>
          <w:szCs w:val="32"/>
          <w:highlight w:val="auto"/>
        </w:rPr>
      </w:pPr>
      <w:bookmarkStart w:id="63" w:name="_Toc15396628"/>
      <w:r>
        <w:rPr>
          <w:rFonts w:ascii="Times New Roman" w:eastAsia="仿宋_GB2312" w:cs="仿宋_GB2312" w:hAnsi="Times New Roman" w:hint="eastAsia"/>
          <w:color w:val="auto"/>
          <w:sz w:val="32"/>
          <w:szCs w:val="32"/>
          <w:highlight w:val="auto"/>
        </w:rPr>
        <w:t>十、</w:t>
      </w:r>
      <w:bookmarkEnd w:id="63"/>
      <w:r>
        <w:rPr>
          <w:rFonts w:ascii="Times New Roman" w:eastAsia="仿宋_GB2312" w:cs="仿宋_GB2312" w:hAnsi="Times New Roman" w:hint="eastAsia"/>
          <w:color w:val="auto"/>
          <w:sz w:val="32"/>
          <w:szCs w:val="32"/>
          <w:highlight w:val="auto"/>
        </w:rPr>
        <w:t>政府性基金预算财政拨款收入支出决算表</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jc w:val="left"/>
        <w:textAlignment w:val="auto"/>
        <w:rPr>
          <w:rFonts w:ascii="Times New Roman" w:eastAsia="仿宋_GB2312" w:cs="仿宋_GB2312" w:hAnsi="Times New Roman" w:hint="eastAsia"/>
          <w:color w:val="auto"/>
          <w:sz w:val="32"/>
          <w:szCs w:val="32"/>
          <w:highlight w:val="auto"/>
        </w:rPr>
      </w:pPr>
      <w:bookmarkStart w:id="64" w:name="_Toc15396629"/>
      <w:r>
        <w:rPr>
          <w:rFonts w:ascii="Times New Roman" w:eastAsia="仿宋_GB2312" w:cs="仿宋_GB2312" w:hAnsi="Times New Roman" w:hint="eastAsia"/>
          <w:color w:val="auto"/>
          <w:sz w:val="32"/>
          <w:szCs w:val="32"/>
          <w:highlight w:val="auto"/>
        </w:rPr>
        <w:t>十一、</w:t>
      </w:r>
      <w:bookmarkEnd w:id="64"/>
      <w:r>
        <w:rPr>
          <w:rFonts w:ascii="Times New Roman" w:eastAsia="仿宋_GB2312" w:cs="仿宋_GB2312" w:hAnsi="Times New Roman" w:hint="eastAsia"/>
          <w:color w:val="auto"/>
          <w:sz w:val="32"/>
          <w:szCs w:val="32"/>
          <w:highlight w:val="auto"/>
        </w:rPr>
        <w:t>国有资本经营预算</w:t>
      </w:r>
      <w:r>
        <w:rPr>
          <w:rFonts w:ascii="Times New Roman" w:eastAsia="仿宋_GB2312" w:cs="仿宋_GB2312" w:hAnsi="Times New Roman" w:hint="eastAsia"/>
          <w:color w:val="auto"/>
          <w:sz w:val="32"/>
          <w:szCs w:val="32"/>
          <w:lang w:eastAsia="zh-CN"/>
          <w:highlight w:val="auto"/>
        </w:rPr>
        <w:t>财政拨款收入</w:t>
      </w:r>
      <w:r>
        <w:rPr>
          <w:rFonts w:ascii="Times New Roman" w:eastAsia="仿宋_GB2312" w:cs="仿宋_GB2312" w:hAnsi="Times New Roman" w:hint="eastAsia"/>
          <w:color w:val="auto"/>
          <w:sz w:val="32"/>
          <w:szCs w:val="32"/>
          <w:highlight w:val="auto"/>
        </w:rPr>
        <w:t>支出决算表</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jc w:val="left"/>
        <w:textAlignment w:val="auto"/>
        <w:rPr>
          <w:rFonts w:ascii="Times New Roman" w:eastAsia="仿宋_GB2312" w:cs="仿宋_GB2312" w:hAnsi="Times New Roman" w:hint="eastAsia"/>
          <w:color w:val="auto"/>
          <w:sz w:val="32"/>
          <w:szCs w:val="32"/>
          <w:highlight w:val="auto"/>
        </w:rPr>
      </w:pPr>
      <w:bookmarkStart w:id="65" w:name="_Toc15396630"/>
      <w:r>
        <w:rPr>
          <w:rFonts w:ascii="Times New Roman" w:eastAsia="仿宋_GB2312" w:cs="仿宋_GB2312" w:hAnsi="Times New Roman" w:hint="eastAsia"/>
          <w:color w:val="auto"/>
          <w:sz w:val="32"/>
          <w:szCs w:val="32"/>
          <w:highlight w:val="auto"/>
        </w:rPr>
        <w:t>十二、</w:t>
      </w:r>
      <w:bookmarkEnd w:id="65"/>
      <w:r>
        <w:rPr>
          <w:rFonts w:ascii="Times New Roman" w:eastAsia="仿宋_GB2312" w:cs="仿宋_GB2312" w:hAnsi="Times New Roman" w:hint="eastAsia"/>
          <w:color w:val="auto"/>
          <w:sz w:val="32"/>
          <w:szCs w:val="32"/>
          <w:lang w:eastAsia="zh-CN"/>
          <w:highlight w:val="auto"/>
        </w:rPr>
        <w:t>国有资本经营预算财政拨款支出决算表</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jc w:val="left"/>
        <w:textAlignment w:val="auto"/>
        <w:rPr>
          <w:rFonts w:ascii="Times New Roman" w:eastAsia="仿宋_GB2312" w:cs="仿宋_GB2312" w:hAnsi="Times New Roman" w:hint="eastAsia"/>
          <w:color w:val="auto"/>
          <w:sz w:val="32"/>
          <w:szCs w:val="32"/>
          <w:lang w:eastAsia="zh-CN"/>
          <w:highlight w:val="auto"/>
        </w:rPr>
      </w:pPr>
      <w:bookmarkStart w:id="66" w:name="_Toc15396631"/>
      <w:r>
        <w:rPr>
          <w:rFonts w:ascii="Times New Roman" w:eastAsia="仿宋_GB2312" w:cs="仿宋_GB2312" w:hAnsi="Times New Roman" w:hint="eastAsia"/>
          <w:color w:val="auto"/>
          <w:sz w:val="32"/>
          <w:szCs w:val="32"/>
          <w:highlight w:val="auto"/>
        </w:rPr>
        <w:t>十三、</w:t>
      </w:r>
      <w:bookmarkEnd w:id="66"/>
      <w:r>
        <w:rPr>
          <w:rFonts w:ascii="Times New Roman" w:eastAsia="仿宋_GB2312" w:cs="仿宋_GB2312" w:hAnsi="Times New Roman" w:hint="eastAsia"/>
          <w:color w:val="auto"/>
          <w:sz w:val="32"/>
          <w:szCs w:val="32"/>
          <w:lang w:eastAsia="zh-CN"/>
          <w:highlight w:val="auto"/>
        </w:rPr>
        <w:t>财政拨款“三公”经费支出决算表</w:t>
      </w:r>
    </w:p>
    <w:p>
      <w:pPr>
        <w:rPr>
          <w:rFonts w:ascii="Times New Roman" w:hAnsi="Times New Roman" w:hint="eastAsia"/>
          <w:lang w:eastAsia="zh-CN"/>
        </w:rPr>
      </w:pPr>
    </w:p>
    <w:sectPr>
      <w:footerReference w:type="default" r:id="rId9"/>
      <w:footerReference w:type="first" r:id="rId10"/>
      <w:pgSz w:w="11906" w:h="16838"/>
      <w:pgMar w:top="1440" w:right="1800" w:bottom="1440" w:left="1800" w:header="851" w:footer="992" w:gutter="0"/>
      <w:pgNumType w:fmt="numberInDash"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altName w:val="DejaVu Sans"/>
    <w:panose1 w:val="02020603050405020304"/>
    <w:charset w:val="86"/>
    <w:family w:val="auto"/>
    <w:pitch w:val="variable"/>
    <w:sig w:usb0="00000000" w:usb1="00000000" w:usb2="00000009" w:usb3="00000000" w:csb0="400001FF" w:csb1="FFFF0000"/>
  </w:font>
  <w:font w:name="方正小标宋简体">
    <w:panose1 w:val="02000000000000000000"/>
    <w:charset w:val="86"/>
    <w:family w:val="script"/>
    <w:pitch w:val="variable"/>
    <w:sig w:usb0="A00002BF" w:usb1="184F6CFA" w:usb2="00000012" w:usb3="00000000" w:csb0="00040001" w:csb1="00000000"/>
  </w:font>
  <w:font w:name="仿宋_GB2312">
    <w:altName w:val="方正仿宋_GBK"/>
    <w:panose1 w:val="02010609030101010101"/>
    <w:charset w:val="86"/>
    <w:family w:val="modern"/>
    <w:pitch w:val="variable"/>
    <w:sig w:usb0="00000000" w:usb1="0000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Arial">
    <w:altName w:val="DejaVu Sans"/>
    <w:panose1 w:val="020B0604020202020204"/>
    <w:charset w:val="01"/>
    <w:family w:val="swiss"/>
    <w:pitch w:val="variable"/>
    <w:sig w:usb0="E0002AFF" w:usb1="C0007843" w:usb2="00000009" w:usb3="00000000" w:csb0="400001FF" w:csb1="FFFF0000"/>
  </w:font>
  <w:font w:name="仿宋">
    <w:altName w:val="方正仿宋_GBK"/>
    <w:panose1 w:val="02010609060101010101"/>
    <w:charset w:val="86"/>
    <w:family w:val="modern"/>
    <w:pitch w:val="variable"/>
    <w:sig w:usb0="00000000" w:usb1="00000000" w:usb2="00000016" w:usb3="00000000" w:csb0="00040001" w:csb1="00000000"/>
  </w:font>
  <w:font w:name="宋体">
    <w:altName w:val="方正书宋_GBK"/>
    <w:panose1 w:val="00000000000000000000"/>
    <w:charset w:val="00"/>
    <w:family w:val="auto"/>
    <w:pitch w:val="variable"/>
    <w:sig w:usb0="00000000" w:usb1="00000000" w:usb2="00000000" w:usb3="00000000" w:csb0="00000000" w:csb1="00000000"/>
  </w:font>
  <w:font w:name="楷体_GB2312">
    <w:altName w:val="方正楷体_GBK"/>
    <w:panose1 w:val="02010609030101010101"/>
    <w:charset w:val="86"/>
    <w:family w:val="auto"/>
    <w:pitch w:val="variable"/>
    <w:sig w:usb0="00000000" w:usb1="00000000" w:usb2="00000000" w:usb3="00000000" w:csb0="00040000" w:csb1="00000000"/>
  </w:font>
  <w:font w:name="国标宋体">
    <w:altName w:val="宋体"/>
    <w:panose1 w:val="02000500000000000000"/>
    <w:charset w:val="86"/>
    <w:family w:val="auto"/>
    <w:pitch w:val="variable"/>
    <w:sig w:usb0="00000001" w:usb1="28000000" w:usb2="00000000" w:usb3="00000000" w:csb0="00060007" w:csb1="00000000"/>
  </w:font>
  <w:font w:name="Cambria">
    <w:altName w:val="Noto Sans Syriac Eastern"/>
    <w:panose1 w:val="02040503050406030204"/>
    <w:charset w:val="00"/>
    <w:family w:val="roman"/>
    <w:pitch w:val="variable"/>
    <w:sig w:usb0="00000000" w:usb1="00000000" w:usb2="00000000" w:usb3="00000000" w:csb0="2000019F" w:csb1="00000000"/>
  </w:font>
  <w:font w:name="Calibri">
    <w:altName w:val="DejaVu Sans"/>
    <w:panose1 w:val="020F0502020204030204"/>
    <w:charset w:val="00"/>
    <w:family w:val="swiss"/>
    <w:pitch w:val="variable"/>
    <w:sig w:usb0="00000000" w:usb1="00000000" w:usb2="00000001" w:usb3="00000000" w:csb0="0000019F" w:csb1="00000000"/>
  </w:font>
  <w:font w:name="??">
    <w:altName w:val="DejaVu Sans"/>
    <w:panose1 w:val="00000000000000000000"/>
    <w:charset w:val="00"/>
    <w:family w:val="roman"/>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both"/>
    </w:pPr>
  </w:p>
  <w:p>
    <w:pPr>
      <w:pStyle w:val="21"/>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58"/>
      </w:rPr>
      <w:fldChar w:fldCharType="begin"/>
    </w:r>
    <w:r>
      <w:rPr>
        <w:rStyle w:val="58"/>
      </w:rPr>
      <w:instrText>Page</w:instrText>
    </w:r>
    <w:r>
      <w:rPr>
        <w:rStyle w:val="58"/>
      </w:rPr>
      <w:fldChar w:fldCharType="separate"/>
    </w:r>
    <w:r>
      <w:rPr>
        <w:rStyle w:val="58"/>
      </w:rPr>
      <w:t>- 1 -</w:t>
    </w:r>
    <w:r>
      <w:rPr>
        <w:rStyle w:val="58"/>
      </w:rPr>
      <w:fldChar w:fldCharType="end"/>
    </w:r>
  </w:p>
  <w:p>
    <w:pPr>
      <w:pStyle w:val="21"/>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both"/>
    </w:pPr>
  </w:p>
  <w:p>
    <w:pPr>
      <w:pStyle w:val="21"/>
      <w:tabs>
        <w:tab w:val="center" w:pos="4153"/>
        <w:tab w:val="right" w:pos="8306"/>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both"/>
    </w:pPr>
  </w:p>
  <w:p>
    <w:pPr>
      <w:pStyle w:val="21"/>
      <w:tabs>
        <w:tab w:val="center" w:pos="4153"/>
        <w:tab w:val="right" w:pos="8306"/>
      </w:tabs>
    </w:pP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p>
</w:ftr>
</file>

<file path=word/footer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58"/>
      </w:rPr>
      <w:fldChar w:fldCharType="begin"/>
    </w:r>
    <w:r>
      <w:rPr>
        <w:rStyle w:val="58"/>
      </w:rPr>
      <w:instrText>Page</w:instrText>
    </w:r>
    <w:r>
      <w:rPr>
        <w:rStyle w:val="58"/>
      </w:rPr>
      <w:fldChar w:fldCharType="separate"/>
    </w:r>
    <w:r>
      <w:rPr>
        <w:rStyle w:val="58"/>
      </w:rPr>
      <w:t>- 2 -</w:t>
    </w:r>
    <w:r>
      <w:rPr>
        <w:rStyle w:val="58"/>
      </w:rPr>
      <w:fldChar w:fldCharType="end"/>
    </w:r>
  </w:p>
  <w:p>
    <w:pPr>
      <w:pStyle w:val="21"/>
      <w:tabs>
        <w:tab w:val="center" w:pos="4153"/>
        <w:tab w:val="right" w:pos="8306"/>
      </w:tabs>
    </w:pPr>
  </w:p>
</w:ftr>
</file>

<file path=word/footer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r>
      <w:rPr>
        <w:sz w:val="18"/>
      </w:rPr>
      <mc:AlternateContent>
        <mc:Choice Requires="wps">
          <w:drawing>
            <wp:anchor distT="0" distB="0" distL="114298" distR="114298" simplePos="0" relativeHeight="33" behindDoc="0" locked="0" layoutInCell="1" hidden="0" allowOverlap="1">
              <wp:simplePos x="0" y="0"/>
              <wp:positionH relativeFrom="margin">
                <wp:align>center</wp:align>
              </wp:positionH>
              <wp:positionV relativeFrom="paragraph">
                <wp:posOffset>0</wp:posOffset>
              </wp:positionV>
              <wp:extent cx="227914" cy="133159"/>
              <wp:effectExtent l="0" t="0" r="0" b="0"/>
              <wp:wrapNone/>
              <wp:docPr id="1" name="文本框 4"/>
              <wp:cNvGraphicFramePr>
                <a:graphicFrameLocks noChangeAspect="0"/>
              </wp:cNvGraphicFramePr>
              <a:graphic>
                <a:graphicData uri="http://schemas.microsoft.com/office/word/2010/wordprocessingShape">
                  <wps:wsp>
                    <wps:cNvSpPr/>
                    <wps:spPr>
                      <a:xfrm rot="0">
                        <a:off x="0" y="0"/>
                        <a:ext cx="227914" cy="133159"/>
                      </a:xfrm>
                      <a:prstGeom prst="rect"/>
                      <a:noFill/>
                      <a:ln w="6350" cmpd="sng" cap="flat">
                        <a:noFill/>
                        <a:prstDash val="solid"/>
                        <a:round/>
                      </a:ln>
                    </wps:spPr>
                    <wps:txbx id="2">
                      <w:txbxContent>
                        <w:p>
                          <w:pPr>
                            <w:pStyle w:val="21"/>
                            <w:tabs>
                              <w:tab w:val="center" w:pos="4153"/>
                              <w:tab w:val="right" w:pos="8306"/>
                            </w:tabs>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type="#_x0000_t202" id="文本框 4 3" o:spid="_x0000_s3" filled="f" stroked="f" strokeweight="0.5pt" style="position:absolute;margin-left:0.0pt;margin-top:0.0pt;width:17.946009pt;height:10.485009pt;z-index:33;mso-position-horizontal:center;mso-position-horizontal-relative:margin;mso-position-vertical:absolute;mso-wrap-distance-left:8.999863pt;mso-wrap-distance-right:8.999863pt;mso-wrap-style:none;">
              <v:stroke color="#000000"/>
              <v:textbox id="856" inset="0mm,0mm,0mm,0mm" o:insetmode="custom" style="layout-flow:horizontal;v-text-anchor:top;mso-fit-shape-to-text:t;">
                <w:txbxContent>
                  <w:p>
                    <w:pPr>
                      <w:pStyle w:val="21"/>
                      <w:tabs>
                        <w:tab w:val="center" w:pos="4153"/>
                        <w:tab w:val="right" w:pos="8306"/>
                      </w:tabs>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eastAsia="宋体" w:cs="Times New Roman"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note text"/>
    <w:basedOn w:val="0"/>
    <w:next w:val="17"/>
    <w:pPr>
      <w:snapToGrid w:val="0"/>
      <w:jc w:val="left"/>
    </w:pPr>
    <w:rPr>
      <w:sz w:val="18"/>
      <w:szCs w:val="18"/>
    </w:rPr>
  </w:style>
  <w:style w:type="paragraph" w:styleId="16">
    <w:name w:val="Body Text Indent"/>
    <w:basedOn w:val="0"/>
    <w:next w:val="17"/>
    <w:pPr>
      <w:spacing w:after="120"/>
      <w:ind w:leftChars="200" w:left="200"/>
    </w:pPr>
    <w:rPr>
      <w:rFonts w:ascii="仿宋_GB2312" w:hAnsi="仿宋_GB2312"/>
      <w:szCs w:val="32"/>
    </w:rPr>
  </w:style>
  <w:style w:type="paragraph" w:styleId="17">
    <w:name w:val="Body Text First Indent 2"/>
    <w:basedOn w:val="16"/>
    <w:pPr>
      <w:ind w:firstLineChars="200" w:firstLine="200"/>
    </w:pPr>
  </w:style>
  <w:style w:type="paragraph" w:styleId="18">
    <w:name w:val="Body Text"/>
    <w:basedOn w:val="0"/>
    <w:pPr>
      <w:spacing w:beforeLines="30" w:before="30"/>
    </w:pPr>
    <w:rPr>
      <w:rFonts w:ascii="仿宋_GB2312" w:eastAsia="仿宋_GB2312"/>
      <w:kern w:val="0"/>
      <w:sz w:val="30"/>
    </w:rPr>
  </w:style>
  <w:style w:type="paragraph" w:styleId="19">
    <w:name w:val="toc 3"/>
    <w:basedOn w:val="0"/>
    <w:next w:val="0"/>
    <w:pPr>
      <w:tabs>
        <w:tab w:val="right" w:leader="dot" w:pos="8296"/>
      </w:tabs>
      <w:ind w:leftChars="400" w:left="400"/>
    </w:pPr>
  </w:style>
  <w:style w:type="paragraph" w:styleId="20">
    <w:name w:val="Balloon Text"/>
    <w:basedOn w:val="0"/>
    <w:rPr>
      <w:sz w:val="18"/>
      <w:szCs w:val="18"/>
    </w:rPr>
  </w:style>
  <w:style w:type="paragraph" w:styleId="21">
    <w:name w:val="footer"/>
    <w:basedOn w:val="0"/>
    <w:pPr>
      <w:tabs>
        <w:tab w:val="center" w:pos="4153"/>
        <w:tab w:val="right" w:pos="8306"/>
      </w:tabs>
      <w:snapToGrid w:val="0"/>
      <w:jc w:val="left"/>
    </w:pPr>
    <w:rPr>
      <w:rFonts w:ascii="Calibri" w:hAnsi="Calibri"/>
      <w:kern w:val="0"/>
      <w:sz w:val="18"/>
      <w:szCs w:val="18"/>
    </w:rPr>
  </w:style>
  <w:style w:type="paragraph" w:styleId="22">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3">
    <w:name w:val="toc 1"/>
    <w:basedOn w:val="0"/>
    <w:next w:val="0"/>
    <w:pPr>
      <w:tabs>
        <w:tab w:val="right" w:leader="dot" w:pos="8296"/>
      </w:tabs>
      <w:spacing w:before="93"/>
      <w:jc w:val="center"/>
    </w:pPr>
    <w:rPr>
      <w:rFonts w:ascii="仿宋" w:eastAsia="仿宋"/>
      <w:sz w:val="28"/>
      <w:szCs w:val="28"/>
    </w:rPr>
  </w:style>
  <w:style w:type="paragraph" w:styleId="24">
    <w:name w:val="toc 2"/>
    <w:basedOn w:val="0"/>
    <w:next w:val="0"/>
    <w:pPr>
      <w:tabs>
        <w:tab w:val="right" w:leader="dot" w:pos="8296"/>
      </w:tabs>
      <w:ind w:leftChars="200" w:left="200"/>
    </w:pPr>
  </w:style>
  <w:style w:type="paragraph" w:styleId="25">
    <w:name w:val="Normal (Web)"/>
    <w:basedOn w:val="0"/>
    <w:pPr>
      <w:spacing w:before="100" w:beforeAutospacing="1" w:after="100" w:afterAutospacing="1"/>
      <w:ind w:left="0" w:right="0"/>
      <w:jc w:val="left"/>
    </w:pPr>
    <w:rPr>
      <w:kern w:val="0"/>
      <w:sz w:val="24"/>
      <w:lang w:val="en-US" w:eastAsia="zh-CN"/>
    </w:rPr>
  </w:style>
  <w:style w:type="character" w:styleId="26">
    <w:name w:val="Strong"/>
    <w:basedOn w:val="10"/>
    <w:rPr>
      <w:b/>
    </w:rPr>
  </w:style>
  <w:style w:type="character" w:styleId="27">
    <w:name w:val="Hyperlink"/>
    <w:basedOn w:val="10"/>
    <w:rPr>
      <w:color w:val="0000FF"/>
      <w:u w:val="single"/>
    </w:rPr>
  </w:style>
  <w:style w:type="paragraph" w:customStyle="1" w:styleId="28">
    <w:name w:val="标题 5（有编号）（绿盟科技）"/>
    <w:next w:val="0"/>
    <w:pPr>
      <w:keepNext/>
      <w:keepLines/>
      <w:widowControl w:val="0"/>
      <w:spacing w:before="280" w:after="156" w:line="377" w:lineRule="auto"/>
      <w:jc w:val="left"/>
      <w:outlineLvl w:val="4"/>
    </w:pPr>
    <w:rPr>
      <w:rFonts w:ascii="Arial" w:eastAsia="黑体" w:cs="Times New Roman" w:hAnsi="Arial"/>
      <w:b/>
      <w:kern w:val="2"/>
      <w:sz w:val="24"/>
      <w:szCs w:val="28"/>
      <w:lang w:val="en-US" w:eastAsia="zh-CN" w:bidi="ar-SA"/>
    </w:rPr>
  </w:style>
  <w:style w:type="character" w:customStyle="1" w:styleId="29">
    <w:name w:val="Header Char"/>
    <w:basedOn w:val="10"/>
    <w:rPr>
      <w:rFonts w:ascii="Times New Roman" w:hAnsi="Times New Roman"/>
      <w:sz w:val="18"/>
      <w:szCs w:val="18"/>
    </w:rPr>
  </w:style>
  <w:style w:type="character" w:customStyle="1" w:styleId="30">
    <w:name w:val="Footer Char"/>
    <w:basedOn w:val="10"/>
    <w:rPr>
      <w:rFonts w:ascii="Times New Roman" w:hAnsi="Times New Roman"/>
      <w:sz w:val="18"/>
      <w:szCs w:val="18"/>
    </w:rPr>
  </w:style>
  <w:style w:type="character" w:customStyle="1" w:styleId="31">
    <w:name w:val="Body Text Char"/>
    <w:basedOn w:val="10"/>
    <w:rPr>
      <w:rFonts w:ascii="Times New Roman" w:hAnsi="Times New Roman"/>
      <w:szCs w:val="24"/>
    </w:rPr>
  </w:style>
  <w:style w:type="paragraph" w:customStyle="1" w:styleId="32">
    <w:name w:val="Default"/>
    <w:pPr>
      <w:widowControl w:val="0"/>
      <w:autoSpaceDE w:val="0"/>
      <w:autoSpaceDN w:val="0"/>
      <w:adjustRightInd w:val="0"/>
    </w:pPr>
    <w:rPr>
      <w:rFonts w:ascii="仿宋" w:eastAsia="仿宋" w:cs="仿宋"/>
      <w:color w:val="000000"/>
      <w:sz w:val="24"/>
      <w:szCs w:val="24"/>
      <w:lang w:val="en-US" w:eastAsia="zh-CN" w:bidi="ar-SA"/>
    </w:rPr>
  </w:style>
  <w:style w:type="paragraph" w:styleId="33">
    <w:name w:val="List Paragraph"/>
    <w:basedOn w:val="0"/>
    <w:pPr>
      <w:ind w:firstLineChars="200" w:firstLine="200"/>
    </w:pPr>
  </w:style>
  <w:style w:type="paragraph" w:customStyle="1" w:styleId="34">
    <w:name w:val="TOC 标题1"/>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 w:type="paragraph" w:customStyle="1" w:styleId="35">
    <w:name w:val="TOC Heading"/>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 w:type="paragraph" w:customStyle="1" w:styleId="36">
    <w:name w:val="四号正文"/>
    <w:basedOn w:val="0"/>
    <w:pPr>
      <w:spacing w:line="360" w:lineRule="auto"/>
    </w:pPr>
    <w:rPr>
      <w:rFonts w:ascii="??" w:eastAsia="宋体" w:hAnsi="??"/>
      <w:color w:val="000000"/>
      <w:kern w:val="0"/>
      <w:sz w:val="28"/>
      <w:szCs w:val="21"/>
      <w:lang w:val="zh-CN" w:eastAsia="zh-CN"/>
    </w:rPr>
  </w:style>
  <w:style w:type="character" w:styleId="58">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chart" Target="charts/chart1.xml"/><Relationship Id="rId12" Type="http://schemas.openxmlformats.org/officeDocument/2006/relationships/chart" Target="charts/chart2.xml"/><Relationship Id="rId13" Type="http://schemas.openxmlformats.org/officeDocument/2006/relationships/chart" Target="charts/chart3.xml"/><Relationship Id="rId14" Type="http://schemas.openxmlformats.org/officeDocument/2006/relationships/chart" Target="charts/chart4.xml"/><Relationship Id="rId15" Type="http://schemas.openxmlformats.org/officeDocument/2006/relationships/chart" Target="charts/chart5.xml"/><Relationship Id="rId16" Type="http://schemas.openxmlformats.org/officeDocument/2006/relationships/chart" Target="charts/chart6.xml"/><Relationship Id="rId17" Type="http://schemas.openxmlformats.org/officeDocument/2006/relationships/chart" Target="charts/chart7.xml"/><Relationship Id="rId18" Type="http://schemas.openxmlformats.org/officeDocument/2006/relationships/styles" Target="styles.xml"/><Relationship Id="rId1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22222"/>
          <c:y val="0.29308838"/>
          <c:w val="0.8692222"/>
          <c:h val="0.61739284"/>
        </c:manualLayout>
      </c:layout>
      <c:barChart>
        <c:barDir val="col"/>
        <c:grouping val="clustered"/>
        <c:varyColors val="0"/>
        <c:ser>
          <c:idx val="0"/>
          <c:order val="0"/>
          <c:tx>
            <c:v>收支总计</c:v>
          </c:tx>
          <c:spPr>
            <a:solidFill>
              <a:srgbClr val="4F81BD"/>
            </a:solidFill>
            <a:ln>
              <a:noFill/>
            </a:ln>
          </c:spPr>
          <c:invertIfNegative val="0"/>
          <c:dLbls>
            <c:spPr>
              <a:noFill/>
              <a:ln>
                <a:noFill/>
              </a:ln>
            </c:spPr>
            <c:txPr>
              <a:bodyPr vert="horz"/>
              <a:lstStyle/>
              <a:p>
                <a:pPr>
                  <a:defRPr sz="900" b="0" i="0" u="none" strike="noStrike" baseline="0">
                    <a:solidFill>
                      <a:srgbClr val="70707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numRef>
              <c:numCache>
                <c:ptCount val="2"/>
                <c:pt idx="0">
                  <c:v>2023</c:v>
                </c:pt>
                <c:pt idx="1">
                  <c:v>2024</c:v>
                </c:pt>
              </c:numCache>
            </c:numRef>
          </c:cat>
          <c:val>
            <c:numRef>
              <c:f/>
              <c:numCache>
                <c:formatCode>General</c:formatCode>
                <c:ptCount val="2"/>
                <c:pt idx="0">
                  <c:v>2320.46</c:v>
                </c:pt>
                <c:pt idx="1">
                  <c:v>2483.18</c:v>
                </c:pt>
              </c:numCache>
            </c:numRef>
          </c:val>
        </c:ser>
        <c:overlap val="-27"/>
        <c:gapWidth val="219"/>
        <c:axId val="0"/>
        <c:axId val="1"/>
      </c:barChart>
      <c:catAx>
        <c:axId val="0"/>
        <c:scaling>
          <c:orientation val="minMax"/>
        </c:scaling>
        <c:delete val="0"/>
        <c:axPos val="b"/>
        <c:numFmt formatCode="General" sourceLinked="0"/>
        <c:majorTickMark val="none"/>
        <c:minorTickMark val="none"/>
        <c:tickLblPos val="nextTo"/>
        <c:spPr>
          <a:ln w="6350">
            <a:solidFill>
              <a:srgbClr val="F9F9F9"/>
            </a:solidFill>
            <a:prstDash val="solid"/>
          </a:ln>
        </c:spPr>
        <c:txPr>
          <a:bodyPr/>
          <a:lstStyle/>
          <a:p>
            <a:pPr>
              <a:defRPr sz="900" b="0" i="0" u="none" strike="noStrike" baseline="0">
                <a:solidFill>
                  <a:srgbClr val="939393"/>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F9F9F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939393"/>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v>图2：收入决算结构图</c:v>
          </c:tx>
          <c:spPr>
            <a:ln>
              <a:noFill/>
            </a:ln>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Lbls>
            <c:spPr>
              <a:noFill/>
              <a:ln>
                <a:noFill/>
              </a:ln>
            </c:spPr>
            <c:txPr>
              <a:bodyPr vert="horz"/>
              <a:lstStyle/>
              <a:p>
                <a:pPr>
                  <a:defRPr sz="900" b="0" i="0" u="none" strike="noStrike" baseline="0">
                    <a:solidFill>
                      <a:srgbClr val="707070"/>
                    </a:solidFill>
                    <a:latin typeface="Times New Roman"/>
                    <a:ea typeface="宋体"/>
                    <a:cs typeface="Lucida Sans"/>
                  </a:defRPr>
                </a:pPr>
                <a:endParaRPr lang="zh-CN"/>
              </a:p>
            </c:txPr>
            <c:numFmt formatCode="General" sourceLinked="0"/>
            <c:dLbl>
              <c:idx val="0"/>
              <c:layout>
                <c:manualLayout>
                  <c:x val="0.061654426"/>
                  <c:y val="-0.05440751"/>
                </c:manualLayout>
              </c:layout>
              <c:numFmt formatCode="General" sourceLinked="0"/>
              <c:spPr>
                <a:noFill/>
                <a:ln>
                  <a:noFill/>
                </a:ln>
              </c:spPr>
              <c:txPr>
                <a:bodyPr vert="horz"/>
                <a:lstStyle/>
                <a:p>
                  <a:pPr>
                    <a:defRPr sz="900" b="0" i="0" u="none" strike="noStrike" baseline="0">
                      <a:solidFill>
                        <a:srgbClr val="707070"/>
                      </a:solidFill>
                      <a:latin typeface="Times New Roman"/>
                      <a:ea typeface="宋体"/>
                      <a:cs typeface="Lucida Sans"/>
                    </a:defRPr>
                  </a:pPr>
                  <a:endParaRPr lang="zh-CN"/>
                </a:p>
              </c:txPr>
              <c:showLegendKey val="0"/>
              <c:showVal val="1"/>
              <c:showCatName val="0"/>
              <c:showSerName val="0"/>
              <c:showPercent val="0"/>
              <c:showBubbleSize val="0"/>
            </c:dLbl>
            <c:dLbl>
              <c:idx val="1"/>
              <c:layout>
                <c:manualLayout>
                  <c:x val="-0.026446605"/>
                  <c:y val="0.027787661"/>
                </c:manualLayout>
              </c:layout>
              <c:numFmt formatCode="General" sourceLinked="0"/>
              <c:spPr>
                <a:noFill/>
                <a:ln>
                  <a:noFill/>
                </a:ln>
              </c:spPr>
              <c:txPr>
                <a:bodyPr vert="horz"/>
                <a:lstStyle/>
                <a:p>
                  <a:pPr>
                    <a:defRPr sz="900" b="0" i="0" u="none" strike="noStrike" baseline="0">
                      <a:solidFill>
                        <a:srgbClr val="707070"/>
                      </a:solidFill>
                      <a:latin typeface="Times New Roman"/>
                      <a:ea typeface="宋体"/>
                      <a:cs typeface="Lucida Sans"/>
                    </a:defRPr>
                  </a:pPr>
                  <a:endParaRPr lang="zh-CN"/>
                </a:p>
              </c:txPr>
              <c:showLegendKey val="0"/>
              <c:showVal val="1"/>
              <c:showCatName val="0"/>
              <c:showSerName val="0"/>
              <c:showPercent val="0"/>
              <c:showBubbleSize val="0"/>
            </c:dLbl>
            <c:showLegendKey val="0"/>
            <c:showVal val="1"/>
            <c:showCatName val="0"/>
            <c:showSerName val="0"/>
            <c:showPercent val="0"/>
            <c:showBubbleSize val="0"/>
            <c:showLeaderLines val="1"/>
          </c:dLbls>
          <c:cat>
            <c:strLit>
              <c:ptCount val="3"/>
              <c:pt idx="0">
                <c:v>一般公共预算财政拨款收入</c:v>
              </c:pt>
              <c:pt idx="1">
                <c:v>事业收入</c:v>
              </c:pt>
              <c:pt idx="2">
                <c:v>其他收入</c:v>
              </c:pt>
            </c:strLit>
          </c:cat>
          <c:val>
            <c:numRef>
              <c:f/>
              <c:numCache>
                <c:formatCode>General</c:formatCode>
                <c:ptCount val="3"/>
                <c:pt idx="0">
                  <c:v>1521.76</c:v>
                </c:pt>
                <c:pt idx="1">
                  <c:v>873.78</c:v>
                </c:pt>
                <c:pt idx="2">
                  <c:v>87.64</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939393"/>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v>图3：支出决算结构图</c:v>
          </c:tx>
          <c:spPr>
            <a:ln>
              <a:noFill/>
            </a:ln>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Lbls>
            <c:spPr>
              <a:noFill/>
              <a:ln>
                <a:noFill/>
              </a:ln>
            </c:spPr>
            <c:txPr>
              <a:bodyPr vert="horz"/>
              <a:lstStyle/>
              <a:p>
                <a:pPr>
                  <a:defRPr sz="900" b="0" i="0" u="none" strike="noStrike" baseline="0">
                    <a:solidFill>
                      <a:srgbClr val="707070"/>
                    </a:solidFill>
                    <a:latin typeface="Times New Roman"/>
                    <a:ea typeface="宋体"/>
                    <a:cs typeface="Lucida Sans"/>
                  </a:defRPr>
                </a:pPr>
                <a:endParaRPr lang="zh-CN"/>
              </a:p>
            </c:txPr>
            <c:numFmt formatCode="General" sourceLinked="0"/>
            <c:dLbl>
              <c:idx val="0"/>
              <c:layout>
                <c:manualLayout>
                  <c:x val="0.15628217"/>
                  <c:y val="-0.08965649"/>
                </c:manualLayout>
              </c:layout>
              <c:numFmt formatCode="General" sourceLinked="0"/>
              <c:spPr>
                <a:noFill/>
                <a:ln>
                  <a:noFill/>
                </a:ln>
              </c:spPr>
              <c:txPr>
                <a:bodyPr vert="horz"/>
                <a:lstStyle/>
                <a:p>
                  <a:pPr>
                    <a:defRPr sz="900" b="0" i="0" u="none" strike="noStrike" baseline="0">
                      <a:solidFill>
                        <a:srgbClr val="707070"/>
                      </a:solidFill>
                      <a:latin typeface="Times New Roman"/>
                      <a:ea typeface="宋体"/>
                      <a:cs typeface="Lucida Sans"/>
                    </a:defRPr>
                  </a:pPr>
                  <a:endParaRPr lang="zh-CN"/>
                </a:p>
              </c:txPr>
              <c:showLegendKey val="0"/>
              <c:showVal val="1"/>
              <c:showCatName val="0"/>
              <c:showSerName val="0"/>
              <c:showPercent val="0"/>
              <c:showBubbleSize val="0"/>
            </c:dLbl>
            <c:dLbl>
              <c:idx val="1"/>
              <c:layout>
                <c:manualLayout>
                  <c:x val="1.393384E-4"/>
                  <c:y val="-0.0030297094"/>
                </c:manualLayout>
              </c:layout>
              <c:numFmt formatCode="General" sourceLinked="0"/>
              <c:spPr>
                <a:noFill/>
                <a:ln>
                  <a:noFill/>
                </a:ln>
              </c:spPr>
              <c:txPr>
                <a:bodyPr vert="horz"/>
                <a:lstStyle/>
                <a:p>
                  <a:pPr>
                    <a:defRPr sz="900" b="0" i="0" u="none" strike="noStrike" baseline="0">
                      <a:solidFill>
                        <a:srgbClr val="707070"/>
                      </a:solidFill>
                      <a:latin typeface="Times New Roman"/>
                      <a:ea typeface="宋体"/>
                      <a:cs typeface="Lucida Sans"/>
                    </a:defRPr>
                  </a:pPr>
                  <a:endParaRPr lang="zh-CN"/>
                </a:p>
              </c:txPr>
              <c:showLegendKey val="0"/>
              <c:showVal val="1"/>
              <c:showCatName val="0"/>
              <c:showSerName val="0"/>
              <c:showPercent val="0"/>
              <c:showBubbleSize val="0"/>
            </c:dLbl>
            <c:showLegendKey val="0"/>
            <c:showVal val="1"/>
            <c:showCatName val="0"/>
            <c:showSerName val="0"/>
            <c:showPercent val="0"/>
            <c:showBubbleSize val="0"/>
            <c:showLeaderLines val="1"/>
          </c:dLbls>
          <c:cat>
            <c:strLit>
              <c:ptCount val="2"/>
              <c:pt idx="0">
                <c:v>基本支出</c:v>
              </c:pt>
              <c:pt idx="1">
                <c:v>项目支出</c:v>
              </c:pt>
            </c:strLit>
          </c:cat>
          <c:val>
            <c:numRef>
              <c:f/>
              <c:numCache>
                <c:formatCode>General</c:formatCode>
                <c:ptCount val="2"/>
                <c:pt idx="0">
                  <c:v>2053.44</c:v>
                </c:pt>
                <c:pt idx="1">
                  <c:v>323.69</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939393"/>
              </a:solidFill>
              <a:latin typeface="Times New Roman"/>
              <a:ea typeface="宋体"/>
              <a:cs typeface="Lucida Sans"/>
            </a:defRPr>
          </a:pPr>
          <a:endParaRPr lang="zh-CN"/>
        </a:p>
      </c:txPr>
    </c:legend>
    <c:plotVisOnly val="1"/>
    <c:dispBlanksAs val="zero"/>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收支总计</c:v>
          </c:tx>
          <c:spPr>
            <a:solidFill>
              <a:srgbClr val="4F81BD"/>
            </a:solidFill>
            <a:ln>
              <a:noFill/>
            </a:ln>
          </c:spPr>
          <c:invertIfNegative val="0"/>
          <c:dLbls>
            <c:spPr>
              <a:noFill/>
              <a:ln>
                <a:noFill/>
              </a:ln>
            </c:spPr>
            <c:txPr>
              <a:bodyPr vert="horz"/>
              <a:lstStyle/>
              <a:p>
                <a:pPr>
                  <a:defRPr sz="900" b="0" i="0" u="none" strike="noStrike" baseline="0">
                    <a:solidFill>
                      <a:srgbClr val="70707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numRef>
              <c:numCache>
                <c:ptCount val="2"/>
                <c:pt idx="0">
                  <c:v>2023</c:v>
                </c:pt>
                <c:pt idx="1">
                  <c:v>2024</c:v>
                </c:pt>
              </c:numCache>
            </c:numRef>
          </c:cat>
          <c:val>
            <c:numRef>
              <c:f/>
              <c:numCache>
                <c:formatCode>General</c:formatCode>
                <c:ptCount val="2"/>
                <c:pt idx="0">
                  <c:v>1282.15</c:v>
                </c:pt>
                <c:pt idx="1">
                  <c:v>1521.76</c:v>
                </c:pt>
              </c:numCache>
            </c:numRef>
          </c:val>
        </c:ser>
        <c:overlap val="-27"/>
        <c:gapWidth val="219"/>
        <c:axId val="0"/>
        <c:axId val="1"/>
      </c:barChart>
      <c:catAx>
        <c:axId val="0"/>
        <c:scaling>
          <c:orientation val="minMax"/>
        </c:scaling>
        <c:delete val="0"/>
        <c:axPos val="b"/>
        <c:numFmt formatCode="General" sourceLinked="0"/>
        <c:majorTickMark val="none"/>
        <c:minorTickMark val="none"/>
        <c:tickLblPos val="nextTo"/>
        <c:spPr>
          <a:ln w="6350">
            <a:solidFill>
              <a:srgbClr val="F9F9F9"/>
            </a:solidFill>
            <a:prstDash val="solid"/>
          </a:ln>
        </c:spPr>
        <c:txPr>
          <a:bodyPr/>
          <a:lstStyle/>
          <a:p>
            <a:pPr>
              <a:defRPr sz="900" b="0" i="0" u="none" strike="noStrike" baseline="0">
                <a:solidFill>
                  <a:srgbClr val="939393"/>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F9F9F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939393"/>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图5：一般公共预算财政拨款支出决算变动情况</c:v>
          </c:tx>
          <c:spPr>
            <a:solidFill>
              <a:srgbClr val="4F81BD"/>
            </a:solidFill>
            <a:ln>
              <a:noFill/>
            </a:ln>
          </c:spPr>
          <c:invertIfNegative val="0"/>
          <c:dLbls>
            <c:spPr>
              <a:noFill/>
              <a:ln>
                <a:noFill/>
              </a:ln>
            </c:spPr>
            <c:txPr>
              <a:bodyPr vert="horz"/>
              <a:lstStyle/>
              <a:p>
                <a:pPr>
                  <a:defRPr sz="900" b="0" i="0" u="none" strike="noStrike" baseline="0">
                    <a:solidFill>
                      <a:srgbClr val="707070"/>
                    </a:solidFill>
                    <a:latin typeface="Times New Roman"/>
                    <a:ea typeface="宋体"/>
                    <a:cs typeface="Lucida Sans"/>
                  </a:defRPr>
                </a:pPr>
                <a:endParaRPr lang="zh-CN"/>
              </a:p>
            </c:txPr>
            <c:numFmt formatCode="General" sourceLinked="0"/>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numRef>
              <c:numCache>
                <c:ptCount val="2"/>
                <c:pt idx="0">
                  <c:v>2023</c:v>
                </c:pt>
                <c:pt idx="1">
                  <c:v>2024</c:v>
                </c:pt>
              </c:numCache>
            </c:numRef>
          </c:cat>
          <c:val>
            <c:numRef>
              <c:f/>
              <c:numCache>
                <c:formatCode>General</c:formatCode>
                <c:ptCount val="2"/>
                <c:pt idx="0">
                  <c:v>1282.15</c:v>
                </c:pt>
                <c:pt idx="1">
                  <c:v>1521.76</c:v>
                </c:pt>
              </c:numCache>
            </c:numRef>
          </c:val>
        </c:ser>
        <c:overlap val="-27"/>
        <c:gapWidth val="219"/>
        <c:axId val="0"/>
        <c:axId val="1"/>
      </c:barChart>
      <c:catAx>
        <c:axId val="0"/>
        <c:scaling>
          <c:orientation val="minMax"/>
        </c:scaling>
        <c:delete val="0"/>
        <c:axPos val="b"/>
        <c:numFmt formatCode="General" sourceLinked="0"/>
        <c:majorTickMark val="none"/>
        <c:minorTickMark val="none"/>
        <c:tickLblPos val="nextTo"/>
        <c:spPr>
          <a:ln w="6350">
            <a:solidFill>
              <a:srgbClr val="F9F9F9"/>
            </a:solidFill>
            <a:prstDash val="solid"/>
          </a:ln>
        </c:spPr>
        <c:txPr>
          <a:bodyPr/>
          <a:lstStyle/>
          <a:p>
            <a:pPr>
              <a:defRPr sz="900" b="0" i="0" u="none" strike="noStrike" baseline="0">
                <a:solidFill>
                  <a:srgbClr val="939393"/>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F9F9F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939393"/>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v>图6：一般公共预算财政拨款支出决算结构</c:v>
          </c:tx>
          <c:spPr>
            <a:ln>
              <a:noFill/>
            </a:ln>
          </c:spPr>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General" sourceLinked="0"/>
            <c:dLbl>
              <c:idx val="1"/>
              <c:layout>
                <c:manualLayout>
                  <c:x val="0.13121082"/>
                  <c:y val="-0.028474875"/>
                </c:manualLayout>
              </c:layout>
              <c:numFmt formatCode="General" sourceLinked="0"/>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showLegendKey val="0"/>
              <c:showVal val="1"/>
              <c:showCatName val="0"/>
              <c:showSerName val="0"/>
              <c:showPercent val="0"/>
              <c:showBubbleSize val="0"/>
            </c:dLbl>
            <c:showLegendKey val="0"/>
            <c:showVal val="1"/>
            <c:showCatName val="0"/>
            <c:showSerName val="0"/>
            <c:showPercent val="0"/>
            <c:showBubbleSize val="0"/>
            <c:showLeaderLines val="1"/>
          </c:dLbls>
          <c:cat>
            <c:strLit>
              <c:ptCount val="4"/>
              <c:pt idx="0">
                <c:v>社会保障和就业支出</c:v>
              </c:pt>
              <c:pt idx="1">
                <c:v>卫生健康支出</c:v>
              </c:pt>
              <c:pt idx="2">
                <c:v>住房保障支出</c:v>
              </c:pt>
              <c:pt idx="3">
                <c:v>农林水支出</c:v>
              </c:pt>
            </c:strLit>
          </c:cat>
          <c:val>
            <c:numRef>
              <c:f/>
              <c:numCache>
                <c:formatCode>General</c:formatCode>
                <c:ptCount val="4"/>
                <c:pt idx="0">
                  <c:v>174.23</c:v>
                </c:pt>
                <c:pt idx="1">
                  <c:v>1155.08</c:v>
                </c:pt>
                <c:pt idx="2">
                  <c:v>92.64</c:v>
                </c:pt>
                <c:pt idx="3">
                  <c:v>99.81</c:v>
                </c:pt>
              </c:numCache>
            </c:numRef>
          </c:val>
        </c:ser>
        <c:firstSliceAng val="0"/>
      </c:pieChart>
      <c:spPr>
        <a:no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Lucida Sans"/>
            </a:defRPr>
          </a:pPr>
          <a:endParaRPr lang="zh-CN"/>
        </a:p>
      </c:txPr>
    </c:legend>
    <c:plotVisOnly val="1"/>
    <c:dispBlanksAs val="gap"/>
    <c:showDLblsOverMax val="0"/>
  </c:chart>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v>图7：“三公”经费财政拨款支出结构</c:v>
          </c:tx>
          <c:spPr>
            <a:ln>
              <a:noFill/>
            </a:ln>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Lbls>
            <c:dLbl>
              <c:idx val="0"/>
              <c:layout>
                <c:manualLayout>
                  <c:x val="0.09771976"/>
                  <c:y val="-0.23295555"/>
                </c:manualLayout>
              </c:layout>
              <c:numFmt formatCode="General" sourceLinked="0"/>
              <c:spPr>
                <a:noFill/>
                <a:ln>
                  <a:noFill/>
                </a:ln>
              </c:spPr>
              <c:txPr>
                <a:bodyPr vert="horz"/>
                <a:lstStyle/>
                <a:p>
                  <a:pPr>
                    <a:defRPr sz="900" b="0" i="0" u="none" strike="noStrike" baseline="0">
                      <a:solidFill>
                        <a:srgbClr val="707070"/>
                      </a:solidFill>
                      <a:latin typeface="Times New Roman"/>
                      <a:ea typeface="宋体"/>
                      <a:cs typeface="Lucida Sans"/>
                    </a:defRPr>
                  </a:pPr>
                  <a:endParaRPr lang="zh-CN"/>
                </a:p>
              </c:txPr>
              <c:showLegendKey val="0"/>
              <c:showVal val="1"/>
              <c:showCatName val="0"/>
              <c:showSerName val="0"/>
              <c:showPercent val="0"/>
              <c:showBubbleSize val="0"/>
            </c:dLbl>
            <c:dLbl>
              <c:idx val="1"/>
              <c:numFmt formatCode="General" sourceLinked="0"/>
              <c:spPr>
                <a:noFill/>
                <a:ln>
                  <a:noFill/>
                </a:ln>
              </c:spPr>
              <c:txPr>
                <a:bodyPr vert="horz"/>
                <a:lstStyle/>
                <a:p>
                  <a:pPr>
                    <a:defRPr sz="900" b="0" i="0" u="none" strike="noStrike" baseline="0">
                      <a:solidFill>
                        <a:srgbClr val="707070"/>
                      </a:solidFill>
                      <a:latin typeface="Times New Roman"/>
                      <a:ea typeface="宋体"/>
                      <a:cs typeface="Lucida Sans"/>
                    </a:defRPr>
                  </a:pPr>
                  <a:endParaRPr lang="zh-CN"/>
                </a:p>
              </c:txPr>
              <c:delete val="1"/>
            </c:dLbl>
            <c:dLbl>
              <c:idx val="2"/>
              <c:numFmt formatCode="General" sourceLinked="0"/>
              <c:spPr>
                <a:noFill/>
                <a:ln>
                  <a:noFill/>
                </a:ln>
              </c:spPr>
              <c:txPr>
                <a:bodyPr vert="horz"/>
                <a:lstStyle/>
                <a:p>
                  <a:pPr>
                    <a:defRPr sz="900" b="0" i="0" u="none" strike="noStrike" baseline="0">
                      <a:solidFill>
                        <a:srgbClr val="707070"/>
                      </a:solidFill>
                      <a:latin typeface="Times New Roman"/>
                      <a:ea typeface="宋体"/>
                      <a:cs typeface="Lucida Sans"/>
                    </a:defRPr>
                  </a:pPr>
                  <a:endParaRPr lang="zh-CN"/>
                </a:p>
              </c:txPr>
              <c:delete val="1"/>
            </c:dLbl>
            <c:showLegendKey val="0"/>
            <c:showVal val="0"/>
            <c:showCatName val="0"/>
            <c:showSerName val="0"/>
            <c:showPercent val="0"/>
            <c:showBubbleSize val="0"/>
            <c:showLeaderLines val="1"/>
          </c:dLbls>
          <c:cat>
            <c:strLit>
              <c:ptCount val="3"/>
              <c:pt idx="0">
                <c:v>公务用车运行维护费</c:v>
              </c:pt>
              <c:pt idx="1">
                <c:v>因公出国（境）费</c:v>
              </c:pt>
              <c:pt idx="2">
                <c:v>公务接待费</c:v>
              </c:pt>
            </c:strLit>
          </c:cat>
          <c:val>
            <c:numRef>
              <c:f/>
              <c:numCache>
                <c:formatCode>General</c:formatCode>
                <c:ptCount val="3"/>
                <c:pt idx="0">
                  <c:v>0.2</c:v>
                </c:pt>
                <c:pt idx="1">
                  <c:v>0.0</c:v>
                </c:pt>
                <c:pt idx="2">
                  <c:v>0.0</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939393"/>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38</TotalTime>
  <Application>Yozo_Office27021597764231179</Application>
  <Pages>30</Pages>
  <Words>10693</Words>
  <Characters>11597</Characters>
  <Lines>682</Lines>
  <Paragraphs>318</Paragraphs>
  <CharactersWithSpaces>11658</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曹颖</dc:creator>
  <cp:lastModifiedBy>user</cp:lastModifiedBy>
  <cp:revision>32</cp:revision>
  <cp:lastPrinted>2025-09-25T09:19:00Z</cp:lastPrinted>
  <dcterms:created xsi:type="dcterms:W3CDTF">2020-08-11T01:49:00Z</dcterms:created>
  <dcterms:modified xsi:type="dcterms:W3CDTF">2025-09-25T09:55:07Z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2052-11.8.2.1127</vt:lpwstr>
  </property>
  <property fmtid="{D5CDD505-2E9C-101B-9397-08002B2CF9AE}" pid="3" name="ICV">
    <vt:lpwstr>80E904644F8343C899F2B84F01FB6CFB</vt:lpwstr>
  </property>
</Properties>
</file>