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7425"/>
      <w:bookmarkStart w:id="1" w:name="_Toc15377193"/>
      <w:bookmarkStart w:id="2" w:name="_Toc15378441"/>
      <w:bookmarkStart w:id="3" w:name="_Toc15396597"/>
      <w:bookmarkStart w:id="4" w:name="_Toc15396475"/>
      <w:bookmarkStart w:id="5" w:name="_Toc15306267"/>
    </w:p>
    <w:bookmarkEnd w:id="0"/>
    <w:bookmarkEnd w:id="1"/>
    <w:bookmarkEnd w:id="2"/>
    <w:bookmarkEnd w:id="3"/>
    <w:bookmarkEnd w:id="4"/>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96476"/>
      <w:bookmarkStart w:id="8" w:name="_Toc15377194"/>
      <w:bookmarkStart w:id="9" w:name="_Toc15377426"/>
      <w:bookmarkStart w:id="10" w:name="_Toc15396598"/>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p>
    <w:bookmarkEnd w:id="5"/>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11" w:name="_Toc15306268"/>
      <w:r>
        <w:rPr>
          <w:rFonts w:hint="eastAsia" w:ascii="Times New Roman" w:eastAsia="方正小标宋简体" w:cs="Times New Roman"/>
          <w:color w:val="auto"/>
          <w:kern w:val="2"/>
          <w:sz w:val="44"/>
          <w:szCs w:val="44"/>
          <w:highlight w:val="none"/>
          <w:lang w:val="en-US" w:eastAsia="zh-CN" w:bidi="ar-SA"/>
        </w:rPr>
        <w:t>茂县妇幼保健院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bookmarkStart w:id="12" w:name="_Toc15396599"/>
      <w:bookmarkStart w:id="13" w:name="_Toc15377196"/>
      <w:r>
        <w:rPr>
          <w:rFonts w:hint="eastAsia" w:ascii="Times New Roman" w:hAnsi="Times New Roman" w:eastAsia="黑体" w:cs="黑体"/>
          <w:color w:val="auto"/>
          <w:sz w:val="32"/>
          <w:szCs w:val="32"/>
          <w:highlight w:val="none"/>
        </w:rPr>
        <w:t>第一部分 部门概况</w:t>
      </w:r>
      <w:r>
        <w:tab/>
      </w:r>
      <w:r>
        <w:rPr>
          <w:rFonts w:hint="eastAsia"/>
          <w:lang w:val="en-US" w:eastAsia="zh-CN"/>
        </w:rPr>
        <w:t>1</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tab/>
      </w:r>
      <w:r>
        <w:rPr>
          <w:rFonts w:hint="eastAsia"/>
          <w:lang w:val="en-US" w:eastAsia="zh-CN"/>
        </w:rPr>
        <w:t>1</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tab/>
      </w:r>
      <w:r>
        <w:rPr>
          <w:rFonts w:hint="eastAsia"/>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tab/>
      </w:r>
      <w:r>
        <w:rPr>
          <w:rFonts w:hint="eastAsia"/>
          <w:lang w:val="en-US" w:eastAsia="zh-CN"/>
        </w:rPr>
        <w:t>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tab/>
      </w:r>
      <w:r>
        <w:rPr>
          <w:rFonts w:hint="eastAsia"/>
          <w:lang w:val="en-US" w:eastAsia="zh-CN"/>
        </w:rPr>
        <w:t>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tab/>
      </w:r>
      <w:r>
        <w:rPr>
          <w:rFonts w:hint="eastAsia"/>
          <w:lang w:val="en-US" w:eastAsia="zh-CN"/>
        </w:rPr>
        <w:t>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tab/>
      </w:r>
      <w:r>
        <w:rPr>
          <w:rFonts w:hint="eastAsia"/>
          <w:lang w:val="en-US" w:eastAsia="zh-CN"/>
        </w:rPr>
        <w:t>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tab/>
      </w:r>
      <w:r>
        <w:rPr>
          <w:rFonts w:hint="eastAsia"/>
          <w:lang w:val="en-US" w:eastAsia="zh-CN"/>
        </w:rPr>
        <w:t>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tab/>
      </w:r>
      <w:r>
        <w:rPr>
          <w:rFonts w:hint="eastAsia"/>
          <w:lang w:val="en-US" w:eastAsia="zh-CN"/>
        </w:rPr>
        <w:t>4</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tab/>
      </w:r>
      <w:r>
        <w:rPr>
          <w:rFonts w:hint="eastAsia"/>
          <w:lang w:val="en-US" w:eastAsia="zh-CN"/>
        </w:rPr>
        <w:t>7</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tab/>
      </w:r>
      <w:r>
        <w:rPr>
          <w:rFonts w:hint="eastAsia"/>
          <w:lang w:val="en-US" w:eastAsia="zh-CN"/>
        </w:rPr>
        <w:t>7</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tab/>
      </w:r>
      <w:r>
        <w:rPr>
          <w:rFonts w:hint="eastAsia"/>
          <w:lang w:val="en-US" w:eastAsia="zh-CN"/>
        </w:rPr>
        <w:t>9</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tab/>
      </w:r>
      <w:r>
        <w:rPr>
          <w:rFonts w:hint="eastAsia"/>
          <w:lang w:val="en-US" w:eastAsia="zh-CN"/>
        </w:rPr>
        <w:t>9</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tab/>
      </w:r>
      <w:r>
        <w:rPr>
          <w:rFonts w:hint="eastAsia"/>
          <w:lang w:val="en-US" w:eastAsia="zh-CN"/>
        </w:rPr>
        <w:t>9</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宋体" w:cs="Times New Roman"/>
          <w:kern w:val="2"/>
          <w:sz w:val="21"/>
          <w:szCs w:val="24"/>
          <w:lang w:val="en-US" w:eastAsia="zh-CN" w:bidi="ar-SA"/>
        </w:rPr>
      </w:pPr>
      <w:r>
        <w:rPr>
          <w:rFonts w:hint="eastAsia" w:ascii="Times New Roman" w:hAnsi="Times New Roman" w:eastAsia="黑体" w:cs="黑体"/>
          <w:color w:val="auto"/>
          <w:sz w:val="32"/>
          <w:szCs w:val="32"/>
          <w:highlight w:val="none"/>
        </w:rPr>
        <w:t>第三部分 名词解释</w:t>
      </w:r>
      <w:r>
        <w:tab/>
      </w:r>
      <w:r>
        <w:rPr>
          <w:rFonts w:hint="eastAsia" w:ascii="Times New Roman" w:hAnsi="Times New Roman" w:eastAsia="宋体" w:cs="Times New Roman"/>
          <w:kern w:val="2"/>
          <w:sz w:val="21"/>
          <w:szCs w:val="24"/>
          <w:lang w:val="en-US" w:eastAsia="zh-CN" w:bidi="ar-SA"/>
        </w:rPr>
        <w:t>10</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宋体" w:cs="Times New Roman"/>
          <w:kern w:val="2"/>
          <w:sz w:val="21"/>
          <w:szCs w:val="24"/>
          <w:lang w:val="en-US" w:eastAsia="zh-CN" w:bidi="ar-SA"/>
        </w:rPr>
      </w:pPr>
      <w:r>
        <w:rPr>
          <w:rFonts w:hint="eastAsia" w:ascii="Times New Roman" w:hAnsi="Times New Roman" w:eastAsia="黑体" w:cs="黑体"/>
          <w:color w:val="auto"/>
          <w:sz w:val="32"/>
          <w:szCs w:val="32"/>
          <w:highlight w:val="none"/>
        </w:rPr>
        <w:t>第四部分 附件</w:t>
      </w:r>
      <w:r>
        <w:tab/>
      </w:r>
      <w:r>
        <w:rPr>
          <w:rFonts w:hint="eastAsia" w:ascii="Times New Roman" w:hAnsi="Times New Roman" w:eastAsia="宋体" w:cs="Times New Roman"/>
          <w:kern w:val="2"/>
          <w:sz w:val="21"/>
          <w:szCs w:val="24"/>
          <w:lang w:val="en-US" w:eastAsia="zh-CN" w:bidi="ar-SA"/>
        </w:rPr>
        <w:t>14</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宋体" w:cs="Times New Roman"/>
          <w:kern w:val="2"/>
          <w:sz w:val="21"/>
          <w:szCs w:val="24"/>
          <w:lang w:val="en-US" w:eastAsia="zh-CN" w:bidi="ar-SA"/>
        </w:rPr>
      </w:pPr>
      <w:r>
        <w:rPr>
          <w:rFonts w:hint="eastAsia" w:ascii="Times New Roman" w:hAnsi="Times New Roman" w:eastAsia="黑体" w:cs="黑体"/>
          <w:color w:val="auto"/>
          <w:sz w:val="32"/>
          <w:szCs w:val="32"/>
          <w:highlight w:val="none"/>
        </w:rPr>
        <w:t>第五部分 附表</w:t>
      </w:r>
      <w:r>
        <w:tab/>
      </w:r>
      <w:r>
        <w:rPr>
          <w:rFonts w:hint="eastAsia" w:ascii="Times New Roman" w:hAnsi="Times New Roman" w:eastAsia="宋体"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kern w:val="2"/>
          <w:sz w:val="21"/>
          <w:szCs w:val="24"/>
          <w:lang w:val="en-US" w:eastAsia="zh-CN" w:bidi="ar-SA"/>
        </w:rPr>
      </w:pPr>
      <w:r>
        <w:rPr>
          <w:rFonts w:hint="eastAsia" w:ascii="Times New Roman" w:hAnsi="Times New Roman" w:eastAsia="仿宋_GB2312" w:cs="仿宋_GB2312"/>
          <w:color w:val="auto"/>
          <w:sz w:val="32"/>
          <w:szCs w:val="32"/>
          <w:highlight w:val="none"/>
        </w:rPr>
        <w:t>一、收入支出决算总表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cs="Times New Roman"/>
          <w:kern w:val="2"/>
          <w:sz w:val="21"/>
          <w:szCs w:val="24"/>
          <w:lang w:val="en-US" w:eastAsia="zh-CN" w:bidi="ar-SA"/>
        </w:rPr>
      </w:pPr>
      <w:r>
        <w:rPr>
          <w:rFonts w:hint="eastAsia" w:ascii="Times New Roman" w:hAnsi="Times New Roman" w:eastAsia="仿宋_GB2312" w:cs="仿宋_GB2312"/>
          <w:color w:val="auto"/>
          <w:sz w:val="32"/>
          <w:szCs w:val="32"/>
          <w:highlight w:val="none"/>
        </w:rPr>
        <w:t>二、收入决算表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仿宋_GB2312" w:cs="仿宋_GB2312"/>
          <w:color w:val="auto"/>
          <w:sz w:val="32"/>
          <w:szCs w:val="32"/>
          <w:highlight w:val="none"/>
        </w:rPr>
        <w:t>三、支出决算表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r>
        <w:rPr>
          <w:rFonts w:hint="eastAsia" w:ascii="仿宋" w:hAnsi="仿宋" w:eastAsia="仿宋" w:cs="Times New Roman"/>
          <w:kern w:val="2"/>
          <w:sz w:val="28"/>
          <w:szCs w:val="28"/>
          <w:lang w:val="en-US" w:eastAsia="zh-CN" w:bidi="ar-SA"/>
        </w:rPr>
        <w:tab/>
      </w:r>
      <w:r>
        <w:rPr>
          <w:rFonts w:hint="eastAsia" w:cs="Times New Roman"/>
          <w:kern w:val="2"/>
          <w:sz w:val="21"/>
          <w:szCs w:val="24"/>
          <w:lang w:val="en-US" w:eastAsia="zh-CN" w:bidi="ar-SA"/>
        </w:rPr>
        <w:t>22</w:t>
      </w:r>
    </w:p>
    <w:p>
      <w:pPr>
        <w:pStyle w:val="3"/>
        <w:jc w:val="center"/>
        <w:rPr>
          <w:rFonts w:hint="eastAsia" w:ascii="Times New Roman" w:hAnsi="Times New Roman" w:eastAsia="方正小标宋简体" w:cs="方正小标宋简体"/>
          <w:b w:val="0"/>
          <w:color w:val="auto"/>
          <w:highlight w:val="none"/>
        </w:rPr>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pPr>
      <w:r>
        <w:rPr>
          <w:rFonts w:hint="eastAsia" w:ascii="仿宋" w:hAnsi="仿宋" w:eastAsia="仿宋" w:cs="Times New Roman"/>
          <w:kern w:val="2"/>
          <w:sz w:val="28"/>
          <w:szCs w:val="28"/>
          <w:lang w:val="en-US" w:eastAsia="zh-CN" w:bidi="ar-SA"/>
        </w:rPr>
        <w:tab/>
      </w:r>
    </w:p>
    <w:p>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pPr>
        <w:pStyle w:val="4"/>
        <w:pageBreakBefore w:val="0"/>
        <w:numPr>
          <w:ilvl w:val="0"/>
          <w:numId w:val="1"/>
        </w:numPr>
        <w:kinsoku/>
        <w:wordWrap/>
        <w:overflowPunct/>
        <w:topLinePunct w:val="0"/>
        <w:bidi w:val="0"/>
        <w:spacing w:before="0" w:after="0"/>
        <w:jc w:val="left"/>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b/>
          <w:bCs/>
          <w:lang w:eastAsia="zh-CN"/>
        </w:rPr>
      </w:pPr>
      <w:r>
        <w:rPr>
          <w:rFonts w:hint="eastAsia"/>
        </w:rPr>
        <w:t>深入贯彻《母婴保健法》《中国妇女发展纲要》《中国儿童发展纲要》，围绕实现“新两纲”目标和初级卫生保健指标。了解、掌握妇女儿童健康状况及影响因素，负责本辖区儿童入托前健康体检及开展各类妇幼保健人员的业务培训，负责指导和开展本辖区妇幼保健健康教育与健康工作。组织实施重大公共卫生服务项目，如“新生儿疾病筛查”“免费婚检”“计划生育手术”“孕前优生健康检查”“ 预防艾滋病、梅毒及乙肝母婴传播”等。</w:t>
      </w:r>
    </w:p>
    <w:p>
      <w:pPr>
        <w:pStyle w:val="4"/>
        <w:pageBreakBefore w:val="0"/>
        <w:kinsoku/>
        <w:wordWrap/>
        <w:overflowPunct/>
        <w:topLinePunct w:val="0"/>
        <w:bidi w:val="0"/>
        <w:spacing w:before="0" w:after="0"/>
        <w:jc w:val="left"/>
        <w:rPr>
          <w:rStyle w:val="30"/>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rPr>
      </w:pPr>
      <w:bookmarkStart w:id="16" w:name="_Toc15377432"/>
      <w:bookmarkStart w:id="17" w:name="_Toc15377201"/>
      <w:bookmarkStart w:id="18" w:name="_Toc15378448"/>
      <w:bookmarkStart w:id="19" w:name="_Toc15306275"/>
      <w:r>
        <w:rPr>
          <w:rFonts w:hint="eastAsia"/>
        </w:rPr>
        <w:t>茂县妇幼保健院下属二级预算单位0个，其中：参照公务员法管理的事业单位0个，其他事业单位0个。</w:t>
      </w:r>
    </w:p>
    <w:bookmarkEnd w:id="16"/>
    <w:bookmarkEnd w:id="17"/>
    <w:bookmarkEnd w:id="18"/>
    <w:bookmarkEnd w:id="19"/>
    <w:p>
      <w:pPr>
        <w:pageBreakBefore w:val="0"/>
        <w:widowControl/>
        <w:kinsoku/>
        <w:wordWrap/>
        <w:overflowPunct/>
        <w:topLinePunct w:val="0"/>
        <w:bidi w:val="0"/>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pageBreakBefore w:val="0"/>
        <w:kinsoku/>
        <w:wordWrap/>
        <w:overflowPunct/>
        <w:topLinePunct w:val="0"/>
        <w:bidi w:val="0"/>
        <w:spacing w:before="0" w:after="0"/>
        <w:jc w:val="left"/>
        <w:rPr>
          <w:rFonts w:hint="eastAsia" w:ascii="Times New Roman" w:hAnsi="Times New Roman" w:eastAsia="方正小标宋简体" w:cs="方正小标宋简体"/>
          <w:b w:val="0"/>
          <w:color w:val="auto"/>
          <w:highlight w:val="none"/>
        </w:rPr>
      </w:pPr>
      <w:bookmarkStart w:id="20" w:name="_Toc15396602"/>
      <w:bookmarkStart w:id="2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0"/>
      <w:bookmarkEnd w:id="21"/>
    </w:p>
    <w:p>
      <w:pPr>
        <w:pageBreakBefore w:val="0"/>
        <w:kinsoku/>
        <w:wordWrap/>
        <w:overflowPunct/>
        <w:topLinePunct w:val="0"/>
        <w:bidi w:val="0"/>
        <w:jc w:val="left"/>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Style w:val="30"/>
          <w:rFonts w:hint="eastAsia" w:ascii="Times New Roman" w:hAnsi="Times New Roman" w:eastAsia="黑体"/>
          <w:b w:val="0"/>
          <w:color w:val="auto"/>
          <w:highlight w:val="none"/>
        </w:rPr>
      </w:pPr>
      <w:bookmarkStart w:id="22" w:name="_Toc15377205"/>
      <w:bookmarkStart w:id="2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2"/>
      <w:bookmarkEnd w:id="23"/>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lang w:eastAsia="zh-CN"/>
        </w:rPr>
      </w:pPr>
      <w:bookmarkStart w:id="24" w:name="_Toc15377206"/>
      <w:bookmarkStart w:id="25" w:name="_Toc15396604"/>
      <w:r>
        <w:rPr>
          <w:rFonts w:hint="eastAsia"/>
          <w:lang w:eastAsia="zh-CN"/>
        </w:rPr>
        <w:t>202</w:t>
      </w:r>
      <w:r>
        <w:rPr>
          <w:rFonts w:hint="eastAsia"/>
          <w:lang w:val="en-US" w:eastAsia="zh-CN"/>
        </w:rPr>
        <w:t>5</w:t>
      </w:r>
      <w:r>
        <w:rPr>
          <w:rFonts w:hint="eastAsia"/>
          <w:lang w:eastAsia="zh-CN"/>
        </w:rPr>
        <w:t>年</w:t>
      </w:r>
      <w:r>
        <w:rPr>
          <w:rFonts w:hint="eastAsia"/>
        </w:rPr>
        <w:t>度收、支总计</w:t>
      </w:r>
      <w:r>
        <w:rPr>
          <w:rFonts w:hint="eastAsia"/>
          <w:lang w:eastAsia="zh-CN"/>
        </w:rPr>
        <w:t>均为</w:t>
      </w:r>
      <w:r>
        <w:rPr>
          <w:rFonts w:hint="eastAsia"/>
          <w:lang w:val="en-US" w:eastAsia="zh-CN"/>
        </w:rPr>
        <w:t>2294.13</w:t>
      </w:r>
      <w:r>
        <w:rPr>
          <w:rFonts w:hint="eastAsia"/>
        </w:rPr>
        <w:t>万元。与</w:t>
      </w:r>
      <w:r>
        <w:rPr>
          <w:rFonts w:hint="eastAsia"/>
          <w:lang w:eastAsia="zh-CN"/>
        </w:rPr>
        <w:t>20</w:t>
      </w:r>
      <w:r>
        <w:rPr>
          <w:rFonts w:hint="eastAsia"/>
          <w:lang w:val="en-US" w:eastAsia="zh-CN"/>
        </w:rPr>
        <w:t>24</w:t>
      </w:r>
      <w:r>
        <w:rPr>
          <w:rFonts w:hint="eastAsia"/>
          <w:lang w:eastAsia="zh-CN"/>
        </w:rPr>
        <w:t>年度</w:t>
      </w:r>
      <w:r>
        <w:rPr>
          <w:rFonts w:hint="eastAsia"/>
        </w:rPr>
        <w:t>相比，收、支总计各减少</w:t>
      </w:r>
      <w:r>
        <w:rPr>
          <w:rFonts w:hint="eastAsia"/>
          <w:lang w:val="en-US" w:eastAsia="zh-CN"/>
        </w:rPr>
        <w:t>189.05</w:t>
      </w:r>
      <w:r>
        <w:rPr>
          <w:rFonts w:hint="eastAsia"/>
        </w:rPr>
        <w:t>万元，下降</w:t>
      </w:r>
      <w:r>
        <w:rPr>
          <w:rFonts w:hint="eastAsia"/>
          <w:lang w:val="en-US" w:eastAsia="zh-CN"/>
        </w:rPr>
        <w:t>7.61</w:t>
      </w:r>
      <w:r>
        <w:rPr>
          <w:rFonts w:hint="eastAsia"/>
        </w:rPr>
        <w:t>%。主要变动原因是</w:t>
      </w:r>
      <w:r>
        <w:rPr>
          <w:rFonts w:hint="eastAsia"/>
          <w:lang w:eastAsia="zh-CN"/>
        </w:rPr>
        <w:t>：</w:t>
      </w:r>
      <w:r>
        <w:rPr>
          <w:rFonts w:hint="eastAsia"/>
          <w:lang w:val="en-US" w:eastAsia="zh-CN"/>
        </w:rPr>
        <w:t>事业收入减少</w:t>
      </w:r>
      <w:r>
        <w:rPr>
          <w:rFonts w:hint="eastAsia"/>
          <w:lang w:eastAsia="zh-CN"/>
        </w:rPr>
        <w:t>。</w:t>
      </w:r>
    </w:p>
    <w:p>
      <w:pPr>
        <w:pStyle w:val="14"/>
        <w:pageBreakBefore w:val="0"/>
        <w:kinsoku/>
        <w:wordWrap/>
        <w:overflowPunct/>
        <w:topLinePunct w:val="0"/>
        <w:bidi w:val="0"/>
        <w:jc w:val="left"/>
        <w:rPr>
          <w:rFonts w:hint="eastAsia"/>
          <w:lang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仿宋_GB2312" w:eastAsia="仿宋_GB2312"/>
          <w:color w:val="auto"/>
          <w:sz w:val="32"/>
          <w:szCs w:val="32"/>
          <w:highlight w:val="none"/>
        </w:rPr>
      </w:pPr>
      <w:r>
        <w:drawing>
          <wp:inline distT="0" distB="0" distL="114300" distR="114300">
            <wp:extent cx="4572000" cy="3295650"/>
            <wp:effectExtent l="4445" t="4445" r="1460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24"/>
      <w:bookmarkEnd w:id="25"/>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lang w:eastAsia="zh-CN"/>
        </w:rPr>
      </w:pPr>
      <w:bookmarkStart w:id="26" w:name="_Toc15396605"/>
      <w:bookmarkStart w:id="27" w:name="_Toc15377207"/>
      <w:r>
        <w:rPr>
          <w:rFonts w:hint="eastAsia"/>
          <w:lang w:eastAsia="zh-CN"/>
        </w:rPr>
        <w:t>202</w:t>
      </w:r>
      <w:r>
        <w:rPr>
          <w:rFonts w:hint="eastAsia"/>
          <w:lang w:val="en-US" w:eastAsia="zh-CN"/>
        </w:rPr>
        <w:t>5</w:t>
      </w:r>
      <w:r>
        <w:rPr>
          <w:rFonts w:hint="eastAsia"/>
          <w:lang w:eastAsia="zh-CN"/>
        </w:rPr>
        <w:t>年度本年收入合计</w:t>
      </w:r>
      <w:r>
        <w:rPr>
          <w:rFonts w:hint="eastAsia"/>
          <w:lang w:val="en-US" w:eastAsia="zh-CN"/>
        </w:rPr>
        <w:t>2294.13</w:t>
      </w:r>
      <w:r>
        <w:rPr>
          <w:rFonts w:hint="eastAsia"/>
          <w:lang w:eastAsia="zh-CN"/>
        </w:rPr>
        <w:t>万元，其中：一般公共预算财政拨款收入</w:t>
      </w:r>
      <w:r>
        <w:rPr>
          <w:rFonts w:hint="eastAsia"/>
          <w:lang w:val="en-US" w:eastAsia="zh-CN"/>
        </w:rPr>
        <w:t>1611.76</w:t>
      </w:r>
      <w:r>
        <w:rPr>
          <w:rFonts w:hint="eastAsia"/>
          <w:lang w:eastAsia="zh-CN"/>
        </w:rPr>
        <w:t>万元，占</w:t>
      </w:r>
      <w:r>
        <w:rPr>
          <w:rFonts w:hint="eastAsia"/>
          <w:lang w:val="en-US" w:eastAsia="zh-CN"/>
        </w:rPr>
        <w:t>70.26</w:t>
      </w:r>
      <w:r>
        <w:rPr>
          <w:rFonts w:hint="eastAsia"/>
          <w:lang w:eastAsia="zh-CN"/>
        </w:rPr>
        <w:t>%；事业收入</w:t>
      </w:r>
      <w:r>
        <w:rPr>
          <w:rFonts w:hint="eastAsia"/>
          <w:lang w:val="en-US" w:eastAsia="zh-CN"/>
        </w:rPr>
        <w:t>682.37</w:t>
      </w:r>
      <w:r>
        <w:rPr>
          <w:rFonts w:hint="eastAsia"/>
          <w:lang w:eastAsia="zh-CN"/>
        </w:rPr>
        <w:t>万元，占</w:t>
      </w:r>
      <w:r>
        <w:rPr>
          <w:rFonts w:hint="eastAsia"/>
          <w:lang w:val="en-US" w:eastAsia="zh-CN"/>
        </w:rPr>
        <w:t>29.74</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仿宋_GB2312" w:eastAsia="仿宋_GB2312"/>
          <w:color w:val="auto"/>
          <w:sz w:val="32"/>
          <w:szCs w:val="32"/>
          <w:highlight w:val="none"/>
        </w:rPr>
      </w:pPr>
      <w:r>
        <w:drawing>
          <wp:inline distT="0" distB="0" distL="114300" distR="114300">
            <wp:extent cx="4572000" cy="2857500"/>
            <wp:effectExtent l="5080" t="4445" r="13970" b="14605"/>
            <wp:docPr id="3"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Style w:val="30"/>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6"/>
      <w:bookmarkEnd w:id="27"/>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lang w:eastAsia="zh-CN"/>
        </w:rPr>
      </w:pPr>
      <w:bookmarkStart w:id="28" w:name="_Toc15377208"/>
      <w:bookmarkStart w:id="29" w:name="_Toc15396606"/>
      <w:r>
        <w:rPr>
          <w:rFonts w:hint="eastAsia"/>
          <w:lang w:eastAsia="zh-CN"/>
        </w:rPr>
        <w:t>202</w:t>
      </w:r>
      <w:r>
        <w:rPr>
          <w:rFonts w:hint="eastAsia"/>
          <w:lang w:val="en-US" w:eastAsia="zh-CN"/>
        </w:rPr>
        <w:t>5</w:t>
      </w:r>
      <w:r>
        <w:rPr>
          <w:rFonts w:hint="eastAsia"/>
          <w:lang w:eastAsia="zh-CN"/>
        </w:rPr>
        <w:t>年度本年支出合计</w:t>
      </w:r>
      <w:r>
        <w:rPr>
          <w:rFonts w:hint="eastAsia"/>
          <w:lang w:val="en-US" w:eastAsia="zh-CN"/>
        </w:rPr>
        <w:t>2279.44</w:t>
      </w:r>
      <w:r>
        <w:rPr>
          <w:rFonts w:hint="eastAsia"/>
          <w:lang w:eastAsia="zh-CN"/>
        </w:rPr>
        <w:t>万元，其中：基本支出</w:t>
      </w:r>
      <w:r>
        <w:rPr>
          <w:rFonts w:hint="eastAsia"/>
          <w:lang w:val="en-US" w:eastAsia="zh-CN"/>
        </w:rPr>
        <w:t>1935.66</w:t>
      </w:r>
      <w:r>
        <w:rPr>
          <w:rFonts w:hint="eastAsia"/>
          <w:lang w:eastAsia="zh-CN"/>
        </w:rPr>
        <w:t>万元，占</w:t>
      </w:r>
      <w:r>
        <w:rPr>
          <w:rFonts w:hint="eastAsia"/>
          <w:lang w:val="en-US" w:eastAsia="zh-CN"/>
        </w:rPr>
        <w:t>84.92</w:t>
      </w:r>
      <w:r>
        <w:rPr>
          <w:rFonts w:hint="eastAsia"/>
          <w:lang w:eastAsia="zh-CN"/>
        </w:rPr>
        <w:t>%；项目支出</w:t>
      </w:r>
      <w:r>
        <w:rPr>
          <w:rFonts w:hint="eastAsia"/>
          <w:lang w:val="en-US" w:eastAsia="zh-CN"/>
        </w:rPr>
        <w:t>343.78</w:t>
      </w:r>
      <w:r>
        <w:rPr>
          <w:rFonts w:hint="eastAsia"/>
          <w:lang w:eastAsia="zh-CN"/>
        </w:rPr>
        <w:t>万元，占</w:t>
      </w:r>
      <w:r>
        <w:rPr>
          <w:rFonts w:hint="eastAsia"/>
          <w:lang w:val="en-US" w:eastAsia="zh-CN"/>
        </w:rPr>
        <w:t>15.08</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仿宋_GB2312" w:eastAsia="仿宋_GB2312"/>
          <w:color w:val="auto"/>
          <w:sz w:val="32"/>
          <w:szCs w:val="32"/>
          <w:highlight w:val="none"/>
        </w:rPr>
      </w:pPr>
      <w:r>
        <w:drawing>
          <wp:inline distT="0" distB="0" distL="114300" distR="114300">
            <wp:extent cx="4648200" cy="2762250"/>
            <wp:effectExtent l="4445" t="4445" r="14605" b="14605"/>
            <wp:docPr id="4" name="图表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ageBreakBefore w:val="0"/>
        <w:kinsoku/>
        <w:wordWrap/>
        <w:overflowPunct/>
        <w:topLinePunct w:val="0"/>
        <w:bidi w:val="0"/>
        <w:spacing w:line="600" w:lineRule="exact"/>
        <w:ind w:firstLine="640" w:firstLineChars="200"/>
        <w:jc w:val="left"/>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8"/>
      <w:bookmarkEnd w:id="29"/>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lang w:eastAsia="zh-CN"/>
        </w:rPr>
      </w:pPr>
      <w:bookmarkStart w:id="30" w:name="_Toc15396607"/>
      <w:bookmarkStart w:id="31" w:name="_Toc15377209"/>
      <w:r>
        <w:rPr>
          <w:rFonts w:hint="eastAsia"/>
          <w:lang w:eastAsia="zh-CN"/>
        </w:rPr>
        <w:t>202</w:t>
      </w:r>
      <w:r>
        <w:rPr>
          <w:rFonts w:hint="eastAsia"/>
          <w:lang w:val="en-US" w:eastAsia="zh-CN"/>
        </w:rPr>
        <w:t>5</w:t>
      </w:r>
      <w:r>
        <w:rPr>
          <w:rFonts w:hint="eastAsia"/>
          <w:lang w:eastAsia="zh-CN"/>
        </w:rPr>
        <w:t>年度财政拨款收、支总计均为</w:t>
      </w:r>
      <w:r>
        <w:rPr>
          <w:rFonts w:hint="eastAsia"/>
          <w:lang w:val="en-US" w:eastAsia="zh-CN"/>
        </w:rPr>
        <w:t>1611.76</w:t>
      </w:r>
      <w:r>
        <w:rPr>
          <w:rFonts w:hint="eastAsia"/>
          <w:lang w:eastAsia="zh-CN"/>
        </w:rPr>
        <w:t>万元。与202</w:t>
      </w:r>
      <w:r>
        <w:rPr>
          <w:rFonts w:hint="eastAsia"/>
          <w:lang w:val="en-US" w:eastAsia="zh-CN"/>
        </w:rPr>
        <w:t>4</w:t>
      </w:r>
      <w:r>
        <w:rPr>
          <w:rFonts w:hint="eastAsia"/>
          <w:lang w:eastAsia="zh-CN"/>
        </w:rPr>
        <w:t>年度相比，财政拨款收、支总计各增加</w:t>
      </w:r>
      <w:r>
        <w:rPr>
          <w:rFonts w:hint="eastAsia"/>
          <w:lang w:val="en-US" w:eastAsia="zh-CN"/>
        </w:rPr>
        <w:t>90</w:t>
      </w:r>
      <w:r>
        <w:rPr>
          <w:rFonts w:hint="eastAsia"/>
          <w:lang w:eastAsia="zh-CN"/>
        </w:rPr>
        <w:t>万元，增长</w:t>
      </w:r>
      <w:r>
        <w:rPr>
          <w:rFonts w:hint="eastAsia"/>
          <w:lang w:val="en-US" w:eastAsia="zh-CN"/>
        </w:rPr>
        <w:t>5.91</w:t>
      </w:r>
      <w:r>
        <w:rPr>
          <w:rFonts w:hint="eastAsia"/>
          <w:lang w:eastAsia="zh-CN"/>
        </w:rPr>
        <w:t>%。主要变动原因是：</w:t>
      </w:r>
      <w:r>
        <w:rPr>
          <w:rFonts w:hint="eastAsia"/>
          <w:lang w:val="en-US" w:eastAsia="zh-CN"/>
        </w:rPr>
        <w:t>人员增加及正常晋升工资上涨。</w:t>
      </w:r>
    </w:p>
    <w:p>
      <w:pPr>
        <w:keepNext w:val="0"/>
        <w:keepLines w:val="0"/>
        <w:pageBreakBefore w:val="0"/>
        <w:widowControl w:val="0"/>
        <w:kinsoku/>
        <w:wordWrap/>
        <w:overflowPunct/>
        <w:topLinePunct w:val="0"/>
        <w:autoSpaceDE/>
        <w:autoSpaceDN/>
        <w:bidi w:val="0"/>
        <w:adjustRightInd/>
        <w:snapToGrid/>
        <w:spacing w:line="360" w:lineRule="auto"/>
        <w:ind w:firstLine="640"/>
        <w:jc w:val="left"/>
        <w:textAlignment w:val="auto"/>
        <w:rPr>
          <w:rFonts w:ascii="仿宋" w:hAnsi="仿宋" w:eastAsia="仿宋"/>
          <w:b/>
          <w:color w:val="auto"/>
          <w:sz w:val="32"/>
          <w:szCs w:val="32"/>
          <w:highlight w:val="none"/>
        </w:rPr>
      </w:pPr>
      <w:r>
        <w:drawing>
          <wp:inline distT="0" distB="0" distL="114300" distR="114300">
            <wp:extent cx="4572000" cy="2857500"/>
            <wp:effectExtent l="5080" t="4445" r="13970" b="14605"/>
            <wp:docPr id="5" name="图表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ageBreakBefore w:val="0"/>
        <w:kinsoku/>
        <w:wordWrap/>
        <w:overflowPunct/>
        <w:topLinePunct w:val="0"/>
        <w:bidi w:val="0"/>
        <w:spacing w:line="600" w:lineRule="exact"/>
        <w:ind w:firstLine="640" w:firstLineChars="200"/>
        <w:jc w:val="left"/>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0"/>
      <w:bookmarkEnd w:id="31"/>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lang w:eastAsia="zh-CN"/>
        </w:rPr>
      </w:pPr>
      <w:r>
        <w:rPr>
          <w:rFonts w:hint="eastAsia"/>
          <w:lang w:eastAsia="zh-CN"/>
        </w:rPr>
        <w:t>（一）一般公共预算财政拨款支出决算总体情况</w:t>
      </w:r>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lang w:eastAsia="zh-CN"/>
        </w:rPr>
      </w:pPr>
      <w:r>
        <w:rPr>
          <w:rFonts w:hint="eastAsia"/>
          <w:lang w:eastAsia="zh-CN"/>
        </w:rPr>
        <w:t>202</w:t>
      </w:r>
      <w:r>
        <w:rPr>
          <w:rFonts w:hint="eastAsia"/>
          <w:lang w:val="en-US" w:eastAsia="zh-CN"/>
        </w:rPr>
        <w:t>5</w:t>
      </w:r>
      <w:r>
        <w:rPr>
          <w:rFonts w:hint="eastAsia"/>
          <w:lang w:eastAsia="zh-CN"/>
        </w:rPr>
        <w:t>年度一般公共预算财政拨款支出</w:t>
      </w:r>
      <w:r>
        <w:rPr>
          <w:rFonts w:hint="eastAsia"/>
          <w:lang w:val="en-US" w:eastAsia="zh-CN"/>
        </w:rPr>
        <w:t>1611.76</w:t>
      </w:r>
      <w:r>
        <w:rPr>
          <w:rFonts w:hint="eastAsia"/>
          <w:lang w:eastAsia="zh-CN"/>
        </w:rPr>
        <w:t>万元，占本年支出合计的</w:t>
      </w:r>
      <w:r>
        <w:rPr>
          <w:rFonts w:hint="eastAsia"/>
          <w:lang w:val="en-US" w:eastAsia="zh-CN"/>
        </w:rPr>
        <w:t>70.71</w:t>
      </w:r>
      <w:r>
        <w:rPr>
          <w:rFonts w:hint="eastAsia"/>
          <w:lang w:eastAsia="zh-CN"/>
        </w:rPr>
        <w:t>%。与202</w:t>
      </w:r>
      <w:r>
        <w:rPr>
          <w:rFonts w:hint="eastAsia"/>
          <w:lang w:val="en-US" w:eastAsia="zh-CN"/>
        </w:rPr>
        <w:t>4</w:t>
      </w:r>
      <w:r>
        <w:rPr>
          <w:rFonts w:hint="eastAsia"/>
          <w:lang w:eastAsia="zh-CN"/>
        </w:rPr>
        <w:t>年度相比，一般公共预算财政拨款支出增加</w:t>
      </w:r>
      <w:r>
        <w:rPr>
          <w:rFonts w:hint="eastAsia"/>
          <w:lang w:val="en-US" w:eastAsia="zh-CN"/>
        </w:rPr>
        <w:t>90</w:t>
      </w:r>
      <w:r>
        <w:rPr>
          <w:rFonts w:hint="eastAsia"/>
          <w:lang w:eastAsia="zh-CN"/>
        </w:rPr>
        <w:t>万元，增长</w:t>
      </w:r>
      <w:r>
        <w:rPr>
          <w:rFonts w:hint="eastAsia"/>
          <w:lang w:val="en-US" w:eastAsia="zh-CN"/>
        </w:rPr>
        <w:t>5.91</w:t>
      </w:r>
      <w:r>
        <w:rPr>
          <w:rFonts w:hint="eastAsia"/>
          <w:lang w:eastAsia="zh-CN"/>
        </w:rPr>
        <w:t>%。主要变动原因是：</w:t>
      </w:r>
      <w:r>
        <w:rPr>
          <w:rFonts w:hint="eastAsia"/>
          <w:lang w:val="en-US" w:eastAsia="zh-CN"/>
        </w:rPr>
        <w:t>人员增加及正常晋升工资上涨。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仿宋" w:hAnsi="仿宋" w:eastAsia="仿宋"/>
          <w:color w:val="auto"/>
          <w:sz w:val="32"/>
          <w:szCs w:val="32"/>
          <w:highlight w:val="none"/>
        </w:rPr>
      </w:pPr>
      <w:r>
        <w:drawing>
          <wp:inline distT="0" distB="0" distL="114300" distR="114300">
            <wp:extent cx="5276850" cy="2800350"/>
            <wp:effectExtent l="4445" t="4445" r="14605" b="14605"/>
            <wp:docPr id="8" name="图表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pageBreakBefore w:val="0"/>
        <w:kinsoku/>
        <w:wordWrap/>
        <w:overflowPunct/>
        <w:topLinePunct w:val="0"/>
        <w:bidi w:val="0"/>
        <w:spacing w:line="600" w:lineRule="exact"/>
        <w:ind w:firstLine="640" w:firstLineChars="200"/>
        <w:jc w:val="left"/>
        <w:rPr>
          <w:rFonts w:ascii="仿宋" w:hAnsi="仿宋" w:eastAsia="仿宋"/>
          <w:color w:val="auto"/>
          <w:sz w:val="32"/>
          <w:szCs w:val="32"/>
          <w:highlight w:val="none"/>
        </w:rPr>
      </w:pPr>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lang w:val="en-US" w:eastAsia="zh-CN"/>
        </w:rPr>
      </w:pPr>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lang w:val="en-US" w:eastAsia="zh-CN"/>
        </w:rPr>
      </w:pPr>
      <w:bookmarkStart w:id="32" w:name="_Toc15377211"/>
      <w:r>
        <w:rPr>
          <w:rFonts w:hint="eastAsia"/>
          <w:lang w:val="en-US" w:eastAsia="zh-CN"/>
        </w:rPr>
        <w:t>（二）一般公共预算财政拨款支出决算结构情况</w:t>
      </w:r>
      <w:bookmarkEnd w:id="32"/>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lang w:eastAsia="zh-CN"/>
        </w:rPr>
      </w:pPr>
      <w:bookmarkStart w:id="33" w:name="_Toc15377212"/>
      <w:r>
        <w:rPr>
          <w:rFonts w:hint="eastAsia"/>
          <w:lang w:val="en-US" w:eastAsia="zh-CN"/>
        </w:rPr>
        <w:t>2025年度一般公共预算财政拨款支出1611.76万元，主要用于以下方面:社会保障和就业支出176.3</w:t>
      </w:r>
      <w:r>
        <w:rPr>
          <w:rFonts w:hint="eastAsia"/>
          <w:lang w:eastAsia="zh-CN"/>
        </w:rPr>
        <w:t>万元，占</w:t>
      </w:r>
      <w:r>
        <w:rPr>
          <w:rFonts w:hint="eastAsia"/>
          <w:lang w:val="en-US" w:eastAsia="zh-CN"/>
        </w:rPr>
        <w:t>10.94</w:t>
      </w:r>
      <w:r>
        <w:rPr>
          <w:rFonts w:hint="eastAsia"/>
          <w:lang w:eastAsia="zh-CN"/>
        </w:rPr>
        <w:t>%；卫生健康支出</w:t>
      </w:r>
      <w:r>
        <w:rPr>
          <w:rFonts w:hint="eastAsia"/>
          <w:lang w:val="en-US" w:eastAsia="zh-CN"/>
        </w:rPr>
        <w:t>1335.48</w:t>
      </w:r>
      <w:r>
        <w:rPr>
          <w:rFonts w:hint="eastAsia"/>
          <w:lang w:eastAsia="zh-CN"/>
        </w:rPr>
        <w:t>万元，占</w:t>
      </w:r>
      <w:r>
        <w:rPr>
          <w:rFonts w:hint="eastAsia"/>
          <w:lang w:val="en-US" w:eastAsia="zh-CN"/>
        </w:rPr>
        <w:t>82.86</w:t>
      </w:r>
      <w:r>
        <w:rPr>
          <w:rFonts w:hint="eastAsia"/>
          <w:lang w:eastAsia="zh-CN"/>
        </w:rPr>
        <w:t>%；</w:t>
      </w:r>
      <w:r>
        <w:rPr>
          <w:rFonts w:hint="eastAsia"/>
          <w:lang w:val="en-US" w:eastAsia="zh-CN"/>
        </w:rPr>
        <w:t>农林水支出3.90万元，占0.24%；</w:t>
      </w:r>
      <w:r>
        <w:rPr>
          <w:rFonts w:hint="eastAsia"/>
          <w:lang w:eastAsia="zh-CN"/>
        </w:rPr>
        <w:t>住房保障支出</w:t>
      </w:r>
      <w:r>
        <w:rPr>
          <w:rFonts w:hint="eastAsia"/>
          <w:lang w:val="en-US" w:eastAsia="zh-CN"/>
        </w:rPr>
        <w:t>96.08</w:t>
      </w:r>
      <w:r>
        <w:rPr>
          <w:rFonts w:hint="eastAsia"/>
          <w:lang w:eastAsia="zh-CN"/>
        </w:rPr>
        <w:t>万元，占</w:t>
      </w:r>
      <w:r>
        <w:rPr>
          <w:rFonts w:hint="eastAsia"/>
          <w:lang w:val="en-US" w:eastAsia="zh-CN"/>
        </w:rPr>
        <w:t>5.96</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jc w:val="left"/>
        <w:textAlignment w:val="auto"/>
        <w:rPr>
          <w:rFonts w:ascii="仿宋" w:hAnsi="仿宋" w:eastAsia="仿宋"/>
          <w:color w:val="auto"/>
          <w:sz w:val="32"/>
          <w:szCs w:val="32"/>
          <w:highlight w:val="none"/>
        </w:rPr>
      </w:pPr>
      <w:r>
        <w:drawing>
          <wp:inline distT="0" distB="0" distL="114300" distR="114300">
            <wp:extent cx="4591050" cy="3467100"/>
            <wp:effectExtent l="5080" t="4445" r="13970" b="14605"/>
            <wp:docPr id="9" name="图表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lang w:val="en-US" w:eastAsia="zh-CN"/>
        </w:rPr>
      </w:pPr>
      <w:r>
        <w:rPr>
          <w:rFonts w:hint="eastAsia"/>
          <w:lang w:val="en-US" w:eastAsia="zh-CN"/>
        </w:rPr>
        <w:t>（三）一般公共预算财政拨款支出决算具体情况</w:t>
      </w:r>
      <w:bookmarkEnd w:id="33"/>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lang w:val="en-US" w:eastAsia="zh-CN"/>
        </w:rPr>
      </w:pPr>
      <w:bookmarkStart w:id="34" w:name="_Toc15377214"/>
      <w:bookmarkStart w:id="35" w:name="_Toc15396608"/>
      <w:r>
        <w:rPr>
          <w:rFonts w:hint="eastAsia"/>
          <w:lang w:val="en-US" w:eastAsia="zh-CN"/>
        </w:rPr>
        <w:t>2025年度一般公共预算支出决算数为1611.76万元，完成预算100%。其中：</w:t>
      </w:r>
    </w:p>
    <w:p>
      <w:pPr>
        <w:pStyle w:val="6"/>
        <w:pageBreakBefore w:val="0"/>
        <w:kinsoku/>
        <w:wordWrap/>
        <w:overflowPunct/>
        <w:topLinePunct w:val="0"/>
        <w:bidi w:val="0"/>
        <w:adjustRightInd w:val="0"/>
        <w:snapToGrid w:val="0"/>
        <w:spacing w:beforeLines="0" w:line="576" w:lineRule="exact"/>
        <w:ind w:firstLine="624" w:firstLineChars="208"/>
        <w:jc w:val="left"/>
        <w:outlineLvl w:val="2"/>
        <w:rPr>
          <w:rFonts w:hint="eastAsia" w:ascii="仿宋_GB2312" w:eastAsia="仿宋_GB2312" w:cs="仿宋_GB2312"/>
          <w:color w:val="000000"/>
          <w:kern w:val="2"/>
          <w:sz w:val="32"/>
          <w:szCs w:val="32"/>
          <w:highlight w:val="none"/>
          <w:lang w:val="en-US" w:eastAsia="zh-CN" w:bidi="ar-SA"/>
        </w:rPr>
      </w:pPr>
      <w:r>
        <w:rPr>
          <w:rFonts w:hint="eastAsia"/>
          <w:lang w:val="en-US" w:eastAsia="zh-CN"/>
        </w:rPr>
        <w:t>1.社会保障和就业支出（类）行政事业单位养老支出（款）机关事业单位基本养老保险缴费费支出（项）: 支出决算为117.53万元，完成预</w:t>
      </w:r>
      <w:r>
        <w:rPr>
          <w:rFonts w:hint="eastAsia" w:ascii="仿宋_GB2312" w:eastAsia="仿宋_GB2312" w:cs="仿宋_GB2312"/>
          <w:color w:val="000000"/>
          <w:kern w:val="2"/>
          <w:sz w:val="32"/>
          <w:szCs w:val="32"/>
          <w:highlight w:val="none"/>
          <w:lang w:val="en-US" w:eastAsia="zh-CN" w:bidi="ar-SA"/>
        </w:rPr>
        <w:t>算100%，决算数与预算数持平。</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2. 社会保障和就业支出（类）行政事业单位养老支出（款）机关事业单位职业年金缴费支出（项）: 支出决算为58.77万元，完成预算100%</w:t>
      </w:r>
      <w:r>
        <w:rPr>
          <w:rFonts w:hint="eastAsia" w:ascii="仿宋_GB2312" w:eastAsia="仿宋_GB2312" w:cs="仿宋_GB2312"/>
          <w:color w:val="000000"/>
          <w:kern w:val="2"/>
          <w:sz w:val="32"/>
          <w:szCs w:val="32"/>
          <w:lang w:val="en-US" w:eastAsia="zh-CN" w:bidi="ar-SA"/>
        </w:rPr>
        <w:t>，决算数与预算数持平</w:t>
      </w:r>
      <w:r>
        <w:rPr>
          <w:rFonts w:hint="eastAsia" w:ascii="仿宋_GB2312" w:eastAsia="仿宋_GB2312" w:cs="仿宋_GB2312"/>
          <w:color w:val="000000"/>
          <w:kern w:val="2"/>
          <w:sz w:val="32"/>
          <w:szCs w:val="32"/>
          <w:highlight w:val="none"/>
          <w:lang w:val="en-US" w:eastAsia="zh-CN" w:bidi="ar-SA"/>
        </w:rPr>
        <w:t>。</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3. 卫生健康支出（类）公共卫生（款）妇幼保健机构（项）:支出决算为927.25万元，完成预算100%</w:t>
      </w:r>
      <w:r>
        <w:rPr>
          <w:rFonts w:hint="eastAsia" w:ascii="仿宋_GB2312" w:eastAsia="仿宋_GB2312" w:cs="仿宋_GB2312"/>
          <w:color w:val="000000"/>
          <w:kern w:val="2"/>
          <w:sz w:val="32"/>
          <w:szCs w:val="32"/>
          <w:lang w:val="en-US" w:eastAsia="zh-CN" w:bidi="ar-SA"/>
        </w:rPr>
        <w:t>，决算数与预算数持平</w:t>
      </w:r>
      <w:r>
        <w:rPr>
          <w:rFonts w:hint="eastAsia" w:ascii="仿宋_GB2312" w:eastAsia="仿宋_GB2312" w:cs="仿宋_GB2312"/>
          <w:color w:val="000000"/>
          <w:kern w:val="2"/>
          <w:sz w:val="32"/>
          <w:szCs w:val="32"/>
          <w:highlight w:val="none"/>
          <w:lang w:val="en-US" w:eastAsia="zh-CN" w:bidi="ar-SA"/>
        </w:rPr>
        <w:t>。</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4.卫生健康支出（类）公共卫生（款）基本公共卫生服务（项）:支出决算为25.92万元，完成预算100%</w:t>
      </w:r>
      <w:r>
        <w:rPr>
          <w:rFonts w:hint="eastAsia" w:ascii="仿宋_GB2312" w:eastAsia="仿宋_GB2312" w:cs="仿宋_GB2312"/>
          <w:color w:val="000000"/>
          <w:kern w:val="2"/>
          <w:sz w:val="32"/>
          <w:szCs w:val="32"/>
          <w:lang w:val="en-US" w:eastAsia="zh-CN" w:bidi="ar-SA"/>
        </w:rPr>
        <w:t>，决算数与预算数持平</w:t>
      </w:r>
      <w:r>
        <w:rPr>
          <w:rFonts w:hint="eastAsia" w:ascii="仿宋_GB2312" w:eastAsia="仿宋_GB2312" w:cs="仿宋_GB2312"/>
          <w:color w:val="000000"/>
          <w:kern w:val="2"/>
          <w:sz w:val="32"/>
          <w:szCs w:val="32"/>
          <w:highlight w:val="none"/>
          <w:lang w:val="en-US" w:eastAsia="zh-CN" w:bidi="ar-SA"/>
        </w:rPr>
        <w:t>。</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5.卫生健康支出（类）公共卫生（款）重大公共卫生专项（项）:支出决算为13.22万元，完成预算100%</w:t>
      </w:r>
      <w:r>
        <w:rPr>
          <w:rFonts w:hint="eastAsia" w:ascii="仿宋_GB2312" w:eastAsia="仿宋_GB2312" w:cs="仿宋_GB2312"/>
          <w:color w:val="000000"/>
          <w:kern w:val="2"/>
          <w:sz w:val="32"/>
          <w:szCs w:val="32"/>
          <w:lang w:val="en-US" w:eastAsia="zh-CN" w:bidi="ar-SA"/>
        </w:rPr>
        <w:t>，决算数与预算数持平</w:t>
      </w:r>
      <w:r>
        <w:rPr>
          <w:rFonts w:hint="eastAsia" w:ascii="仿宋_GB2312" w:eastAsia="仿宋_GB2312" w:cs="仿宋_GB2312"/>
          <w:color w:val="000000"/>
          <w:kern w:val="2"/>
          <w:sz w:val="32"/>
          <w:szCs w:val="32"/>
          <w:highlight w:val="none"/>
          <w:lang w:val="en-US" w:eastAsia="zh-CN" w:bidi="ar-SA"/>
        </w:rPr>
        <w:t>。</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6.卫生健康支出（类）计划生育事务（款）其他计划生育事务支出（项）:支出决算为13.18万元，完成预算100%</w:t>
      </w:r>
      <w:r>
        <w:rPr>
          <w:rFonts w:hint="eastAsia" w:ascii="仿宋_GB2312" w:eastAsia="仿宋_GB2312" w:cs="仿宋_GB2312"/>
          <w:color w:val="000000"/>
          <w:kern w:val="2"/>
          <w:sz w:val="32"/>
          <w:szCs w:val="32"/>
          <w:lang w:val="en-US" w:eastAsia="zh-CN" w:bidi="ar-SA"/>
        </w:rPr>
        <w:t>，决算数与预算数持平</w:t>
      </w:r>
      <w:r>
        <w:rPr>
          <w:rFonts w:hint="eastAsia" w:ascii="仿宋_GB2312" w:eastAsia="仿宋_GB2312" w:cs="仿宋_GB2312"/>
          <w:color w:val="000000"/>
          <w:kern w:val="2"/>
          <w:sz w:val="32"/>
          <w:szCs w:val="32"/>
          <w:highlight w:val="none"/>
          <w:lang w:val="en-US" w:eastAsia="zh-CN" w:bidi="ar-SA"/>
        </w:rPr>
        <w:t>。</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7.卫生健康支出（类）行政事业单位医疗（款）事业单位医疗（项）:支出决算为69.62万元，完成预算100%</w:t>
      </w:r>
      <w:r>
        <w:rPr>
          <w:rFonts w:hint="eastAsia" w:ascii="仿宋_GB2312" w:eastAsia="仿宋_GB2312" w:cs="仿宋_GB2312"/>
          <w:color w:val="000000"/>
          <w:kern w:val="2"/>
          <w:sz w:val="32"/>
          <w:szCs w:val="32"/>
          <w:lang w:val="en-US" w:eastAsia="zh-CN" w:bidi="ar-SA"/>
        </w:rPr>
        <w:t>，决算数与预算数持平</w:t>
      </w:r>
      <w:r>
        <w:rPr>
          <w:rFonts w:hint="eastAsia" w:ascii="仿宋_GB2312" w:eastAsia="仿宋_GB2312" w:cs="仿宋_GB2312"/>
          <w:color w:val="000000"/>
          <w:kern w:val="2"/>
          <w:sz w:val="32"/>
          <w:szCs w:val="32"/>
          <w:highlight w:val="none"/>
          <w:lang w:val="en-US" w:eastAsia="zh-CN" w:bidi="ar-SA"/>
        </w:rPr>
        <w:t>。</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8.卫生健康支出（类）其他卫生健康支出（款）其他卫生健康支出（项）:支出决算为286.28万元，完成预算100%</w:t>
      </w:r>
      <w:r>
        <w:rPr>
          <w:rFonts w:hint="eastAsia" w:ascii="仿宋_GB2312" w:eastAsia="仿宋_GB2312" w:cs="仿宋_GB2312"/>
          <w:color w:val="000000"/>
          <w:kern w:val="2"/>
          <w:sz w:val="32"/>
          <w:szCs w:val="32"/>
          <w:lang w:val="en-US" w:eastAsia="zh-CN" w:bidi="ar-SA"/>
        </w:rPr>
        <w:t>，决算数与预算数持平</w:t>
      </w:r>
      <w:r>
        <w:rPr>
          <w:rFonts w:hint="eastAsia" w:ascii="仿宋_GB2312" w:eastAsia="仿宋_GB2312" w:cs="仿宋_GB2312"/>
          <w:color w:val="000000"/>
          <w:kern w:val="2"/>
          <w:sz w:val="32"/>
          <w:szCs w:val="32"/>
          <w:highlight w:val="none"/>
          <w:lang w:val="en-US" w:eastAsia="zh-CN" w:bidi="ar-SA"/>
        </w:rPr>
        <w:t>。</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9.农林水支出（类）巩固脱贫攻坚成果衔接乡村振兴（款）其他巩固脱贫攻坚成果衔接乡村振兴支出（项）:支出决算为3.9万元，完成预算100%</w:t>
      </w:r>
      <w:r>
        <w:rPr>
          <w:rFonts w:hint="eastAsia" w:ascii="仿宋_GB2312" w:eastAsia="仿宋_GB2312" w:cs="仿宋_GB2312"/>
          <w:color w:val="000000"/>
          <w:kern w:val="2"/>
          <w:sz w:val="32"/>
          <w:szCs w:val="32"/>
          <w:lang w:val="en-US" w:eastAsia="zh-CN" w:bidi="ar-SA"/>
        </w:rPr>
        <w:t>，决算数与预算数持平</w:t>
      </w:r>
      <w:r>
        <w:rPr>
          <w:rFonts w:hint="eastAsia" w:ascii="仿宋_GB2312" w:eastAsia="仿宋_GB2312" w:cs="仿宋_GB2312"/>
          <w:color w:val="000000"/>
          <w:kern w:val="2"/>
          <w:sz w:val="32"/>
          <w:szCs w:val="32"/>
          <w:highlight w:val="none"/>
          <w:lang w:val="en-US" w:eastAsia="zh-CN" w:bidi="ar-SA"/>
        </w:rPr>
        <w:t>。</w:t>
      </w:r>
    </w:p>
    <w:p>
      <w:pPr>
        <w:pageBreakBefore w:val="0"/>
        <w:kinsoku/>
        <w:wordWrap/>
        <w:overflowPunct/>
        <w:topLinePunct w:val="0"/>
        <w:bidi w:val="0"/>
        <w:spacing w:line="600" w:lineRule="exact"/>
        <w:ind w:firstLine="640" w:firstLineChars="200"/>
        <w:jc w:val="left"/>
        <w:outlineLvl w:val="1"/>
        <w:rPr>
          <w:rFonts w:ascii="仿宋" w:hAnsi="仿宋" w:eastAsia="仿宋"/>
          <w:b/>
          <w:color w:val="auto"/>
          <w:sz w:val="32"/>
          <w:szCs w:val="32"/>
          <w:highlight w:val="none"/>
        </w:rPr>
      </w:pPr>
      <w:r>
        <w:rPr>
          <w:rFonts w:hint="eastAsia" w:ascii="仿宋_GB2312" w:eastAsia="仿宋_GB2312" w:cs="仿宋_GB2312"/>
          <w:color w:val="000000"/>
          <w:kern w:val="2"/>
          <w:sz w:val="32"/>
          <w:szCs w:val="32"/>
          <w:highlight w:val="none"/>
          <w:lang w:val="en-US" w:eastAsia="zh-CN" w:bidi="ar-SA"/>
        </w:rPr>
        <w:t>10.住房保障支出（类）住房改革支出（款）住房公积金（项）:支出决算为96.08万元，完成预算100%</w:t>
      </w:r>
      <w:r>
        <w:rPr>
          <w:rFonts w:hint="eastAsia" w:ascii="仿宋_GB2312" w:eastAsia="仿宋_GB2312" w:cs="仿宋_GB2312"/>
          <w:color w:val="000000"/>
          <w:kern w:val="2"/>
          <w:sz w:val="32"/>
          <w:szCs w:val="32"/>
          <w:lang w:val="en-US" w:eastAsia="zh-CN" w:bidi="ar-SA"/>
        </w:rPr>
        <w:t>，决算数与预算数持平</w:t>
      </w:r>
      <w:r>
        <w:rPr>
          <w:rFonts w:hint="eastAsia" w:ascii="仿宋_GB2312" w:eastAsia="仿宋_GB2312" w:cs="仿宋_GB2312"/>
          <w:color w:val="000000"/>
          <w:kern w:val="2"/>
          <w:sz w:val="32"/>
          <w:szCs w:val="32"/>
          <w:highlight w:val="none"/>
          <w:lang w:val="en-US" w:eastAsia="zh-CN" w:bidi="ar-SA"/>
        </w:rPr>
        <w:t>。</w:t>
      </w:r>
    </w:p>
    <w:p>
      <w:pPr>
        <w:pageBreakBefore w:val="0"/>
        <w:tabs>
          <w:tab w:val="right" w:pos="8306"/>
        </w:tabs>
        <w:kinsoku/>
        <w:wordWrap/>
        <w:overflowPunct/>
        <w:topLinePunct w:val="0"/>
        <w:bidi w:val="0"/>
        <w:spacing w:line="600" w:lineRule="exact"/>
        <w:ind w:firstLine="640"/>
        <w:jc w:val="left"/>
        <w:outlineLvl w:val="1"/>
        <w:rPr>
          <w:rStyle w:val="30"/>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bookmarkStart w:id="36" w:name="_Toc15377215"/>
      <w:bookmarkStart w:id="37" w:name="_Toc15396609"/>
      <w:r>
        <w:rPr>
          <w:rFonts w:hint="eastAsia" w:ascii="仿宋_GB2312" w:eastAsia="仿宋_GB2312" w:cs="仿宋_GB2312"/>
          <w:color w:val="000000"/>
          <w:kern w:val="2"/>
          <w:sz w:val="32"/>
          <w:szCs w:val="32"/>
          <w:highlight w:val="none"/>
          <w:lang w:val="en-US" w:eastAsia="zh-CN" w:bidi="ar-SA"/>
        </w:rPr>
        <w:t>2025年度一般公共预算财政拨款基本支出1267.98万元，其中：</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人员经费1239.77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eastAsia="仿宋_GB2312" w:cs="仿宋_GB2312"/>
          <w:color w:val="000000"/>
          <w:kern w:val="2"/>
          <w:sz w:val="32"/>
          <w:szCs w:val="32"/>
          <w:highlight w:val="none"/>
          <w:lang w:val="en-US" w:eastAsia="zh-CN" w:bidi="ar-SA"/>
        </w:rPr>
        <w:br w:type="textWrapping"/>
      </w:r>
      <w:r>
        <w:rPr>
          <w:rFonts w:hint="eastAsia" w:ascii="仿宋_GB2312" w:eastAsia="仿宋_GB2312" w:cs="仿宋_GB2312"/>
          <w:color w:val="000000"/>
          <w:kern w:val="2"/>
          <w:sz w:val="32"/>
          <w:szCs w:val="32"/>
          <w:highlight w:val="none"/>
          <w:lang w:val="en-US" w:eastAsia="zh-CN" w:bidi="ar-SA"/>
        </w:rPr>
        <w:t>　　公用经费28.21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pageBreakBefore w:val="0"/>
        <w:kinsoku/>
        <w:wordWrap/>
        <w:overflowPunct/>
        <w:topLinePunct w:val="0"/>
        <w:bidi w:val="0"/>
        <w:spacing w:line="600" w:lineRule="exact"/>
        <w:ind w:firstLine="640"/>
        <w:jc w:val="left"/>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eastAsia="黑体"/>
          <w:b w:val="0"/>
          <w:color w:val="auto"/>
          <w:highlight w:val="none"/>
          <w:lang w:eastAsia="zh-CN"/>
        </w:rPr>
        <w:t>“</w:t>
      </w:r>
      <w:r>
        <w:rPr>
          <w:rStyle w:val="30"/>
          <w:rFonts w:hint="eastAsia" w:ascii="Times New Roman" w:hAnsi="Times New Roman" w:eastAsia="黑体"/>
          <w:b w:val="0"/>
          <w:color w:val="auto"/>
          <w:highlight w:val="none"/>
        </w:rPr>
        <w:t>三公</w:t>
      </w:r>
      <w:r>
        <w:rPr>
          <w:rStyle w:val="30"/>
          <w:rFonts w:hint="eastAsia" w:eastAsia="黑体"/>
          <w:b w:val="0"/>
          <w:color w:val="auto"/>
          <w:highlight w:val="none"/>
          <w:lang w:eastAsia="zh-CN"/>
        </w:rPr>
        <w:t>”</w:t>
      </w:r>
      <w:r>
        <w:rPr>
          <w:rStyle w:val="30"/>
          <w:rFonts w:hint="eastAsia" w:ascii="Times New Roman" w:hAnsi="Times New Roman" w:eastAsia="黑体"/>
          <w:b w:val="0"/>
          <w:color w:val="auto"/>
          <w:highlight w:val="none"/>
        </w:rPr>
        <w:t>经费支出决算情况说明</w:t>
      </w:r>
      <w:bookmarkEnd w:id="36"/>
      <w:bookmarkEnd w:id="37"/>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bookmarkStart w:id="38" w:name="_Toc15377218"/>
      <w:bookmarkStart w:id="39" w:name="_Toc15396610"/>
      <w:r>
        <w:rPr>
          <w:rFonts w:hint="eastAsia" w:ascii="仿宋_GB2312" w:eastAsia="仿宋_GB2312" w:cs="仿宋_GB2312"/>
          <w:color w:val="000000"/>
          <w:kern w:val="2"/>
          <w:sz w:val="32"/>
          <w:szCs w:val="32"/>
          <w:highlight w:val="none"/>
          <w:lang w:val="en-US" w:eastAsia="zh-CN" w:bidi="ar-SA"/>
        </w:rPr>
        <w:t>（一）“三公”经费财政拨款支出决算总体情况说明</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2025年度“三公”经费财政拨款支出决算为0.72万元，完成预算75%，与上年度相比增加0.52万元，增长260%。主要原因是：厉行节约，压减支出。</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（二）“三公”经费财政拨款支出决算具体情况说明</w:t>
      </w:r>
    </w:p>
    <w:p>
      <w:pPr>
        <w:pageBreakBefore w:val="0"/>
        <w:kinsoku/>
        <w:wordWrap/>
        <w:overflowPunct/>
        <w:topLinePunct w:val="0"/>
        <w:bidi w:val="0"/>
        <w:spacing w:line="600" w:lineRule="exact"/>
        <w:ind w:firstLine="640" w:firstLineChars="200"/>
        <w:jc w:val="left"/>
        <w:outlineLvl w:val="1"/>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2025年度“三公”经费财政拨款支出决算中，公务用车运行维护费支出决算0.72万元，占100%。具体情况如下：</w:t>
      </w:r>
    </w:p>
    <w:p>
      <w:pPr>
        <w:pStyle w:val="14"/>
        <w:pageBreakBefore w:val="0"/>
        <w:kinsoku/>
        <w:wordWrap/>
        <w:overflowPunct/>
        <w:topLinePunct w:val="0"/>
        <w:bidi w:val="0"/>
        <w:jc w:val="left"/>
      </w:pPr>
      <w:r>
        <w:drawing>
          <wp:inline distT="0" distB="0" distL="114300" distR="114300">
            <wp:extent cx="4572000" cy="2990850"/>
            <wp:effectExtent l="4445" t="4445" r="14605" b="14605"/>
            <wp:docPr id="10" name="图表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ageBreakBefore w:val="0"/>
        <w:kinsoku/>
        <w:wordWrap/>
        <w:overflowPunct/>
        <w:topLinePunct w:val="0"/>
        <w:bidi w:val="0"/>
        <w:spacing w:line="600" w:lineRule="exact"/>
        <w:ind w:firstLine="640"/>
        <w:jc w:val="left"/>
        <w:rPr>
          <w:rFonts w:ascii="仿宋_GB2312" w:eastAsia="仿宋_GB2312"/>
          <w:b w:val="0"/>
          <w:bCs/>
          <w:color w:val="auto"/>
          <w:sz w:val="32"/>
          <w:szCs w:val="32"/>
          <w:highlight w:val="none"/>
        </w:rPr>
      </w:pPr>
      <w:r>
        <w:rPr>
          <w:rFonts w:ascii="仿宋_GB2312" w:eastAsia="仿宋_GB2312"/>
          <w:b w:val="0"/>
          <w:bCs/>
          <w:color w:val="auto"/>
          <w:sz w:val="32"/>
          <w:szCs w:val="32"/>
          <w:highlight w:val="none"/>
        </w:rPr>
        <w:t>1.</w:t>
      </w:r>
      <w:r>
        <w:rPr>
          <w:rFonts w:hint="eastAsia" w:ascii="仿宋_GB2312" w:eastAsia="仿宋_GB2312"/>
          <w:b w:val="0"/>
          <w:bCs/>
          <w:color w:val="auto"/>
          <w:sz w:val="32"/>
          <w:szCs w:val="32"/>
          <w:highlight w:val="none"/>
        </w:rPr>
        <w:t>因公出国（境）经费支出</w:t>
      </w:r>
      <w:r>
        <w:rPr>
          <w:rFonts w:hint="eastAsia" w:ascii="仿宋_GB2312" w:eastAsia="仿宋_GB2312"/>
          <w:b w:val="0"/>
          <w:bCs/>
          <w:color w:val="auto"/>
          <w:sz w:val="32"/>
          <w:szCs w:val="32"/>
          <w:highlight w:val="none"/>
          <w:lang w:val="en-US" w:eastAsia="zh-CN"/>
        </w:rPr>
        <w:t>0</w:t>
      </w:r>
      <w:r>
        <w:rPr>
          <w:rFonts w:hint="eastAsia" w:ascii="仿宋_GB2312" w:eastAsia="仿宋_GB2312"/>
          <w:b w:val="0"/>
          <w:bCs/>
          <w:color w:val="auto"/>
          <w:sz w:val="32"/>
          <w:szCs w:val="32"/>
          <w:highlight w:val="none"/>
        </w:rPr>
        <w:t>万元。</w:t>
      </w:r>
    </w:p>
    <w:p>
      <w:pPr>
        <w:pageBreakBefore w:val="0"/>
        <w:kinsoku/>
        <w:wordWrap/>
        <w:overflowPunct/>
        <w:topLinePunct w:val="0"/>
        <w:bidi w:val="0"/>
        <w:spacing w:line="600" w:lineRule="exact"/>
        <w:ind w:firstLine="640"/>
        <w:jc w:val="left"/>
        <w:rPr>
          <w:rFonts w:ascii="仿宋_GB2312" w:eastAsia="仿宋_GB2312"/>
          <w:b w:val="0"/>
          <w:bCs/>
          <w:color w:val="auto"/>
          <w:sz w:val="32"/>
          <w:szCs w:val="32"/>
          <w:highlight w:val="none"/>
        </w:rPr>
      </w:pPr>
      <w:r>
        <w:rPr>
          <w:rFonts w:ascii="仿宋_GB2312" w:eastAsia="仿宋_GB2312"/>
          <w:b w:val="0"/>
          <w:bCs/>
          <w:color w:val="auto"/>
          <w:sz w:val="32"/>
          <w:szCs w:val="32"/>
          <w:highlight w:val="none"/>
        </w:rPr>
        <w:t>2.</w:t>
      </w:r>
      <w:r>
        <w:rPr>
          <w:rFonts w:hint="eastAsia" w:ascii="仿宋_GB2312" w:eastAsia="仿宋_GB2312"/>
          <w:b w:val="0"/>
          <w:bCs/>
          <w:color w:val="auto"/>
          <w:sz w:val="32"/>
          <w:szCs w:val="32"/>
          <w:highlight w:val="none"/>
        </w:rPr>
        <w:t>公务用车购置及运行维护费支出</w:t>
      </w:r>
      <w:r>
        <w:rPr>
          <w:rFonts w:hint="eastAsia" w:ascii="仿宋_GB2312" w:eastAsia="仿宋_GB2312"/>
          <w:b w:val="0"/>
          <w:bCs/>
          <w:color w:val="auto"/>
          <w:sz w:val="32"/>
          <w:szCs w:val="32"/>
          <w:highlight w:val="none"/>
          <w:lang w:val="en-US" w:eastAsia="zh-CN"/>
        </w:rPr>
        <w:t>0.72</w:t>
      </w:r>
      <w:r>
        <w:rPr>
          <w:rFonts w:hint="eastAsia" w:ascii="仿宋_GB2312" w:eastAsia="仿宋_GB2312"/>
          <w:b w:val="0"/>
          <w:bCs/>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75</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b w:val="0"/>
          <w:bCs/>
          <w:color w:val="auto"/>
          <w:sz w:val="32"/>
          <w:szCs w:val="32"/>
          <w:highlight w:val="none"/>
        </w:rPr>
        <w:t>公务用车购置及运行维护费支出决算</w:t>
      </w:r>
      <w:r>
        <w:rPr>
          <w:rFonts w:hint="eastAsia" w:ascii="仿宋_GB2312" w:eastAsia="仿宋_GB2312"/>
          <w:b w:val="0"/>
          <w:bCs/>
          <w:color w:val="auto"/>
          <w:sz w:val="32"/>
          <w:szCs w:val="32"/>
          <w:highlight w:val="none"/>
          <w:lang w:eastAsia="zh-CN"/>
        </w:rPr>
        <w:t>与202</w:t>
      </w:r>
      <w:r>
        <w:rPr>
          <w:rFonts w:hint="eastAsia" w:ascii="仿宋_GB2312" w:eastAsia="仿宋_GB2312"/>
          <w:b w:val="0"/>
          <w:bCs/>
          <w:color w:val="auto"/>
          <w:sz w:val="32"/>
          <w:szCs w:val="32"/>
          <w:highlight w:val="none"/>
          <w:lang w:val="en-US" w:eastAsia="zh-CN"/>
        </w:rPr>
        <w:t>4</w:t>
      </w:r>
      <w:r>
        <w:rPr>
          <w:rFonts w:hint="eastAsia" w:ascii="仿宋_GB2312" w:eastAsia="仿宋_GB2312"/>
          <w:b w:val="0"/>
          <w:bCs/>
          <w:color w:val="auto"/>
          <w:sz w:val="32"/>
          <w:szCs w:val="32"/>
          <w:highlight w:val="none"/>
          <w:lang w:eastAsia="zh-CN"/>
        </w:rPr>
        <w:t>年度相比</w:t>
      </w:r>
      <w:r>
        <w:rPr>
          <w:rFonts w:hint="eastAsia" w:ascii="仿宋" w:hAnsi="仿宋" w:eastAsia="仿宋"/>
          <w:b w:val="0"/>
          <w:bCs/>
          <w:color w:val="auto"/>
          <w:sz w:val="32"/>
          <w:szCs w:val="32"/>
          <w:highlight w:val="none"/>
          <w:lang w:eastAsia="zh-CN"/>
        </w:rPr>
        <w:t>增加</w:t>
      </w:r>
      <w:r>
        <w:rPr>
          <w:rFonts w:hint="eastAsia" w:ascii="仿宋" w:hAnsi="仿宋" w:eastAsia="仿宋"/>
          <w:b w:val="0"/>
          <w:bCs/>
          <w:color w:val="auto"/>
          <w:sz w:val="32"/>
          <w:szCs w:val="32"/>
          <w:highlight w:val="none"/>
          <w:lang w:val="en-US" w:eastAsia="zh-CN"/>
        </w:rPr>
        <w:t>0.52万元，增长260%</w:t>
      </w:r>
      <w:r>
        <w:rPr>
          <w:rFonts w:hint="eastAsia" w:ascii="仿宋_GB2312" w:eastAsia="仿宋_GB2312"/>
          <w:b w:val="0"/>
          <w:bCs/>
          <w:color w:val="auto"/>
          <w:sz w:val="32"/>
          <w:szCs w:val="32"/>
          <w:highlight w:val="none"/>
        </w:rPr>
        <w:t>。主要原因是</w:t>
      </w:r>
      <w:r>
        <w:rPr>
          <w:rFonts w:hint="eastAsia" w:ascii="仿宋" w:hAnsi="仿宋" w:eastAsia="仿宋"/>
          <w:b w:val="0"/>
          <w:bCs/>
          <w:color w:val="auto"/>
          <w:sz w:val="32"/>
          <w:szCs w:val="32"/>
          <w:highlight w:val="none"/>
          <w:lang w:eastAsia="zh-CN"/>
        </w:rPr>
        <w:t>：厉行节约，压减支出</w:t>
      </w:r>
      <w:r>
        <w:rPr>
          <w:rFonts w:hint="eastAsia" w:ascii="仿宋_GB2312" w:eastAsia="仿宋_GB2312"/>
          <w:b w:val="0"/>
          <w:bCs/>
          <w:color w:val="auto"/>
          <w:sz w:val="32"/>
          <w:szCs w:val="32"/>
          <w:highlight w:val="none"/>
        </w:rPr>
        <w:t>。</w:t>
      </w:r>
    </w:p>
    <w:p>
      <w:pPr>
        <w:pageBreakBefore w:val="0"/>
        <w:kinsoku/>
        <w:wordWrap/>
        <w:overflowPunct/>
        <w:topLinePunct w:val="0"/>
        <w:bidi w:val="0"/>
        <w:spacing w:line="600" w:lineRule="exact"/>
        <w:ind w:firstLine="640" w:firstLineChars="200"/>
        <w:jc w:val="left"/>
        <w:rPr>
          <w:rFonts w:ascii="仿宋_GB2312" w:eastAsia="仿宋_GB2312"/>
          <w:b w:val="0"/>
          <w:bCs/>
          <w:color w:val="auto"/>
          <w:sz w:val="32"/>
          <w:szCs w:val="32"/>
          <w:highlight w:val="none"/>
        </w:rPr>
      </w:pPr>
      <w:r>
        <w:rPr>
          <w:rFonts w:hint="eastAsia" w:ascii="仿宋_GB2312" w:eastAsia="仿宋_GB2312"/>
          <w:b w:val="0"/>
          <w:bCs/>
          <w:color w:val="auto"/>
          <w:sz w:val="32"/>
          <w:szCs w:val="32"/>
          <w:highlight w:val="none"/>
        </w:rPr>
        <w:t>截至</w:t>
      </w:r>
      <w:r>
        <w:rPr>
          <w:rFonts w:hint="eastAsia" w:ascii="仿宋_GB2312" w:eastAsia="仿宋_GB2312"/>
          <w:b w:val="0"/>
          <w:bCs/>
          <w:color w:val="auto"/>
          <w:sz w:val="32"/>
          <w:szCs w:val="32"/>
          <w:highlight w:val="none"/>
          <w:lang w:eastAsia="zh-CN"/>
        </w:rPr>
        <w:t>202</w:t>
      </w:r>
      <w:r>
        <w:rPr>
          <w:rFonts w:hint="eastAsia" w:ascii="仿宋_GB2312" w:eastAsia="仿宋_GB2312"/>
          <w:b w:val="0"/>
          <w:bCs/>
          <w:color w:val="auto"/>
          <w:sz w:val="32"/>
          <w:szCs w:val="32"/>
          <w:highlight w:val="none"/>
          <w:lang w:val="en-US" w:eastAsia="zh-CN"/>
        </w:rPr>
        <w:t>5</w:t>
      </w:r>
      <w:r>
        <w:rPr>
          <w:rFonts w:hint="eastAsia" w:ascii="仿宋_GB2312" w:eastAsia="仿宋_GB2312"/>
          <w:b w:val="0"/>
          <w:bCs/>
          <w:color w:val="auto"/>
          <w:sz w:val="32"/>
          <w:szCs w:val="32"/>
          <w:highlight w:val="none"/>
          <w:lang w:eastAsia="zh-CN"/>
        </w:rPr>
        <w:t>年</w:t>
      </w:r>
      <w:r>
        <w:rPr>
          <w:rFonts w:ascii="仿宋_GB2312" w:eastAsia="仿宋_GB2312"/>
          <w:b w:val="0"/>
          <w:bCs/>
          <w:color w:val="auto"/>
          <w:sz w:val="32"/>
          <w:szCs w:val="32"/>
          <w:highlight w:val="none"/>
        </w:rPr>
        <w:t>12</w:t>
      </w:r>
      <w:r>
        <w:rPr>
          <w:rFonts w:hint="eastAsia" w:ascii="仿宋_GB2312" w:eastAsia="仿宋_GB2312"/>
          <w:b w:val="0"/>
          <w:bCs/>
          <w:color w:val="auto"/>
          <w:sz w:val="32"/>
          <w:szCs w:val="32"/>
          <w:highlight w:val="none"/>
        </w:rPr>
        <w:t>月</w:t>
      </w:r>
      <w:r>
        <w:rPr>
          <w:rFonts w:hint="eastAsia" w:ascii="仿宋_GB2312" w:eastAsia="仿宋_GB2312"/>
          <w:b w:val="0"/>
          <w:bCs/>
          <w:color w:val="auto"/>
          <w:sz w:val="32"/>
          <w:szCs w:val="32"/>
          <w:highlight w:val="none"/>
          <w:lang w:val="en-US" w:eastAsia="zh-CN"/>
        </w:rPr>
        <w:t>31日</w:t>
      </w:r>
      <w:r>
        <w:rPr>
          <w:rFonts w:hint="eastAsia" w:ascii="仿宋_GB2312" w:eastAsia="仿宋_GB2312"/>
          <w:b w:val="0"/>
          <w:bCs/>
          <w:color w:val="auto"/>
          <w:sz w:val="32"/>
          <w:szCs w:val="32"/>
          <w:highlight w:val="none"/>
        </w:rPr>
        <w:t>，单位共有公务用车</w:t>
      </w:r>
      <w:r>
        <w:rPr>
          <w:rFonts w:hint="eastAsia" w:ascii="仿宋_GB2312" w:eastAsia="仿宋_GB2312"/>
          <w:b w:val="0"/>
          <w:bCs/>
          <w:color w:val="auto"/>
          <w:sz w:val="32"/>
          <w:szCs w:val="32"/>
          <w:highlight w:val="none"/>
          <w:lang w:val="en-US" w:eastAsia="zh-CN"/>
        </w:rPr>
        <w:t>3</w:t>
      </w:r>
      <w:r>
        <w:rPr>
          <w:rFonts w:hint="eastAsia" w:ascii="仿宋_GB2312" w:eastAsia="仿宋_GB2312"/>
          <w:b w:val="0"/>
          <w:bCs/>
          <w:color w:val="auto"/>
          <w:sz w:val="32"/>
          <w:szCs w:val="32"/>
          <w:highlight w:val="none"/>
        </w:rPr>
        <w:t>辆，其中：</w:t>
      </w:r>
      <w:r>
        <w:rPr>
          <w:rFonts w:hint="eastAsia" w:ascii="仿宋_GB2312" w:eastAsia="仿宋_GB2312"/>
          <w:b w:val="0"/>
          <w:bCs/>
          <w:color w:val="auto"/>
          <w:sz w:val="32"/>
          <w:szCs w:val="32"/>
          <w:highlight w:val="none"/>
          <w:lang w:eastAsia="zh-CN"/>
        </w:rPr>
        <w:t>应急保障用车</w:t>
      </w:r>
      <w:r>
        <w:rPr>
          <w:rFonts w:hint="eastAsia" w:ascii="仿宋_GB2312" w:eastAsia="仿宋_GB2312"/>
          <w:b w:val="0"/>
          <w:bCs/>
          <w:color w:val="auto"/>
          <w:sz w:val="32"/>
          <w:szCs w:val="32"/>
          <w:highlight w:val="none"/>
          <w:lang w:val="en-US" w:eastAsia="zh-CN"/>
        </w:rPr>
        <w:t>3辆</w:t>
      </w:r>
      <w:r>
        <w:rPr>
          <w:rFonts w:hint="eastAsia" w:ascii="仿宋_GB2312" w:eastAsia="仿宋_GB2312"/>
          <w:b w:val="0"/>
          <w:bCs/>
          <w:color w:val="auto"/>
          <w:sz w:val="32"/>
          <w:szCs w:val="32"/>
          <w:highlight w:val="none"/>
        </w:rPr>
        <w:t>。</w:t>
      </w:r>
    </w:p>
    <w:p>
      <w:pPr>
        <w:pageBreakBefore w:val="0"/>
        <w:kinsoku/>
        <w:wordWrap/>
        <w:overflowPunct/>
        <w:topLinePunct w:val="0"/>
        <w:bidi w:val="0"/>
        <w:spacing w:line="600" w:lineRule="exact"/>
        <w:ind w:firstLine="640"/>
        <w:jc w:val="left"/>
        <w:rPr>
          <w:rFonts w:ascii="仿宋_GB2312" w:eastAsia="仿宋_GB2312"/>
          <w:b w:val="0"/>
          <w:bCs/>
          <w:color w:val="auto"/>
          <w:sz w:val="32"/>
          <w:szCs w:val="32"/>
          <w:highlight w:val="none"/>
        </w:rPr>
      </w:pPr>
      <w:r>
        <w:rPr>
          <w:rFonts w:hint="eastAsia" w:ascii="仿宋_GB2312" w:eastAsia="仿宋_GB2312"/>
          <w:b w:val="0"/>
          <w:bCs/>
          <w:color w:val="auto"/>
          <w:sz w:val="32"/>
          <w:szCs w:val="32"/>
          <w:highlight w:val="none"/>
        </w:rPr>
        <w:t>公务用车运行维护费支出</w:t>
      </w:r>
      <w:r>
        <w:rPr>
          <w:rFonts w:hint="eastAsia" w:ascii="仿宋_GB2312" w:eastAsia="仿宋_GB2312"/>
          <w:b w:val="0"/>
          <w:bCs/>
          <w:color w:val="auto"/>
          <w:sz w:val="32"/>
          <w:szCs w:val="32"/>
          <w:highlight w:val="none"/>
          <w:lang w:val="en-US" w:eastAsia="zh-CN"/>
        </w:rPr>
        <w:t>0.72</w:t>
      </w:r>
      <w:r>
        <w:rPr>
          <w:rFonts w:hint="eastAsia" w:ascii="仿宋_GB2312" w:eastAsia="仿宋_GB2312"/>
          <w:b w:val="0"/>
          <w:bCs/>
          <w:color w:val="auto"/>
          <w:sz w:val="32"/>
          <w:szCs w:val="32"/>
          <w:highlight w:val="none"/>
        </w:rPr>
        <w:t>万元。</w:t>
      </w:r>
      <w:r>
        <w:rPr>
          <w:rFonts w:hint="eastAsia" w:ascii="仿宋_GB2312" w:eastAsia="仿宋_GB2312" w:cs="仿宋_GB2312"/>
          <w:b w:val="0"/>
          <w:bCs/>
          <w:color w:val="000000"/>
          <w:kern w:val="2"/>
          <w:sz w:val="32"/>
          <w:szCs w:val="32"/>
          <w:highlight w:val="none"/>
          <w:lang w:val="en-US" w:eastAsia="zh-CN" w:bidi="ar-SA"/>
        </w:rPr>
        <w:t>主要用于出差、下乡及城内运转所需的公务用车燃料费、维修费、过路过桥费、保险费等支出</w:t>
      </w:r>
      <w:r>
        <w:rPr>
          <w:rFonts w:hint="eastAsia" w:ascii="仿宋_GB2312" w:eastAsia="仿宋_GB2312"/>
          <w:b w:val="0"/>
          <w:bCs/>
          <w:color w:val="auto"/>
          <w:sz w:val="32"/>
          <w:szCs w:val="32"/>
          <w:highlight w:val="none"/>
        </w:rPr>
        <w:t>。</w:t>
      </w:r>
    </w:p>
    <w:p>
      <w:pPr>
        <w:pageBreakBefore w:val="0"/>
        <w:kinsoku/>
        <w:wordWrap/>
        <w:overflowPunct/>
        <w:topLinePunct w:val="0"/>
        <w:bidi w:val="0"/>
        <w:spacing w:line="600" w:lineRule="exact"/>
        <w:ind w:firstLine="640"/>
        <w:jc w:val="left"/>
        <w:rPr>
          <w:rFonts w:hint="eastAsia" w:ascii="仿宋_GB2312" w:eastAsia="仿宋_GB2312" w:cs="仿宋_GB2312"/>
          <w:b w:val="0"/>
          <w:bCs/>
          <w:color w:val="000000"/>
          <w:kern w:val="2"/>
          <w:sz w:val="32"/>
          <w:szCs w:val="32"/>
          <w:highlight w:val="none"/>
          <w:lang w:val="en-US" w:eastAsia="zh-CN" w:bidi="ar-SA"/>
        </w:rPr>
      </w:pPr>
      <w:r>
        <w:rPr>
          <w:rFonts w:hint="eastAsia" w:ascii="仿宋_GB2312" w:eastAsia="仿宋_GB2312" w:cs="仿宋_GB2312"/>
          <w:b w:val="0"/>
          <w:bCs/>
          <w:color w:val="000000"/>
          <w:kern w:val="2"/>
          <w:sz w:val="32"/>
          <w:szCs w:val="32"/>
          <w:highlight w:val="none"/>
          <w:lang w:val="en-US" w:eastAsia="zh-CN" w:bidi="ar-SA"/>
        </w:rPr>
        <w:t>3.公务接待费支出0万元。</w:t>
      </w:r>
    </w:p>
    <w:p>
      <w:pPr>
        <w:pageBreakBefore w:val="0"/>
        <w:kinsoku/>
        <w:wordWrap/>
        <w:overflowPunct/>
        <w:topLinePunct w:val="0"/>
        <w:bidi w:val="0"/>
        <w:spacing w:line="600" w:lineRule="exact"/>
        <w:ind w:firstLine="640"/>
        <w:jc w:val="left"/>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8"/>
      <w:bookmarkEnd w:id="39"/>
    </w:p>
    <w:p>
      <w:pPr>
        <w:pageBreakBefore w:val="0"/>
        <w:kinsoku/>
        <w:wordWrap/>
        <w:overflowPunct/>
        <w:topLinePunct w:val="0"/>
        <w:bidi w:val="0"/>
        <w:spacing w:line="600" w:lineRule="exact"/>
        <w:ind w:firstLine="640"/>
        <w:jc w:val="left"/>
        <w:rPr>
          <w:rFonts w:ascii="仿宋_GB2312" w:eastAsia="仿宋_GB2312"/>
          <w:color w:val="auto"/>
          <w:sz w:val="32"/>
          <w:szCs w:val="32"/>
          <w:highlight w:val="none"/>
        </w:rPr>
      </w:pPr>
      <w:bookmarkStart w:id="40" w:name="_Toc15377219"/>
      <w:bookmarkStart w:id="41" w:name="_Toc15396611"/>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pageBreakBefore w:val="0"/>
        <w:numPr>
          <w:ilvl w:val="0"/>
          <w:numId w:val="0"/>
        </w:numPr>
        <w:kinsoku/>
        <w:wordWrap/>
        <w:overflowPunct/>
        <w:topLinePunct w:val="0"/>
        <w:bidi w:val="0"/>
        <w:spacing w:line="600" w:lineRule="exact"/>
        <w:ind w:left="630" w:leftChars="0"/>
        <w:jc w:val="left"/>
        <w:outlineLvl w:val="1"/>
        <w:rPr>
          <w:rStyle w:val="30"/>
          <w:rFonts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0"/>
      <w:bookmarkEnd w:id="41"/>
    </w:p>
    <w:p>
      <w:pPr>
        <w:pageBreakBefore w:val="0"/>
        <w:kinsoku/>
        <w:wordWrap/>
        <w:overflowPunct/>
        <w:topLinePunct w:val="0"/>
        <w:bidi w:val="0"/>
        <w:spacing w:line="600" w:lineRule="exact"/>
        <w:ind w:firstLine="640"/>
        <w:jc w:val="left"/>
        <w:rPr>
          <w:rFonts w:ascii="方正小标宋简体" w:hAnsi="方正小标宋简体" w:eastAsia="方正小标宋简体" w:cs="方正小标宋简体"/>
          <w:color w:val="auto"/>
          <w:sz w:val="44"/>
          <w:szCs w:val="44"/>
          <w:highlight w:val="none"/>
        </w:rPr>
      </w:pPr>
      <w:bookmarkStart w:id="42" w:name="_Toc15396612"/>
      <w:bookmarkStart w:id="43" w:name="_Toc15377221"/>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pageBreakBefore w:val="0"/>
        <w:numPr>
          <w:ilvl w:val="0"/>
          <w:numId w:val="0"/>
        </w:numPr>
        <w:kinsoku/>
        <w:wordWrap/>
        <w:overflowPunct/>
        <w:topLinePunct w:val="0"/>
        <w:bidi w:val="0"/>
        <w:spacing w:line="600" w:lineRule="exact"/>
        <w:ind w:left="630" w:leftChars="0"/>
        <w:jc w:val="left"/>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2"/>
      <w:bookmarkEnd w:id="43"/>
    </w:p>
    <w:p>
      <w:pPr>
        <w:pageBreakBefore w:val="0"/>
        <w:kinsoku/>
        <w:wordWrap/>
        <w:overflowPunct/>
        <w:topLinePunct w:val="0"/>
        <w:bidi w:val="0"/>
        <w:spacing w:line="600" w:lineRule="exact"/>
        <w:ind w:firstLine="640" w:firstLineChars="200"/>
        <w:jc w:val="left"/>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（一）机关运行经费支出情况</w:t>
      </w:r>
    </w:p>
    <w:p>
      <w:pPr>
        <w:pageBreakBefore w:val="0"/>
        <w:kinsoku/>
        <w:wordWrap/>
        <w:overflowPunct/>
        <w:topLinePunct w:val="0"/>
        <w:bidi w:val="0"/>
        <w:spacing w:line="600" w:lineRule="exact"/>
        <w:ind w:firstLine="640" w:firstLineChars="200"/>
        <w:jc w:val="left"/>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2025年度，茂县妇幼保健院机关运行经费支出0万元，</w:t>
      </w:r>
    </w:p>
    <w:p>
      <w:pPr>
        <w:pageBreakBefore w:val="0"/>
        <w:kinsoku/>
        <w:wordWrap/>
        <w:overflowPunct/>
        <w:topLinePunct w:val="0"/>
        <w:bidi w:val="0"/>
        <w:spacing w:line="600" w:lineRule="exact"/>
        <w:ind w:firstLine="640" w:firstLineChars="200"/>
        <w:jc w:val="left"/>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kern w:val="2"/>
          <w:sz w:val="32"/>
          <w:szCs w:val="32"/>
          <w:highlight w:val="none"/>
          <w:lang w:val="en-US" w:eastAsia="zh-CN" w:bidi="ar-SA"/>
        </w:rPr>
        <w:t>（二）政府采购支出情况</w:t>
      </w:r>
    </w:p>
    <w:p>
      <w:pPr>
        <w:pageBreakBefore w:val="0"/>
        <w:kinsoku/>
        <w:wordWrap/>
        <w:overflowPunct/>
        <w:topLinePunct w:val="0"/>
        <w:bidi w:val="0"/>
        <w:spacing w:line="600" w:lineRule="exact"/>
        <w:ind w:firstLine="640" w:firstLineChars="200"/>
        <w:jc w:val="left"/>
        <w:rPr>
          <w:rFonts w:ascii="仿宋_GB2312" w:eastAsia="仿宋_GB2312"/>
          <w:color w:val="auto"/>
          <w:sz w:val="32"/>
          <w:szCs w:val="32"/>
          <w:highlight w:val="none"/>
        </w:rPr>
      </w:pPr>
      <w:r>
        <w:rPr>
          <w:rFonts w:hint="eastAsia" w:ascii="仿宋_GB2312" w:eastAsia="仿宋_GB2312" w:cs="仿宋_GB2312"/>
          <w:color w:val="000000"/>
          <w:kern w:val="2"/>
          <w:sz w:val="32"/>
          <w:szCs w:val="32"/>
          <w:highlight w:val="none"/>
          <w:lang w:val="en-US" w:eastAsia="zh-CN" w:bidi="ar-SA"/>
        </w:rPr>
        <w:t>2025年度，茂县妇幼保健院政府采购支出总额2.85万元，其中：政府采购货物支出2.85万元，</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eastAsia="zh-CN"/>
        </w:rPr>
        <w:t>办公设备购置</w:t>
      </w:r>
      <w:r>
        <w:rPr>
          <w:rFonts w:hint="eastAsia" w:ascii="仿宋_GB2312" w:eastAsia="仿宋_GB2312"/>
          <w:color w:val="auto"/>
          <w:sz w:val="32"/>
          <w:szCs w:val="32"/>
          <w:highlight w:val="none"/>
        </w:rPr>
        <w:t>。授予中小企业合同金额</w:t>
      </w:r>
      <w:r>
        <w:rPr>
          <w:rFonts w:hint="eastAsia" w:ascii="仿宋_GB2312" w:eastAsia="仿宋_GB2312"/>
          <w:color w:val="auto"/>
          <w:sz w:val="32"/>
          <w:szCs w:val="32"/>
          <w:highlight w:val="none"/>
          <w:lang w:val="en-US" w:eastAsia="zh-CN"/>
        </w:rPr>
        <w:t>2.85</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100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2.85</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100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pPr>
        <w:pageBreakBefore w:val="0"/>
        <w:kinsoku/>
        <w:wordWrap/>
        <w:overflowPunct/>
        <w:topLinePunct w:val="0"/>
        <w:bidi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（三）国有资产占有使用情况</w:t>
      </w:r>
    </w:p>
    <w:p>
      <w:pPr>
        <w:pageBreakBefore w:val="0"/>
        <w:kinsoku/>
        <w:wordWrap/>
        <w:overflowPunct/>
        <w:topLinePunct w:val="0"/>
        <w:bidi w:val="0"/>
        <w:spacing w:line="600" w:lineRule="exact"/>
        <w:ind w:firstLine="640" w:firstLineChars="200"/>
        <w:jc w:val="left"/>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w:t>
      </w:r>
      <w:r>
        <w:rPr>
          <w:rFonts w:hint="eastAsia" w:ascii="仿宋_GB2312" w:eastAsia="仿宋_GB2312"/>
          <w:color w:val="auto"/>
          <w:sz w:val="32"/>
          <w:szCs w:val="32"/>
          <w:highlight w:val="none"/>
        </w:rPr>
        <w:t>12月31日，</w:t>
      </w:r>
      <w:r>
        <w:rPr>
          <w:rFonts w:hint="eastAsia" w:ascii="仿宋_GB2312" w:eastAsia="仿宋_GB2312"/>
          <w:color w:val="auto"/>
          <w:sz w:val="32"/>
          <w:szCs w:val="32"/>
          <w:highlight w:val="none"/>
          <w:lang w:val="en-US" w:eastAsia="zh-CN"/>
        </w:rPr>
        <w:t>茂县妇幼保健院共有车辆3辆，其中：应急保障用车3辆。</w:t>
      </w:r>
    </w:p>
    <w:p>
      <w:pPr>
        <w:pageBreakBefore w:val="0"/>
        <w:kinsoku/>
        <w:wordWrap/>
        <w:overflowPunct/>
        <w:topLinePunct w:val="0"/>
        <w:bidi w:val="0"/>
        <w:spacing w:line="600" w:lineRule="exact"/>
        <w:ind w:firstLine="640" w:firstLineChars="200"/>
        <w:jc w:val="left"/>
        <w:rPr>
          <w:rFonts w:hint="eastAsia" w:ascii="仿宋_GB2312" w:eastAsia="仿宋_GB2312"/>
          <w:color w:val="auto"/>
          <w:sz w:val="32"/>
          <w:szCs w:val="32"/>
          <w:highlight w:val="none"/>
        </w:rPr>
      </w:pPr>
      <w:bookmarkStart w:id="63" w:name="_GoBack"/>
      <w:bookmarkEnd w:id="63"/>
      <w:r>
        <w:rPr>
          <w:rFonts w:hint="eastAsia" w:ascii="仿宋_GB2312" w:eastAsia="仿宋_GB2312"/>
          <w:color w:val="auto"/>
          <w:sz w:val="32"/>
          <w:szCs w:val="32"/>
          <w:highlight w:val="none"/>
        </w:rPr>
        <w:t>（四）预算绩效管理情况</w:t>
      </w:r>
    </w:p>
    <w:p>
      <w:pPr>
        <w:pageBreakBefore w:val="0"/>
        <w:kinsoku/>
        <w:wordWrap/>
        <w:overflowPunct/>
        <w:topLinePunct w:val="0"/>
        <w:bidi w:val="0"/>
        <w:spacing w:line="600" w:lineRule="exact"/>
        <w:ind w:firstLine="640" w:firstLineChars="200"/>
        <w:jc w:val="left"/>
        <w:rPr>
          <w:rFonts w:hint="eastAsia" w:ascii="仿宋_GB2312" w:eastAsia="仿宋_GB2312" w:cs="仿宋_GB2312"/>
          <w:bCs/>
          <w:kern w:val="0"/>
          <w:sz w:val="30"/>
          <w:highlight w:val="none"/>
          <w:lang w:val="en-US" w:eastAsia="zh-CN" w:bidi="ar-SA"/>
        </w:rPr>
      </w:pPr>
      <w:r>
        <w:rPr>
          <w:rFonts w:hint="eastAsia" w:ascii="仿宋_GB2312" w:eastAsia="仿宋_GB2312"/>
          <w:color w:val="auto"/>
          <w:sz w:val="32"/>
          <w:szCs w:val="32"/>
          <w:highlight w:val="none"/>
          <w:lang w:val="en-US" w:eastAsia="zh-CN"/>
        </w:rPr>
        <w:t>根据预算绩效管理要求，本单位在2025年度预算编制阶段，组织对“两癌筛查”1个项目开展了预算事前绩效评估，对1个项目编制了绩效目标，预算执行过程中，选</w:t>
      </w:r>
      <w:r>
        <w:rPr>
          <w:rFonts w:hint="eastAsia" w:ascii="仿宋_GB2312" w:eastAsia="仿宋_GB2312" w:cs="仿宋_GB2312"/>
          <w:bCs/>
          <w:kern w:val="0"/>
          <w:sz w:val="30"/>
          <w:highlight w:val="none"/>
          <w:lang w:val="en-US" w:eastAsia="zh-CN" w:bidi="ar-SA"/>
        </w:rPr>
        <w:t>取1个项目开展绩效监控。</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highlight w:val="none"/>
          <w:lang w:val="en-US" w:eastAsia="zh-CN" w:bidi="ar-SA"/>
        </w:rPr>
      </w:pPr>
      <w:r>
        <w:rPr>
          <w:rFonts w:hint="eastAsia" w:ascii="仿宋_GB2312" w:eastAsia="仿宋_GB2312" w:cs="仿宋_GB2312"/>
          <w:bCs/>
          <w:kern w:val="0"/>
          <w:sz w:val="30"/>
          <w:highlight w:val="none"/>
          <w:lang w:val="en-US" w:eastAsia="zh-CN" w:bidi="ar-SA"/>
        </w:rPr>
        <w:t>组织对2025年度一般公共预算、政府性基金预算、国有资本经营预算、社会保险基金预算以及资本资产、债券资金等全面开展绩效自评，形成茂县妇幼保健院部门整体（含部门预算项目）绩效自评报告、“两癌筛查”专项预算项目绩效自评报告，其中，茂县妇幼保健院部门整体（含部门预算项目）绩效自评得分为89分，绩效自评综述：围绕医疗质量、服务效率、患者满意度及公共卫生职能展开进行评价，总体目标完成良好。“两癌筛查”专项预算项目绩效自评得分为84分，绩效自评综述：</w:t>
      </w:r>
      <w:r>
        <w:rPr>
          <w:rFonts w:hint="eastAsia" w:ascii="仿宋_GB2312" w:eastAsia="仿宋_GB2312" w:cs="仿宋_GB2312"/>
          <w:bCs/>
          <w:kern w:val="0"/>
          <w:sz w:val="30"/>
          <w:highlight w:val="none"/>
          <w:lang w:val="zh-CN" w:eastAsia="zh-CN" w:bidi="ar-SA"/>
        </w:rPr>
        <w:t>通过项目实施，妇女对两癌防治知识的知晓率显著提升，确诊患者得到及时治疗，生存率得到提高，群众对筛查服务的满意度大于等于90%。</w:t>
      </w:r>
      <w:r>
        <w:rPr>
          <w:rFonts w:hint="eastAsia" w:ascii="仿宋_GB2312" w:eastAsia="仿宋_GB2312" w:cs="仿宋_GB2312"/>
          <w:bCs/>
          <w:kern w:val="0"/>
          <w:sz w:val="30"/>
          <w:highlight w:val="none"/>
          <w:lang w:val="en-US" w:eastAsia="zh-CN" w:bidi="ar-SA"/>
        </w:rPr>
        <w:t>绩效自评报告详见附件。</w:t>
      </w:r>
    </w:p>
    <w:p>
      <w:pPr>
        <w:pageBreakBefore w:val="0"/>
        <w:kinsoku/>
        <w:wordWrap/>
        <w:overflowPunct/>
        <w:topLinePunct w:val="0"/>
        <w:bidi w:val="0"/>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p>
    <w:p>
      <w:pPr>
        <w:pageBreakBefore w:val="0"/>
        <w:numPr>
          <w:ilvl w:val="0"/>
          <w:numId w:val="0"/>
        </w:numPr>
        <w:kinsoku/>
        <w:wordWrap/>
        <w:overflowPunct/>
        <w:topLinePunct w:val="0"/>
        <w:bidi w:val="0"/>
        <w:spacing w:line="600" w:lineRule="exact"/>
        <w:jc w:val="center"/>
        <w:outlineLvl w:val="0"/>
        <w:rPr>
          <w:rFonts w:hint="eastAsia" w:ascii="Times New Roman" w:hAnsi="Times New Roman" w:eastAsia="黑体"/>
          <w:color w:val="auto"/>
          <w:sz w:val="44"/>
          <w:szCs w:val="44"/>
          <w:highlight w:val="none"/>
        </w:rPr>
      </w:pPr>
      <w:bookmarkStart w:id="44" w:name="_Toc15377225"/>
      <w:bookmarkStart w:id="45"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4"/>
      <w:bookmarkEnd w:id="45"/>
    </w:p>
    <w:p>
      <w:pPr>
        <w:pageBreakBefore w:val="0"/>
        <w:kinsoku/>
        <w:wordWrap/>
        <w:overflowPunct/>
        <w:topLinePunct w:val="0"/>
        <w:bidi w:val="0"/>
        <w:spacing w:line="600" w:lineRule="exact"/>
        <w:jc w:val="left"/>
        <w:rPr>
          <w:rFonts w:ascii="Times New Roman" w:hAnsi="Times New Roman"/>
          <w:b/>
          <w:color w:val="auto"/>
          <w:sz w:val="44"/>
          <w:szCs w:val="44"/>
          <w:highlight w:val="none"/>
        </w:rPr>
      </w:pP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bookmarkStart w:id="46" w:name="_Toc15377226"/>
      <w:r>
        <w:rPr>
          <w:rFonts w:hint="eastAsia" w:ascii="仿宋_GB2312" w:eastAsia="仿宋_GB2312" w:cs="仿宋_GB2312"/>
          <w:bCs/>
          <w:kern w:val="0"/>
          <w:sz w:val="30"/>
        </w:rPr>
        <w:t>1.财政拨款收入：指单位从同级财政部门取得的财政预算资金。</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2.事业收入：指事业单位开展专业业务活动及辅助活动取得的收入。</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3.经营收入：指事业单位在专业业务活动及其辅助活动之外开展非独立核算经营活动取得的收入。</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4.其他收入：指单位取得的除上述收入以外的各项收入。</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5.使用非财政拨款结余：指事业单位使用以前年度积累的非财政拨款结余弥补当年收支差额的金额。</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6.年初结转和结余：指以前年度尚未完成、结转到本年按有关规定继续使用的资金。</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7.结余分配：指事业单位按照会计制度规定缴纳的所得税、提取的专用结余以及转入非财政拨款结余的金额等。</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8.年末结转和结余：指单位按有关规定结转到下年或以后年度继续使用的资金。</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9.社会保障和就业支出（类）行政事业单位养老支出（款）机关事业单位基本养老保险缴费支出（项）:反映机关事业单位实施养老保险制度由单位缴纳的基本养老保险支出。</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10.社会保障和就业支出（类）行政事业单位养老支出（款）机关事业单位职业年金缴费支出（项）:指反映机关事业单位实施养老保险制度由单位缴纳的基本养老保险费支出。</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11.卫生健康支出（类）公共卫生（款）疾病预防控制机构(项)指反映主要用于事业单位完成日常工作任务而发生的人员支出和公用支出。</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highlight w:val="none"/>
        </w:rPr>
      </w:pPr>
      <w:r>
        <w:rPr>
          <w:rFonts w:hint="eastAsia" w:ascii="仿宋_GB2312" w:eastAsia="仿宋_GB2312" w:cs="仿宋_GB2312"/>
          <w:bCs/>
          <w:kern w:val="0"/>
          <w:sz w:val="30"/>
          <w:highlight w:val="none"/>
        </w:rPr>
        <w:t>12.卫生健康支出（类）公共卫生（款）基本公共卫生服务（项）:指反映重点地方病、重点疾病及危害因素监测、控制疾病流行、开展职业病监测等支出。</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13.卫生健康支出（类）公共卫生（款）重大公共卫生服务（项）:指反映重大疾病、重大传染病预防控制等重大公共卫生服务项目支出。</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highlight w:val="none"/>
        </w:rPr>
      </w:pPr>
      <w:r>
        <w:rPr>
          <w:rFonts w:hint="eastAsia" w:ascii="仿宋_GB2312" w:eastAsia="仿宋_GB2312" w:cs="仿宋_GB2312"/>
          <w:bCs/>
          <w:kern w:val="0"/>
          <w:sz w:val="30"/>
        </w:rPr>
        <w:t>14.卫生健康支出（类）公共卫生（款）其他公共卫生支出（项）:</w:t>
      </w:r>
      <w:r>
        <w:rPr>
          <w:rFonts w:hint="eastAsia" w:ascii="仿宋_GB2312" w:eastAsia="仿宋_GB2312" w:cs="仿宋_GB2312"/>
          <w:bCs/>
          <w:kern w:val="0"/>
          <w:sz w:val="30"/>
          <w:highlight w:val="none"/>
        </w:rPr>
        <w:t>指反映双随机卫生监测和传染病管理支出。</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15.卫生健康支出（类）行政事业单位医疗（款）事业单位医疗（项）:指反映财政部门安排的事业单位基本医疗保险缴费经费，未参加医疗保险的事业单位的公费医疗经费，按国家规定享受离休人员待遇的医疗经费。</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16.卫生健康支出（类）公共卫生（款）其他卫生健康支出（项）:</w:t>
      </w:r>
      <w:r>
        <w:rPr>
          <w:rFonts w:hint="eastAsia" w:ascii="仿宋_GB2312" w:eastAsia="仿宋_GB2312" w:cs="仿宋_GB2312"/>
          <w:bCs/>
          <w:kern w:val="0"/>
          <w:sz w:val="30"/>
          <w:highlight w:val="none"/>
        </w:rPr>
        <w:t>指反映公共卫生特别服务岗人员工资保险支出。</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17.住房保障支出（类）住房改革支出（款）住房公积金（项）:指反映行政事业单位按人力资源和社会保障部、财政部规定的基本工资和津贴以及规定比例为职工缴纳的住房公积金。</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highlight w:val="none"/>
        </w:rPr>
      </w:pPr>
      <w:r>
        <w:rPr>
          <w:rFonts w:hint="eastAsia" w:ascii="仿宋_GB2312" w:eastAsia="仿宋_GB2312" w:cs="仿宋_GB2312"/>
          <w:bCs/>
          <w:kern w:val="0"/>
          <w:sz w:val="30"/>
          <w:highlight w:val="none"/>
        </w:rPr>
        <w:t>18.住房保障支出（类）住房改革支出（款）购房补贴（项）:指反映行政事业单位按人力资源和社会保障部规定发放给单位退休职工一次性住房补助费及搬家费。</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19.基本支出：指为保障机构正常运转、完成日常工作任务而发生的人员支出和公用支出。</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 xml:space="preserve">20.项目支出：指在基本支出之外为完成特定行政任务和事业发展目标所发生的支出。 </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21.经营支出：指事业单位在专业业务活动及其辅助活动之外开展非独立核算经营活动发生的支出。</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22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rPr>
      </w:pPr>
      <w:r>
        <w:rPr>
          <w:rFonts w:hint="eastAsia" w:ascii="仿宋_GB2312" w:eastAsia="仿宋_GB2312" w:cs="仿宋_GB2312"/>
          <w:bCs/>
          <w:kern w:val="0"/>
          <w:sz w:val="30"/>
        </w:rPr>
        <w:t>23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pPr>
        <w:pageBreakBefore w:val="0"/>
        <w:kinsoku/>
        <w:wordWrap/>
        <w:overflowPunct/>
        <w:topLinePunct w:val="0"/>
        <w:bidi w:val="0"/>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47"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7"/>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sz w:val="44"/>
          <w:szCs w:val="44"/>
          <w:highlight w:val="none"/>
          <w:shd w:val="clear" w:color="auto" w:fill="FFFFFF"/>
          <w:lang w:val="en-US" w:eastAsia="zh-CN"/>
        </w:rPr>
      </w:pPr>
      <w:r>
        <w:rPr>
          <w:rFonts w:hint="eastAsia" w:eastAsia="方正小标宋简体" w:cs="Times New Roman"/>
          <w:b w:val="0"/>
          <w:bCs/>
          <w:sz w:val="44"/>
          <w:szCs w:val="44"/>
          <w:highlight w:val="none"/>
          <w:shd w:val="clear" w:color="auto" w:fill="FFFFFF"/>
          <w:lang w:val="en-US" w:eastAsia="zh-CN"/>
        </w:rPr>
        <w:t>茂县妇幼保健院</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2025年</w:t>
      </w:r>
      <w:r>
        <w:rPr>
          <w:rFonts w:ascii="Times New Roman" w:hAnsi="Times New Roman" w:eastAsia="方正小标宋简体" w:cs="Times New Roman"/>
          <w:b w:val="0"/>
          <w:bCs/>
          <w:sz w:val="44"/>
          <w:szCs w:val="44"/>
          <w:highlight w:val="none"/>
          <w:shd w:val="clear" w:color="auto" w:fill="FFFFFF"/>
        </w:rPr>
        <w:t>部门</w:t>
      </w:r>
      <w:r>
        <w:rPr>
          <w:rFonts w:ascii="Times New Roman" w:hAnsi="Times New Roman" w:eastAsia="方正小标宋简体" w:cs="Times New Roman"/>
          <w:b w:val="0"/>
          <w:bCs/>
          <w:sz w:val="44"/>
          <w:szCs w:val="44"/>
          <w:highlight w:val="none"/>
          <w:shd w:val="clear" w:color="auto" w:fill="FFFFFF"/>
          <w:lang w:eastAsia="zh-CN"/>
        </w:rPr>
        <w:t>预算</w:t>
      </w:r>
      <w:r>
        <w:rPr>
          <w:rFonts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kinsoku/>
        <w:wordWrap/>
        <w:overflowPunct/>
        <w:topLinePunct w:val="0"/>
        <w:autoSpaceDE/>
        <w:autoSpaceDN/>
        <w:bidi w:val="0"/>
        <w:adjustRightInd w:val="0"/>
        <w:snapToGrid w:val="0"/>
        <w:spacing w:line="578" w:lineRule="exact"/>
        <w:ind w:left="0" w:firstLine="642" w:firstLineChars="200"/>
        <w:contextualSpacing/>
        <w:jc w:val="left"/>
        <w:textAlignment w:val="auto"/>
        <w:outlineLvl w:val="9"/>
        <w:rPr>
          <w:rFonts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color w:val="auto"/>
          <w:sz w:val="32"/>
          <w:szCs w:val="32"/>
          <w:highlight w:val="none"/>
          <w:lang w:val="zh-CN"/>
        </w:rPr>
        <w:t>（一）</w:t>
      </w:r>
      <w:r>
        <w:rPr>
          <w:rFonts w:ascii="Times New Roman" w:hAnsi="Times New Roman" w:eastAsia="楷体_GB2312" w:cs="楷体_GB2312"/>
          <w:b/>
          <w:color w:val="auto"/>
          <w:sz w:val="32"/>
          <w:szCs w:val="32"/>
          <w:highlight w:val="none"/>
          <w:lang w:val="zh-CN"/>
        </w:rPr>
        <w:t>机构组成</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highlight w:val="none"/>
          <w:lang w:val="en-US" w:eastAsia="zh-CN" w:bidi="ar-SA"/>
        </w:rPr>
      </w:pPr>
      <w:r>
        <w:rPr>
          <w:rFonts w:hint="eastAsia" w:ascii="仿宋_GB2312" w:eastAsia="仿宋_GB2312" w:cs="仿宋_GB2312"/>
          <w:bCs/>
          <w:kern w:val="0"/>
          <w:sz w:val="30"/>
          <w:lang w:val="zh-CN"/>
        </w:rPr>
        <w:t>我单位茂县妇幼保健院属财政补助事业单位，为一级预算单位，内设院办、医务科、儿保科、财务科、检验科、超声科、妇保科、康复科等科室。</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ascii="Times New Roman" w:hAnsi="Times New Roman" w:eastAsia="楷体_GB2312" w:cs="楷体_GB2312"/>
          <w:b/>
          <w:color w:val="auto"/>
          <w:sz w:val="32"/>
          <w:szCs w:val="32"/>
          <w:highlight w:val="none"/>
          <w:lang w:val="zh-CN"/>
        </w:rPr>
        <w:t>（二）机构职能</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lang w:val="zh-CN" w:eastAsia="zh-CN"/>
        </w:rPr>
      </w:pPr>
      <w:r>
        <w:rPr>
          <w:rFonts w:hint="eastAsia" w:ascii="仿宋_GB2312" w:eastAsia="仿宋_GB2312" w:cs="仿宋_GB2312"/>
          <w:bCs/>
          <w:kern w:val="0"/>
          <w:sz w:val="30"/>
          <w:lang w:val="zh-CN"/>
        </w:rPr>
        <w:t>深入贯彻《母婴保健法》、《中国妇女发展纲要》、《中国儿童发展纲要》，围绕实现“新两纲”目标和初级卫生保健指标。了解掌握妇女儿童健康状况及影响因素，负责本辖区儿童入托前健康体检及开展各类妇幼保健人员的业务培训，负责指导和开展本辖区妇幼保健健康教育与健康工作。组织实施公共卫生服务项目，如 “免费婚检”“避孕药具”“孕前优生健康检查”“ 预防艾滋病、梅毒及乙肝母婴传播”等。</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left"/>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）人员概况</w:t>
      </w:r>
    </w:p>
    <w:p>
      <w:pPr>
        <w:pageBreakBefore w:val="0"/>
        <w:kinsoku/>
        <w:wordWrap/>
        <w:overflowPunct/>
        <w:topLinePunct w:val="0"/>
        <w:bidi w:val="0"/>
        <w:spacing w:line="600" w:lineRule="exact"/>
        <w:ind w:firstLine="645"/>
        <w:jc w:val="left"/>
        <w:rPr>
          <w:rFonts w:ascii="Times New Roman" w:hAnsi="Times New Roman" w:cs="Times New Roman"/>
          <w:szCs w:val="32"/>
        </w:rPr>
      </w:pPr>
      <w:r>
        <w:rPr>
          <w:rFonts w:hint="eastAsia" w:ascii="仿宋_GB2312" w:eastAsia="仿宋_GB2312" w:cs="仿宋_GB2312"/>
          <w:bCs/>
          <w:kern w:val="0"/>
          <w:sz w:val="30"/>
          <w:lang w:val="zh-CN"/>
        </w:rPr>
        <w:t>茂县妇幼保健院编制64人，在编6</w:t>
      </w:r>
      <w:r>
        <w:rPr>
          <w:rFonts w:hint="eastAsia" w:ascii="仿宋_GB2312" w:eastAsia="仿宋_GB2312" w:cs="仿宋_GB2312"/>
          <w:bCs/>
          <w:kern w:val="0"/>
          <w:sz w:val="30"/>
          <w:lang w:val="en-US" w:eastAsia="zh-CN"/>
        </w:rPr>
        <w:t>3</w:t>
      </w:r>
      <w:r>
        <w:rPr>
          <w:rFonts w:hint="eastAsia" w:ascii="仿宋_GB2312" w:eastAsia="仿宋_GB2312" w:cs="仿宋_GB2312"/>
          <w:bCs/>
          <w:kern w:val="0"/>
          <w:sz w:val="30"/>
          <w:lang w:val="zh-CN"/>
        </w:rPr>
        <w:t>人，退休16人，财政补差1人，无下属单位</w:t>
      </w:r>
      <w:r>
        <w:rPr>
          <w:rFonts w:hint="eastAsia" w:ascii="仿宋_GB2312" w:eastAsia="仿宋_GB2312" w:cs="仿宋_GB2312"/>
          <w:bCs/>
          <w:kern w:val="0"/>
          <w:sz w:val="30"/>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pageBreakBefore w:val="0"/>
        <w:kinsoku/>
        <w:wordWrap/>
        <w:overflowPunct/>
        <w:topLinePunct w:val="0"/>
        <w:bidi w:val="0"/>
        <w:spacing w:line="600" w:lineRule="exact"/>
        <w:ind w:firstLine="645"/>
        <w:jc w:val="left"/>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highlight w:val="none"/>
          <w:lang w:val="zh-CN"/>
        </w:rPr>
      </w:pPr>
      <w:r>
        <w:rPr>
          <w:rFonts w:hint="eastAsia" w:ascii="仿宋_GB2312" w:eastAsia="仿宋_GB2312" w:cs="仿宋_GB2312"/>
          <w:bCs/>
          <w:kern w:val="0"/>
          <w:sz w:val="30"/>
          <w:highlight w:val="none"/>
          <w:lang w:val="zh-CN" w:eastAsia="zh-CN"/>
        </w:rPr>
        <w:t>202</w:t>
      </w:r>
      <w:r>
        <w:rPr>
          <w:rFonts w:hint="eastAsia" w:ascii="仿宋_GB2312" w:eastAsia="仿宋_GB2312" w:cs="仿宋_GB2312"/>
          <w:bCs/>
          <w:kern w:val="0"/>
          <w:sz w:val="30"/>
          <w:highlight w:val="none"/>
          <w:lang w:val="en-US" w:eastAsia="zh-CN"/>
        </w:rPr>
        <w:t>5</w:t>
      </w:r>
      <w:r>
        <w:rPr>
          <w:rFonts w:hint="eastAsia" w:ascii="仿宋_GB2312" w:eastAsia="仿宋_GB2312" w:cs="仿宋_GB2312"/>
          <w:bCs/>
          <w:kern w:val="0"/>
          <w:sz w:val="30"/>
          <w:highlight w:val="none"/>
          <w:lang w:val="zh-CN" w:eastAsia="zh-CN"/>
        </w:rPr>
        <w:t>年</w:t>
      </w:r>
      <w:r>
        <w:rPr>
          <w:rFonts w:hint="eastAsia" w:ascii="仿宋_GB2312" w:eastAsia="仿宋_GB2312" w:cs="仿宋_GB2312"/>
          <w:bCs/>
          <w:kern w:val="0"/>
          <w:sz w:val="30"/>
          <w:highlight w:val="none"/>
          <w:lang w:val="zh-CN"/>
        </w:rPr>
        <w:t>一般公共预算财政拨款收入</w:t>
      </w:r>
      <w:r>
        <w:rPr>
          <w:rFonts w:hint="eastAsia" w:ascii="仿宋_GB2312" w:eastAsia="仿宋_GB2312" w:cs="仿宋_GB2312"/>
          <w:bCs/>
          <w:kern w:val="0"/>
          <w:sz w:val="30"/>
          <w:highlight w:val="none"/>
          <w:lang w:val="en-US" w:eastAsia="zh-CN"/>
        </w:rPr>
        <w:t>1611.76</w:t>
      </w:r>
      <w:r>
        <w:rPr>
          <w:rFonts w:hint="eastAsia" w:ascii="仿宋_GB2312" w:eastAsia="仿宋_GB2312" w:cs="仿宋_GB2312"/>
          <w:bCs/>
          <w:kern w:val="0"/>
          <w:sz w:val="30"/>
          <w:highlight w:val="none"/>
          <w:lang w:val="zh-CN"/>
        </w:rPr>
        <w:t>万元,其中机关事业单位养老保险</w:t>
      </w:r>
      <w:r>
        <w:rPr>
          <w:rFonts w:hint="eastAsia" w:ascii="仿宋_GB2312" w:eastAsia="仿宋_GB2312" w:cs="仿宋_GB2312"/>
          <w:bCs/>
          <w:kern w:val="0"/>
          <w:sz w:val="30"/>
          <w:highlight w:val="none"/>
          <w:lang w:val="en-US" w:eastAsia="zh-CN"/>
        </w:rPr>
        <w:t>117.53</w:t>
      </w:r>
      <w:r>
        <w:rPr>
          <w:rFonts w:hint="eastAsia" w:ascii="仿宋_GB2312" w:eastAsia="仿宋_GB2312" w:cs="仿宋_GB2312"/>
          <w:bCs/>
          <w:kern w:val="0"/>
          <w:sz w:val="30"/>
          <w:highlight w:val="none"/>
          <w:lang w:val="zh-CN"/>
        </w:rPr>
        <w:t>万元，年金</w:t>
      </w:r>
      <w:r>
        <w:rPr>
          <w:rFonts w:hint="eastAsia" w:ascii="仿宋_GB2312" w:eastAsia="仿宋_GB2312" w:cs="仿宋_GB2312"/>
          <w:bCs/>
          <w:kern w:val="0"/>
          <w:sz w:val="30"/>
          <w:highlight w:val="none"/>
          <w:lang w:val="zh-CN" w:eastAsia="zh-CN"/>
        </w:rPr>
        <w:t>58.</w:t>
      </w:r>
      <w:r>
        <w:rPr>
          <w:rFonts w:hint="eastAsia" w:ascii="仿宋_GB2312" w:eastAsia="仿宋_GB2312" w:cs="仿宋_GB2312"/>
          <w:bCs/>
          <w:kern w:val="0"/>
          <w:sz w:val="30"/>
          <w:highlight w:val="none"/>
          <w:lang w:val="en-US" w:eastAsia="zh-CN"/>
        </w:rPr>
        <w:t>77</w:t>
      </w:r>
      <w:r>
        <w:rPr>
          <w:rFonts w:hint="eastAsia" w:ascii="仿宋_GB2312" w:eastAsia="仿宋_GB2312" w:cs="仿宋_GB2312"/>
          <w:bCs/>
          <w:kern w:val="0"/>
          <w:sz w:val="30"/>
          <w:highlight w:val="none"/>
          <w:lang w:val="zh-CN"/>
        </w:rPr>
        <w:t>万元，</w:t>
      </w:r>
      <w:r>
        <w:rPr>
          <w:rFonts w:hint="eastAsia" w:ascii="仿宋_GB2312" w:eastAsia="仿宋_GB2312" w:cs="仿宋_GB2312"/>
          <w:bCs/>
          <w:kern w:val="0"/>
          <w:sz w:val="30"/>
          <w:lang w:val="zh-CN"/>
        </w:rPr>
        <w:t>妇幼保健机构</w:t>
      </w:r>
      <w:r>
        <w:rPr>
          <w:rFonts w:hint="eastAsia" w:ascii="仿宋_GB2312" w:eastAsia="仿宋_GB2312" w:cs="仿宋_GB2312"/>
          <w:bCs/>
          <w:kern w:val="0"/>
          <w:sz w:val="30"/>
          <w:lang w:val="en-US" w:eastAsia="zh-CN"/>
        </w:rPr>
        <w:t>927.25</w:t>
      </w:r>
      <w:r>
        <w:rPr>
          <w:rFonts w:hint="eastAsia" w:ascii="仿宋_GB2312" w:eastAsia="仿宋_GB2312" w:cs="仿宋_GB2312"/>
          <w:bCs/>
          <w:kern w:val="0"/>
          <w:sz w:val="30"/>
          <w:lang w:val="zh-CN" w:eastAsia="zh-CN"/>
        </w:rPr>
        <w:t>万元，</w:t>
      </w:r>
      <w:r>
        <w:rPr>
          <w:rFonts w:hint="eastAsia" w:ascii="仿宋_GB2312" w:eastAsia="仿宋_GB2312" w:cs="仿宋_GB2312"/>
          <w:bCs/>
          <w:kern w:val="0"/>
          <w:sz w:val="30"/>
          <w:highlight w:val="none"/>
          <w:lang w:val="zh-CN"/>
        </w:rPr>
        <w:t>基本公共卫生</w:t>
      </w:r>
      <w:r>
        <w:rPr>
          <w:rFonts w:hint="eastAsia" w:ascii="仿宋_GB2312" w:eastAsia="仿宋_GB2312" w:cs="仿宋_GB2312"/>
          <w:bCs/>
          <w:kern w:val="0"/>
          <w:sz w:val="30"/>
          <w:highlight w:val="none"/>
          <w:lang w:val="en-US" w:eastAsia="zh-CN"/>
        </w:rPr>
        <w:t>25.92</w:t>
      </w:r>
      <w:r>
        <w:rPr>
          <w:rFonts w:hint="eastAsia" w:ascii="仿宋_GB2312" w:eastAsia="仿宋_GB2312" w:cs="仿宋_GB2312"/>
          <w:bCs/>
          <w:kern w:val="0"/>
          <w:sz w:val="30"/>
          <w:highlight w:val="none"/>
          <w:lang w:val="zh-CN"/>
        </w:rPr>
        <w:t>万元，重大公共卫生</w:t>
      </w:r>
      <w:r>
        <w:rPr>
          <w:rFonts w:hint="eastAsia" w:ascii="仿宋_GB2312" w:eastAsia="仿宋_GB2312" w:cs="仿宋_GB2312"/>
          <w:bCs/>
          <w:kern w:val="0"/>
          <w:sz w:val="30"/>
          <w:highlight w:val="none"/>
          <w:lang w:val="en-US" w:eastAsia="zh-CN"/>
        </w:rPr>
        <w:t>13.22</w:t>
      </w:r>
      <w:r>
        <w:rPr>
          <w:rFonts w:hint="eastAsia" w:ascii="仿宋_GB2312" w:eastAsia="仿宋_GB2312" w:cs="仿宋_GB2312"/>
          <w:bCs/>
          <w:kern w:val="0"/>
          <w:sz w:val="30"/>
          <w:highlight w:val="none"/>
          <w:lang w:val="zh-CN"/>
        </w:rPr>
        <w:t>万元，其他计划生育事务支出</w:t>
      </w:r>
      <w:r>
        <w:rPr>
          <w:rFonts w:hint="eastAsia" w:ascii="仿宋_GB2312" w:eastAsia="仿宋_GB2312" w:cs="仿宋_GB2312"/>
          <w:bCs/>
          <w:kern w:val="0"/>
          <w:sz w:val="30"/>
          <w:highlight w:val="none"/>
          <w:lang w:val="en-US" w:eastAsia="zh-CN"/>
        </w:rPr>
        <w:t>13.18万元，</w:t>
      </w:r>
      <w:r>
        <w:rPr>
          <w:rFonts w:hint="eastAsia" w:ascii="仿宋_GB2312" w:eastAsia="仿宋_GB2312" w:cs="仿宋_GB2312"/>
          <w:bCs/>
          <w:kern w:val="0"/>
          <w:sz w:val="30"/>
          <w:highlight w:val="none"/>
          <w:lang w:val="zh-CN"/>
        </w:rPr>
        <w:t>事业单位医疗</w:t>
      </w:r>
      <w:r>
        <w:rPr>
          <w:rFonts w:hint="eastAsia" w:ascii="仿宋_GB2312" w:eastAsia="仿宋_GB2312" w:cs="仿宋_GB2312"/>
          <w:bCs/>
          <w:kern w:val="0"/>
          <w:sz w:val="30"/>
          <w:highlight w:val="none"/>
          <w:lang w:val="en-US" w:eastAsia="zh-CN"/>
        </w:rPr>
        <w:t>69.62</w:t>
      </w:r>
      <w:r>
        <w:rPr>
          <w:rFonts w:hint="eastAsia" w:ascii="仿宋_GB2312" w:eastAsia="仿宋_GB2312" w:cs="仿宋_GB2312"/>
          <w:bCs/>
          <w:kern w:val="0"/>
          <w:sz w:val="30"/>
          <w:highlight w:val="none"/>
          <w:lang w:val="zh-CN"/>
        </w:rPr>
        <w:t>万元，其他卫生健康支出</w:t>
      </w:r>
      <w:r>
        <w:rPr>
          <w:rFonts w:hint="eastAsia" w:ascii="仿宋_GB2312" w:eastAsia="仿宋_GB2312" w:cs="仿宋_GB2312"/>
          <w:bCs/>
          <w:kern w:val="0"/>
          <w:sz w:val="30"/>
          <w:highlight w:val="none"/>
          <w:lang w:val="en-US" w:eastAsia="zh-CN"/>
        </w:rPr>
        <w:t>286.28</w:t>
      </w:r>
      <w:r>
        <w:rPr>
          <w:rFonts w:hint="eastAsia" w:ascii="仿宋_GB2312" w:eastAsia="仿宋_GB2312" w:cs="仿宋_GB2312"/>
          <w:bCs/>
          <w:kern w:val="0"/>
          <w:sz w:val="30"/>
          <w:highlight w:val="none"/>
          <w:lang w:val="zh-CN"/>
        </w:rPr>
        <w:t>万元，其他</w:t>
      </w:r>
      <w:r>
        <w:rPr>
          <w:rFonts w:hint="eastAsia" w:ascii="仿宋_GB2312" w:eastAsia="仿宋_GB2312" w:cs="仿宋_GB2312"/>
          <w:bCs/>
          <w:kern w:val="0"/>
          <w:sz w:val="30"/>
          <w:lang w:val="zh-CN" w:eastAsia="zh-CN"/>
        </w:rPr>
        <w:t>巩固脱贫攻坚成果衔接乡村振兴支出</w:t>
      </w:r>
      <w:r>
        <w:rPr>
          <w:rFonts w:hint="eastAsia" w:ascii="仿宋_GB2312" w:eastAsia="仿宋_GB2312" w:cs="仿宋_GB2312"/>
          <w:bCs/>
          <w:kern w:val="0"/>
          <w:sz w:val="30"/>
          <w:lang w:val="en-US" w:eastAsia="zh-CN"/>
        </w:rPr>
        <w:t>3.9</w:t>
      </w:r>
      <w:r>
        <w:rPr>
          <w:rFonts w:hint="eastAsia" w:ascii="仿宋_GB2312" w:eastAsia="仿宋_GB2312" w:cs="仿宋_GB2312"/>
          <w:bCs/>
          <w:kern w:val="0"/>
          <w:sz w:val="30"/>
          <w:lang w:val="zh-CN" w:eastAsia="zh-CN"/>
        </w:rPr>
        <w:t>万元，</w:t>
      </w:r>
      <w:r>
        <w:rPr>
          <w:rFonts w:hint="eastAsia" w:ascii="仿宋_GB2312" w:eastAsia="仿宋_GB2312" w:cs="仿宋_GB2312"/>
          <w:bCs/>
          <w:kern w:val="0"/>
          <w:sz w:val="30"/>
          <w:highlight w:val="none"/>
          <w:lang w:val="zh-CN"/>
        </w:rPr>
        <w:t>住房公积金</w:t>
      </w:r>
      <w:r>
        <w:rPr>
          <w:rFonts w:hint="eastAsia" w:ascii="仿宋_GB2312" w:eastAsia="仿宋_GB2312" w:cs="仿宋_GB2312"/>
          <w:bCs/>
          <w:kern w:val="0"/>
          <w:sz w:val="30"/>
          <w:highlight w:val="none"/>
          <w:lang w:val="en-US" w:eastAsia="zh-CN"/>
        </w:rPr>
        <w:t>96.08</w:t>
      </w:r>
      <w:r>
        <w:rPr>
          <w:rFonts w:hint="eastAsia" w:ascii="仿宋_GB2312" w:eastAsia="仿宋_GB2312" w:cs="仿宋_GB2312"/>
          <w:bCs/>
          <w:kern w:val="0"/>
          <w:sz w:val="30"/>
          <w:highlight w:val="none"/>
          <w:lang w:val="zh-CN"/>
        </w:rPr>
        <w:t>万元。</w:t>
      </w:r>
    </w:p>
    <w:p>
      <w:pPr>
        <w:pageBreakBefore w:val="0"/>
        <w:kinsoku/>
        <w:wordWrap/>
        <w:overflowPunct/>
        <w:topLinePunct w:val="0"/>
        <w:bidi w:val="0"/>
        <w:spacing w:line="600" w:lineRule="exact"/>
        <w:ind w:firstLine="645"/>
        <w:jc w:val="left"/>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lang w:val="zh-CN"/>
        </w:rPr>
      </w:pPr>
      <w:r>
        <w:rPr>
          <w:rFonts w:hint="eastAsia" w:ascii="仿宋_GB2312" w:eastAsia="仿宋_GB2312" w:cs="仿宋_GB2312"/>
          <w:bCs/>
          <w:kern w:val="0"/>
          <w:sz w:val="30"/>
          <w:highlight w:val="none"/>
          <w:lang w:val="zh-CN"/>
        </w:rPr>
        <w:t>202</w:t>
      </w:r>
      <w:r>
        <w:rPr>
          <w:rFonts w:hint="eastAsia" w:ascii="仿宋_GB2312" w:eastAsia="仿宋_GB2312" w:cs="仿宋_GB2312"/>
          <w:bCs/>
          <w:kern w:val="0"/>
          <w:sz w:val="30"/>
          <w:highlight w:val="none"/>
          <w:lang w:val="en-US" w:eastAsia="zh-CN"/>
        </w:rPr>
        <w:t>5</w:t>
      </w:r>
      <w:r>
        <w:rPr>
          <w:rFonts w:hint="eastAsia" w:ascii="仿宋_GB2312" w:eastAsia="仿宋_GB2312" w:cs="仿宋_GB2312"/>
          <w:bCs/>
          <w:kern w:val="0"/>
          <w:sz w:val="30"/>
          <w:highlight w:val="none"/>
          <w:lang w:val="zh-CN"/>
        </w:rPr>
        <w:t>年一般公共预算财政拨款支出</w:t>
      </w:r>
      <w:r>
        <w:rPr>
          <w:rFonts w:hint="eastAsia" w:ascii="仿宋_GB2312" w:eastAsia="仿宋_GB2312" w:cs="仿宋_GB2312"/>
          <w:bCs/>
          <w:kern w:val="0"/>
          <w:sz w:val="30"/>
          <w:highlight w:val="none"/>
          <w:lang w:val="en-US" w:eastAsia="zh-CN"/>
        </w:rPr>
        <w:t>1611.76</w:t>
      </w:r>
      <w:r>
        <w:rPr>
          <w:rFonts w:hint="eastAsia" w:ascii="仿宋_GB2312" w:eastAsia="仿宋_GB2312" w:cs="仿宋_GB2312"/>
          <w:bCs/>
          <w:kern w:val="0"/>
          <w:sz w:val="30"/>
          <w:highlight w:val="none"/>
          <w:lang w:val="zh-CN"/>
        </w:rPr>
        <w:t>万元，其中人员经费1239.77万元。人员经费主要包括：基本工资、津贴补贴、绩效工资、机关事业单位基本养老保</w:t>
      </w:r>
      <w:r>
        <w:rPr>
          <w:rFonts w:hint="eastAsia" w:ascii="仿宋_GB2312" w:eastAsia="仿宋_GB2312" w:cs="仿宋_GB2312"/>
          <w:bCs/>
          <w:kern w:val="0"/>
          <w:sz w:val="30"/>
          <w:lang w:val="zh-CN"/>
        </w:rPr>
        <w:t>险缴费、职业年金缴费、其他社会保障缴费、生活补助等。</w:t>
      </w:r>
    </w:p>
    <w:p>
      <w:pPr>
        <w:pageBreakBefore w:val="0"/>
        <w:kinsoku/>
        <w:wordWrap/>
        <w:overflowPunct/>
        <w:topLinePunct w:val="0"/>
        <w:bidi w:val="0"/>
        <w:spacing w:line="600" w:lineRule="exact"/>
        <w:ind w:firstLine="645"/>
        <w:jc w:val="left"/>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p>
    <w:p>
      <w:pPr>
        <w:pageBreakBefore w:val="0"/>
        <w:kinsoku/>
        <w:wordWrap/>
        <w:overflowPunct/>
        <w:topLinePunct w:val="0"/>
        <w:bidi w:val="0"/>
        <w:spacing w:line="600" w:lineRule="exact"/>
        <w:ind w:firstLine="645"/>
        <w:jc w:val="left"/>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ascii="仿宋_GB2312" w:eastAsia="仿宋_GB2312" w:cs="仿宋_GB2312"/>
          <w:bCs/>
          <w:kern w:val="0"/>
          <w:sz w:val="30"/>
          <w:lang w:val="zh-CN"/>
        </w:rPr>
        <w:t>202</w:t>
      </w:r>
      <w:r>
        <w:rPr>
          <w:rFonts w:hint="eastAsia" w:ascii="仿宋_GB2312" w:eastAsia="仿宋_GB2312" w:cs="仿宋_GB2312"/>
          <w:bCs/>
          <w:kern w:val="0"/>
          <w:sz w:val="30"/>
          <w:lang w:val="en-US" w:eastAsia="zh-CN"/>
        </w:rPr>
        <w:t>5</w:t>
      </w:r>
      <w:r>
        <w:rPr>
          <w:rFonts w:hint="eastAsia" w:ascii="仿宋_GB2312" w:eastAsia="仿宋_GB2312" w:cs="仿宋_GB2312"/>
          <w:bCs/>
          <w:kern w:val="0"/>
          <w:sz w:val="30"/>
          <w:lang w:val="zh-CN"/>
        </w:rPr>
        <w:t>年结余分配</w:t>
      </w:r>
      <w:r>
        <w:rPr>
          <w:rFonts w:hint="eastAsia" w:ascii="仿宋_GB2312" w:eastAsia="仿宋_GB2312" w:cs="仿宋_GB2312"/>
          <w:bCs/>
          <w:kern w:val="0"/>
          <w:sz w:val="30"/>
          <w:lang w:val="en-US" w:eastAsia="zh-CN"/>
        </w:rPr>
        <w:t>14.69</w:t>
      </w:r>
      <w:r>
        <w:rPr>
          <w:rFonts w:hint="eastAsia" w:ascii="仿宋_GB2312" w:eastAsia="仿宋_GB2312" w:cs="仿宋_GB2312"/>
          <w:bCs/>
          <w:kern w:val="0"/>
          <w:sz w:val="30"/>
          <w:lang w:val="zh-CN" w:eastAsia="zh-CN"/>
        </w:rPr>
        <w:t>万元</w:t>
      </w:r>
      <w:r>
        <w:rPr>
          <w:rFonts w:hint="eastAsia" w:ascii="仿宋_GB2312" w:eastAsia="仿宋_GB2312" w:cs="仿宋_GB2312"/>
          <w:bCs/>
          <w:kern w:val="0"/>
          <w:sz w:val="30"/>
          <w:lang w:val="zh-CN"/>
        </w:rPr>
        <w:t>，无结转资金。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pageBreakBefore w:val="0"/>
        <w:kinsoku/>
        <w:wordWrap/>
        <w:overflowPunct/>
        <w:topLinePunct w:val="0"/>
        <w:bidi w:val="0"/>
        <w:spacing w:line="600" w:lineRule="exact"/>
        <w:ind w:firstLine="645"/>
        <w:jc w:val="left"/>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highlight w:val="none"/>
          <w:lang w:val="zh-CN" w:eastAsia="zh-CN"/>
        </w:rPr>
      </w:pPr>
      <w:r>
        <w:rPr>
          <w:rFonts w:hint="eastAsia" w:ascii="仿宋_GB2312" w:eastAsia="仿宋_GB2312" w:cs="仿宋_GB2312"/>
          <w:bCs/>
          <w:kern w:val="0"/>
          <w:sz w:val="30"/>
          <w:highlight w:val="none"/>
          <w:lang w:val="zh-CN"/>
        </w:rPr>
        <w:t>1.履职效能。主要负责本辖区妇女儿童健康工作与健康教育；开展公共卫生服务；负责本辖区妇幼工作的培训与督导。</w:t>
      </w:r>
      <w:r>
        <w:rPr>
          <w:rFonts w:hint="eastAsia" w:ascii="仿宋_GB2312" w:eastAsia="仿宋_GB2312" w:cs="仿宋_GB2312"/>
          <w:bCs/>
          <w:kern w:val="0"/>
          <w:sz w:val="30"/>
          <w:highlight w:val="none"/>
          <w:lang w:val="zh-CN" w:eastAsia="zh-CN"/>
        </w:rPr>
        <w:t>我院</w:t>
      </w:r>
      <w:r>
        <w:rPr>
          <w:rFonts w:hint="eastAsia" w:ascii="仿宋_GB2312" w:eastAsia="仿宋_GB2312" w:cs="仿宋_GB2312"/>
          <w:bCs/>
          <w:kern w:val="0"/>
          <w:sz w:val="30"/>
          <w:highlight w:val="none"/>
          <w:lang w:val="zh-CN"/>
        </w:rPr>
        <w:t>围绕实现“新两纲”目标和初级卫生保健指标，了解掌握妇女儿童健康状况及影响因素，负责本辖区儿童入托前健康体检及开展各类妇幼保健人员的业务培训，负责指导和开展本辖区妇幼保健健康教育与健康工作。组织实施公共卫生服务项目，如 “免费婚检”“避孕药具”“孕前优生健康检查”“ 预防艾滋病、梅毒及乙肝母婴传播”等。</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highlight w:val="none"/>
          <w:lang w:val="zh-CN"/>
        </w:rPr>
      </w:pPr>
      <w:r>
        <w:rPr>
          <w:rFonts w:hint="eastAsia" w:ascii="仿宋_GB2312" w:eastAsia="仿宋_GB2312" w:cs="仿宋_GB2312"/>
          <w:bCs/>
          <w:kern w:val="0"/>
          <w:sz w:val="30"/>
          <w:highlight w:val="none"/>
          <w:lang w:val="zh-CN"/>
        </w:rPr>
        <w:t>2.预算管理。我单位</w:t>
      </w:r>
      <w:r>
        <w:rPr>
          <w:rFonts w:hint="eastAsia" w:ascii="仿宋_GB2312" w:eastAsia="仿宋_GB2312" w:cs="仿宋_GB2312"/>
          <w:bCs/>
          <w:kern w:val="0"/>
          <w:sz w:val="30"/>
          <w:highlight w:val="none"/>
          <w:lang w:val="zh-CN" w:eastAsia="zh-CN"/>
        </w:rPr>
        <w:t>严格按照要求编制年初部门预算，确保预算编制的科学性和准确性。严控 “三公”经费、培训费、差旅费、办公设备购置费等一般性支出。</w:t>
      </w:r>
      <w:r>
        <w:rPr>
          <w:rFonts w:hint="eastAsia" w:ascii="仿宋_GB2312" w:eastAsia="仿宋_GB2312" w:cs="仿宋_GB2312"/>
          <w:bCs/>
          <w:kern w:val="0"/>
          <w:sz w:val="30"/>
          <w:highlight w:val="none"/>
          <w:lang w:val="zh-CN"/>
        </w:rPr>
        <w:t>预算编制根据年度经济社会发展目标和跨年度预算平衡的需要，参考上一年预算执行情况、有关支出绩效评价结果和本年度收支预测，按照规定程序征求进行编制。</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highlight w:val="none"/>
          <w:lang w:val="zh-CN" w:eastAsia="zh-CN"/>
        </w:rPr>
      </w:pPr>
      <w:r>
        <w:rPr>
          <w:rFonts w:hint="eastAsia" w:ascii="仿宋_GB2312" w:eastAsia="仿宋_GB2312" w:cs="仿宋_GB2312"/>
          <w:bCs/>
          <w:kern w:val="0"/>
          <w:sz w:val="30"/>
          <w:highlight w:val="none"/>
          <w:lang w:val="zh-CN"/>
        </w:rPr>
        <w:t>3.财务管理。</w:t>
      </w:r>
      <w:r>
        <w:rPr>
          <w:rFonts w:hint="eastAsia" w:ascii="仿宋_GB2312" w:eastAsia="仿宋_GB2312" w:cs="仿宋_GB2312"/>
          <w:bCs/>
          <w:kern w:val="0"/>
          <w:sz w:val="30"/>
          <w:highlight w:val="none"/>
          <w:lang w:val="zh-CN" w:eastAsia="zh-CN"/>
        </w:rPr>
        <w:t>本部门财务管理制度健全，财务岗位设置合理，资金使用规范。</w:t>
      </w:r>
    </w:p>
    <w:p>
      <w:pPr>
        <w:pageBreakBefore w:val="0"/>
        <w:kinsoku/>
        <w:wordWrap/>
        <w:overflowPunct/>
        <w:topLinePunct w:val="0"/>
        <w:bidi w:val="0"/>
        <w:spacing w:line="600" w:lineRule="exact"/>
        <w:ind w:firstLine="645"/>
        <w:jc w:val="left"/>
        <w:rPr>
          <w:rFonts w:hint="eastAsia" w:ascii="仿宋_GB2312" w:eastAsia="仿宋_GB2312" w:cs="仿宋_GB2312"/>
          <w:bCs/>
          <w:kern w:val="0"/>
          <w:sz w:val="30"/>
          <w:highlight w:val="none"/>
          <w:lang w:val="zh-CN"/>
        </w:rPr>
      </w:pPr>
      <w:r>
        <w:rPr>
          <w:rFonts w:hint="eastAsia" w:ascii="仿宋_GB2312" w:eastAsia="仿宋_GB2312" w:cs="仿宋_GB2312"/>
          <w:bCs/>
          <w:kern w:val="0"/>
          <w:sz w:val="30"/>
          <w:highlight w:val="none"/>
          <w:lang w:val="zh-CN"/>
        </w:rPr>
        <w:t>4.资产管理。</w:t>
      </w:r>
      <w:r>
        <w:rPr>
          <w:rFonts w:hint="eastAsia" w:ascii="仿宋_GB2312" w:eastAsia="仿宋_GB2312" w:cs="仿宋_GB2312"/>
          <w:bCs/>
          <w:kern w:val="0"/>
          <w:sz w:val="30"/>
          <w:highlight w:val="none"/>
          <w:lang w:val="zh-CN" w:eastAsia="zh-CN"/>
        </w:rPr>
        <w:t>无闲置一年以上资产，资产利用率较高，人均资产变化率、资产利用率等指标表现稳定</w:t>
      </w:r>
      <w:r>
        <w:rPr>
          <w:rFonts w:hint="eastAsia" w:ascii="仿宋_GB2312" w:eastAsia="仿宋_GB2312" w:cs="仿宋_GB2312"/>
          <w:bCs/>
          <w:kern w:val="0"/>
          <w:sz w:val="30"/>
          <w:highlight w:val="none"/>
          <w:lang w:val="zh-CN"/>
        </w:rPr>
        <w:t>。</w:t>
      </w:r>
    </w:p>
    <w:p>
      <w:pPr>
        <w:pageBreakBefore w:val="0"/>
        <w:kinsoku/>
        <w:wordWrap/>
        <w:overflowPunct/>
        <w:topLinePunct w:val="0"/>
        <w:bidi w:val="0"/>
        <w:spacing w:line="600" w:lineRule="exact"/>
        <w:ind w:firstLine="645"/>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仿宋_GB2312" w:eastAsia="仿宋_GB2312" w:cs="仿宋_GB2312"/>
          <w:bCs/>
          <w:kern w:val="0"/>
          <w:sz w:val="30"/>
          <w:highlight w:val="none"/>
          <w:lang w:val="zh-CN"/>
        </w:rPr>
        <w:t>5.采购管理。</w:t>
      </w:r>
      <w:r>
        <w:rPr>
          <w:rFonts w:hint="eastAsia" w:ascii="仿宋_GB2312" w:eastAsia="仿宋_GB2312" w:cs="仿宋_GB2312"/>
          <w:bCs/>
          <w:kern w:val="0"/>
          <w:sz w:val="30"/>
          <w:highlight w:val="none"/>
          <w:lang w:val="zh-CN" w:eastAsia="zh-CN"/>
        </w:rPr>
        <w:t>本部门严格执行政府采购促进中小企业发展相关管理办法，202</w:t>
      </w:r>
      <w:r>
        <w:rPr>
          <w:rFonts w:hint="eastAsia" w:ascii="仿宋_GB2312" w:eastAsia="仿宋_GB2312" w:cs="仿宋_GB2312"/>
          <w:bCs/>
          <w:kern w:val="0"/>
          <w:sz w:val="30"/>
          <w:highlight w:val="none"/>
          <w:lang w:val="en-US" w:eastAsia="zh-CN"/>
        </w:rPr>
        <w:t>5</w:t>
      </w:r>
      <w:r>
        <w:rPr>
          <w:rFonts w:hint="eastAsia" w:ascii="仿宋_GB2312" w:eastAsia="仿宋_GB2312" w:cs="仿宋_GB2312"/>
          <w:bCs/>
          <w:kern w:val="0"/>
          <w:sz w:val="30"/>
          <w:highlight w:val="none"/>
          <w:lang w:val="zh-CN" w:eastAsia="zh-CN"/>
        </w:rPr>
        <w:t>年执行政府采购资金良好，采购执行率100%。</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pageBreakBefore w:val="0"/>
        <w:kinsoku/>
        <w:wordWrap/>
        <w:overflowPunct/>
        <w:topLinePunct w:val="0"/>
        <w:bidi w:val="0"/>
        <w:spacing w:line="600" w:lineRule="exact"/>
        <w:ind w:firstLine="645"/>
        <w:jc w:val="left"/>
        <w:rPr>
          <w:rFonts w:hint="eastAsia" w:ascii="仿宋_GB2312" w:hAnsi="Times New Roman" w:eastAsia="仿宋_GB2312" w:cs="仿宋_GB2312"/>
          <w:bCs/>
          <w:kern w:val="0"/>
          <w:sz w:val="30"/>
          <w:highlight w:val="none"/>
          <w:lang w:val="zh-CN" w:eastAsia="zh-CN"/>
        </w:rPr>
      </w:pPr>
      <w:r>
        <w:rPr>
          <w:rFonts w:hint="eastAsia" w:ascii="仿宋_GB2312" w:hAnsi="Times New Roman" w:eastAsia="仿宋_GB2312" w:cs="仿宋_GB2312"/>
          <w:bCs/>
          <w:kern w:val="0"/>
          <w:sz w:val="30"/>
          <w:highlight w:val="none"/>
          <w:lang w:val="zh-CN" w:eastAsia="zh-CN"/>
        </w:rPr>
        <w:t>常年项目绩效分析。该类项目总数</w:t>
      </w:r>
      <w:r>
        <w:rPr>
          <w:rFonts w:hint="eastAsia" w:ascii="仿宋_GB2312" w:eastAsia="仿宋_GB2312" w:cs="仿宋_GB2312"/>
          <w:bCs/>
          <w:kern w:val="0"/>
          <w:sz w:val="30"/>
          <w:highlight w:val="none"/>
          <w:lang w:val="en-US" w:eastAsia="zh-CN"/>
        </w:rPr>
        <w:t>0</w:t>
      </w:r>
      <w:r>
        <w:rPr>
          <w:rFonts w:hint="eastAsia" w:ascii="仿宋_GB2312" w:hAnsi="Times New Roman" w:eastAsia="仿宋_GB2312" w:cs="仿宋_GB2312"/>
          <w:bCs/>
          <w:kern w:val="0"/>
          <w:sz w:val="30"/>
          <w:highlight w:val="none"/>
          <w:lang w:val="zh-CN" w:eastAsia="zh-CN"/>
        </w:rPr>
        <w:t>个，涉及预算总金额</w:t>
      </w:r>
      <w:r>
        <w:rPr>
          <w:rFonts w:hint="eastAsia" w:ascii="仿宋_GB2312" w:eastAsia="仿宋_GB2312" w:cs="仿宋_GB2312"/>
          <w:bCs/>
          <w:kern w:val="0"/>
          <w:sz w:val="30"/>
          <w:highlight w:val="none"/>
          <w:lang w:val="en-US" w:eastAsia="zh-CN"/>
        </w:rPr>
        <w:t>0</w:t>
      </w:r>
      <w:r>
        <w:rPr>
          <w:rFonts w:hint="eastAsia" w:ascii="仿宋_GB2312" w:hAnsi="Times New Roman" w:eastAsia="仿宋_GB2312" w:cs="仿宋_GB2312"/>
          <w:bCs/>
          <w:kern w:val="0"/>
          <w:sz w:val="30"/>
          <w:highlight w:val="none"/>
          <w:lang w:val="zh-CN" w:eastAsia="zh-CN"/>
        </w:rPr>
        <w:t>万元，1—1</w:t>
      </w:r>
      <w:r>
        <w:rPr>
          <w:rFonts w:hint="eastAsia" w:ascii="仿宋_GB2312" w:hAnsi="Times New Roman" w:eastAsia="仿宋_GB2312" w:cs="仿宋_GB2312"/>
          <w:bCs/>
          <w:kern w:val="0"/>
          <w:sz w:val="30"/>
          <w:highlight w:val="none"/>
          <w:lang w:val="en-US" w:eastAsia="zh-CN"/>
        </w:rPr>
        <w:t>2</w:t>
      </w:r>
      <w:r>
        <w:rPr>
          <w:rFonts w:hint="eastAsia" w:ascii="仿宋_GB2312" w:hAnsi="Times New Roman" w:eastAsia="仿宋_GB2312" w:cs="仿宋_GB2312"/>
          <w:bCs/>
          <w:kern w:val="0"/>
          <w:sz w:val="30"/>
          <w:highlight w:val="none"/>
          <w:lang w:val="zh-CN" w:eastAsia="zh-CN"/>
        </w:rPr>
        <w:t>月预算执行总体进度为</w:t>
      </w:r>
      <w:r>
        <w:rPr>
          <w:rFonts w:hint="eastAsia" w:ascii="仿宋_GB2312" w:eastAsia="仿宋_GB2312" w:cs="仿宋_GB2312"/>
          <w:bCs/>
          <w:kern w:val="0"/>
          <w:sz w:val="30"/>
          <w:highlight w:val="none"/>
          <w:lang w:val="en-US" w:eastAsia="zh-CN"/>
        </w:rPr>
        <w:t>0</w:t>
      </w:r>
      <w:r>
        <w:rPr>
          <w:rFonts w:hint="eastAsia" w:ascii="仿宋_GB2312" w:hAnsi="Times New Roman" w:eastAsia="仿宋_GB2312" w:cs="仿宋_GB2312"/>
          <w:bCs/>
          <w:kern w:val="0"/>
          <w:sz w:val="30"/>
          <w:highlight w:val="none"/>
          <w:lang w:val="zh-CN" w:eastAsia="zh-CN"/>
        </w:rPr>
        <w:t>%，其中：预算结余率大于</w:t>
      </w:r>
      <w:r>
        <w:rPr>
          <w:rFonts w:hint="eastAsia" w:ascii="仿宋_GB2312" w:hAnsi="Times New Roman" w:eastAsia="仿宋_GB2312" w:cs="仿宋_GB2312"/>
          <w:bCs/>
          <w:kern w:val="0"/>
          <w:sz w:val="30"/>
          <w:highlight w:val="none"/>
          <w:lang w:val="en-US" w:eastAsia="zh-CN"/>
        </w:rPr>
        <w:t>10%</w:t>
      </w:r>
      <w:r>
        <w:rPr>
          <w:rFonts w:hint="eastAsia" w:ascii="仿宋_GB2312" w:hAnsi="Times New Roman" w:eastAsia="仿宋_GB2312" w:cs="仿宋_GB2312"/>
          <w:bCs/>
          <w:kern w:val="0"/>
          <w:sz w:val="30"/>
          <w:highlight w:val="none"/>
          <w:lang w:val="zh-CN" w:eastAsia="zh-CN"/>
        </w:rPr>
        <w:t>的项目共计</w:t>
      </w:r>
      <w:r>
        <w:rPr>
          <w:rFonts w:hint="eastAsia" w:ascii="仿宋_GB2312" w:eastAsia="仿宋_GB2312" w:cs="仿宋_GB2312"/>
          <w:bCs/>
          <w:kern w:val="0"/>
          <w:sz w:val="30"/>
          <w:highlight w:val="none"/>
          <w:lang w:val="en-US" w:eastAsia="zh-CN"/>
        </w:rPr>
        <w:t>0</w:t>
      </w:r>
      <w:r>
        <w:rPr>
          <w:rFonts w:hint="eastAsia" w:ascii="仿宋_GB2312" w:hAnsi="Times New Roman" w:eastAsia="仿宋_GB2312" w:cs="仿宋_GB2312"/>
          <w:bCs/>
          <w:kern w:val="0"/>
          <w:sz w:val="30"/>
          <w:highlight w:val="none"/>
          <w:lang w:val="zh-CN" w:eastAsia="zh-CN"/>
        </w:rPr>
        <w:t>个。</w:t>
      </w:r>
    </w:p>
    <w:p>
      <w:pPr>
        <w:pageBreakBefore w:val="0"/>
        <w:kinsoku/>
        <w:wordWrap/>
        <w:overflowPunct/>
        <w:topLinePunct w:val="0"/>
        <w:bidi w:val="0"/>
        <w:spacing w:line="600" w:lineRule="exact"/>
        <w:ind w:firstLine="645"/>
        <w:jc w:val="left"/>
        <w:rPr>
          <w:rFonts w:hint="eastAsia" w:ascii="仿宋_GB2312" w:hAnsi="Times New Roman" w:eastAsia="仿宋_GB2312" w:cs="仿宋_GB2312"/>
          <w:bCs/>
          <w:kern w:val="0"/>
          <w:sz w:val="30"/>
          <w:highlight w:val="none"/>
          <w:lang w:val="zh-CN" w:eastAsia="zh-CN"/>
        </w:rPr>
      </w:pPr>
      <w:r>
        <w:rPr>
          <w:rFonts w:hint="eastAsia" w:ascii="仿宋_GB2312" w:hAnsi="Times New Roman" w:eastAsia="仿宋_GB2312" w:cs="仿宋_GB2312"/>
          <w:bCs/>
          <w:kern w:val="0"/>
          <w:sz w:val="30"/>
          <w:highlight w:val="none"/>
          <w:lang w:val="en-US" w:eastAsia="zh-CN"/>
        </w:rPr>
        <w:t>阶段（含一次性）项目绩效分析。</w:t>
      </w:r>
      <w:r>
        <w:rPr>
          <w:rFonts w:hint="eastAsia" w:ascii="仿宋_GB2312" w:hAnsi="Times New Roman" w:eastAsia="仿宋_GB2312" w:cs="仿宋_GB2312"/>
          <w:bCs/>
          <w:kern w:val="0"/>
          <w:sz w:val="30"/>
          <w:highlight w:val="none"/>
          <w:lang w:val="zh-CN" w:eastAsia="zh-CN"/>
        </w:rPr>
        <w:t>该类项目总数</w:t>
      </w:r>
      <w:r>
        <w:rPr>
          <w:rFonts w:hint="eastAsia" w:ascii="仿宋_GB2312" w:hAnsi="Times New Roman" w:eastAsia="仿宋_GB2312" w:cs="仿宋_GB2312"/>
          <w:bCs/>
          <w:kern w:val="0"/>
          <w:sz w:val="30"/>
          <w:highlight w:val="none"/>
          <w:lang w:val="en-US" w:eastAsia="zh-CN"/>
        </w:rPr>
        <w:t>1</w:t>
      </w:r>
      <w:r>
        <w:rPr>
          <w:rFonts w:hint="eastAsia" w:ascii="仿宋_GB2312" w:hAnsi="Times New Roman" w:eastAsia="仿宋_GB2312" w:cs="仿宋_GB2312"/>
          <w:bCs/>
          <w:kern w:val="0"/>
          <w:sz w:val="30"/>
          <w:highlight w:val="none"/>
          <w:lang w:val="zh-CN" w:eastAsia="zh-CN"/>
        </w:rPr>
        <w:t>个，涉及预算总金额</w:t>
      </w:r>
      <w:r>
        <w:rPr>
          <w:rFonts w:hint="eastAsia" w:ascii="仿宋_GB2312" w:hAnsi="Times New Roman" w:eastAsia="仿宋_GB2312" w:cs="仿宋_GB2312"/>
          <w:bCs/>
          <w:kern w:val="0"/>
          <w:sz w:val="30"/>
          <w:highlight w:val="none"/>
          <w:lang w:val="en-US" w:eastAsia="zh-CN"/>
        </w:rPr>
        <w:t>43.24</w:t>
      </w:r>
      <w:r>
        <w:rPr>
          <w:rFonts w:hint="eastAsia" w:ascii="仿宋_GB2312" w:hAnsi="Times New Roman" w:eastAsia="仿宋_GB2312" w:cs="仿宋_GB2312"/>
          <w:bCs/>
          <w:kern w:val="0"/>
          <w:sz w:val="30"/>
          <w:highlight w:val="none"/>
          <w:lang w:val="zh-CN" w:eastAsia="zh-CN"/>
        </w:rPr>
        <w:t>万元，1—1</w:t>
      </w:r>
      <w:r>
        <w:rPr>
          <w:rFonts w:hint="eastAsia" w:ascii="仿宋_GB2312" w:hAnsi="Times New Roman" w:eastAsia="仿宋_GB2312" w:cs="仿宋_GB2312"/>
          <w:bCs/>
          <w:kern w:val="0"/>
          <w:sz w:val="30"/>
          <w:highlight w:val="none"/>
          <w:lang w:val="en-US" w:eastAsia="zh-CN"/>
        </w:rPr>
        <w:t>2</w:t>
      </w:r>
      <w:r>
        <w:rPr>
          <w:rFonts w:hint="eastAsia" w:ascii="仿宋_GB2312" w:hAnsi="Times New Roman" w:eastAsia="仿宋_GB2312" w:cs="仿宋_GB2312"/>
          <w:bCs/>
          <w:kern w:val="0"/>
          <w:sz w:val="30"/>
          <w:highlight w:val="none"/>
          <w:lang w:val="zh-CN" w:eastAsia="zh-CN"/>
        </w:rPr>
        <w:t>月预算执行总体进度为</w:t>
      </w:r>
      <w:r>
        <w:rPr>
          <w:rFonts w:hint="eastAsia" w:ascii="仿宋_GB2312" w:hAnsi="Times New Roman" w:eastAsia="仿宋_GB2312" w:cs="仿宋_GB2312"/>
          <w:bCs/>
          <w:kern w:val="0"/>
          <w:sz w:val="30"/>
          <w:highlight w:val="none"/>
          <w:lang w:val="en-US" w:eastAsia="zh-CN"/>
        </w:rPr>
        <w:t xml:space="preserve">100 </w:t>
      </w:r>
      <w:r>
        <w:rPr>
          <w:rFonts w:hint="eastAsia" w:ascii="仿宋_GB2312" w:hAnsi="Times New Roman" w:eastAsia="仿宋_GB2312" w:cs="仿宋_GB2312"/>
          <w:bCs/>
          <w:kern w:val="0"/>
          <w:sz w:val="30"/>
          <w:highlight w:val="none"/>
          <w:lang w:val="zh-CN" w:eastAsia="zh-CN"/>
        </w:rPr>
        <w:t>%，其中：预算结余率大于</w:t>
      </w:r>
      <w:r>
        <w:rPr>
          <w:rFonts w:hint="eastAsia" w:ascii="仿宋_GB2312" w:hAnsi="Times New Roman" w:eastAsia="仿宋_GB2312" w:cs="仿宋_GB2312"/>
          <w:bCs/>
          <w:kern w:val="0"/>
          <w:sz w:val="30"/>
          <w:highlight w:val="none"/>
          <w:lang w:val="en-US" w:eastAsia="zh-CN"/>
        </w:rPr>
        <w:t>10%</w:t>
      </w:r>
      <w:r>
        <w:rPr>
          <w:rFonts w:hint="eastAsia" w:ascii="仿宋_GB2312" w:hAnsi="Times New Roman" w:eastAsia="仿宋_GB2312" w:cs="仿宋_GB2312"/>
          <w:bCs/>
          <w:kern w:val="0"/>
          <w:sz w:val="30"/>
          <w:highlight w:val="none"/>
          <w:lang w:val="zh-CN" w:eastAsia="zh-CN"/>
        </w:rPr>
        <w:t>的项目共计</w:t>
      </w:r>
      <w:r>
        <w:rPr>
          <w:rFonts w:hint="eastAsia" w:ascii="仿宋_GB2312" w:hAnsi="Times New Roman" w:eastAsia="仿宋_GB2312" w:cs="仿宋_GB2312"/>
          <w:bCs/>
          <w:kern w:val="0"/>
          <w:sz w:val="30"/>
          <w:highlight w:val="none"/>
          <w:lang w:val="en-US" w:eastAsia="zh-CN"/>
        </w:rPr>
        <w:t>0</w:t>
      </w:r>
      <w:r>
        <w:rPr>
          <w:rFonts w:hint="eastAsia" w:ascii="仿宋_GB2312" w:hAnsi="Times New Roman" w:eastAsia="仿宋_GB2312" w:cs="仿宋_GB2312"/>
          <w:bCs/>
          <w:kern w:val="0"/>
          <w:sz w:val="30"/>
          <w:highlight w:val="none"/>
          <w:lang w:val="zh-CN" w:eastAsia="zh-CN"/>
        </w:rPr>
        <w:t>个。</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left"/>
        <w:rPr>
          <w:rFonts w:hint="eastAsia" w:ascii="仿宋_GB2312" w:eastAsia="仿宋_GB2312" w:cs="仿宋_GB2312"/>
          <w:b w:val="0"/>
          <w:bCs w:val="0"/>
          <w:color w:val="000000"/>
          <w:sz w:val="32"/>
          <w:szCs w:val="32"/>
          <w:highlight w:val="none"/>
          <w:lang w:val="en-US" w:eastAsia="zh-CN"/>
        </w:rPr>
      </w:pPr>
      <w:r>
        <w:rPr>
          <w:rFonts w:hint="eastAsia" w:ascii="仿宋_GB2312" w:eastAsia="仿宋_GB2312" w:cs="仿宋_GB2312"/>
          <w:b w:val="0"/>
          <w:bCs w:val="0"/>
          <w:color w:val="000000"/>
          <w:sz w:val="32"/>
          <w:szCs w:val="32"/>
          <w:highlight w:val="none"/>
          <w:lang w:val="zh-CN" w:eastAsia="zh-CN"/>
        </w:rPr>
        <w:t>1.项目决策。根据202</w:t>
      </w:r>
      <w:r>
        <w:rPr>
          <w:rFonts w:hint="eastAsia" w:ascii="仿宋_GB2312" w:eastAsia="仿宋_GB2312" w:cs="仿宋_GB2312"/>
          <w:b w:val="0"/>
          <w:bCs w:val="0"/>
          <w:color w:val="000000"/>
          <w:sz w:val="32"/>
          <w:szCs w:val="32"/>
          <w:highlight w:val="none"/>
          <w:lang w:val="en-US" w:eastAsia="zh-CN"/>
        </w:rPr>
        <w:t>5</w:t>
      </w:r>
      <w:r>
        <w:rPr>
          <w:rFonts w:hint="eastAsia" w:ascii="仿宋_GB2312" w:eastAsia="仿宋_GB2312" w:cs="仿宋_GB2312"/>
          <w:b w:val="0"/>
          <w:bCs w:val="0"/>
          <w:color w:val="000000"/>
          <w:sz w:val="32"/>
          <w:szCs w:val="32"/>
          <w:highlight w:val="none"/>
          <w:lang w:val="zh-CN" w:eastAsia="zh-CN"/>
        </w:rPr>
        <w:t>年下达资金，建设项目库，包括资金指标额度、事前绩效评估、项目目标设置等。再根据基本公共卫生项目方案、两癌筛查方案等项目方案开展各项工作。按项目需达到的目的设置各项目目标，如数量指标、质量指标、时效指标、社会效益指标、满意度指标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left"/>
        <w:rPr>
          <w:rFonts w:hint="eastAsia" w:ascii="仿宋_GB2312" w:eastAsia="仿宋_GB2312" w:cs="仿宋_GB2312"/>
          <w:b w:val="0"/>
          <w:bCs w:val="0"/>
          <w:color w:val="000000"/>
          <w:sz w:val="32"/>
          <w:szCs w:val="32"/>
          <w:highlight w:val="none"/>
          <w:lang w:val="zh-CN" w:eastAsia="zh-CN"/>
        </w:rPr>
      </w:pPr>
      <w:r>
        <w:rPr>
          <w:rFonts w:hint="eastAsia" w:ascii="仿宋_GB2312" w:eastAsia="仿宋_GB2312" w:cs="仿宋_GB2312"/>
          <w:b w:val="0"/>
          <w:bCs w:val="0"/>
          <w:color w:val="000000"/>
          <w:sz w:val="32"/>
          <w:szCs w:val="32"/>
          <w:highlight w:val="none"/>
          <w:lang w:val="zh-CN" w:eastAsia="zh-CN"/>
        </w:rPr>
        <w:t>2.项目执行。城乡居民“两癌”筛查项目，预算数</w:t>
      </w:r>
      <w:r>
        <w:rPr>
          <w:rFonts w:hint="eastAsia" w:ascii="仿宋_GB2312" w:eastAsia="仿宋_GB2312" w:cs="仿宋_GB2312"/>
          <w:b w:val="0"/>
          <w:bCs w:val="0"/>
          <w:color w:val="000000"/>
          <w:sz w:val="32"/>
          <w:szCs w:val="32"/>
          <w:highlight w:val="none"/>
          <w:lang w:val="en-US" w:eastAsia="zh-CN"/>
        </w:rPr>
        <w:t>43.24万元，支付数43.24万元，执行进度100%</w:t>
      </w:r>
      <w:r>
        <w:rPr>
          <w:rFonts w:hint="eastAsia" w:ascii="仿宋_GB2312" w:eastAsia="仿宋_GB2312" w:cs="仿宋_GB2312"/>
          <w:b w:val="0"/>
          <w:bCs w:val="0"/>
          <w:color w:val="000000"/>
          <w:sz w:val="32"/>
          <w:szCs w:val="32"/>
          <w:highlight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left"/>
        <w:rPr>
          <w:rFonts w:hint="eastAsia" w:eastAsia="仿宋_GB2312" w:cs="仿宋_GB2312"/>
          <w:color w:val="auto"/>
          <w:kern w:val="2"/>
          <w:sz w:val="32"/>
          <w:szCs w:val="32"/>
          <w:highlight w:val="none"/>
          <w:lang w:val="en-US" w:eastAsia="zh-CN" w:bidi="ar-SA"/>
        </w:rPr>
      </w:pPr>
      <w:r>
        <w:rPr>
          <w:rFonts w:hint="eastAsia" w:ascii="仿宋_GB2312" w:eastAsia="仿宋_GB2312" w:cs="仿宋_GB2312"/>
          <w:b w:val="0"/>
          <w:bCs w:val="0"/>
          <w:color w:val="000000"/>
          <w:sz w:val="32"/>
          <w:szCs w:val="32"/>
          <w:highlight w:val="none"/>
          <w:lang w:val="zh-CN" w:eastAsia="zh-CN"/>
        </w:rPr>
        <w:t>3.目标实现。我部门202</w:t>
      </w:r>
      <w:r>
        <w:rPr>
          <w:rFonts w:hint="eastAsia" w:ascii="仿宋_GB2312" w:eastAsia="仿宋_GB2312" w:cs="仿宋_GB2312"/>
          <w:b w:val="0"/>
          <w:bCs w:val="0"/>
          <w:color w:val="000000"/>
          <w:sz w:val="32"/>
          <w:szCs w:val="32"/>
          <w:highlight w:val="none"/>
          <w:lang w:val="en-US" w:eastAsia="zh-CN"/>
        </w:rPr>
        <w:t>5</w:t>
      </w:r>
      <w:r>
        <w:rPr>
          <w:rFonts w:hint="eastAsia" w:ascii="仿宋_GB2312" w:eastAsia="仿宋_GB2312" w:cs="仿宋_GB2312"/>
          <w:b w:val="0"/>
          <w:bCs w:val="0"/>
          <w:color w:val="000000"/>
          <w:sz w:val="32"/>
          <w:szCs w:val="32"/>
          <w:highlight w:val="none"/>
          <w:lang w:val="zh-CN" w:eastAsia="zh-CN"/>
        </w:rPr>
        <w:t>年目标基本完成，未出现目标偏离的情况。辖区妇女儿童健康工作和健康知识宣教正常开展，妇幼培训及督导按时完成，公共卫生项目开展良好，两癌筛查、新生儿疾病筛查、免费婚前健康检查等项目均达到预期目标。</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contextualSpacing/>
        <w:jc w:val="left"/>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left"/>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b w:val="0"/>
          <w:bCs w:val="0"/>
          <w:color w:val="000000"/>
          <w:sz w:val="32"/>
          <w:szCs w:val="32"/>
          <w:highlight w:val="none"/>
          <w:lang w:val="zh-CN" w:eastAsia="zh-CN"/>
        </w:rPr>
        <w:t>内部应用情况：已将绩效结果作为部门内部考核的重要依据，促进了部门整体绩效的提升。信息公开情况：按照相关法律法规要求，及时公开了部门预算绩效相关信息并接受外部监督与审计，发现问题及时整改。</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left"/>
        <w:rPr>
          <w:rFonts w:hint="eastAsia" w:ascii="仿宋_GB2312" w:eastAsia="仿宋_GB2312" w:cs="仿宋_GB2312"/>
          <w:b w:val="0"/>
          <w:bCs w:val="0"/>
          <w:color w:val="000000"/>
          <w:sz w:val="32"/>
          <w:szCs w:val="32"/>
          <w:highlight w:val="none"/>
          <w:lang w:val="en-US" w:eastAsia="zh-CN"/>
        </w:rPr>
      </w:pPr>
      <w:r>
        <w:rPr>
          <w:rFonts w:hint="eastAsia" w:ascii="仿宋_GB2312" w:eastAsia="仿宋_GB2312" w:cs="仿宋_GB2312"/>
          <w:b w:val="0"/>
          <w:bCs w:val="0"/>
          <w:color w:val="000000"/>
          <w:sz w:val="32"/>
          <w:szCs w:val="32"/>
          <w:highlight w:val="none"/>
          <w:lang w:val="en-US" w:eastAsia="zh-CN"/>
        </w:rPr>
        <w:t>围绕医疗质量、服务效率、患者满意度及公共卫生职能展开进行评价，总体目标完成良好。例如：对高危孕产妇进行专案管理，督促乡村两级管理好高危孕产妇，做到宣传到位，确保母婴安全，建立儿童健康档案，有效提高了全县儿童保健系统管理率；通过日常门诊为已婚妇女提供妇女保健、孕产期保健、妇女常见病防治、检查服务，在治疗同时对广大妇女进行健康传播。</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left"/>
        <w:rPr>
          <w:rFonts w:hint="eastAsia" w:ascii="仿宋_GB2312" w:eastAsia="仿宋_GB2312" w:cs="仿宋_GB2312"/>
          <w:b w:val="0"/>
          <w:bCs w:val="0"/>
          <w:color w:val="000000"/>
          <w:sz w:val="32"/>
          <w:szCs w:val="32"/>
          <w:highlight w:val="none"/>
          <w:lang w:val="en-US" w:eastAsia="zh-CN"/>
        </w:rPr>
      </w:pPr>
      <w:r>
        <w:rPr>
          <w:rFonts w:hint="eastAsia" w:ascii="仿宋_GB2312" w:eastAsia="仿宋_GB2312" w:cs="仿宋_GB2312"/>
          <w:b w:val="0"/>
          <w:bCs w:val="0"/>
          <w:color w:val="000000"/>
          <w:sz w:val="32"/>
          <w:szCs w:val="32"/>
          <w:highlight w:val="none"/>
          <w:lang w:val="en-US" w:eastAsia="zh-CN"/>
        </w:rPr>
        <w:t>我院各公共卫生项目开展存在宣传不足的问题，群众对孕前优生健康检查、婚前健康检查、预防艾滋病梅毒乙肝母婴传播等缺乏相关知识，认识不到各项目开展的积极意义及作用，不愿意配合和参与相关检查。</w:t>
      </w:r>
    </w:p>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48" w:name="_Hlk110546638"/>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contextualSpacing/>
        <w:jc w:val="left"/>
        <w:rPr>
          <w:rFonts w:hint="eastAsia" w:ascii="仿宋_GB2312" w:eastAsia="仿宋_GB2312" w:cs="仿宋_GB2312"/>
          <w:b w:val="0"/>
          <w:bCs w:val="0"/>
          <w:color w:val="000000"/>
          <w:sz w:val="32"/>
          <w:szCs w:val="32"/>
          <w:highlight w:val="none"/>
          <w:lang w:val="en-US" w:eastAsia="zh-CN"/>
        </w:rPr>
      </w:pPr>
      <w:r>
        <w:rPr>
          <w:rFonts w:hint="eastAsia" w:ascii="仿宋_GB2312" w:eastAsia="仿宋_GB2312" w:cs="仿宋_GB2312"/>
          <w:b w:val="0"/>
          <w:bCs w:val="0"/>
          <w:color w:val="000000"/>
          <w:sz w:val="32"/>
          <w:szCs w:val="32"/>
          <w:highlight w:val="none"/>
          <w:lang w:val="en-US" w:eastAsia="zh-CN"/>
        </w:rPr>
        <w:t>强化宣传工作，提高群众的健康意识，优化检查项目并提高服务水平，强化部门协作，齐抓共管，做好经费保障。</w:t>
      </w:r>
    </w:p>
    <w:p>
      <w:pPr>
        <w:rPr>
          <w:rFonts w:hint="eastAsia" w:ascii="仿宋_GB2312" w:eastAsia="仿宋_GB2312" w:cs="仿宋_GB2312"/>
          <w:b w:val="0"/>
          <w:bCs w:val="0"/>
          <w:color w:val="000000"/>
          <w:sz w:val="32"/>
          <w:szCs w:val="32"/>
          <w:highlight w:val="none"/>
          <w:lang w:val="en-US" w:eastAsia="zh-CN"/>
        </w:rPr>
      </w:pPr>
      <w:r>
        <w:rPr>
          <w:rFonts w:hint="eastAsia" w:ascii="仿宋_GB2312" w:eastAsia="仿宋_GB2312" w:cs="仿宋_GB2312"/>
          <w:b w:val="0"/>
          <w:bCs w:val="0"/>
          <w:color w:val="000000"/>
          <w:sz w:val="32"/>
          <w:szCs w:val="32"/>
          <w:highlight w:val="none"/>
          <w:lang w:val="en-US" w:eastAsia="zh-CN"/>
        </w:rPr>
        <w:br w:type="page"/>
      </w:r>
    </w:p>
    <w:p>
      <w:pPr>
        <w:pStyle w:val="2"/>
        <w:rPr>
          <w:rFonts w:hint="eastAsia"/>
          <w:lang w:eastAsia="zh-CN"/>
        </w:rPr>
      </w:pP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p>
    <w:bookmarkEnd w:id="48"/>
    <w:p>
      <w:pPr>
        <w:pageBreakBefore w:val="0"/>
        <w:widowControl/>
        <w:kinsoku/>
        <w:wordWrap/>
        <w:overflowPunct/>
        <w:topLinePunct w:val="0"/>
        <w:bidi w:val="0"/>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7"/>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pPr>
              <w:pageBreakBefore w:val="0"/>
              <w:kinsoku/>
              <w:wordWrap/>
              <w:overflowPunct/>
              <w:topLinePunct w:val="0"/>
              <w:bidi w:val="0"/>
              <w:jc w:val="left"/>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茂县妇幼保健院</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2298.92</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1611.76</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687.16</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2292.95</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1611.76</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681.19</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国标宋体" w:hAnsi="国标宋体" w:eastAsia="国标宋体" w:cs="国标宋体"/>
                <w:color w:val="000000"/>
                <w:kern w:val="0"/>
                <w:sz w:val="24"/>
                <w:szCs w:val="24"/>
                <w:shd w:val="clear" w:color="auto" w:fill="FFFFFF"/>
                <w:lang w:val="zh-CN"/>
              </w:rPr>
              <w:t>了解掌握妇女儿童健康状况及影响因素，负责本辖区儿童入托前健康体检及开展各类妇幼保健人员的业务培训，负责指导和开展本辖区妇幼保健健康教育与健康工作，组织实施公共卫生服务项目。</w:t>
            </w:r>
          </w:p>
        </w:tc>
      </w:tr>
      <w:tr>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45.92</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45.92</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36.67</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44.92</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56.18</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45.92</w:t>
            </w:r>
            <w:r>
              <w:rPr>
                <w:rFonts w:ascii="宋体" w:hAnsi="宋体" w:eastAsia="宋体" w:cs="宋体"/>
                <w:color w:val="000000"/>
                <w:kern w:val="0"/>
                <w:sz w:val="24"/>
              </w:rPr>
              <w:t>%</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90.33</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90.33</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91</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90.5</w:t>
            </w:r>
            <w:r>
              <w:rPr>
                <w:rFonts w:ascii="宋体" w:hAnsi="宋体" w:eastAsia="宋体" w:cs="宋体"/>
                <w:color w:val="000000"/>
                <w:kern w:val="0"/>
                <w:sz w:val="24"/>
              </w:rPr>
              <w:t>%</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28.46</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28.46</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7.63</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61</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16.74</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11.7</w:t>
            </w:r>
            <w:r>
              <w:rPr>
                <w:rFonts w:ascii="宋体" w:hAnsi="宋体" w:eastAsia="宋体" w:cs="宋体"/>
                <w:color w:val="000000"/>
                <w:kern w:val="0"/>
                <w:sz w:val="24"/>
              </w:rPr>
              <w:t>%</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1521.76</w:t>
            </w:r>
            <w:r>
              <w:rPr>
                <w:rFonts w:ascii="宋体" w:hAnsi="宋体" w:eastAsia="宋体" w:cs="宋体"/>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1521.76</w:t>
            </w:r>
            <w:r>
              <w:rPr>
                <w:rFonts w:ascii="宋体" w:hAnsi="宋体" w:eastAsia="宋体" w:cs="宋体"/>
                <w:color w:val="000000"/>
                <w:kern w:val="0"/>
                <w:sz w:val="24"/>
              </w:rPr>
              <w:t>万元</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1611.76</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10</w:t>
            </w:r>
            <w:r>
              <w:rPr>
                <w:rFonts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10</w:t>
            </w:r>
            <w:r>
              <w:rPr>
                <w:rFonts w:ascii="宋体" w:hAnsi="宋体" w:eastAsia="宋体" w:cs="宋体"/>
                <w:color w:val="000000"/>
                <w:kern w:val="0"/>
                <w:sz w:val="24"/>
              </w:rPr>
              <w:t>%</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90</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r>
      <w:tr>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spacing w:line="600" w:lineRule="exact"/>
              <w:jc w:val="left"/>
              <w:textAlignment w:val="center"/>
              <w:rPr>
                <w:rFonts w:ascii="Times New Roman" w:hAnsi="Times New Roman" w:eastAsia="宋体" w:cs="Times New Roman"/>
                <w:color w:val="000000"/>
                <w:kern w:val="2"/>
                <w:sz w:val="24"/>
                <w:szCs w:val="24"/>
                <w:lang w:val="en-US" w:eastAsia="zh-CN" w:bidi="ar-SA"/>
              </w:rPr>
            </w:pPr>
            <w:r>
              <w:rPr>
                <w:rFonts w:eastAsia="宋体"/>
                <w:color w:val="000000"/>
                <w:kern w:val="0"/>
                <w:sz w:val="24"/>
                <w:lang w:bidi="ar"/>
              </w:rPr>
              <w:t>质量指标</w:t>
            </w:r>
          </w:p>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Times New Roman" w:hAnsi="Times New Roman" w:eastAsia="宋体" w:cs="Times New Roman"/>
                <w:color w:val="000000"/>
                <w:kern w:val="2"/>
                <w:sz w:val="24"/>
                <w:szCs w:val="24"/>
                <w:lang w:val="en-US" w:eastAsia="zh-CN" w:bidi="ar-SA"/>
              </w:rPr>
              <w:t>管理高危孕产妇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rPr>
            </w:pPr>
            <w:r>
              <w:rPr>
                <w:rFonts w:hint="eastAsia" w:eastAsia="宋体" w:cs="Times New Roman"/>
                <w:color w:val="000000"/>
                <w:kern w:val="2"/>
                <w:sz w:val="24"/>
                <w:szCs w:val="24"/>
                <w:lang w:val="en-US" w:eastAsia="zh-CN" w:bidi="ar-SA"/>
              </w:rPr>
              <w:t>无高危孕产妇死亡</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eastAsia="宋体" w:cs="Times New Roman"/>
                <w:color w:val="000000"/>
                <w:kern w:val="2"/>
                <w:sz w:val="24"/>
                <w:szCs w:val="24"/>
                <w:lang w:val="en-US" w:eastAsia="zh-CN" w:bidi="ar-SA"/>
              </w:rPr>
              <w:t>无高危孕产妇死亡</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spacing w:line="600" w:lineRule="exact"/>
              <w:jc w:val="left"/>
              <w:textAlignment w:val="center"/>
              <w:rPr>
                <w:rFonts w:ascii="Times New Roman" w:hAnsi="Times New Roman" w:eastAsia="宋体" w:cs="Times New Roman"/>
                <w:color w:val="000000"/>
                <w:kern w:val="2"/>
                <w:sz w:val="24"/>
                <w:szCs w:val="24"/>
                <w:lang w:val="en-US" w:eastAsia="zh-CN" w:bidi="ar-SA"/>
              </w:rPr>
            </w:pPr>
            <w:r>
              <w:rPr>
                <w:rFonts w:eastAsia="宋体"/>
                <w:color w:val="000000"/>
                <w:kern w:val="0"/>
                <w:sz w:val="24"/>
                <w:lang w:bidi="ar"/>
              </w:rPr>
              <w:t>质量指标</w:t>
            </w:r>
          </w:p>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eastAsia="宋体"/>
                <w:color w:val="000000"/>
                <w:sz w:val="24"/>
                <w:lang w:eastAsia="zh-CN"/>
              </w:rPr>
              <w:t>妇女儿童健康知识宣教</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default" w:ascii="宋体" w:hAnsi="宋体" w:eastAsia="宋体" w:cs="宋体"/>
                <w:color w:val="000000"/>
                <w:kern w:val="0"/>
                <w:sz w:val="24"/>
                <w:lang w:val="en-US"/>
              </w:rPr>
            </w:pPr>
            <w:r>
              <w:rPr>
                <w:rFonts w:hint="eastAsia" w:eastAsia="宋体" w:cs="Times New Roman"/>
                <w:color w:val="000000"/>
                <w:kern w:val="2"/>
                <w:sz w:val="24"/>
                <w:szCs w:val="24"/>
                <w:lang w:val="en-US" w:eastAsia="zh-CN" w:bidi="ar-SA"/>
              </w:rPr>
              <w:t>孕妇学校培训次数10次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eastAsia="宋体" w:cs="Times New Roman"/>
                <w:color w:val="000000"/>
                <w:kern w:val="2"/>
                <w:sz w:val="24"/>
                <w:szCs w:val="24"/>
                <w:lang w:val="en-US" w:eastAsia="zh-CN" w:bidi="ar-SA"/>
              </w:rPr>
              <w:t>孕妇学校培训次数10次。</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spacing w:line="600" w:lineRule="exact"/>
              <w:jc w:val="left"/>
              <w:textAlignment w:val="center"/>
              <w:rPr>
                <w:rFonts w:ascii="Times New Roman" w:hAnsi="Times New Roman" w:eastAsia="宋体" w:cs="Times New Roman"/>
                <w:color w:val="000000"/>
                <w:kern w:val="2"/>
                <w:sz w:val="24"/>
                <w:szCs w:val="24"/>
                <w:lang w:val="en-US" w:eastAsia="zh-CN" w:bidi="ar-SA"/>
              </w:rPr>
            </w:pPr>
            <w:r>
              <w:rPr>
                <w:rFonts w:eastAsia="宋体"/>
                <w:color w:val="000000"/>
                <w:kern w:val="0"/>
                <w:sz w:val="24"/>
                <w:lang w:bidi="ar"/>
              </w:rPr>
              <w:t>质量指标</w:t>
            </w:r>
          </w:p>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开展公共卫生项目</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开展公共卫生项目，如：两癌筛查、婚检、孕优、新筛等项目。</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开展公共卫生项目，如：两癌筛查、婚检、孕优、新筛等项目。</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spacing w:line="600" w:lineRule="exact"/>
              <w:jc w:val="left"/>
              <w:textAlignment w:val="center"/>
              <w:rPr>
                <w:rFonts w:eastAsia="宋体"/>
                <w:color w:val="000000"/>
                <w:kern w:val="0"/>
                <w:sz w:val="24"/>
                <w:lang w:bidi="ar"/>
              </w:rPr>
            </w:pPr>
            <w:r>
              <w:rPr>
                <w:rFonts w:eastAsia="宋体"/>
                <w:color w:val="000000"/>
                <w:kern w:val="0"/>
                <w:sz w:val="24"/>
                <w:lang w:bidi="ar"/>
              </w:rPr>
              <w:t>社会效益</w:t>
            </w:r>
          </w:p>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eastAsia="宋体"/>
                <w:color w:val="000000"/>
                <w:kern w:val="0"/>
                <w:sz w:val="24"/>
                <w:lang w:bidi="ar"/>
              </w:rPr>
              <w:t>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eastAsia="宋体"/>
                <w:color w:val="000000"/>
                <w:sz w:val="24"/>
                <w:lang w:eastAsia="zh-CN"/>
              </w:rPr>
              <w:t>保障辖区妇女儿童健康水平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eastAsia="宋体"/>
                <w:color w:val="000000"/>
                <w:sz w:val="24"/>
                <w:lang w:eastAsia="zh-CN"/>
              </w:rPr>
              <w:t>保障辖区妇女儿童健康水平，服务水平不断提高</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eastAsia="宋体"/>
                <w:color w:val="000000"/>
                <w:sz w:val="24"/>
                <w:lang w:eastAsia="zh-CN"/>
              </w:rPr>
              <w:t>保障辖区妇女儿童健康水平，服务水平不断提高</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spacing w:line="600" w:lineRule="exact"/>
              <w:jc w:val="left"/>
              <w:textAlignment w:val="center"/>
              <w:rPr>
                <w:rFonts w:eastAsia="宋体"/>
                <w:color w:val="000000"/>
                <w:kern w:val="0"/>
                <w:sz w:val="24"/>
                <w:lang w:bidi="ar"/>
              </w:rPr>
            </w:pPr>
            <w:r>
              <w:rPr>
                <w:rFonts w:eastAsia="宋体"/>
                <w:color w:val="000000"/>
                <w:kern w:val="0"/>
                <w:sz w:val="24"/>
                <w:lang w:bidi="ar"/>
              </w:rPr>
              <w:t>社会效益</w:t>
            </w:r>
          </w:p>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eastAsia="宋体"/>
                <w:color w:val="000000"/>
                <w:kern w:val="0"/>
                <w:sz w:val="24"/>
                <w:lang w:bidi="ar"/>
              </w:rPr>
              <w:t>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降低群众医疗负担</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各项免费筛查，降低医疗费用，降低群众医疗负担</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各项免费筛查，降低医疗费用，降低群众医疗负担</w:t>
            </w:r>
          </w:p>
        </w:tc>
      </w:tr>
      <w:tr>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bidi w:val="0"/>
              <w:spacing w:line="240" w:lineRule="exact"/>
              <w:jc w:val="left"/>
              <w:textAlignment w:val="center"/>
              <w:rPr>
                <w:rFonts w:ascii="宋体" w:hAnsi="宋体" w:eastAsia="宋体" w:cs="宋体"/>
                <w:color w:val="000000"/>
                <w:kern w:val="0"/>
                <w:sz w:val="24"/>
              </w:rPr>
            </w:pPr>
          </w:p>
        </w:tc>
      </w:tr>
    </w:tbl>
    <w:p>
      <w:pPr>
        <w:pageBreakBefore w:val="0"/>
        <w:kinsoku/>
        <w:wordWrap/>
        <w:overflowPunct/>
        <w:topLinePunct w:val="0"/>
        <w:bidi w:val="0"/>
        <w:jc w:val="left"/>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6"/>
        <w:pageBreakBefore w:val="0"/>
        <w:kinsoku/>
        <w:wordWrap/>
        <w:overflowPunct/>
        <w:topLinePunct w:val="0"/>
        <w:bidi w:val="0"/>
        <w:spacing w:beforeLines="0"/>
        <w:jc w:val="left"/>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5"/>
        <w:keepNext w:val="0"/>
        <w:keepLines w:val="0"/>
        <w:pageBreakBefore w:val="0"/>
        <w:widowControl w:val="0"/>
        <w:kinsoku/>
        <w:wordWrap/>
        <w:overflowPunct/>
        <w:topLinePunct w:val="0"/>
        <w:autoSpaceDE/>
        <w:autoSpaceDN/>
        <w:bidi w:val="0"/>
        <w:spacing w:line="578" w:lineRule="exact"/>
        <w:ind w:left="0" w:leftChars="0"/>
        <w:jc w:val="left"/>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5"/>
        <w:keepNext w:val="0"/>
        <w:keepLines w:val="0"/>
        <w:pageBreakBefore w:val="0"/>
        <w:widowControl w:val="0"/>
        <w:kinsoku/>
        <w:wordWrap/>
        <w:overflowPunct/>
        <w:topLinePunct w:val="0"/>
        <w:autoSpaceDE/>
        <w:autoSpaceDN/>
        <w:bidi w:val="0"/>
        <w:spacing w:line="578" w:lineRule="exact"/>
        <w:ind w:left="0" w:leftChars="0" w:firstLine="0" w:firstLineChars="0"/>
        <w:jc w:val="center"/>
        <w:textAlignment w:val="auto"/>
        <w:rPr>
          <w:rFonts w:hint="eastAsia" w:ascii="方正小标宋简体" w:hAnsi="方正小标宋简体" w:eastAsia="方正小标宋简体" w:cs="方正小标宋简体"/>
          <w:color w:val="auto"/>
          <w:kern w:val="2"/>
          <w:sz w:val="44"/>
          <w:szCs w:val="44"/>
          <w:lang w:val="en-US" w:eastAsia="zh-CN"/>
        </w:rPr>
      </w:pPr>
      <w:r>
        <w:rPr>
          <w:rFonts w:hint="eastAsia" w:ascii="方正小标宋简体" w:hAnsi="方正小标宋简体" w:eastAsia="方正小标宋简体" w:cs="方正小标宋简体"/>
          <w:color w:val="auto"/>
          <w:kern w:val="2"/>
          <w:sz w:val="44"/>
          <w:szCs w:val="44"/>
          <w:lang w:val="en-US" w:eastAsia="zh-CN"/>
        </w:rPr>
        <w:t>茂县妇幼保健院</w:t>
      </w: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contextualSpacing/>
        <w:jc w:val="center"/>
        <w:textAlignment w:val="auto"/>
        <w:rPr>
          <w:rFonts w:hint="eastAsia" w:ascii="方正小标宋简体" w:hAnsi="方正小标宋简体" w:eastAsia="方正小标宋简体" w:cs="方正小标宋简体"/>
          <w:color w:val="auto"/>
          <w:kern w:val="2"/>
          <w:sz w:val="44"/>
          <w:szCs w:val="44"/>
          <w:lang w:val="en-US" w:eastAsia="zh-CN"/>
        </w:rPr>
      </w:pPr>
      <w:r>
        <w:rPr>
          <w:rFonts w:hint="eastAsia" w:ascii="方正小标宋简体" w:hAnsi="方正小标宋简体" w:eastAsia="方正小标宋简体" w:cs="方正小标宋简体"/>
          <w:color w:val="auto"/>
          <w:kern w:val="2"/>
          <w:sz w:val="44"/>
          <w:szCs w:val="44"/>
          <w:lang w:val="en-US" w:eastAsia="zh-CN"/>
        </w:rPr>
        <w:t>专项预算项目绩效评价报告</w:t>
      </w:r>
    </w:p>
    <w:p>
      <w:pPr>
        <w:keepNext w:val="0"/>
        <w:keepLines w:val="0"/>
        <w:pageBreakBefore w:val="0"/>
        <w:widowControl w:val="0"/>
        <w:kinsoku/>
        <w:wordWrap/>
        <w:overflowPunct/>
        <w:topLinePunct w:val="0"/>
        <w:autoSpaceDE/>
        <w:autoSpaceDN/>
        <w:bidi w:val="0"/>
        <w:ind w:firstLine="0" w:firstLineChars="0"/>
        <w:jc w:val="center"/>
        <w:textAlignment w:val="auto"/>
        <w:rPr>
          <w:rFonts w:ascii="Times New Roman" w:hAnsi="Times New Roman"/>
          <w:color w:val="auto"/>
          <w:kern w:val="2"/>
          <w:sz w:val="32"/>
          <w:szCs w:val="32"/>
          <w:highlight w:val="none"/>
        </w:rPr>
      </w:pPr>
      <w:r>
        <w:rPr>
          <w:rFonts w:hint="eastAsia" w:ascii="仿宋_GB2312" w:eastAsia="仿宋_GB2312" w:cs="仿宋_GB2312"/>
          <w:b w:val="0"/>
          <w:bCs w:val="0"/>
          <w:color w:val="000000"/>
          <w:sz w:val="32"/>
          <w:szCs w:val="32"/>
          <w:highlight w:val="none"/>
          <w:lang w:val="zh-CN" w:eastAsia="zh-CN"/>
        </w:rPr>
        <w:t>（本部门不涉及此类项目）</w:t>
      </w:r>
      <w:r>
        <w:rPr>
          <w:rFonts w:ascii="Times New Roman" w:hAnsi="Times New Roman"/>
          <w:color w:val="auto"/>
          <w:kern w:val="2"/>
          <w:sz w:val="32"/>
          <w:szCs w:val="32"/>
          <w:highlight w:val="none"/>
        </w:rPr>
        <w:br w:type="page"/>
      </w:r>
    </w:p>
    <w:p>
      <w:pPr>
        <w:pStyle w:val="35"/>
        <w:keepNext w:val="0"/>
        <w:keepLines w:val="0"/>
        <w:pageBreakBefore w:val="0"/>
        <w:widowControl w:val="0"/>
        <w:kinsoku/>
        <w:wordWrap/>
        <w:overflowPunct/>
        <w:topLinePunct w:val="0"/>
        <w:autoSpaceDE/>
        <w:autoSpaceDN/>
        <w:bidi w:val="0"/>
        <w:spacing w:line="578" w:lineRule="exact"/>
        <w:ind w:left="0" w:leftChars="0" w:firstLine="640"/>
        <w:jc w:val="left"/>
        <w:textAlignment w:val="auto"/>
        <w:rPr>
          <w:rFonts w:ascii="Times New Roman" w:hAnsi="Times New Roman"/>
          <w:color w:val="auto"/>
          <w:kern w:val="2"/>
          <w:sz w:val="32"/>
          <w:szCs w:val="32"/>
          <w:highlight w:val="none"/>
        </w:rPr>
      </w:pPr>
    </w:p>
    <w:p>
      <w:pPr>
        <w:pageBreakBefore w:val="0"/>
        <w:widowControl/>
        <w:kinsoku/>
        <w:wordWrap/>
        <w:overflowPunct/>
        <w:topLinePunct w:val="0"/>
        <w:bidi w:val="0"/>
        <w:jc w:val="center"/>
        <w:rPr>
          <w:rFonts w:hint="eastAsia" w:ascii="Times New Roman" w:hAnsi="Times New Roman" w:eastAsia="仿宋"/>
          <w:b w:val="0"/>
          <w:color w:val="auto"/>
          <w:highlight w:val="none"/>
        </w:rPr>
      </w:pPr>
      <w:bookmarkStart w:id="49"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6"/>
      <w:bookmarkEnd w:id="49"/>
      <w:bookmarkStart w:id="50"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0"/>
      <w:r>
        <w:rPr>
          <w:rFonts w:hint="eastAsia" w:ascii="Times New Roman" w:hAnsi="Times New Roman" w:eastAsia="仿宋_GB2312" w:cs="仿宋_GB2312"/>
          <w:color w:val="auto"/>
          <w:sz w:val="32"/>
          <w:szCs w:val="32"/>
          <w:highlight w:val="none"/>
        </w:rPr>
        <w:t>二、收入决算表</w:t>
      </w:r>
      <w:bookmarkEnd w:id="5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1"/>
      <w:r>
        <w:rPr>
          <w:rFonts w:hint="eastAsia" w:ascii="Times New Roman" w:hAnsi="Times New Roman" w:eastAsia="仿宋_GB2312" w:cs="仿宋_GB2312"/>
          <w:color w:val="auto"/>
          <w:sz w:val="32"/>
          <w:szCs w:val="32"/>
          <w:highlight w:val="none"/>
        </w:rPr>
        <w:t>三、支出决算表</w:t>
      </w:r>
      <w:bookmarkEnd w:id="5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2"/>
      <w:r>
        <w:rPr>
          <w:rFonts w:hint="eastAsia" w:ascii="Times New Roman" w:hAnsi="Times New Roman" w:eastAsia="仿宋_GB2312" w:cs="仿宋_GB2312"/>
          <w:color w:val="auto"/>
          <w:sz w:val="32"/>
          <w:szCs w:val="32"/>
          <w:highlight w:val="none"/>
        </w:rPr>
        <w:t>四、财政拨款收入支出决算总表</w:t>
      </w:r>
      <w:bookmarkEnd w:id="5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3"/>
      <w:r>
        <w:rPr>
          <w:rFonts w:hint="eastAsia" w:ascii="Times New Roman" w:hAnsi="Times New Roman" w:eastAsia="仿宋_GB2312" w:cs="仿宋_GB2312"/>
          <w:color w:val="auto"/>
          <w:sz w:val="32"/>
          <w:szCs w:val="32"/>
          <w:highlight w:val="none"/>
        </w:rPr>
        <w:t>五、财政拨款支出决算明细表</w:t>
      </w:r>
      <w:bookmarkEnd w:id="54"/>
      <w:bookmarkStart w:id="55"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5"/>
      <w:r>
        <w:rPr>
          <w:rFonts w:hint="eastAsia" w:ascii="Times New Roman" w:hAnsi="Times New Roman" w:eastAsia="仿宋_GB2312" w:cs="仿宋_GB2312"/>
          <w:color w:val="auto"/>
          <w:sz w:val="32"/>
          <w:szCs w:val="32"/>
          <w:highlight w:val="none"/>
        </w:rPr>
        <w:t>七、一般公共预算财政拨款支出决算明细表</w:t>
      </w:r>
      <w:bookmarkEnd w:id="5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6"/>
      <w:r>
        <w:rPr>
          <w:rFonts w:hint="eastAsia" w:ascii="Times New Roman" w:hAnsi="Times New Roman" w:eastAsia="仿宋_GB2312" w:cs="仿宋_GB2312"/>
          <w:color w:val="auto"/>
          <w:sz w:val="32"/>
          <w:szCs w:val="32"/>
          <w:highlight w:val="none"/>
        </w:rPr>
        <w:t>八、一般公共预算财政拨款基本支出决算表</w:t>
      </w:r>
      <w:bookmarkEnd w:id="5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7"/>
      <w:r>
        <w:rPr>
          <w:rFonts w:hint="eastAsia" w:ascii="Times New Roman" w:hAnsi="Times New Roman" w:eastAsia="仿宋_GB2312" w:cs="仿宋_GB2312"/>
          <w:color w:val="auto"/>
          <w:sz w:val="32"/>
          <w:szCs w:val="32"/>
          <w:highlight w:val="none"/>
        </w:rPr>
        <w:t>九、一般公共预算财政拨款项目支出决算表</w:t>
      </w:r>
      <w:bookmarkEnd w:id="5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8"/>
      <w:r>
        <w:rPr>
          <w:rFonts w:hint="eastAsia" w:ascii="Times New Roman" w:hAnsi="Times New Roman" w:eastAsia="仿宋_GB2312" w:cs="仿宋_GB2312"/>
          <w:color w:val="auto"/>
          <w:sz w:val="32"/>
          <w:szCs w:val="32"/>
          <w:highlight w:val="none"/>
        </w:rPr>
        <w:t>十、</w:t>
      </w:r>
      <w:bookmarkEnd w:id="59"/>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9"/>
      <w:r>
        <w:rPr>
          <w:rFonts w:hint="eastAsia" w:ascii="Times New Roman" w:hAnsi="Times New Roman" w:eastAsia="仿宋_GB2312" w:cs="仿宋_GB2312"/>
          <w:color w:val="auto"/>
          <w:sz w:val="32"/>
          <w:szCs w:val="32"/>
          <w:highlight w:val="none"/>
        </w:rPr>
        <w:t>十一、</w:t>
      </w:r>
      <w:bookmarkEnd w:id="6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30"/>
      <w:r>
        <w:rPr>
          <w:rFonts w:hint="eastAsia" w:ascii="Times New Roman" w:hAnsi="Times New Roman" w:eastAsia="仿宋_GB2312" w:cs="仿宋_GB2312"/>
          <w:color w:val="auto"/>
          <w:sz w:val="32"/>
          <w:szCs w:val="32"/>
          <w:highlight w:val="none"/>
        </w:rPr>
        <w:t>十二、</w:t>
      </w:r>
      <w:bookmarkEnd w:id="61"/>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2" w:name="_Toc15396631"/>
      <w:r>
        <w:rPr>
          <w:rFonts w:hint="eastAsia" w:ascii="Times New Roman" w:hAnsi="Times New Roman" w:eastAsia="仿宋_GB2312" w:cs="仿宋_GB2312"/>
          <w:color w:val="auto"/>
          <w:sz w:val="32"/>
          <w:szCs w:val="32"/>
          <w:highlight w:val="none"/>
        </w:rPr>
        <w:t>十三、</w:t>
      </w:r>
      <w:bookmarkEnd w:id="62"/>
      <w:r>
        <w:rPr>
          <w:rFonts w:hint="eastAsia" w:ascii="Times New Roman" w:hAnsi="Times New Roman" w:eastAsia="仿宋_GB2312" w:cs="仿宋_GB2312"/>
          <w:color w:val="auto"/>
          <w:sz w:val="32"/>
          <w:szCs w:val="32"/>
          <w:highlight w:val="none"/>
          <w:lang w:eastAsia="zh-CN"/>
        </w:rPr>
        <w:t>财政拨款“三公”经费支出决算表</w:t>
      </w:r>
    </w:p>
    <w:p>
      <w:pPr>
        <w:pageBreakBefore w:val="0"/>
        <w:kinsoku/>
        <w:wordWrap/>
        <w:overflowPunct/>
        <w:topLinePunct w:val="0"/>
        <w:bidi w:val="0"/>
        <w:jc w:val="left"/>
        <w:rPr>
          <w:rFonts w:hint="eastAsia" w:ascii="Times New Roman" w:hAnsi="Times New Roman"/>
          <w:lang w:eastAsia="zh-CN"/>
        </w:rPr>
      </w:pPr>
    </w:p>
    <w:sectPr>
      <w:footerReference r:id="rId10"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华文中宋"/>
    <w:panose1 w:val="00000000000000000000"/>
    <w:charset w:val="00"/>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国标宋体">
    <w:panose1 w:val="02000500000000000000"/>
    <w:charset w:val="86"/>
    <w:family w:val="auto"/>
    <w:pitch w:val="default"/>
    <w:sig w:usb0="00000001" w:usb1="28000000" w:usb2="00000000"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9E6736"/>
    <w:multiLevelType w:val="singleLevel"/>
    <w:tmpl w:val="FE9E673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8774BD"/>
    <w:rsid w:val="01FB2F91"/>
    <w:rsid w:val="02317B1B"/>
    <w:rsid w:val="02FEBE30"/>
    <w:rsid w:val="061E35DE"/>
    <w:rsid w:val="066E0107"/>
    <w:rsid w:val="0737795B"/>
    <w:rsid w:val="07996F6E"/>
    <w:rsid w:val="07DFD8BA"/>
    <w:rsid w:val="08DB07E4"/>
    <w:rsid w:val="09867E8F"/>
    <w:rsid w:val="0A2032A3"/>
    <w:rsid w:val="0C6C4794"/>
    <w:rsid w:val="0CA8290A"/>
    <w:rsid w:val="0D35B1ED"/>
    <w:rsid w:val="0D3D2A54"/>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4F7C47"/>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785525"/>
    <w:rsid w:val="36AA5135"/>
    <w:rsid w:val="36BE0DA7"/>
    <w:rsid w:val="376B6AA6"/>
    <w:rsid w:val="376D39B2"/>
    <w:rsid w:val="37B78898"/>
    <w:rsid w:val="37E16F03"/>
    <w:rsid w:val="37F53A3B"/>
    <w:rsid w:val="389B6C89"/>
    <w:rsid w:val="38D469F0"/>
    <w:rsid w:val="39627CCD"/>
    <w:rsid w:val="397BAF1F"/>
    <w:rsid w:val="3AB79AF3"/>
    <w:rsid w:val="3B7EF35A"/>
    <w:rsid w:val="3B9FDB6C"/>
    <w:rsid w:val="3BF5BC2F"/>
    <w:rsid w:val="3BFFFE77"/>
    <w:rsid w:val="3CEBA265"/>
    <w:rsid w:val="3D98207C"/>
    <w:rsid w:val="3D9B0D99"/>
    <w:rsid w:val="3DEE7CF3"/>
    <w:rsid w:val="3DF02244"/>
    <w:rsid w:val="3E78745D"/>
    <w:rsid w:val="3FF4CAE0"/>
    <w:rsid w:val="3FF7B227"/>
    <w:rsid w:val="40E54C45"/>
    <w:rsid w:val="43A407DF"/>
    <w:rsid w:val="44515BEA"/>
    <w:rsid w:val="44E268DA"/>
    <w:rsid w:val="45104CC0"/>
    <w:rsid w:val="453F7E5B"/>
    <w:rsid w:val="47E26E94"/>
    <w:rsid w:val="486A6C7A"/>
    <w:rsid w:val="49176D9B"/>
    <w:rsid w:val="4A627F82"/>
    <w:rsid w:val="4B0E749A"/>
    <w:rsid w:val="4B4F25DA"/>
    <w:rsid w:val="4BDA0CFB"/>
    <w:rsid w:val="4BE068DB"/>
    <w:rsid w:val="4D3C0CCC"/>
    <w:rsid w:val="4D577224"/>
    <w:rsid w:val="4DBF1CEB"/>
    <w:rsid w:val="4EAB630A"/>
    <w:rsid w:val="4ECE2238"/>
    <w:rsid w:val="4ED3DD1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7FD7599"/>
    <w:rsid w:val="78FBC43F"/>
    <w:rsid w:val="79086DAD"/>
    <w:rsid w:val="79974F09"/>
    <w:rsid w:val="79D7FD79"/>
    <w:rsid w:val="79EE5BA4"/>
    <w:rsid w:val="79FFAB3B"/>
    <w:rsid w:val="7A894339"/>
    <w:rsid w:val="7AFF7572"/>
    <w:rsid w:val="7B6C7DFB"/>
    <w:rsid w:val="7BBB0EB2"/>
    <w:rsid w:val="7BBFBED0"/>
    <w:rsid w:val="7BC3E394"/>
    <w:rsid w:val="7C1F3737"/>
    <w:rsid w:val="7CBFC87B"/>
    <w:rsid w:val="7CFE0F48"/>
    <w:rsid w:val="7D7EC23E"/>
    <w:rsid w:val="7D916348"/>
    <w:rsid w:val="7E8ADEBF"/>
    <w:rsid w:val="7EEF11D3"/>
    <w:rsid w:val="7F0971A6"/>
    <w:rsid w:val="7F2F41C8"/>
    <w:rsid w:val="7F3F679B"/>
    <w:rsid w:val="7F4FC4EF"/>
    <w:rsid w:val="7F5E4D54"/>
    <w:rsid w:val="7F6E0135"/>
    <w:rsid w:val="7FA30C79"/>
    <w:rsid w:val="7FAF8ABF"/>
    <w:rsid w:val="7FB7269E"/>
    <w:rsid w:val="7FC96657"/>
    <w:rsid w:val="7FDA9588"/>
    <w:rsid w:val="7FDF220F"/>
    <w:rsid w:val="7FEDC5F7"/>
    <w:rsid w:val="7FEDD9DE"/>
    <w:rsid w:val="7FF5890D"/>
    <w:rsid w:val="7FF93490"/>
    <w:rsid w:val="7FFFF3D2"/>
    <w:rsid w:val="99FF2014"/>
    <w:rsid w:val="A6DD0D7F"/>
    <w:rsid w:val="ACFFB691"/>
    <w:rsid w:val="ADC6F725"/>
    <w:rsid w:val="B7CF06AB"/>
    <w:rsid w:val="B7CFA926"/>
    <w:rsid w:val="B7F8786B"/>
    <w:rsid w:val="BABB6AA1"/>
    <w:rsid w:val="BB2F4199"/>
    <w:rsid w:val="BD079C78"/>
    <w:rsid w:val="BD733540"/>
    <w:rsid w:val="BDD749A4"/>
    <w:rsid w:val="BF3735D5"/>
    <w:rsid w:val="BF7F09AC"/>
    <w:rsid w:val="BFD475C3"/>
    <w:rsid w:val="BFDE5EA6"/>
    <w:rsid w:val="BFE9953E"/>
    <w:rsid w:val="CF6FC6F3"/>
    <w:rsid w:val="CFD3D3D7"/>
    <w:rsid w:val="CFDF1009"/>
    <w:rsid w:val="D6933844"/>
    <w:rsid w:val="D7D7B16A"/>
    <w:rsid w:val="D8D6DB89"/>
    <w:rsid w:val="DB6F4CAB"/>
    <w:rsid w:val="DB777682"/>
    <w:rsid w:val="DD1FB521"/>
    <w:rsid w:val="DDDB7905"/>
    <w:rsid w:val="DEFBFEAE"/>
    <w:rsid w:val="DF1F3B80"/>
    <w:rsid w:val="DF6F9789"/>
    <w:rsid w:val="DFFFA9E8"/>
    <w:rsid w:val="E5F4E9DC"/>
    <w:rsid w:val="E70FE695"/>
    <w:rsid w:val="ECFED1BC"/>
    <w:rsid w:val="ED1D69BB"/>
    <w:rsid w:val="ED7FD312"/>
    <w:rsid w:val="EF53993F"/>
    <w:rsid w:val="EF6FD633"/>
    <w:rsid w:val="EFBFA5F5"/>
    <w:rsid w:val="EFBFB2F4"/>
    <w:rsid w:val="EFBFFA21"/>
    <w:rsid w:val="EFD7CD0F"/>
    <w:rsid w:val="EFFFCBF7"/>
    <w:rsid w:val="F2BEBCB8"/>
    <w:rsid w:val="F36FB518"/>
    <w:rsid w:val="F3DE1A04"/>
    <w:rsid w:val="F3F722E5"/>
    <w:rsid w:val="F7AFFAD5"/>
    <w:rsid w:val="FA5F1E70"/>
    <w:rsid w:val="FA5FDB97"/>
    <w:rsid w:val="FA6CB78F"/>
    <w:rsid w:val="FB7F486A"/>
    <w:rsid w:val="FBEFD3ED"/>
    <w:rsid w:val="FBFF5B2E"/>
    <w:rsid w:val="FD7FFE2B"/>
    <w:rsid w:val="FDEE196B"/>
    <w:rsid w:val="FDFE6575"/>
    <w:rsid w:val="FEDFDDC2"/>
    <w:rsid w:val="FEED32F6"/>
    <w:rsid w:val="FEF3044D"/>
    <w:rsid w:val="FEF781DD"/>
    <w:rsid w:val="FF3F7E3F"/>
    <w:rsid w:val="FFBA12D7"/>
    <w:rsid w:val="FFD4E534"/>
    <w:rsid w:val="FFD7BF69"/>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envelope return"/>
    <w:basedOn w:val="1"/>
    <w:qFormat/>
    <w:uiPriority w:val="0"/>
    <w:pPr>
      <w:snapToGrid w:val="0"/>
    </w:pPr>
    <w:rPr>
      <w:rFonts w:ascii="Arial" w:hAnsi="Arial"/>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7"/>
    <w:next w:val="1"/>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thtf/6E01C3E1A14CBC141/&#36130;&#21153;/&#20915;&#31639;&#39044;&#31639;/2025/2025&#24180;&#20915;&#31639;&#25209;&#22797;&#21450;&#20844;&#24320;/&#20844;&#31034;/&#22270;&#34920;&#65288;&#21103;&#26412;&#6528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thtf/6E01C3E1A14CBC141/&#36130;&#21153;/&#20915;&#31639;&#39044;&#31639;/2025/2025&#24180;&#20915;&#31639;&#25209;&#22797;&#21450;&#20844;&#24320;/&#20844;&#31034;/&#22270;&#34920;&#65288;&#21103;&#26412;&#6528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thtf/6E01C3E1A14CBC141/&#36130;&#21153;/&#20915;&#31639;&#39044;&#31639;/2025/2025&#24180;&#20915;&#31639;&#25209;&#22797;&#21450;&#20844;&#24320;/&#20844;&#31034;/&#22270;&#34920;&#65288;&#21103;&#26412;&#6528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thtf/6E01C3E1A14CBC141/&#36130;&#21153;/&#20915;&#31639;&#39044;&#31639;/2025/2025&#24180;&#20915;&#31639;&#25209;&#22797;&#21450;&#20844;&#24320;/&#20844;&#31034;/&#22270;&#34920;&#65288;&#21103;&#26412;&#6528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thtf/6E01C3E1A14CBC141/&#36130;&#21153;/&#20915;&#31639;&#39044;&#31639;/2025/2025&#24180;&#20915;&#31639;&#25209;&#22797;&#21450;&#20844;&#24320;/&#20844;&#31034;/&#22270;&#34920;&#65288;&#21103;&#26412;&#6528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thtf/6E01C3E1A14CBC141/&#36130;&#21153;/&#20915;&#31639;&#39044;&#31639;/2025/2025&#24180;&#20915;&#31639;&#25209;&#22797;&#21450;&#20844;&#24320;/&#20844;&#31034;/&#22270;&#34920;&#65288;&#21103;&#26412;&#65289;.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media/thtf/6E01C3E1A14CBC141/&#36130;&#21153;/&#20915;&#31639;&#39044;&#31639;/2025/2025&#24180;&#20915;&#31639;&#25209;&#22797;&#21450;&#20844;&#24320;/&#20844;&#31034;/&#22270;&#34920;&#65288;&#21103;&#26412;&#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图</a:t>
            </a:r>
            <a:r>
              <a:rPr lang="en-US" altLang="zh-CN"/>
              <a:t>1</a:t>
            </a:r>
            <a:r>
              <a:rPr altLang="en-US"/>
              <a:t>：</a:t>
            </a:r>
            <a:r>
              <a:t>收、支决算总计变动情况图</a:t>
            </a:r>
          </a:p>
          <a:p>
            <a:pPr defTabSz="914400">
              <a:defRPr lang="zh-CN" sz="1400" b="0" i="0" u="none" strike="noStrike" kern="1200" spc="0" baseline="0">
                <a:solidFill>
                  <a:srgbClr val="595959">
                    <a:lumMod val="65000"/>
                    <a:lumOff val="35000"/>
                  </a:srgbClr>
                </a:solidFill>
                <a:latin typeface="+mn-lt"/>
                <a:ea typeface="+mn-ea"/>
                <a:cs typeface="+mn-cs"/>
              </a:defRPr>
            </a:pPr>
            <a:r>
              <a:t>                                               单位：万元</a:t>
            </a:r>
          </a:p>
        </c:rich>
      </c:tx>
      <c:layout>
        <c:manualLayout>
          <c:xMode val="edge"/>
          <c:yMode val="edge"/>
          <c:x val="0.104513888888889"/>
          <c:y val="0.05249343832021"/>
        </c:manualLayout>
      </c:layout>
      <c:overlay val="0"/>
      <c:spPr>
        <a:noFill/>
        <a:ln>
          <a:noFill/>
        </a:ln>
        <a:effectLst/>
      </c:spPr>
    </c:title>
    <c:autoTitleDeleted val="0"/>
    <c:plotArea>
      <c:layout>
        <c:manualLayout>
          <c:layoutTarget val="inner"/>
          <c:xMode val="edge"/>
          <c:yMode val="edge"/>
          <c:x val="0.100222222222222"/>
          <c:y val="0.293088363954507"/>
          <c:w val="0.869222222222222"/>
          <c:h val="0.617392825896763"/>
        </c:manualLayout>
      </c:layout>
      <c:barChart>
        <c:barDir val="col"/>
        <c:grouping val="clustered"/>
        <c:varyColors val="0"/>
        <c:ser>
          <c:idx val="0"/>
          <c:order val="0"/>
          <c:tx>
            <c:strRef>
              <c:f>'[图表（副本）.xlsx]Sheet1'!$F$4</c:f>
              <c:strCache>
                <c:ptCount val="1"/>
                <c:pt idx="0">
                  <c:v>收支总计</c:v>
                </c:pt>
              </c:strCache>
            </c:strRef>
          </c:tx>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numRef>
              <c:f>'[图表（副本）.xlsx]Sheet1'!$G$3:$H$3</c:f>
              <c:numCache>
                <c:formatCode>General</c:formatCode>
                <c:ptCount val="2"/>
                <c:pt idx="0">
                  <c:v>2024</c:v>
                </c:pt>
                <c:pt idx="1">
                  <c:v>2025</c:v>
                </c:pt>
              </c:numCache>
            </c:numRef>
          </c:cat>
          <c:val>
            <c:numRef>
              <c:f>'[图表（副本）.xlsx]Sheet1'!$G$4:$H$4</c:f>
              <c:numCache>
                <c:formatCode>General</c:formatCode>
                <c:ptCount val="2"/>
                <c:pt idx="0">
                  <c:v>2483.18</c:v>
                </c:pt>
                <c:pt idx="1">
                  <c:v>2294.13</c:v>
                </c:pt>
              </c:numCache>
            </c:numRef>
          </c:val>
        </c:ser>
        <c:dLbls>
          <c:showLegendKey val="0"/>
          <c:showVal val="1"/>
          <c:showCatName val="0"/>
          <c:showSerName val="0"/>
          <c:showPercent val="0"/>
          <c:showBubbleSize val="0"/>
        </c:dLbls>
        <c:gapWidth val="219"/>
        <c:overlap val="-27"/>
        <c:axId val="99305728"/>
        <c:axId val="99332096"/>
      </c:barChart>
      <c:catAx>
        <c:axId val="99305728"/>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99332096"/>
        <c:crosses val="autoZero"/>
        <c:auto val="1"/>
        <c:lblAlgn val="ctr"/>
        <c:lblOffset val="100"/>
        <c:noMultiLvlLbl val="0"/>
      </c:catAx>
      <c:valAx>
        <c:axId val="99332096"/>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99305728"/>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图2：收入决算结构图</a:t>
            </a:r>
          </a:p>
          <a:p>
            <a:pPr defTabSz="914400">
              <a:defRPr lang="zh-CN" sz="1400" b="0" i="0" u="none" strike="noStrike" kern="1200" spc="0" baseline="0">
                <a:solidFill>
                  <a:srgbClr val="595959">
                    <a:lumMod val="65000"/>
                    <a:lumOff val="35000"/>
                  </a:srgbClr>
                </a:solidFill>
                <a:latin typeface="+mn-lt"/>
                <a:ea typeface="+mn-ea"/>
                <a:cs typeface="+mn-cs"/>
              </a:defRPr>
            </a:pPr>
            <a:r>
              <a:t>                                               单位：万元</a:t>
            </a:r>
          </a:p>
        </c:rich>
      </c:tx>
      <c:layout/>
      <c:overlay val="0"/>
      <c:spPr>
        <a:noFill/>
        <a:ln>
          <a:noFill/>
        </a:ln>
        <a:effectLst/>
      </c:spPr>
    </c:title>
    <c:autoTitleDeleted val="0"/>
    <c:plotArea>
      <c:layout/>
      <c:pieChart>
        <c:varyColors val="1"/>
        <c:ser>
          <c:idx val="0"/>
          <c:order val="0"/>
          <c:tx>
            <c:strRef>
              <c:f>'[图表（副本）.xlsx]Sheet1'!$G$30</c:f>
              <c:strCache>
                <c:ptCount val="1"/>
                <c:pt idx="0">
                  <c:v>图2：收入决算结构图</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Lbls>
            <c:dLbl>
              <c:idx val="0"/>
              <c:layout>
                <c:manualLayout>
                  <c:x val="0.0250281609369456"/>
                  <c:y val="-0.02116618648568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36149527534719"/>
                  <c:y val="-0.038093068526002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'[图表（副本）.xlsx]Sheet1'!$F$31:$F$32</c:f>
              <c:strCache>
                <c:ptCount val="2"/>
                <c:pt idx="0">
                  <c:v>一般公共预算财政拨款收入</c:v>
                </c:pt>
                <c:pt idx="1">
                  <c:v>事业收入</c:v>
                </c:pt>
              </c:strCache>
            </c:strRef>
          </c:cat>
          <c:val>
            <c:numRef>
              <c:f>'[图表（副本）.xlsx]Sheet1'!$G$31:$G$32</c:f>
              <c:numCache>
                <c:formatCode>General</c:formatCode>
                <c:ptCount val="2"/>
                <c:pt idx="0">
                  <c:v>1611.76</c:v>
                </c:pt>
                <c:pt idx="1">
                  <c:v>682.37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zero"/>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图3：支出决算结构图 </a:t>
            </a:r>
          </a:p>
          <a:p>
            <a:pPr defTabSz="914400">
              <a:defRPr lang="zh-CN" sz="1400" b="0" i="0" u="none" strike="noStrike" kern="1200" spc="0" baseline="0">
                <a:solidFill>
                  <a:srgbClr val="595959">
                    <a:lumMod val="65000"/>
                    <a:lumOff val="35000"/>
                  </a:srgbClr>
                </a:solidFill>
                <a:latin typeface="+mn-lt"/>
                <a:ea typeface="+mn-ea"/>
                <a:cs typeface="+mn-cs"/>
              </a:defRPr>
            </a:pPr>
            <a:r>
              <a:t>                                              单位：万元</a:t>
            </a:r>
          </a:p>
        </c:rich>
      </c:tx>
      <c:layout/>
      <c:overlay val="0"/>
      <c:spPr>
        <a:noFill/>
        <a:ln>
          <a:noFill/>
        </a:ln>
        <a:effectLst/>
      </c:spPr>
    </c:title>
    <c:autoTitleDeleted val="0"/>
    <c:plotArea>
      <c:layout/>
      <c:pieChart>
        <c:varyColors val="1"/>
        <c:ser>
          <c:idx val="0"/>
          <c:order val="0"/>
          <c:tx>
            <c:strRef>
              <c:f>'[图表（副本）.xlsx]Sheet1'!$G$42</c:f>
              <c:strCache>
                <c:ptCount val="1"/>
                <c:pt idx="0">
                  <c:v>图3：支出决算结构图</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Lbls>
            <c:dLbl>
              <c:idx val="0"/>
              <c:layout>
                <c:manualLayout>
                  <c:x val="0.156282169498239"/>
                  <c:y val="-0.089656487786771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39148970950821"/>
                  <c:y val="0.004498369377653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'[图表（副本）.xlsx]Sheet1'!$F$43:$F$44</c:f>
              <c:strCache>
                <c:ptCount val="2"/>
                <c:pt idx="0">
                  <c:v>基本支出</c:v>
                </c:pt>
                <c:pt idx="1">
                  <c:v>项目支出</c:v>
                </c:pt>
              </c:strCache>
            </c:strRef>
          </c:cat>
          <c:val>
            <c:numRef>
              <c:f>'[图表（副本）.xlsx]Sheet1'!$G$43:$G$44</c:f>
              <c:numCache>
                <c:formatCode>General</c:formatCode>
                <c:ptCount val="2"/>
                <c:pt idx="0">
                  <c:v>1935.66</c:v>
                </c:pt>
                <c:pt idx="1">
                  <c:v>343.78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zero"/>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图</a:t>
            </a:r>
            <a:r>
              <a:rPr lang="en-US" altLang="zh-CN"/>
              <a:t>4</a:t>
            </a:r>
            <a:r>
              <a:rPr altLang="en-US"/>
              <a:t>：财政拨款</a:t>
            </a:r>
            <a:r>
              <a:t>收、支决算总计变动情况图</a:t>
            </a:r>
          </a:p>
          <a:p>
            <a:pPr defTabSz="914400">
              <a:defRPr lang="zh-CN" sz="1400" b="0" i="0" u="none" strike="noStrike" kern="1200" spc="0" baseline="0">
                <a:solidFill>
                  <a:srgbClr val="595959">
                    <a:lumMod val="65000"/>
                    <a:lumOff val="35000"/>
                  </a:srgbClr>
                </a:solidFill>
                <a:latin typeface="+mn-lt"/>
                <a:ea typeface="+mn-ea"/>
                <a:cs typeface="+mn-cs"/>
              </a:defRPr>
            </a:pPr>
            <a:r>
              <a:t>                                      单位：万元</a:t>
            </a:r>
          </a:p>
        </c:rich>
      </c:tx>
      <c:layout/>
      <c:overlay val="0"/>
      <c:spPr>
        <a:noFill/>
        <a:ln>
          <a:noFill/>
        </a:ln>
        <a:effectLst/>
      </c:spPr>
    </c:title>
    <c:autoTitleDeleted val="0"/>
    <c:plotArea>
      <c:layout/>
      <c:barChart>
        <c:barDir val="col"/>
        <c:grouping val="clustered"/>
        <c:varyColors val="0"/>
        <c:ser>
          <c:idx val="0"/>
          <c:order val="0"/>
          <c:tx>
            <c:strRef>
              <c:f>'[图表（副本）.xlsx]Sheet1'!$F$59</c:f>
              <c:strCache>
                <c:ptCount val="1"/>
                <c:pt idx="0">
                  <c:v>收支总计</c:v>
                </c:pt>
              </c:strCache>
            </c:strRef>
          </c:tx>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numRef>
              <c:f>'[图表（副本）.xlsx]Sheet1'!$G$58:$H$58</c:f>
              <c:numCache>
                <c:formatCode>General</c:formatCode>
                <c:ptCount val="2"/>
                <c:pt idx="0">
                  <c:v>2024</c:v>
                </c:pt>
                <c:pt idx="1">
                  <c:v>2025</c:v>
                </c:pt>
              </c:numCache>
            </c:numRef>
          </c:cat>
          <c:val>
            <c:numRef>
              <c:f>'[图表（副本）.xlsx]Sheet1'!$G$59:$H$59</c:f>
              <c:numCache>
                <c:formatCode>General</c:formatCode>
                <c:ptCount val="2"/>
                <c:pt idx="0">
                  <c:v>1521.76</c:v>
                </c:pt>
                <c:pt idx="1">
                  <c:v>1611.76</c:v>
                </c:pt>
              </c:numCache>
            </c:numRef>
          </c:val>
        </c:ser>
        <c:dLbls>
          <c:showLegendKey val="0"/>
          <c:showVal val="1"/>
          <c:showCatName val="0"/>
          <c:showSerName val="0"/>
          <c:showPercent val="0"/>
          <c:showBubbleSize val="0"/>
        </c:dLbls>
        <c:gapWidth val="219"/>
        <c:overlap val="-27"/>
        <c:axId val="99710848"/>
        <c:axId val="99712384"/>
      </c:barChart>
      <c:catAx>
        <c:axId val="99710848"/>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99712384"/>
        <c:crosses val="autoZero"/>
        <c:auto val="1"/>
        <c:lblAlgn val="ctr"/>
        <c:lblOffset val="100"/>
        <c:noMultiLvlLbl val="0"/>
      </c:catAx>
      <c:valAx>
        <c:axId val="99712384"/>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99710848"/>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图5：一般公共预算财政拨款支出决算变动情况</a:t>
            </a:r>
          </a:p>
          <a:p>
            <a:pPr defTabSz="914400">
              <a:defRPr lang="zh-CN" sz="1400" b="0" i="0" u="none" strike="noStrike" kern="1200" spc="0" baseline="0">
                <a:solidFill>
                  <a:srgbClr val="595959">
                    <a:lumMod val="65000"/>
                    <a:lumOff val="35000"/>
                  </a:srgbClr>
                </a:solidFill>
                <a:latin typeface="+mn-lt"/>
                <a:ea typeface="+mn-ea"/>
                <a:cs typeface="+mn-cs"/>
              </a:defRPr>
            </a:pPr>
            <a:r>
              <a:t>                                          单位：万元</a:t>
            </a:r>
          </a:p>
        </c:rich>
      </c:tx>
      <c:layout>
        <c:manualLayout>
          <c:xMode val="edge"/>
          <c:yMode val="edge"/>
          <c:x val="0.167839427846349"/>
          <c:y val="0.0225855022585502"/>
        </c:manualLayout>
      </c:layout>
      <c:overlay val="0"/>
      <c:spPr>
        <a:noFill/>
        <a:ln>
          <a:noFill/>
        </a:ln>
        <a:effectLst/>
      </c:spPr>
    </c:title>
    <c:autoTitleDeleted val="0"/>
    <c:plotArea>
      <c:layout/>
      <c:barChart>
        <c:barDir val="col"/>
        <c:grouping val="clustered"/>
        <c:varyColors val="0"/>
        <c:ser>
          <c:idx val="0"/>
          <c:order val="0"/>
          <c:tx>
            <c:strRef>
              <c:f>'[图表（副本）.xlsx]Sheet1'!$F$71</c:f>
              <c:strCache>
                <c:ptCount val="1"/>
                <c:pt idx="0">
                  <c:v>图5：一般公共预算财政拨款支出决算变动情况</c:v>
                </c:pt>
              </c:strCache>
            </c:strRef>
          </c:tx>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numRef>
              <c:f>'[图表（副本）.xlsx]Sheet1'!$G$70:$H$70</c:f>
              <c:numCache>
                <c:formatCode>General</c:formatCode>
                <c:ptCount val="2"/>
                <c:pt idx="0">
                  <c:v>2024</c:v>
                </c:pt>
                <c:pt idx="1">
                  <c:v>2025</c:v>
                </c:pt>
              </c:numCache>
            </c:numRef>
          </c:cat>
          <c:val>
            <c:numRef>
              <c:f>'[图表（副本）.xlsx]Sheet1'!$G$71:$H$71</c:f>
              <c:numCache>
                <c:formatCode>General</c:formatCode>
                <c:ptCount val="2"/>
                <c:pt idx="0">
                  <c:v>1521.76</c:v>
                </c:pt>
                <c:pt idx="1">
                  <c:v>1611.76</c:v>
                </c:pt>
              </c:numCache>
            </c:numRef>
          </c:val>
        </c:ser>
        <c:dLbls>
          <c:showLegendKey val="0"/>
          <c:showVal val="1"/>
          <c:showCatName val="0"/>
          <c:showSerName val="0"/>
          <c:showPercent val="0"/>
          <c:showBubbleSize val="0"/>
        </c:dLbls>
        <c:gapWidth val="219"/>
        <c:overlap val="-27"/>
        <c:axId val="114301952"/>
        <c:axId val="114316032"/>
      </c:barChart>
      <c:catAx>
        <c:axId val="114301952"/>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14316032"/>
        <c:crosses val="autoZero"/>
        <c:auto val="1"/>
        <c:lblAlgn val="ctr"/>
        <c:lblOffset val="100"/>
        <c:noMultiLvlLbl val="0"/>
      </c:catAx>
      <c:valAx>
        <c:axId val="114316032"/>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14301952"/>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000000"/>
                </a:solidFill>
                <a:latin typeface="+mn-lt"/>
                <a:ea typeface="+mn-ea"/>
                <a:cs typeface="+mn-cs"/>
              </a:defRPr>
            </a:pPr>
            <a:r>
              <a:rPr sz="1400" b="0"/>
              <a:t>图6：一般公共预算财政拨款支出决算结构</a:t>
            </a:r>
            <a:endParaRPr sz="1400" b="0"/>
          </a:p>
          <a:p>
            <a:pPr defTabSz="914400">
              <a:defRPr lang="zh-CN" sz="1400" b="0" i="0" u="none" strike="noStrike" kern="1200" baseline="0">
                <a:solidFill>
                  <a:srgbClr val="000000"/>
                </a:solidFill>
                <a:latin typeface="+mn-lt"/>
                <a:ea typeface="+mn-ea"/>
                <a:cs typeface="+mn-cs"/>
              </a:defRPr>
            </a:pPr>
            <a:r>
              <a:rPr lang="en-US" altLang="zh-CN" sz="1400" b="0"/>
              <a:t>                                        </a:t>
            </a:r>
            <a:r>
              <a:rPr sz="1400" b="0"/>
              <a:t>单位：万元</a:t>
            </a:r>
            <a:endParaRPr sz="1400" b="0"/>
          </a:p>
          <a:p>
            <a:pPr defTabSz="914400">
              <a:defRPr lang="zh-CN" sz="1400" b="0" i="0" u="none" strike="noStrike" kern="1200" baseline="0">
                <a:solidFill>
                  <a:srgbClr val="000000"/>
                </a:solidFill>
                <a:latin typeface="+mn-lt"/>
                <a:ea typeface="+mn-ea"/>
                <a:cs typeface="+mn-cs"/>
              </a:defRPr>
            </a:pPr>
            <a:endParaRPr sz="1400" b="0"/>
          </a:p>
        </c:rich>
      </c:tx>
      <c:layout>
        <c:manualLayout>
          <c:xMode val="edge"/>
          <c:yMode val="edge"/>
          <c:x val="0.140700733970364"/>
          <c:y val="0.0295683027794205"/>
        </c:manualLayout>
      </c:layout>
      <c:overlay val="0"/>
    </c:title>
    <c:autoTitleDeleted val="0"/>
    <c:plotArea>
      <c:layout/>
      <c:pieChart>
        <c:varyColors val="1"/>
        <c:ser>
          <c:idx val="0"/>
          <c:order val="0"/>
          <c:tx>
            <c:strRef>
              <c:f>'[图表（副本）.xlsx]Sheet1'!$G$81</c:f>
              <c:strCache>
                <c:ptCount val="1"/>
                <c:pt idx="0">
                  <c:v>图6：一般公共预算财政拨款支出决算结构</c:v>
                </c:pt>
              </c:strCache>
            </c:strRef>
          </c:tx>
          <c:explosion val="0"/>
          <c:dPt>
            <c:idx val="0"/>
            <c:bubble3D val="0"/>
          </c:dPt>
          <c:dPt>
            <c:idx val="1"/>
            <c:bubble3D val="0"/>
          </c:dPt>
          <c:dPt>
            <c:idx val="2"/>
            <c:bubble3D val="0"/>
          </c:dPt>
          <c:dPt>
            <c:idx val="3"/>
            <c:bubble3D val="0"/>
          </c:dPt>
          <c:dLbls>
            <c:dLbl>
              <c:idx val="0"/>
              <c:layout>
                <c:manualLayout>
                  <c:x val="0.0632958978340795"/>
                  <c:y val="0.0034495136087696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62772890512012"/>
                  <c:y val="-0.073388426142298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725065892574921"/>
                  <c:y val="0.0049527345948695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'[图表（副本）.xlsx]Sheet1'!$F$82:$F$85</c:f>
              <c:strCache>
                <c:ptCount val="4"/>
                <c:pt idx="0">
                  <c:v>社会保障和就业支出</c:v>
                </c:pt>
                <c:pt idx="1">
                  <c:v>卫生健康支出</c:v>
                </c:pt>
                <c:pt idx="2">
                  <c:v>住房保障支出</c:v>
                </c:pt>
                <c:pt idx="3">
                  <c:v>农林水支出</c:v>
                </c:pt>
              </c:strCache>
            </c:strRef>
          </c:cat>
          <c:val>
            <c:numRef>
              <c:f>'[图表（副本）.xlsx]Sheet1'!$G$82:$G$85</c:f>
              <c:numCache>
                <c:formatCode>General</c:formatCode>
                <c:ptCount val="4"/>
                <c:pt idx="0">
                  <c:v>176.3</c:v>
                </c:pt>
                <c:pt idx="1">
                  <c:v>1335.48</c:v>
                </c:pt>
                <c:pt idx="2">
                  <c:v>96.08</c:v>
                </c:pt>
                <c:pt idx="3">
                  <c:v>3.9</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图7：“三公”经费财政拨款支出结构</a:t>
            </a:r>
          </a:p>
          <a:p>
            <a:pPr defTabSz="914400">
              <a:defRPr lang="zh-CN" sz="1400" b="0" i="0" u="none" strike="noStrike" kern="1200" spc="0" baseline="0">
                <a:solidFill>
                  <a:srgbClr val="595959">
                    <a:lumMod val="65000"/>
                    <a:lumOff val="35000"/>
                  </a:srgbClr>
                </a:solidFill>
                <a:latin typeface="+mn-lt"/>
                <a:ea typeface="+mn-ea"/>
                <a:cs typeface="+mn-cs"/>
              </a:defRPr>
            </a:pPr>
            <a:r>
              <a:rPr lang="en-US" altLang="zh-CN"/>
              <a:t>                                       </a:t>
            </a:r>
            <a:r>
              <a:rPr altLang="en-US"/>
              <a:t>单位：</a:t>
            </a:r>
            <a:r>
              <a:t>万元</a:t>
            </a:r>
          </a:p>
        </c:rich>
      </c:tx>
      <c:layout/>
      <c:overlay val="0"/>
      <c:spPr>
        <a:noFill/>
        <a:ln>
          <a:noFill/>
        </a:ln>
        <a:effectLst/>
      </c:spPr>
    </c:title>
    <c:autoTitleDeleted val="0"/>
    <c:plotArea>
      <c:layout/>
      <c:pieChart>
        <c:varyColors val="1"/>
        <c:ser>
          <c:idx val="0"/>
          <c:order val="0"/>
          <c:spPr/>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Lbls>
            <c:delete val="1"/>
          </c:dLbls>
          <c:cat>
            <c:strRef>
              <c:f>'[图表（副本）.xlsx]Sheet1'!$C$101:$C$103</c:f>
              <c:strCache>
                <c:ptCount val="3"/>
                <c:pt idx="0">
                  <c:v>公务用车运行维护费</c:v>
                </c:pt>
                <c:pt idx="1">
                  <c:v>因公出国（境）费</c:v>
                </c:pt>
                <c:pt idx="2">
                  <c:v>公务接待费</c:v>
                </c:pt>
              </c:strCache>
            </c:strRef>
          </c:cat>
          <c:val>
            <c:numRef>
              <c:f>'[图表（副本）.xlsx]Sheet1'!$D$101:$D$103</c:f>
              <c:numCache>
                <c:formatCode>General</c:formatCode>
                <c:ptCount val="3"/>
                <c:pt idx="0">
                  <c:v>0.72</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6528</Words>
  <Characters>7079</Characters>
  <Lines>61</Lines>
  <Paragraphs>17</Paragraphs>
  <TotalTime>19</TotalTime>
  <ScaleCrop>false</ScaleCrop>
  <LinksUpToDate>false</LinksUpToDate>
  <CharactersWithSpaces>7125</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thtf</cp:lastModifiedBy>
  <cp:lastPrinted>2026-09-09T11:29:00Z</cp:lastPrinted>
  <dcterms:modified xsi:type="dcterms:W3CDTF">2026-09-10T09:04:57Z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3BF536824C220DA3E40E8B68BA118B1C_42</vt:lpwstr>
  </property>
  <property fmtid="{D5CDD505-2E9C-101B-9397-08002B2CF9AE}" pid="4" name="KSOTemplateDocerSaveRecord">
    <vt:lpwstr>eyJoZGlkIjoiMDRjN2EwZDRiODU5YTc4YzUyZWE2ZGM1ZmM5MGUyNDgiLCJ1c2VySWQiOiIzMjM1MDUzOTIifQ==</vt:lpwstr>
  </property>
</Properties>
</file>