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4" w:name="_GoBack"/>
      <w:bookmarkEnd w:id="74"/>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1" w:name="_Toc15396597"/>
      <w:bookmarkStart w:id="2" w:name="_Toc15378441"/>
      <w:bookmarkStart w:id="3" w:name="_Toc15377425"/>
      <w:bookmarkStart w:id="4" w:name="_Toc15396475"/>
      <w:bookmarkStart w:id="5" w:name="_Toc15377193"/>
      <w:r>
        <w:rPr>
          <w:rFonts w:hint="eastAsia" w:ascii="方正小标宋简体" w:hAnsi="黑体" w:eastAsia="方正小标宋简体"/>
          <w:color w:val="000000"/>
          <w:sz w:val="44"/>
          <w:szCs w:val="44"/>
        </w:rPr>
        <w:t>2018</w:t>
      </w:r>
      <w:r>
        <w:rPr>
          <w:rFonts w:hint="eastAsia" w:ascii="方正小标宋简体" w:hAnsi="宋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44"/>
          <w:szCs w:val="44"/>
        </w:rPr>
      </w:pPr>
      <w:bookmarkStart w:id="6" w:name="_Toc15377194"/>
      <w:bookmarkStart w:id="7" w:name="_Toc15396476"/>
      <w:bookmarkStart w:id="8" w:name="_Toc15377426"/>
      <w:bookmarkStart w:id="9" w:name="_Toc15378442"/>
      <w:bookmarkStart w:id="10" w:name="_Toc15396598"/>
      <w:r>
        <w:rPr>
          <w:rFonts w:hint="eastAsia" w:ascii="方正小标宋简体" w:hAnsi="宋体" w:eastAsia="方正小标宋简体"/>
          <w:color w:val="000000"/>
          <w:sz w:val="44"/>
          <w:szCs w:val="44"/>
        </w:rPr>
        <w:t>四川省</w:t>
      </w:r>
      <w:bookmarkEnd w:id="0"/>
      <w:bookmarkStart w:id="11" w:name="_Toc15306268"/>
      <w:r>
        <w:rPr>
          <w:rFonts w:ascii="方正小标宋简体" w:hAnsi="宋体" w:eastAsia="方正小标宋简体"/>
          <w:color w:val="000000"/>
          <w:sz w:val="44"/>
          <w:szCs w:val="44"/>
        </w:rPr>
        <w:t>茂县社会保险事业管理局</w:t>
      </w: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adjustRightInd w:val="0"/>
        <w:snapToGrid w:val="0"/>
        <w:spacing w:line="360" w:lineRule="auto"/>
        <w:jc w:val="center"/>
        <w:outlineLvl w:val="0"/>
        <w:rPr>
          <w:rFonts w:ascii="仿宋_GB2312" w:hAnsi="仿宋_GB2312" w:eastAsia="仿宋_GB2312" w:cs="仿宋_GB2312"/>
          <w:color w:val="000000"/>
          <w:sz w:val="32"/>
          <w:szCs w:val="32"/>
        </w:rPr>
      </w:pPr>
    </w:p>
    <w:p>
      <w:pPr>
        <w:adjustRightInd w:val="0"/>
        <w:snapToGrid w:val="0"/>
        <w:spacing w:line="360" w:lineRule="auto"/>
        <w:jc w:val="center"/>
        <w:outlineLvl w:val="0"/>
        <w:rPr>
          <w:rFonts w:ascii="方正小标宋简体" w:hAnsi="宋体" w:eastAsia="方正小标宋简体"/>
          <w:color w:val="000000"/>
          <w:sz w:val="52"/>
          <w:szCs w:val="52"/>
        </w:rPr>
      </w:pPr>
    </w:p>
    <w:p>
      <w:pPr>
        <w:adjustRightInd w:val="0"/>
        <w:snapToGrid w:val="0"/>
        <w:spacing w:line="360" w:lineRule="auto"/>
        <w:ind w:firstLine="3780" w:firstLineChars="1050"/>
        <w:outlineLvl w:val="0"/>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方正小标宋简体" w:hAnsi="黑体" w:eastAsia="方正小标宋简体"/>
          <w:color w:val="000000"/>
          <w:sz w:val="44"/>
          <w:szCs w:val="44"/>
        </w:rPr>
        <w:t>目    录</w:t>
      </w:r>
    </w:p>
    <w:p>
      <w:pPr>
        <w:tabs>
          <w:tab w:val="right" w:leader="dot" w:pos="8296"/>
        </w:tabs>
        <w:spacing w:before="93" w:line="576" w:lineRule="exact"/>
        <w:jc w:val="center"/>
        <w:rPr>
          <w:rFonts w:ascii="仿宋_GB2312" w:hAnsi="仿宋_GB2312" w:eastAsia="仿宋_GB2312" w:cs="仿宋_GB2312"/>
          <w:sz w:val="32"/>
          <w:szCs w:val="32"/>
        </w:rPr>
      </w:pPr>
      <w:bookmarkStart w:id="12" w:name="_Toc15396599"/>
      <w:bookmarkStart w:id="13" w:name="_Toc15377196"/>
      <w:r>
        <w:fldChar w:fldCharType="begin"/>
      </w:r>
      <w:r>
        <w:instrText xml:space="preserve"> HYPERLINK \l "_Toc15396599" </w:instrText>
      </w:r>
      <w:r>
        <w:fldChar w:fldCharType="separate"/>
      </w: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tabs>
          <w:tab w:val="right" w:leader="dot" w:pos="8296"/>
        </w:tabs>
        <w:spacing w:line="576" w:lineRule="exact"/>
        <w:ind w:firstLine="210" w:firstLineChars="100"/>
        <w:jc w:val="center"/>
        <w:rPr>
          <w:rFonts w:ascii="仿宋_GB2312" w:hAnsi="仿宋_GB2312" w:eastAsia="仿宋_GB2312" w:cs="仿宋_GB2312"/>
          <w:sz w:val="32"/>
          <w:szCs w:val="32"/>
        </w:rPr>
      </w:pPr>
      <w:r>
        <w:rPr>
          <w:rFonts w:hint="eastAsia"/>
        </w:rPr>
        <w:t xml:space="preserve">  </w:t>
      </w:r>
      <w:r>
        <w:fldChar w:fldCharType="begin"/>
      </w:r>
      <w:r>
        <w:instrText xml:space="preserve"> HYPERLINK \l "_Toc15396600" </w:instrText>
      </w:r>
      <w:r>
        <w:fldChar w:fldCharType="separate"/>
      </w: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tabs>
          <w:tab w:val="right" w:leader="dot" w:pos="8296"/>
        </w:tabs>
        <w:spacing w:line="576" w:lineRule="exact"/>
        <w:ind w:firstLine="210" w:firstLineChars="100"/>
        <w:jc w:val="center"/>
        <w:rPr>
          <w:rFonts w:ascii="仿宋_GB2312" w:hAnsi="仿宋_GB2312" w:eastAsia="仿宋_GB2312" w:cs="仿宋_GB2312"/>
          <w:sz w:val="32"/>
          <w:szCs w:val="32"/>
        </w:rPr>
      </w:pPr>
      <w:r>
        <w:rPr>
          <w:rFonts w:hint="eastAsia"/>
        </w:rPr>
        <w:t xml:space="preserve">  </w:t>
      </w:r>
      <w:r>
        <w:fldChar w:fldCharType="begin"/>
      </w:r>
      <w:r>
        <w:instrText xml:space="preserve"> HYPERLINK \l "_Toc15396601" </w:instrText>
      </w:r>
      <w:r>
        <w:fldChar w:fldCharType="separate"/>
      </w: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tabs>
          <w:tab w:val="right" w:leader="dot" w:pos="8296"/>
        </w:tabs>
        <w:spacing w:before="93" w:line="576" w:lineRule="exact"/>
        <w:jc w:val="center"/>
        <w:rPr>
          <w:rFonts w:ascii="仿宋_GB2312" w:hAnsi="仿宋_GB2312" w:eastAsia="仿宋_GB2312" w:cs="仿宋_GB2312"/>
          <w:sz w:val="32"/>
          <w:szCs w:val="32"/>
        </w:rPr>
      </w:pPr>
      <w:r>
        <w:fldChar w:fldCharType="begin"/>
      </w:r>
      <w:r>
        <w:instrText xml:space="preserve"> HYPERLINK \l "_Toc15396602" </w:instrText>
      </w:r>
      <w:r>
        <w:fldChar w:fldCharType="separate"/>
      </w:r>
      <w:r>
        <w:rPr>
          <w:rFonts w:hint="eastAsia" w:ascii="仿宋_GB2312" w:hAnsi="仿宋_GB2312" w:eastAsia="仿宋_GB2312" w:cs="仿宋_GB2312"/>
          <w:sz w:val="32"/>
          <w:szCs w:val="32"/>
        </w:rPr>
        <w:t>第二部分 2018年度部门决算情况说明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"_Toc15396603" </w:instrText>
      </w:r>
      <w:r>
        <w:fldChar w:fldCharType="separate"/>
      </w: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收</w:t>
      </w:r>
      <w:r>
        <w:rPr>
          <w:rFonts w:hint="eastAsia" w:ascii="仿宋_GB2312" w:hAnsi="仿宋_GB2312" w:eastAsia="仿宋_GB2312" w:cs="仿宋_GB2312"/>
          <w:bCs/>
          <w:sz w:val="32"/>
          <w:szCs w:val="32"/>
        </w:rPr>
        <w:t>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"_Toc15396604" </w:instrText>
      </w:r>
      <w:r>
        <w:fldChar w:fldCharType="separate"/>
      </w:r>
      <w:r>
        <w:rPr>
          <w:rFonts w:hint="eastAsia" w:ascii="仿宋_GB2312" w:hAnsi="仿宋_GB2312" w:eastAsia="仿宋_GB2312" w:cs="仿宋_GB2312"/>
          <w:bCs/>
          <w:sz w:val="32"/>
          <w:szCs w:val="32"/>
        </w:rPr>
        <w:t>二、</w:t>
      </w:r>
      <w:r>
        <w:rPr>
          <w:rFonts w:hint="eastAsia" w:ascii="仿宋_GB2312" w:hAnsi="仿宋_GB2312" w:eastAsia="仿宋_GB2312" w:cs="仿宋_GB2312"/>
          <w:sz w:val="32"/>
          <w:szCs w:val="32"/>
        </w:rPr>
        <w:t>收</w:t>
      </w:r>
      <w:r>
        <w:rPr>
          <w:rFonts w:hint="eastAsia" w:ascii="仿宋_GB2312" w:hAnsi="仿宋_GB2312" w:eastAsia="仿宋_GB2312" w:cs="仿宋_GB2312"/>
          <w:bCs/>
          <w:sz w:val="32"/>
          <w:szCs w:val="32"/>
        </w:rPr>
        <w:t>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"_Toc15396605" </w:instrText>
      </w:r>
      <w:r>
        <w:fldChar w:fldCharType="separate"/>
      </w:r>
      <w:r>
        <w:rPr>
          <w:rFonts w:hint="eastAsia" w:ascii="仿宋_GB2312" w:hAnsi="仿宋_GB2312" w:eastAsia="仿宋_GB2312" w:cs="仿宋_GB2312"/>
          <w:bCs/>
          <w:sz w:val="32"/>
          <w:szCs w:val="32"/>
        </w:rPr>
        <w:t>三、</w:t>
      </w:r>
      <w:r>
        <w:rPr>
          <w:rFonts w:hint="eastAsia" w:ascii="仿宋_GB2312" w:hAnsi="仿宋_GB2312" w:eastAsia="仿宋_GB2312" w:cs="仿宋_GB2312"/>
          <w:sz w:val="32"/>
          <w:szCs w:val="32"/>
        </w:rPr>
        <w:t>支</w:t>
      </w:r>
      <w:r>
        <w:rPr>
          <w:rFonts w:hint="eastAsia" w:ascii="仿宋_GB2312" w:hAnsi="仿宋_GB2312" w:eastAsia="仿宋_GB2312" w:cs="仿宋_GB2312"/>
          <w:bCs/>
          <w:sz w:val="32"/>
          <w:szCs w:val="32"/>
        </w:rPr>
        <w:t>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7</w:t>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"_Toc15396606" </w:instrText>
      </w:r>
      <w:r>
        <w:fldChar w:fldCharType="separate"/>
      </w:r>
      <w:r>
        <w:rPr>
          <w:rFonts w:hint="eastAsia" w:ascii="仿宋_GB2312" w:hAnsi="仿宋_GB2312" w:eastAsia="仿宋_GB2312" w:cs="仿宋_GB2312"/>
          <w:sz w:val="32"/>
          <w:szCs w:val="32"/>
        </w:rPr>
        <w:t>四、财</w:t>
      </w:r>
      <w:r>
        <w:rPr>
          <w:rFonts w:hint="eastAsia" w:ascii="仿宋_GB2312" w:hAnsi="仿宋_GB2312" w:eastAsia="仿宋_GB2312" w:cs="仿宋_GB2312"/>
          <w:bCs/>
          <w:sz w:val="32"/>
          <w:szCs w:val="32"/>
        </w:rPr>
        <w:t>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"_Toc15396607" </w:instrText>
      </w:r>
      <w:r>
        <w:fldChar w:fldCharType="separate"/>
      </w:r>
      <w:r>
        <w:rPr>
          <w:rFonts w:hint="eastAsia" w:ascii="仿宋_GB2312" w:hAnsi="仿宋_GB2312" w:eastAsia="仿宋_GB2312" w:cs="仿宋_GB2312"/>
          <w:sz w:val="32"/>
          <w:szCs w:val="32"/>
        </w:rPr>
        <w:t>五、一</w:t>
      </w:r>
      <w:r>
        <w:rPr>
          <w:rFonts w:hint="eastAsia" w:ascii="仿宋_GB2312" w:hAnsi="仿宋_GB2312" w:eastAsia="仿宋_GB2312" w:cs="仿宋_GB2312"/>
          <w:bCs/>
          <w:sz w:val="32"/>
          <w:szCs w:val="32"/>
        </w:rPr>
        <w:t>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"_Toc15396608" </w:instrText>
      </w:r>
      <w:r>
        <w:fldChar w:fldCharType="separate"/>
      </w:r>
      <w:r>
        <w:rPr>
          <w:rFonts w:hint="eastAsia" w:ascii="仿宋_GB2312" w:hAnsi="仿宋_GB2312" w:eastAsia="仿宋_GB2312" w:cs="仿宋_GB2312"/>
          <w:sz w:val="32"/>
          <w:szCs w:val="32"/>
        </w:rPr>
        <w:t>六、一</w:t>
      </w:r>
      <w:r>
        <w:rPr>
          <w:rFonts w:hint="eastAsia" w:ascii="仿宋_GB2312" w:hAnsi="仿宋_GB2312" w:eastAsia="仿宋_GB2312" w:cs="仿宋_GB2312"/>
          <w:bCs/>
          <w:sz w:val="32"/>
          <w:szCs w:val="32"/>
        </w:rPr>
        <w:t>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"_Toc15396609" </w:instrText>
      </w:r>
      <w:r>
        <w:fldChar w:fldCharType="separate"/>
      </w:r>
      <w:r>
        <w:rPr>
          <w:rFonts w:hint="eastAsia" w:ascii="仿宋_GB2312" w:hAnsi="仿宋_GB2312" w:eastAsia="仿宋_GB2312" w:cs="仿宋_GB2312"/>
          <w:sz w:val="32"/>
          <w:szCs w:val="32"/>
        </w:rPr>
        <w:t>七、“</w:t>
      </w:r>
      <w:r>
        <w:rPr>
          <w:rFonts w:hint="eastAsia" w:ascii="仿宋_GB2312" w:hAnsi="仿宋_GB2312" w:eastAsia="仿宋_GB2312" w:cs="仿宋_GB2312"/>
          <w:bCs/>
          <w:sz w:val="32"/>
          <w:szCs w:val="32"/>
        </w:rPr>
        <w:t>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"_Toc15396610" </w:instrText>
      </w:r>
      <w:r>
        <w:fldChar w:fldCharType="separate"/>
      </w:r>
      <w:r>
        <w:rPr>
          <w:rFonts w:hint="eastAsia" w:ascii="仿宋_GB2312" w:hAnsi="仿宋_GB2312" w:eastAsia="仿宋_GB2312" w:cs="仿宋_GB2312"/>
          <w:sz w:val="32"/>
          <w:szCs w:val="32"/>
        </w:rPr>
        <w:t>八、</w:t>
      </w:r>
      <w:r>
        <w:rPr>
          <w:rFonts w:hint="eastAsia" w:ascii="仿宋_GB2312" w:hAnsi="仿宋_GB2312" w:eastAsia="仿宋_GB2312" w:cs="仿宋_GB2312"/>
          <w:bCs/>
          <w:sz w:val="32"/>
          <w:szCs w:val="32"/>
        </w:rPr>
        <w:t>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"_Toc15396611" </w:instrText>
      </w:r>
      <w:r>
        <w:fldChar w:fldCharType="separate"/>
      </w:r>
      <w:r>
        <w:rPr>
          <w:rFonts w:hint="eastAsia" w:ascii="仿宋_GB2312" w:hAnsi="仿宋_GB2312" w:eastAsia="仿宋_GB2312" w:cs="仿宋_GB2312"/>
          <w:bCs/>
          <w:sz w:val="32"/>
          <w:szCs w:val="32"/>
        </w:rPr>
        <w:t>九、</w:t>
      </w:r>
      <w:r>
        <w:rPr>
          <w:rFonts w:hint="eastAsia" w:ascii="仿宋_GB2312" w:hAnsi="仿宋_GB2312" w:eastAsia="仿宋_GB2312" w:cs="仿宋_GB2312"/>
          <w:sz w:val="32"/>
          <w:szCs w:val="32"/>
        </w:rPr>
        <w:t>国</w:t>
      </w:r>
      <w:r>
        <w:rPr>
          <w:rFonts w:hint="eastAsia" w:ascii="仿宋_GB2312" w:hAnsi="仿宋_GB2312" w:eastAsia="仿宋_GB2312" w:cs="仿宋_GB2312"/>
          <w:bCs/>
          <w:sz w:val="32"/>
          <w:szCs w:val="32"/>
        </w:rPr>
        <w:t>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十、预算绩效情况说明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w:t>
      </w:r>
    </w:p>
    <w:p>
      <w:pPr>
        <w:tabs>
          <w:tab w:val="right" w:leader="dot" w:pos="8296"/>
        </w:tabs>
        <w:spacing w:line="576" w:lineRule="exact"/>
        <w:ind w:left="420" w:leftChars="200"/>
        <w:jc w:val="center"/>
        <w:rPr>
          <w:rFonts w:ascii="仿宋_GB2312" w:hAnsi="仿宋_GB2312" w:eastAsia="仿宋_GB2312" w:cs="仿宋_GB2312"/>
          <w:sz w:val="32"/>
          <w:szCs w:val="32"/>
        </w:rPr>
      </w:pPr>
      <w:r>
        <w:fldChar w:fldCharType="begin"/>
      </w:r>
      <w:r>
        <w:instrText xml:space="preserve"> HYPERLINK \l "_Toc15396612" </w:instrText>
      </w:r>
      <w: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bCs/>
          <w:sz w:val="32"/>
          <w:szCs w:val="32"/>
        </w:rPr>
        <w:t>一、其他重要事项的情况说明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4</w:t>
      </w:r>
    </w:p>
    <w:p>
      <w:pPr>
        <w:tabs>
          <w:tab w:val="right" w:leader="dot" w:pos="8296"/>
        </w:tabs>
        <w:spacing w:before="93" w:line="576" w:lineRule="exact"/>
        <w:jc w:val="center"/>
        <w:rPr>
          <w:rFonts w:hint="eastAsia" w:ascii="仿宋_GB2312" w:hAnsi="仿宋_GB2312" w:eastAsia="仿宋_GB2312" w:cs="仿宋_GB2312"/>
          <w:sz w:val="32"/>
          <w:szCs w:val="32"/>
          <w:lang w:eastAsia="zh-CN"/>
        </w:rPr>
      </w:pPr>
      <w:r>
        <w:fldChar w:fldCharType="begin"/>
      </w:r>
      <w:r>
        <w:instrText xml:space="preserve"> HYPERLINK \l "_Toc15396613" </w:instrText>
      </w:r>
      <w:r>
        <w:fldChar w:fldCharType="separate"/>
      </w:r>
      <w:r>
        <w:rPr>
          <w:rFonts w:hint="eastAsia" w:ascii="仿宋_GB2312" w:hAnsi="仿宋_GB2312" w:eastAsia="仿宋_GB2312" w:cs="仿宋_GB2312"/>
          <w:bCs/>
          <w:kern w:val="44"/>
          <w:sz w:val="32"/>
          <w:szCs w:val="32"/>
        </w:rPr>
        <w:t>第三部分</w:t>
      </w:r>
      <w:r>
        <w:rPr>
          <w:rFonts w:hint="eastAsia" w:ascii="仿宋_GB2312" w:hAnsi="仿宋_GB2312" w:eastAsia="仿宋_GB2312" w:cs="仿宋_GB2312"/>
          <w:sz w:val="32"/>
          <w:szCs w:val="32"/>
        </w:rPr>
        <w:t xml:space="preserve"> 名</w:t>
      </w:r>
      <w:r>
        <w:rPr>
          <w:rFonts w:hint="eastAsia" w:ascii="仿宋_GB2312" w:hAnsi="仿宋_GB2312" w:eastAsia="仿宋_GB2312" w:cs="仿宋_GB2312"/>
          <w:bCs/>
          <w:kern w:val="44"/>
          <w:sz w:val="32"/>
          <w:szCs w:val="32"/>
        </w:rPr>
        <w:t>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tabs>
          <w:tab w:val="right" w:leader="dot" w:pos="8296"/>
        </w:tabs>
        <w:spacing w:before="93" w:line="576" w:lineRule="exact"/>
        <w:jc w:val="center"/>
        <w:rPr>
          <w:rFonts w:ascii="仿宋_GB2312" w:hAnsi="仿宋_GB2312" w:eastAsia="仿宋_GB2312" w:cs="仿宋_GB2312"/>
          <w:sz w:val="32"/>
          <w:szCs w:val="32"/>
        </w:rPr>
      </w:pPr>
      <w:r>
        <w:fldChar w:fldCharType="begin"/>
      </w:r>
      <w:r>
        <w:instrText xml:space="preserve"> HYPERLINK \l "_Toc15396614" </w:instrText>
      </w:r>
      <w: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bCs/>
          <w:kern w:val="44"/>
          <w:sz w:val="32"/>
          <w:szCs w:val="32"/>
        </w:rPr>
        <w:t>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8</w:t>
      </w:r>
    </w:p>
    <w:p>
      <w:pPr>
        <w:tabs>
          <w:tab w:val="right" w:leader="dot" w:pos="8296"/>
        </w:tabs>
        <w:spacing w:before="93" w:line="576" w:lineRule="exact"/>
        <w:jc w:val="center"/>
        <w:rPr>
          <w:rFonts w:ascii="仿宋_GB2312" w:hAnsi="仿宋_GB2312" w:eastAsia="仿宋_GB2312" w:cs="仿宋_GB2312"/>
          <w:sz w:val="32"/>
          <w:szCs w:val="32"/>
        </w:rPr>
      </w:pPr>
      <w:r>
        <w:fldChar w:fldCharType="begin"/>
      </w:r>
      <w:r>
        <w:instrText xml:space="preserve"> HYPERLINK \l "_Toc15396618" </w:instrText>
      </w:r>
      <w: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bCs/>
          <w:kern w:val="44"/>
          <w:sz w:val="32"/>
          <w:szCs w:val="32"/>
        </w:rPr>
        <w:t>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fldChar w:fldCharType="begin"/>
      </w:r>
      <w:r>
        <w:instrText xml:space="preserve"> HYPERLINK \l "_Toc15396619" </w:instrText>
      </w:r>
      <w:r>
        <w:fldChar w:fldCharType="separate"/>
      </w:r>
      <w:r>
        <w:rPr>
          <w:rFonts w:hint="eastAsia" w:ascii="仿宋_GB2312" w:hAnsi="仿宋_GB2312" w:eastAsia="仿宋_GB2312" w:cs="仿宋_GB2312"/>
          <w:sz w:val="32"/>
          <w:szCs w:val="32"/>
        </w:rPr>
        <w:t>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fldChar w:fldCharType="begin"/>
      </w:r>
      <w:r>
        <w:instrText xml:space="preserve"> HYPERLINK \l "_Toc15396620" </w:instrText>
      </w:r>
      <w:r>
        <w:fldChar w:fldCharType="separate"/>
      </w:r>
      <w:r>
        <w:rPr>
          <w:rFonts w:hint="eastAsia" w:ascii="仿宋_GB2312" w:hAnsi="仿宋_GB2312" w:eastAsia="仿宋_GB2312" w:cs="仿宋_GB2312"/>
          <w:sz w:val="32"/>
          <w:szCs w:val="32"/>
        </w:rPr>
        <w:t>收入总表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firstLine="412" w:firstLineChars="129"/>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fldChar w:fldCharType="begin"/>
      </w:r>
      <w:r>
        <w:instrText xml:space="preserve"> HYPERLINK \l "_Toc15396621" </w:instrText>
      </w:r>
      <w:r>
        <w:fldChar w:fldCharType="separate"/>
      </w:r>
      <w:r>
        <w:rPr>
          <w:rFonts w:hint="eastAsia" w:ascii="仿宋_GB2312" w:hAnsi="仿宋_GB2312" w:eastAsia="仿宋_GB2312" w:cs="仿宋_GB2312"/>
          <w:sz w:val="32"/>
          <w:szCs w:val="32"/>
        </w:rPr>
        <w:t>支出总表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fldChar w:fldCharType="begin"/>
      </w:r>
      <w:r>
        <w:instrText xml:space="preserve"> HYPERLINK \l "_Toc15396622" </w:instrText>
      </w:r>
      <w:r>
        <w:fldChar w:fldCharType="separate"/>
      </w:r>
      <w:r>
        <w:rPr>
          <w:rFonts w:hint="eastAsia" w:ascii="仿宋_GB2312" w:hAnsi="仿宋_GB2312" w:eastAsia="仿宋_GB2312" w:cs="仿宋_GB2312"/>
          <w:sz w:val="32"/>
          <w:szCs w:val="32"/>
        </w:rPr>
        <w:t>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fldChar w:fldCharType="begin"/>
      </w:r>
      <w:r>
        <w:instrText xml:space="preserve"> HYPERLINK \l "_Toc15396623" </w:instrText>
      </w:r>
      <w:r>
        <w:fldChar w:fldCharType="separate"/>
      </w:r>
      <w:r>
        <w:rPr>
          <w:rFonts w:hint="eastAsia" w:ascii="仿宋_GB2312" w:hAnsi="仿宋_GB2312" w:eastAsia="仿宋_GB2312" w:cs="仿宋_GB2312"/>
          <w:sz w:val="32"/>
          <w:szCs w:val="32"/>
        </w:rPr>
        <w:t>财政拨款支出决算明细表（政府经济分类科目）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fldChar w:fldCharType="begin"/>
      </w:r>
      <w:r>
        <w:instrText xml:space="preserve"> HYPERLINK \l "_Toc15396624" </w:instrText>
      </w:r>
      <w:r>
        <w:fldChar w:fldCharType="separate"/>
      </w:r>
      <w:r>
        <w:rPr>
          <w:rFonts w:hint="eastAsia" w:ascii="仿宋_GB2312" w:hAnsi="仿宋_GB2312" w:eastAsia="仿宋_GB2312" w:cs="仿宋_GB2312"/>
          <w:sz w:val="32"/>
          <w:szCs w:val="32"/>
        </w:rPr>
        <w:t>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fldChar w:fldCharType="begin"/>
      </w:r>
      <w:r>
        <w:instrText xml:space="preserve"> HYPERLINK \l "_Toc15396625" </w:instrText>
      </w:r>
      <w:r>
        <w:fldChar w:fldCharType="separate"/>
      </w:r>
      <w:r>
        <w:rPr>
          <w:rFonts w:hint="eastAsia" w:ascii="仿宋_GB2312" w:hAnsi="仿宋_GB2312" w:eastAsia="仿宋_GB2312" w:cs="仿宋_GB2312"/>
          <w:sz w:val="32"/>
          <w:szCs w:val="32"/>
        </w:rPr>
        <w:t>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fldChar w:fldCharType="begin"/>
      </w:r>
      <w:r>
        <w:instrText xml:space="preserve"> HYPERLINK \l "_Toc15396626" </w:instrText>
      </w:r>
      <w:r>
        <w:fldChar w:fldCharType="separate"/>
      </w:r>
      <w:r>
        <w:rPr>
          <w:rFonts w:hint="eastAsia" w:ascii="仿宋_GB2312" w:hAnsi="仿宋_GB2312" w:eastAsia="仿宋_GB2312" w:cs="仿宋_GB2312"/>
          <w:sz w:val="32"/>
          <w:szCs w:val="32"/>
        </w:rPr>
        <w:t>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fldChar w:fldCharType="begin"/>
      </w:r>
      <w:r>
        <w:instrText xml:space="preserve"> HYPERLINK \l "_Toc15396627" </w:instrText>
      </w:r>
      <w:r>
        <w:fldChar w:fldCharType="separate"/>
      </w:r>
      <w:r>
        <w:rPr>
          <w:rFonts w:hint="eastAsia" w:ascii="仿宋_GB2312" w:hAnsi="仿宋_GB2312" w:eastAsia="仿宋_GB2312" w:cs="仿宋_GB2312"/>
          <w:sz w:val="32"/>
          <w:szCs w:val="32"/>
        </w:rPr>
        <w:t>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fldChar w:fldCharType="begin"/>
      </w:r>
      <w:r>
        <w:instrText xml:space="preserve"> HYPERLINK \l "_Toc15396628" </w:instrText>
      </w:r>
      <w:r>
        <w:fldChar w:fldCharType="separate"/>
      </w:r>
      <w:r>
        <w:rPr>
          <w:rFonts w:hint="eastAsia" w:ascii="仿宋_GB2312" w:hAnsi="仿宋_GB2312" w:eastAsia="仿宋_GB2312" w:cs="仿宋_GB2312"/>
          <w:sz w:val="32"/>
          <w:szCs w:val="32"/>
        </w:rPr>
        <w:t>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十一、</w:t>
      </w:r>
      <w:r>
        <w:fldChar w:fldCharType="begin"/>
      </w:r>
      <w:r>
        <w:instrText xml:space="preserve"> HYPERLINK \l "_Toc15396629" </w:instrText>
      </w:r>
      <w:r>
        <w:fldChar w:fldCharType="separate"/>
      </w:r>
      <w:r>
        <w:rPr>
          <w:rFonts w:hint="eastAsia" w:ascii="仿宋_GB2312" w:hAnsi="仿宋_GB2312" w:eastAsia="仿宋_GB2312" w:cs="仿宋_GB2312"/>
          <w:sz w:val="32"/>
          <w:szCs w:val="32"/>
        </w:rPr>
        <w:t>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w:t>
      </w:r>
      <w:r>
        <w:rPr>
          <w:rFonts w:hint="eastAsia"/>
        </w:rPr>
        <w:fldChar w:fldCharType="begin"/>
      </w:r>
      <w:r>
        <w:instrText xml:space="preserve"> HYPERLINK \l "_Toc15396630"</w:instrText>
      </w:r>
      <w:r>
        <w:rPr>
          <w:rFonts w:hint="eastAsia"/>
        </w:rPr>
        <w:fldChar w:fldCharType="separate"/>
      </w:r>
      <w:r>
        <w:rPr>
          <w:rFonts w:hint="eastAsia" w:ascii="仿宋_GB2312" w:hAnsi="仿宋_GB2312" w:eastAsia="仿宋_GB2312" w:cs="仿宋_GB2312"/>
          <w:sz w:val="32"/>
          <w:szCs w:val="32"/>
        </w:rPr>
        <w:t>政府性基金预算财政拨款“三公”经费支出决算表</w:t>
      </w:r>
    </w:p>
    <w:p>
      <w:pPr>
        <w:tabs>
          <w:tab w:val="right" w:leader="dot" w:pos="8296"/>
        </w:tabs>
        <w:spacing w:line="576" w:lineRule="exact"/>
        <w:ind w:left="420" w:leftChars="200"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tabs>
          <w:tab w:val="right" w:leader="dot" w:pos="8296"/>
        </w:tabs>
        <w:spacing w:line="576" w:lineRule="exact"/>
        <w:ind w:left="420" w:left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十三、</w:t>
      </w:r>
      <w:r>
        <w:fldChar w:fldCharType="begin"/>
      </w:r>
      <w:r>
        <w:instrText xml:space="preserve"> HYPERLINK \l "_Toc15396631" </w:instrText>
      </w:r>
      <w:r>
        <w:fldChar w:fldCharType="separate"/>
      </w:r>
      <w:r>
        <w:rPr>
          <w:rFonts w:hint="eastAsia" w:ascii="仿宋_GB2312" w:hAnsi="仿宋_GB2312" w:eastAsia="仿宋_GB2312" w:cs="仿宋_GB2312"/>
          <w:sz w:val="32"/>
          <w:szCs w:val="32"/>
        </w:rPr>
        <w:t>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widowControl/>
        <w:jc w:val="center"/>
        <w:rPr>
          <w:rFonts w:ascii="黑体" w:hAnsi="黑体" w:eastAsia="黑体"/>
          <w:bCs/>
          <w:kern w:val="44"/>
          <w:sz w:val="44"/>
          <w:szCs w:val="44"/>
        </w:rPr>
      </w:pPr>
    </w:p>
    <w:p>
      <w:pPr>
        <w:widowControl/>
        <w:jc w:val="center"/>
        <w:rPr>
          <w:rFonts w:ascii="黑体" w:hAnsi="黑体" w:eastAsia="黑体"/>
          <w:bCs/>
          <w:kern w:val="44"/>
          <w:sz w:val="44"/>
          <w:szCs w:val="44"/>
        </w:rPr>
      </w:pPr>
    </w:p>
    <w:p>
      <w:pPr>
        <w:widowControl/>
        <w:rPr>
          <w:rFonts w:ascii="黑体" w:hAnsi="黑体" w:eastAsia="黑体"/>
        </w:rPr>
      </w:pPr>
    </w:p>
    <w:p>
      <w:pPr>
        <w:widowControl/>
        <w:rPr>
          <w:rFonts w:ascii="黑体" w:hAnsi="黑体" w:eastAsia="黑体"/>
        </w:rPr>
      </w:pPr>
    </w:p>
    <w:p>
      <w:pPr>
        <w:widowControl/>
        <w:rPr>
          <w:rFonts w:ascii="黑体" w:hAnsi="黑体" w:eastAsia="黑体"/>
        </w:rPr>
      </w:pPr>
    </w:p>
    <w:p>
      <w:pPr>
        <w:widowControl/>
        <w:rPr>
          <w:rFonts w:ascii="黑体" w:hAnsi="黑体" w:eastAsia="黑体"/>
        </w:rPr>
      </w:pPr>
    </w:p>
    <w:p>
      <w:pPr>
        <w:widowControl/>
        <w:rPr>
          <w:rFonts w:ascii="黑体" w:hAnsi="黑体" w:eastAsia="黑体"/>
        </w:rPr>
      </w:pPr>
    </w:p>
    <w:p>
      <w:pPr>
        <w:widowControl/>
        <w:rPr>
          <w:rFonts w:ascii="黑体" w:hAnsi="黑体" w:eastAsia="黑体"/>
        </w:rPr>
      </w:pPr>
    </w:p>
    <w:p>
      <w:pPr>
        <w:adjustRightInd w:val="0"/>
        <w:snapToGrid w:val="0"/>
        <w:spacing w:line="360" w:lineRule="auto"/>
        <w:jc w:val="center"/>
        <w:outlineLvl w:val="0"/>
        <w:rPr>
          <w:rFonts w:ascii="方正小标宋简体" w:hAnsi="黑体" w:eastAsia="方正小标宋简体"/>
          <w:sz w:val="44"/>
          <w:szCs w:val="44"/>
        </w:rPr>
      </w:pPr>
    </w:p>
    <w:p>
      <w:pPr>
        <w:adjustRightInd w:val="0"/>
        <w:snapToGrid w:val="0"/>
        <w:spacing w:line="360" w:lineRule="auto"/>
        <w:jc w:val="center"/>
        <w:outlineLvl w:val="0"/>
        <w:rPr>
          <w:rFonts w:ascii="方正小标宋简体" w:hAnsi="黑体" w:eastAsia="方正小标宋简体"/>
          <w:sz w:val="44"/>
          <w:szCs w:val="44"/>
        </w:rPr>
      </w:pPr>
    </w:p>
    <w:p>
      <w:pPr>
        <w:adjustRightInd w:val="0"/>
        <w:snapToGrid w:val="0"/>
        <w:spacing w:line="360" w:lineRule="auto"/>
        <w:jc w:val="center"/>
        <w:outlineLvl w:val="0"/>
        <w:rPr>
          <w:rFonts w:ascii="方正小标宋简体" w:hAnsi="黑体" w:eastAsia="方正小标宋简体"/>
          <w:sz w:val="44"/>
          <w:szCs w:val="44"/>
        </w:rPr>
      </w:pPr>
    </w:p>
    <w:p>
      <w:pPr>
        <w:adjustRightInd w:val="0"/>
        <w:snapToGrid w:val="0"/>
        <w:spacing w:line="360" w:lineRule="auto"/>
        <w:jc w:val="center"/>
        <w:outlineLvl w:val="0"/>
        <w:rPr>
          <w:rFonts w:hint="eastAsia" w:ascii="方正小标宋简体" w:hAnsi="黑体" w:eastAsia="方正小标宋简体"/>
          <w:sz w:val="44"/>
          <w:szCs w:val="44"/>
        </w:rPr>
      </w:pPr>
    </w:p>
    <w:p>
      <w:pPr>
        <w:adjustRightInd w:val="0"/>
        <w:snapToGrid w:val="0"/>
        <w:spacing w:line="360" w:lineRule="auto"/>
        <w:jc w:val="center"/>
        <w:outlineLvl w:val="0"/>
        <w:rPr>
          <w:rFonts w:ascii="仿宋_GB2312" w:hAnsi="仿宋_GB2312" w:eastAsia="仿宋_GB2312" w:cs="仿宋_GB2312"/>
          <w:color w:val="000000"/>
          <w:sz w:val="32"/>
          <w:szCs w:val="32"/>
        </w:rPr>
      </w:pPr>
      <w:r>
        <w:rPr>
          <w:rFonts w:hint="eastAsia" w:ascii="方正小标宋简体" w:hAnsi="黑体" w:eastAsia="方正小标宋简体"/>
          <w:sz w:val="44"/>
          <w:szCs w:val="44"/>
        </w:rPr>
        <w:t xml:space="preserve">第一部分 </w:t>
      </w:r>
      <w:r>
        <w:rPr>
          <w:rStyle w:val="25"/>
          <w:rFonts w:hint="eastAsia" w:ascii="方正小标宋简体" w:hAnsi="黑体" w:eastAsia="方正小标宋简体"/>
          <w:b w:val="0"/>
          <w:bCs w:val="0"/>
        </w:rPr>
        <w:t>部门概况</w:t>
      </w:r>
      <w:bookmarkEnd w:id="12"/>
      <w:bookmarkEnd w:id="13"/>
    </w:p>
    <w:p>
      <w:pPr>
        <w:pStyle w:val="3"/>
        <w:numPr>
          <w:ilvl w:val="0"/>
          <w:numId w:val="1"/>
        </w:numPr>
        <w:tabs>
          <w:tab w:val="left" w:pos="426"/>
        </w:tabs>
        <w:spacing w:line="576" w:lineRule="exact"/>
        <w:ind w:firstLine="640" w:firstLineChars="200"/>
        <w:rPr>
          <w:rFonts w:ascii="仿宋" w:hAnsi="仿宋" w:eastAsia="仿宋"/>
          <w:color w:val="000000"/>
        </w:rPr>
      </w:pPr>
      <w:bookmarkStart w:id="14" w:name="_Toc15377197"/>
      <w:bookmarkStart w:id="15" w:name="_Toc15396600"/>
      <w:r>
        <w:rPr>
          <w:rFonts w:hint="eastAsia" w:ascii="黑体" w:hAnsi="黑体" w:eastAsia="黑体"/>
          <w:b w:val="0"/>
          <w:color w:val="000000"/>
        </w:rPr>
        <w:t>基</w:t>
      </w:r>
      <w:r>
        <w:rPr>
          <w:rStyle w:val="26"/>
          <w:rFonts w:hint="eastAsia" w:ascii="黑体" w:hAnsi="黑体" w:eastAsia="黑体"/>
          <w:b w:val="0"/>
          <w:bCs w:val="0"/>
        </w:rPr>
        <w:t>本职能及主要工作</w:t>
      </w:r>
      <w:bookmarkEnd w:id="14"/>
      <w:bookmarkEnd w:id="15"/>
      <w:bookmarkStart w:id="16" w:name="_Toc15378445"/>
      <w:bookmarkStart w:id="17" w:name="_Toc15377198"/>
    </w:p>
    <w:p>
      <w:pPr>
        <w:pStyle w:val="24"/>
        <w:spacing w:line="576" w:lineRule="exact"/>
        <w:ind w:left="420" w:leftChars="200" w:firstLine="321" w:firstLineChars="100"/>
        <w:outlineLvl w:val="1"/>
        <w:rPr>
          <w:rFonts w:ascii="楷体" w:hAnsi="楷体" w:eastAsia="楷体"/>
          <w:b/>
          <w:color w:val="000000"/>
          <w:sz w:val="32"/>
          <w:szCs w:val="32"/>
        </w:rPr>
      </w:pPr>
      <w:r>
        <w:rPr>
          <w:rFonts w:hint="eastAsia" w:ascii="楷体" w:hAnsi="楷体" w:eastAsia="楷体"/>
          <w:b/>
          <w:color w:val="000000"/>
          <w:sz w:val="32"/>
          <w:szCs w:val="32"/>
        </w:rPr>
        <w:t>（一）</w:t>
      </w:r>
      <w:r>
        <w:rPr>
          <w:rFonts w:hint="eastAsia" w:ascii="楷体" w:hAnsi="楷体" w:eastAsia="楷体"/>
          <w:b/>
          <w:color w:val="000000"/>
          <w:sz w:val="32"/>
          <w:szCs w:val="32"/>
          <w:lang w:eastAsia="zh-CN"/>
        </w:rPr>
        <w:t>基本</w:t>
      </w:r>
      <w:r>
        <w:rPr>
          <w:rFonts w:hint="eastAsia" w:ascii="楷体" w:hAnsi="楷体" w:eastAsia="楷体"/>
          <w:b/>
          <w:color w:val="000000"/>
          <w:sz w:val="32"/>
          <w:szCs w:val="32"/>
        </w:rPr>
        <w:t>职能</w:t>
      </w:r>
      <w:bookmarkEnd w:id="16"/>
      <w:bookmarkEnd w:id="17"/>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1.贯彻执行党和国家有关社会保险的路线、方针、政策和法律、法规。</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2.负责辖区内参保单位和个人社会保险基金的征收、管理、审核等工作。</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3.承办辖区参保单位社会保险登记、变更、注销。职工养老保险关系转移，灵活就业人员参保、续保工作。</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4.审核参保职工养老、工伤、生育待遇享受条件、计算其待遇，按时足额发放待遇。</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5.负责参保单位和个人养老、工伤、生育保险的日常管理工作；负责社会保险数据、信息的处理和管理，参保个人帐户的建立和管理。</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6.为参保单位和个人、提供有关养老、工伤、生育保险的政策宣传咨询服务，受理群众来信来访。</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7.负责完成县委、县政府和上级主管部门交办的其它工作事项。</w:t>
      </w:r>
    </w:p>
    <w:p>
      <w:pPr>
        <w:spacing w:line="576" w:lineRule="exact"/>
        <w:ind w:firstLine="642" w:firstLineChars="200"/>
        <w:outlineLvl w:val="1"/>
        <w:rPr>
          <w:rStyle w:val="26"/>
          <w:rFonts w:ascii="黑体" w:hAnsi="黑体" w:eastAsia="黑体"/>
          <w:bCs w:val="0"/>
        </w:rPr>
      </w:pPr>
      <w:bookmarkStart w:id="18" w:name="_Toc15377199"/>
      <w:bookmarkStart w:id="19" w:name="_Toc15378446"/>
      <w:r>
        <w:rPr>
          <w:rFonts w:hint="eastAsia" w:ascii="楷体" w:hAnsi="楷体" w:eastAsia="楷体"/>
          <w:b/>
          <w:color w:val="000000"/>
          <w:sz w:val="32"/>
          <w:szCs w:val="32"/>
        </w:rPr>
        <w:t>（二）</w:t>
      </w:r>
      <w:r>
        <w:rPr>
          <w:rFonts w:ascii="楷体" w:hAnsi="楷体" w:eastAsia="楷体"/>
          <w:b/>
          <w:color w:val="000000"/>
          <w:sz w:val="32"/>
          <w:szCs w:val="32"/>
        </w:rPr>
        <w:t>201</w:t>
      </w:r>
      <w:r>
        <w:rPr>
          <w:rFonts w:hint="eastAsia" w:ascii="楷体" w:hAnsi="楷体" w:eastAsia="楷体"/>
          <w:b/>
          <w:color w:val="000000"/>
          <w:sz w:val="32"/>
          <w:szCs w:val="32"/>
        </w:rPr>
        <w:t>8年重点工作完成情况</w:t>
      </w:r>
      <w:bookmarkEnd w:id="18"/>
      <w:bookmarkEnd w:id="19"/>
    </w:p>
    <w:p>
      <w:pPr>
        <w:spacing w:line="576" w:lineRule="exact"/>
        <w:ind w:firstLine="640" w:firstLineChars="200"/>
        <w:rPr>
          <w:rFonts w:ascii="仿宋_GB2312" w:hAnsi="楷体" w:eastAsia="仿宋_GB2312" w:cs="楷体"/>
          <w:bCs/>
          <w:color w:val="000000"/>
          <w:sz w:val="32"/>
          <w:szCs w:val="32"/>
        </w:rPr>
      </w:pPr>
      <w:r>
        <w:rPr>
          <w:rFonts w:hint="eastAsia" w:ascii="仿宋_GB2312" w:hAnsi="仿宋_GB2312" w:eastAsia="仿宋_GB2312" w:cs="仿宋_GB2312"/>
          <w:color w:val="000000"/>
          <w:sz w:val="32"/>
          <w:szCs w:val="32"/>
        </w:rPr>
        <w:t>2018年，我局在县委、县政府的正确领导下，在上级主管部门的精心指导下，认真贯彻执行《中华人民共和国社会保险法》及省、州县有关社会保险方面的法律法规政策，经过全体工作人员共同努力，全面完成了州、县交与的各项目标任务。</w:t>
      </w:r>
    </w:p>
    <w:p>
      <w:pPr>
        <w:pStyle w:val="3"/>
        <w:tabs>
          <w:tab w:val="left" w:pos="426"/>
        </w:tabs>
        <w:spacing w:line="320" w:lineRule="exact"/>
        <w:ind w:firstLine="707" w:firstLineChars="221"/>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left="141" w:leftChars="67" w:firstLine="640" w:firstLineChars="200"/>
        <w:rPr>
          <w:rFonts w:ascii="仿宋_GB2312" w:hAnsi="仿宋" w:eastAsia="仿宋_GB2312"/>
          <w:sz w:val="32"/>
          <w:szCs w:val="32"/>
        </w:rPr>
      </w:pPr>
      <w:r>
        <w:rPr>
          <w:rFonts w:hint="eastAsia" w:ascii="仿宋_GB2312" w:hAnsi="仿宋" w:eastAsia="仿宋_GB2312"/>
          <w:sz w:val="32"/>
          <w:szCs w:val="32"/>
        </w:rPr>
        <w:t>茂县社会保险事业管理局下属二级单位0个，其中行政单位0个，参照公务员法管理的事业单位</w:t>
      </w:r>
      <w:r>
        <w:rPr>
          <w:rFonts w:hint="eastAsia" w:ascii="仿宋_GB2312" w:hAnsi="仿宋" w:eastAsia="仿宋_GB2312"/>
          <w:bCs/>
          <w:sz w:val="32"/>
          <w:szCs w:val="32"/>
        </w:rPr>
        <w:t>0</w:t>
      </w:r>
      <w:r>
        <w:rPr>
          <w:rFonts w:hint="eastAsia" w:ascii="仿宋_GB2312" w:hAnsi="仿宋" w:eastAsia="仿宋_GB2312"/>
          <w:sz w:val="32"/>
          <w:szCs w:val="32"/>
        </w:rPr>
        <w:t>个，其他事业单位0个。</w:t>
      </w:r>
    </w:p>
    <w:p>
      <w:pPr>
        <w:pStyle w:val="5"/>
        <w:adjustRightInd w:val="0"/>
        <w:snapToGrid w:val="0"/>
        <w:spacing w:before="93" w:line="600" w:lineRule="exact"/>
        <w:ind w:firstLine="672" w:firstLineChars="210"/>
        <w:rPr>
          <w:rFonts w:hAnsi="仿宋"/>
          <w:color w:val="000000"/>
          <w:sz w:val="32"/>
          <w:szCs w:val="32"/>
        </w:rPr>
      </w:pPr>
      <w:r>
        <w:rPr>
          <w:rFonts w:hint="eastAsia" w:hAnsi="仿宋"/>
          <w:color w:val="000000"/>
          <w:sz w:val="32"/>
          <w:szCs w:val="32"/>
        </w:rPr>
        <w:t>无纳入2018年度部门决算编制范围的二级预算单位。</w:t>
      </w:r>
    </w:p>
    <w:p>
      <w:pPr>
        <w:adjustRightInd w:val="0"/>
        <w:snapToGrid w:val="0"/>
        <w:spacing w:line="360" w:lineRule="auto"/>
        <w:outlineLvl w:val="0"/>
        <w:rPr>
          <w:rFonts w:ascii="仿宋_GB2312" w:hAnsi="仿宋" w:eastAsia="仿宋_GB2312"/>
          <w:color w:val="000000"/>
          <w:kern w:val="0"/>
          <w:sz w:val="32"/>
          <w:szCs w:val="32"/>
        </w:rPr>
      </w:pPr>
      <w:bookmarkStart w:id="22" w:name="_Toc15396602"/>
      <w:bookmarkStart w:id="23" w:name="_Toc15377204"/>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outlineLvl w:val="0"/>
        <w:rPr>
          <w:rStyle w:val="25"/>
          <w:rFonts w:ascii="方正小标宋简体" w:hAnsi="黑体" w:eastAsia="方正小标宋简体"/>
          <w:b w:val="0"/>
          <w:bCs w:val="0"/>
        </w:rPr>
      </w:pPr>
    </w:p>
    <w:p>
      <w:pPr>
        <w:adjustRightInd w:val="0"/>
        <w:snapToGrid w:val="0"/>
        <w:spacing w:line="360" w:lineRule="auto"/>
        <w:jc w:val="center"/>
        <w:outlineLvl w:val="0"/>
        <w:rPr>
          <w:rStyle w:val="25"/>
          <w:rFonts w:ascii="方正小标宋简体" w:hAnsi="黑体" w:eastAsia="方正小标宋简体"/>
          <w:b w:val="0"/>
          <w:bCs w:val="0"/>
        </w:rPr>
      </w:pPr>
    </w:p>
    <w:p>
      <w:pPr>
        <w:adjustRightInd w:val="0"/>
        <w:snapToGrid w:val="0"/>
        <w:spacing w:line="360" w:lineRule="auto"/>
        <w:jc w:val="center"/>
        <w:outlineLvl w:val="0"/>
        <w:rPr>
          <w:rStyle w:val="25"/>
          <w:rFonts w:ascii="方正小标宋简体" w:hAnsi="黑体" w:eastAsia="方正小标宋简体"/>
          <w:b w:val="0"/>
          <w:bCs w:val="0"/>
        </w:rPr>
      </w:pPr>
    </w:p>
    <w:p>
      <w:pPr>
        <w:adjustRightInd w:val="0"/>
        <w:snapToGrid w:val="0"/>
        <w:spacing w:line="360" w:lineRule="auto"/>
        <w:jc w:val="center"/>
        <w:outlineLvl w:val="0"/>
        <w:rPr>
          <w:rFonts w:ascii="方正小标宋简体" w:hAnsi="黑体" w:eastAsia="方正小标宋简体"/>
          <w:kern w:val="44"/>
          <w:sz w:val="44"/>
          <w:szCs w:val="44"/>
        </w:rPr>
      </w:pPr>
      <w:r>
        <w:rPr>
          <w:rStyle w:val="25"/>
          <w:rFonts w:hint="eastAsia" w:ascii="方正小标宋简体" w:hAnsi="黑体" w:eastAsia="方正小标宋简体"/>
          <w:b w:val="0"/>
          <w:bCs w:val="0"/>
        </w:rPr>
        <w:t>第二部分2018年度部门决算情况说明</w:t>
      </w:r>
      <w:bookmarkEnd w:id="22"/>
      <w:bookmarkEnd w:id="23"/>
    </w:p>
    <w:p>
      <w:pPr>
        <w:pStyle w:val="24"/>
        <w:numPr>
          <w:ilvl w:val="0"/>
          <w:numId w:val="2"/>
        </w:numPr>
        <w:spacing w:line="576"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napToGrid w:val="0"/>
        <w:spacing w:line="576" w:lineRule="exact"/>
        <w:ind w:firstLine="640" w:firstLineChars="200"/>
        <w:rPr>
          <w:rFonts w:ascii="仿宋_GB2312" w:hAnsi="楷体" w:eastAsia="仿宋_GB2312" w:cs="仿宋"/>
          <w:sz w:val="32"/>
          <w:szCs w:val="32"/>
        </w:rPr>
      </w:pPr>
      <w:r>
        <w:rPr>
          <w:rFonts w:hint="eastAsia" w:ascii="仿宋_GB2312" w:hAnsi="楷体" w:eastAsia="仿宋_GB2312"/>
          <w:color w:val="000000"/>
          <w:sz w:val="32"/>
          <w:szCs w:val="32"/>
        </w:rPr>
        <w:t>2018年度收支总计348.73万元。与2017年相比，收、支总计增加74.56万元。主要变动原因</w:t>
      </w:r>
      <w:r>
        <w:rPr>
          <w:rFonts w:hint="eastAsia" w:ascii="仿宋_GB2312" w:hAnsi="楷体" w:eastAsia="仿宋_GB2312" w:cs="仿宋"/>
          <w:sz w:val="32"/>
          <w:szCs w:val="32"/>
        </w:rPr>
        <w:t>是2018年单位职工工资标准上调，相应的单位缴纳部分的机关事业单位养老保险、城镇职工医疗保险、住房公积金等受职工缴费基数上涨因素影响缴纳金额上涨，导致收支增加。</w:t>
      </w:r>
    </w:p>
    <w:p>
      <w:pPr>
        <w:spacing w:line="600" w:lineRule="exact"/>
        <w:ind w:firstLine="1280" w:firstLineChars="400"/>
        <w:jc w:val="left"/>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图1：收、支决算总计变动情况图</w:t>
      </w:r>
    </w:p>
    <w:p>
      <w:r>
        <w:drawing>
          <wp:inline distT="0" distB="0" distL="0" distR="0">
            <wp:extent cx="4751070" cy="2689860"/>
            <wp:effectExtent l="4445" t="4445" r="14605" b="1841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2"/>
        </w:numPr>
        <w:spacing w:line="576"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576" w:lineRule="exact"/>
        <w:ind w:firstLine="640" w:firstLineChars="200"/>
        <w:outlineLvl w:val="1"/>
        <w:rPr>
          <w:rFonts w:ascii="仿宋_GB2312" w:hAnsi="楷体" w:eastAsia="仿宋_GB2312"/>
          <w:color w:val="000000"/>
          <w:sz w:val="32"/>
          <w:szCs w:val="32"/>
        </w:rPr>
      </w:pPr>
      <w:r>
        <w:rPr>
          <w:rFonts w:hint="eastAsia" w:ascii="仿宋_GB2312" w:hAnsi="楷体" w:eastAsia="仿宋_GB2312"/>
          <w:color w:val="000000"/>
          <w:sz w:val="32"/>
          <w:szCs w:val="32"/>
        </w:rPr>
        <w:t>2018年本年收入合计348.73万元，其中：一般公共预算财政拨款收入348.73万元，占100%；政府性基金预算财政拨款收入0万元，占0%；国有资本经营预算财政拨款收入0万元，占0%；事业收入0万元，占0%；经营收入0万元，占0%；附属单位上缴收入0万元，占0%；其他收入0万元，占0%。</w:t>
      </w:r>
    </w:p>
    <w:p>
      <w:pPr>
        <w:spacing w:line="600" w:lineRule="exact"/>
        <w:ind w:firstLine="1440" w:firstLineChars="45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图2：收入决算结构图</w:t>
      </w:r>
    </w:p>
    <w:p>
      <w:pPr>
        <w:tabs>
          <w:tab w:val="left" w:pos="2355"/>
        </w:tabs>
      </w:pPr>
      <w:r>
        <w:drawing>
          <wp:inline distT="0" distB="0" distL="0" distR="0">
            <wp:extent cx="4286250" cy="2695575"/>
            <wp:effectExtent l="4445" t="4445" r="14605" b="508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2"/>
        </w:numPr>
        <w:spacing w:line="576"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576" w:lineRule="exact"/>
        <w:ind w:firstLine="640"/>
        <w:rPr>
          <w:rFonts w:ascii="仿宋_GB2312" w:hAnsi="楷体" w:eastAsia="仿宋_GB2312"/>
          <w:color w:val="000000"/>
          <w:sz w:val="32"/>
          <w:szCs w:val="32"/>
        </w:rPr>
      </w:pPr>
      <w:r>
        <w:rPr>
          <w:rFonts w:hint="eastAsia" w:ascii="仿宋_GB2312" w:hAnsi="楷体" w:eastAsia="仿宋_GB2312"/>
          <w:color w:val="000000"/>
          <w:sz w:val="32"/>
          <w:szCs w:val="32"/>
        </w:rPr>
        <w:t>2018年本年支出合计342.87万元，其中：基本支出341.73万元，占99.67%；项目支出1.14万元，占0.33%；上缴上级支出0万元，占0%；经营支出0万元，占0%；对附属单位补助支出0万元，占0%。</w:t>
      </w:r>
    </w:p>
    <w:p>
      <w:pPr>
        <w:spacing w:line="600" w:lineRule="exact"/>
        <w:ind w:firstLine="1760" w:firstLineChars="55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t>图3：支出决算结构图</w:t>
      </w:r>
    </w:p>
    <w:p>
      <w:pPr>
        <w:tabs>
          <w:tab w:val="left" w:pos="1560"/>
        </w:tabs>
      </w:pPr>
      <w:r>
        <w:drawing>
          <wp:inline distT="0" distB="0" distL="0" distR="0">
            <wp:extent cx="4467225" cy="1866900"/>
            <wp:effectExtent l="19050" t="0" r="9525" b="0"/>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spacing w:line="576" w:lineRule="exact"/>
        <w:ind w:firstLine="640" w:firstLineChars="200"/>
        <w:rPr>
          <w:rStyle w:val="26"/>
          <w:rFonts w:ascii="黑体" w:hAnsi="黑体" w:eastAsia="黑体"/>
          <w:b w:val="0"/>
          <w:bCs/>
        </w:rPr>
      </w:pPr>
      <w:bookmarkStart w:id="30" w:name="_Toc15377208"/>
      <w:bookmarkStart w:id="31" w:name="_Toc15396606"/>
      <w:r>
        <w:rPr>
          <w:rFonts w:hint="eastAsia" w:ascii="黑体" w:hAnsi="黑体" w:eastAsia="黑体"/>
          <w:b w:val="0"/>
          <w:bCs w:val="0"/>
          <w:color w:val="000000"/>
        </w:rPr>
        <w:t>四、财</w:t>
      </w:r>
      <w:r>
        <w:rPr>
          <w:rStyle w:val="26"/>
          <w:rFonts w:hint="eastAsia" w:ascii="黑体" w:hAnsi="黑体" w:eastAsia="黑体"/>
          <w:b w:val="0"/>
          <w:bCs/>
        </w:rPr>
        <w:t>政拨款收入支出决算总体情况说明</w:t>
      </w:r>
      <w:bookmarkEnd w:id="30"/>
      <w:bookmarkEnd w:id="31"/>
    </w:p>
    <w:p>
      <w:pPr>
        <w:snapToGrid w:val="0"/>
        <w:spacing w:line="576" w:lineRule="exact"/>
        <w:ind w:firstLine="640" w:firstLineChars="200"/>
        <w:rPr>
          <w:rFonts w:ascii="仿宋_GB2312" w:hAnsi="楷体" w:eastAsia="仿宋_GB2312" w:cs="仿宋"/>
          <w:sz w:val="32"/>
          <w:szCs w:val="32"/>
        </w:rPr>
      </w:pPr>
      <w:r>
        <w:rPr>
          <w:rFonts w:hint="eastAsia" w:ascii="仿宋_GB2312" w:hAnsi="楷体" w:eastAsia="仿宋_GB2312"/>
          <w:color w:val="000000"/>
          <w:sz w:val="32"/>
          <w:szCs w:val="32"/>
        </w:rPr>
        <w:t>2018年财政拨款收入</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lang w:val="en-US" w:eastAsia="zh-CN"/>
        </w:rPr>
        <w:t>支出</w:t>
      </w:r>
      <w:r>
        <w:rPr>
          <w:rFonts w:hint="eastAsia" w:ascii="仿宋_GB2312" w:hAnsi="楷体" w:eastAsia="仿宋_GB2312"/>
          <w:color w:val="000000"/>
          <w:sz w:val="32"/>
          <w:szCs w:val="32"/>
        </w:rPr>
        <w:t>总计348.73万元。与2017年相比，财政拨款收入</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lang w:val="en-US" w:eastAsia="zh-CN"/>
        </w:rPr>
        <w:t>支出</w:t>
      </w:r>
      <w:r>
        <w:rPr>
          <w:rFonts w:hint="eastAsia" w:ascii="仿宋_GB2312" w:hAnsi="楷体" w:eastAsia="仿宋_GB2312"/>
          <w:color w:val="000000"/>
          <w:sz w:val="32"/>
          <w:szCs w:val="32"/>
        </w:rPr>
        <w:t>总计</w:t>
      </w:r>
      <w:r>
        <w:rPr>
          <w:rFonts w:hint="eastAsia" w:ascii="仿宋_GB2312" w:hAnsi="楷体" w:eastAsia="仿宋_GB2312"/>
          <w:color w:val="000000"/>
          <w:sz w:val="32"/>
          <w:szCs w:val="32"/>
          <w:lang w:val="en-US" w:eastAsia="zh-CN"/>
        </w:rPr>
        <w:t>各</w:t>
      </w:r>
      <w:r>
        <w:rPr>
          <w:rFonts w:hint="eastAsia" w:ascii="仿宋_GB2312" w:hAnsi="楷体" w:eastAsia="仿宋_GB2312"/>
          <w:color w:val="000000"/>
          <w:sz w:val="32"/>
          <w:szCs w:val="32"/>
        </w:rPr>
        <w:t>增加74.56万元</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增长27.19%。主要变动原因是</w:t>
      </w:r>
      <w:r>
        <w:rPr>
          <w:rFonts w:hint="eastAsia" w:ascii="仿宋_GB2312" w:hAnsi="楷体" w:eastAsia="仿宋_GB2312" w:cs="仿宋"/>
          <w:sz w:val="32"/>
          <w:szCs w:val="32"/>
        </w:rPr>
        <w:t>2018年单位职工工资标准上调，相应的单位缴纳部分的机关事业单位养老保险、城镇职工医疗保险、住房公积金等受职工缴费基数上涨因素影响缴纳金额上涨，导致收支增加。</w:t>
      </w:r>
    </w:p>
    <w:p>
      <w:pPr>
        <w:snapToGrid w:val="0"/>
        <w:spacing w:line="576" w:lineRule="exact"/>
        <w:ind w:firstLine="1280" w:firstLineChars="400"/>
        <w:rPr>
          <w:rFonts w:ascii="仿宋_GB2312" w:hAnsi="楷体" w:eastAsia="仿宋_GB2312" w:cs="仿宋"/>
          <w:sz w:val="32"/>
          <w:szCs w:val="32"/>
        </w:rPr>
      </w:pPr>
      <w:r>
        <w:rPr>
          <w:rFonts w:hint="eastAsia" w:ascii="仿宋_GB2312" w:hAnsi="楷体" w:eastAsia="仿宋_GB2312" w:cs="仿宋"/>
          <w:sz w:val="32"/>
          <w:szCs w:val="32"/>
        </w:rPr>
        <w:t>图4：财政拨款收、支决算总计变动情况图</w:t>
      </w:r>
    </w:p>
    <w:p>
      <w:r>
        <w:drawing>
          <wp:inline distT="0" distB="0" distL="0" distR="0">
            <wp:extent cx="5257800" cy="2324100"/>
            <wp:effectExtent l="19050" t="0" r="19050" b="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spacing w:line="576" w:lineRule="exact"/>
        <w:ind w:firstLine="640" w:firstLineChars="200"/>
        <w:rPr>
          <w:rFonts w:ascii="仿宋" w:hAnsi="仿宋" w:eastAsia="仿宋"/>
          <w:color w:val="000000"/>
        </w:rPr>
      </w:pPr>
      <w:bookmarkStart w:id="32" w:name="_Toc15396607"/>
      <w:bookmarkStart w:id="33" w:name="_Toc15377209"/>
      <w:r>
        <w:rPr>
          <w:rFonts w:hint="eastAsia" w:ascii="黑体" w:hAnsi="黑体" w:eastAsia="黑体"/>
          <w:b w:val="0"/>
          <w:bCs w:val="0"/>
          <w:color w:val="000000"/>
        </w:rPr>
        <w:t>五、一</w:t>
      </w:r>
      <w:r>
        <w:rPr>
          <w:rStyle w:val="26"/>
          <w:rFonts w:hint="eastAsia" w:ascii="黑体" w:hAnsi="黑体" w:eastAsia="黑体"/>
          <w:b w:val="0"/>
          <w:bCs/>
        </w:rPr>
        <w:t>般公共预算财政拨款支出决算情况说明</w:t>
      </w:r>
      <w:bookmarkEnd w:id="32"/>
      <w:bookmarkEnd w:id="33"/>
      <w:bookmarkStart w:id="34" w:name="_Toc15377210"/>
    </w:p>
    <w:p>
      <w:pPr>
        <w:spacing w:line="576" w:lineRule="exact"/>
        <w:ind w:firstLine="642" w:firstLineChars="200"/>
        <w:outlineLvl w:val="1"/>
        <w:rPr>
          <w:rFonts w:ascii="仿宋" w:hAnsi="仿宋" w:eastAsia="仿宋"/>
          <w:b/>
          <w:color w:val="000000"/>
          <w:sz w:val="32"/>
          <w:szCs w:val="32"/>
        </w:rPr>
      </w:pPr>
      <w:r>
        <w:rPr>
          <w:rFonts w:hint="eastAsia" w:ascii="仿宋" w:hAnsi="仿宋" w:eastAsia="仿宋"/>
          <w:b/>
          <w:color w:val="000000"/>
          <w:sz w:val="32"/>
          <w:szCs w:val="32"/>
        </w:rPr>
        <w:t>（一）</w:t>
      </w:r>
      <w:r>
        <w:rPr>
          <w:rFonts w:hint="eastAsia" w:ascii="楷体" w:hAnsi="楷体" w:eastAsia="楷体"/>
          <w:b/>
          <w:color w:val="000000"/>
          <w:sz w:val="32"/>
          <w:szCs w:val="32"/>
        </w:rPr>
        <w:t>一般公共预算财政拨款支出决算总体情况</w:t>
      </w:r>
      <w:bookmarkEnd w:id="34"/>
    </w:p>
    <w:p>
      <w:pPr>
        <w:snapToGrid w:val="0"/>
        <w:spacing w:line="576" w:lineRule="exact"/>
        <w:ind w:firstLine="640" w:firstLineChars="200"/>
        <w:rPr>
          <w:rFonts w:ascii="仿宋_GB2312" w:hAnsi="楷体" w:eastAsia="仿宋_GB2312" w:cs="仿宋"/>
          <w:sz w:val="32"/>
          <w:szCs w:val="32"/>
        </w:rPr>
      </w:pPr>
      <w:r>
        <w:rPr>
          <w:rFonts w:hint="eastAsia" w:ascii="仿宋_GB2312" w:hAnsi="楷体" w:eastAsia="仿宋_GB2312"/>
          <w:color w:val="000000"/>
          <w:sz w:val="32"/>
          <w:szCs w:val="32"/>
        </w:rPr>
        <w:t>2018年一般公共预算财政拨款支出342.87万元，占本年支出合计的100%。与2017年相比，一般公共预算财政拨款</w:t>
      </w:r>
      <w:r>
        <w:rPr>
          <w:rFonts w:hint="eastAsia" w:ascii="仿宋_GB2312" w:hAnsi="楷体" w:eastAsia="仿宋_GB2312"/>
          <w:color w:val="000000"/>
          <w:sz w:val="32"/>
          <w:szCs w:val="32"/>
          <w:lang w:val="en-US" w:eastAsia="zh-CN"/>
        </w:rPr>
        <w:t>支出</w:t>
      </w:r>
      <w:r>
        <w:rPr>
          <w:rFonts w:hint="eastAsia" w:ascii="仿宋_GB2312" w:hAnsi="楷体" w:eastAsia="仿宋_GB2312"/>
          <w:color w:val="000000"/>
          <w:sz w:val="32"/>
          <w:szCs w:val="32"/>
        </w:rPr>
        <w:t>增加68.70万元，增长25.06%。主要变动原因是</w:t>
      </w:r>
      <w:r>
        <w:rPr>
          <w:rFonts w:hint="eastAsia" w:ascii="仿宋_GB2312" w:hAnsi="楷体" w:eastAsia="仿宋_GB2312" w:cs="仿宋"/>
          <w:sz w:val="32"/>
          <w:szCs w:val="32"/>
        </w:rPr>
        <w:t>2018年单位职工工资标准上调，相应的单位缴纳部分的机关事业单位养老保险、城镇职工医疗保险、住房公积金等受职工缴费基数上涨因素影响缴纳金额上涨，导致支出增加。</w:t>
      </w:r>
    </w:p>
    <w:p>
      <w:pPr>
        <w:spacing w:line="600" w:lineRule="exact"/>
        <w:ind w:firstLine="960" w:firstLineChars="300"/>
        <w:rPr>
          <w:rFonts w:ascii="仿宋_GB2312" w:hAnsi="楷体" w:eastAsia="仿宋_GB2312"/>
          <w:color w:val="000000" w:themeColor="text1"/>
          <w:sz w:val="32"/>
          <w:szCs w:val="32"/>
        </w:rPr>
      </w:pPr>
      <w:r>
        <w:rPr>
          <w:rFonts w:hint="eastAsia" w:ascii="仿宋_GB2312" w:hAnsi="楷体" w:eastAsia="仿宋_GB2312"/>
          <w:color w:val="000000" w:themeColor="text1"/>
          <w:sz w:val="32"/>
          <w:szCs w:val="32"/>
        </w:rPr>
        <w:drawing>
          <wp:anchor distT="0" distB="0" distL="114300" distR="114300" simplePos="0" relativeHeight="251659264" behindDoc="0" locked="0" layoutInCell="1" allowOverlap="1">
            <wp:simplePos x="0" y="0"/>
            <wp:positionH relativeFrom="column">
              <wp:align>left</wp:align>
            </wp:positionH>
            <wp:positionV relativeFrom="paragraph">
              <wp:posOffset>518160</wp:posOffset>
            </wp:positionV>
            <wp:extent cx="5457825" cy="2217420"/>
            <wp:effectExtent l="19050" t="0" r="9525" b="0"/>
            <wp:wrapSquare wrapText="bothSides"/>
            <wp:docPr id="1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楷体" w:eastAsia="仿宋_GB2312"/>
          <w:color w:val="000000" w:themeColor="text1"/>
          <w:sz w:val="32"/>
          <w:szCs w:val="32"/>
        </w:rPr>
        <w:t>图5：一般公共预算财政拨款支出决算变动情况图</w:t>
      </w:r>
    </w:p>
    <w:p>
      <w:pPr>
        <w:spacing w:line="600" w:lineRule="exact"/>
        <w:ind w:firstLine="640" w:firstLineChars="200"/>
        <w:rPr>
          <w:rFonts w:ascii="仿宋_GB2312" w:hAnsi="仿宋" w:eastAsia="仿宋_GB2312"/>
          <w:color w:val="000000" w:themeColor="text1"/>
          <w:sz w:val="32"/>
          <w:szCs w:val="32"/>
        </w:rPr>
      </w:pPr>
    </w:p>
    <w:p>
      <w:pPr>
        <w:spacing w:line="576" w:lineRule="exact"/>
        <w:ind w:firstLine="642" w:firstLineChars="200"/>
        <w:outlineLvl w:val="1"/>
        <w:rPr>
          <w:rFonts w:ascii="仿宋" w:hAnsi="仿宋" w:eastAsia="仿宋"/>
          <w:b/>
          <w:color w:val="000000"/>
          <w:sz w:val="32"/>
          <w:szCs w:val="32"/>
        </w:rPr>
      </w:pPr>
      <w:bookmarkStart w:id="35" w:name="_Toc15377211"/>
    </w:p>
    <w:p>
      <w:pPr>
        <w:spacing w:line="576" w:lineRule="exact"/>
        <w:ind w:firstLine="642" w:firstLineChars="200"/>
        <w:outlineLvl w:val="1"/>
        <w:rPr>
          <w:rFonts w:ascii="仿宋" w:hAnsi="仿宋" w:eastAsia="仿宋"/>
          <w:b/>
          <w:color w:val="000000"/>
          <w:sz w:val="32"/>
          <w:szCs w:val="32"/>
        </w:rPr>
      </w:pPr>
    </w:p>
    <w:p>
      <w:pPr>
        <w:spacing w:line="576" w:lineRule="exact"/>
        <w:ind w:firstLine="642" w:firstLineChars="200"/>
        <w:outlineLvl w:val="1"/>
        <w:rPr>
          <w:rFonts w:ascii="仿宋" w:hAnsi="仿宋" w:eastAsia="仿宋"/>
          <w:b/>
          <w:color w:val="000000"/>
          <w:sz w:val="32"/>
          <w:szCs w:val="32"/>
        </w:rPr>
      </w:pPr>
    </w:p>
    <w:p>
      <w:pPr>
        <w:spacing w:line="576" w:lineRule="exact"/>
        <w:ind w:firstLine="642" w:firstLineChars="200"/>
        <w:outlineLvl w:val="1"/>
        <w:rPr>
          <w:rFonts w:ascii="仿宋" w:hAnsi="仿宋" w:eastAsia="仿宋"/>
          <w:b/>
          <w:color w:val="000000"/>
          <w:sz w:val="32"/>
          <w:szCs w:val="32"/>
        </w:rPr>
      </w:pPr>
    </w:p>
    <w:p>
      <w:pPr>
        <w:spacing w:line="576" w:lineRule="exact"/>
        <w:ind w:firstLine="642" w:firstLineChars="200"/>
        <w:outlineLvl w:val="1"/>
        <w:rPr>
          <w:rFonts w:ascii="仿宋" w:hAnsi="仿宋" w:eastAsia="仿宋"/>
          <w:b/>
          <w:color w:val="000000"/>
          <w:sz w:val="32"/>
          <w:szCs w:val="32"/>
        </w:rPr>
      </w:pPr>
      <w:r>
        <w:rPr>
          <w:rFonts w:hint="eastAsia" w:ascii="仿宋" w:hAnsi="仿宋" w:eastAsia="仿宋"/>
          <w:b/>
          <w:color w:val="000000"/>
          <w:sz w:val="32"/>
          <w:szCs w:val="32"/>
        </w:rPr>
        <w:t>（二）</w:t>
      </w:r>
      <w:r>
        <w:rPr>
          <w:rFonts w:hint="eastAsia" w:ascii="楷体" w:hAnsi="楷体" w:eastAsia="楷体"/>
          <w:b/>
          <w:color w:val="000000"/>
          <w:sz w:val="32"/>
          <w:szCs w:val="32"/>
        </w:rPr>
        <w:t>一般公共预算财政拨款支出决算结构情况</w:t>
      </w:r>
      <w:bookmarkEnd w:id="35"/>
    </w:p>
    <w:p>
      <w:pPr>
        <w:spacing w:line="576" w:lineRule="exact"/>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sz w:val="32"/>
          <w:szCs w:val="32"/>
        </w:rPr>
        <w:t>2018年一般公共预算财</w:t>
      </w:r>
      <w:r>
        <w:rPr>
          <w:rFonts w:hint="eastAsia" w:ascii="仿宋_GB2312" w:hAnsi="楷体" w:eastAsia="仿宋_GB2312"/>
          <w:color w:val="000000" w:themeColor="text1"/>
          <w:sz w:val="32"/>
          <w:szCs w:val="32"/>
        </w:rPr>
        <w:t>政拨款支出342.87万元，主要用于以下方面:</w:t>
      </w:r>
      <w:r>
        <w:rPr>
          <w:rFonts w:hint="eastAsia" w:ascii="仿宋_GB2312" w:hAnsi="楷体" w:eastAsia="仿宋_GB2312"/>
          <w:b/>
          <w:color w:val="000000" w:themeColor="text1"/>
          <w:sz w:val="32"/>
          <w:szCs w:val="32"/>
        </w:rPr>
        <w:t>社会保障和就业（类）20801</w:t>
      </w:r>
      <w:r>
        <w:rPr>
          <w:rFonts w:hint="eastAsia" w:ascii="仿宋_GB2312" w:hAnsi="楷体" w:eastAsia="仿宋_GB2312"/>
          <w:color w:val="000000" w:themeColor="text1"/>
          <w:sz w:val="32"/>
          <w:szCs w:val="32"/>
        </w:rPr>
        <w:t>支出303.86万元，占88.62%；</w:t>
      </w:r>
      <w:r>
        <w:rPr>
          <w:rFonts w:hint="eastAsia" w:ascii="仿宋_GB2312" w:hAnsi="楷体" w:eastAsia="仿宋_GB2312"/>
          <w:b/>
          <w:color w:val="000000" w:themeColor="text1"/>
          <w:sz w:val="32"/>
          <w:szCs w:val="32"/>
        </w:rPr>
        <w:t>医疗卫生</w:t>
      </w:r>
      <w:r>
        <w:rPr>
          <w:rFonts w:hint="eastAsia" w:ascii="仿宋_GB2312" w:hAnsi="楷体" w:eastAsia="仿宋_GB2312"/>
          <w:color w:val="000000" w:themeColor="text1"/>
          <w:sz w:val="32"/>
          <w:szCs w:val="32"/>
        </w:rPr>
        <w:t>支出16.70万元，占4.87%；</w:t>
      </w:r>
      <w:r>
        <w:rPr>
          <w:rFonts w:hint="eastAsia" w:ascii="仿宋_GB2312" w:hAnsi="楷体" w:eastAsia="仿宋_GB2312"/>
          <w:b/>
          <w:color w:val="000000" w:themeColor="text1"/>
          <w:sz w:val="32"/>
          <w:szCs w:val="32"/>
        </w:rPr>
        <w:t>住房保障</w:t>
      </w:r>
      <w:r>
        <w:rPr>
          <w:rFonts w:hint="eastAsia" w:ascii="仿宋_GB2312" w:hAnsi="楷体" w:eastAsia="仿宋_GB2312"/>
          <w:color w:val="000000" w:themeColor="text1"/>
          <w:sz w:val="32"/>
          <w:szCs w:val="32"/>
        </w:rPr>
        <w:t>支出22.31万元，占6.51%</w:t>
      </w:r>
      <w:r>
        <w:rPr>
          <w:rFonts w:hint="eastAsia" w:ascii="仿宋_GB2312" w:hAnsi="楷体" w:eastAsia="仿宋_GB2312"/>
          <w:b/>
          <w:color w:val="000000" w:themeColor="text1"/>
          <w:sz w:val="32"/>
          <w:szCs w:val="32"/>
        </w:rPr>
        <w:t>。</w:t>
      </w:r>
    </w:p>
    <w:p>
      <w:pPr>
        <w:spacing w:line="600" w:lineRule="exact"/>
        <w:ind w:firstLine="320" w:firstLineChars="100"/>
        <w:rPr>
          <w:rFonts w:ascii="仿宋_GB2312" w:hAnsi="楷体" w:eastAsia="仿宋_GB2312"/>
          <w:color w:val="000000"/>
          <w:sz w:val="32"/>
          <w:szCs w:val="32"/>
        </w:rPr>
      </w:pPr>
      <w:r>
        <w:rPr>
          <w:rFonts w:hint="eastAsia" w:ascii="仿宋_GB2312" w:hAnsi="楷体" w:eastAsia="仿宋_GB2312"/>
          <w:color w:val="000000"/>
          <w:sz w:val="32"/>
          <w:szCs w:val="32"/>
        </w:rPr>
        <w:t>图6：一般公共预算财政拨款支出决算结构图</w:t>
      </w:r>
    </w:p>
    <w:p>
      <w:pPr>
        <w:ind w:firstLine="420" w:firstLineChars="200"/>
      </w:pPr>
      <w:r>
        <w:drawing>
          <wp:inline distT="0" distB="0" distL="0" distR="0">
            <wp:extent cx="3876675" cy="2143125"/>
            <wp:effectExtent l="19050" t="0" r="9525" b="0"/>
            <wp:docPr id="1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76" w:lineRule="exact"/>
        <w:ind w:firstLine="642" w:firstLineChars="200"/>
        <w:outlineLvl w:val="1"/>
        <w:rPr>
          <w:rFonts w:ascii="楷体" w:hAnsi="楷体" w:eastAsia="楷体"/>
          <w:b/>
          <w:color w:val="000000"/>
          <w:sz w:val="32"/>
          <w:szCs w:val="32"/>
        </w:rPr>
      </w:pPr>
      <w:bookmarkStart w:id="36" w:name="_Toc15377212"/>
      <w:r>
        <w:rPr>
          <w:rFonts w:hint="eastAsia" w:ascii="楷体" w:hAnsi="楷体" w:eastAsia="楷体"/>
          <w:b/>
          <w:color w:val="000000"/>
          <w:sz w:val="32"/>
          <w:szCs w:val="32"/>
        </w:rPr>
        <w:t>（三）一般公共预算财政拨款支出决算具体情况</w:t>
      </w:r>
      <w:bookmarkEnd w:id="36"/>
    </w:p>
    <w:p>
      <w:pPr>
        <w:spacing w:line="576" w:lineRule="exact"/>
        <w:ind w:firstLine="642" w:firstLineChars="200"/>
        <w:outlineLvl w:val="2"/>
        <w:rPr>
          <w:rFonts w:ascii="仿宋_GB2312" w:hAnsi="楷体" w:eastAsia="仿宋_GB2312"/>
          <w:color w:val="FF0000"/>
          <w:sz w:val="32"/>
          <w:szCs w:val="32"/>
        </w:rPr>
      </w:pPr>
      <w:bookmarkStart w:id="37" w:name="_Toc15378460"/>
      <w:bookmarkStart w:id="38" w:name="_Toc15377213"/>
      <w:bookmarkStart w:id="39" w:name="_Toc15377444"/>
      <w:r>
        <w:rPr>
          <w:rFonts w:hint="eastAsia" w:ascii="仿宋_GB2312" w:hAnsi="楷体" w:eastAsia="仿宋_GB2312"/>
          <w:b/>
          <w:color w:val="000000" w:themeColor="text1"/>
          <w:sz w:val="32"/>
          <w:szCs w:val="32"/>
        </w:rPr>
        <w:t>2018年般公共预算支出决算数为342.87</w:t>
      </w:r>
      <w:r>
        <w:rPr>
          <w:rFonts w:hint="eastAsia" w:ascii="仿宋_GB2312" w:hAnsi="楷体" w:eastAsia="仿宋_GB2312"/>
          <w:b/>
          <w:color w:val="000000" w:themeColor="text1"/>
          <w:sz w:val="32"/>
          <w:szCs w:val="32"/>
          <w:lang w:val="en-US" w:eastAsia="zh-CN"/>
        </w:rPr>
        <w:t>万元</w:t>
      </w:r>
      <w:r>
        <w:rPr>
          <w:rFonts w:hint="eastAsia" w:ascii="仿宋_GB2312" w:hAnsi="楷体" w:eastAsia="仿宋_GB2312"/>
          <w:color w:val="000000" w:themeColor="text1"/>
          <w:sz w:val="32"/>
          <w:szCs w:val="32"/>
        </w:rPr>
        <w:t>，</w:t>
      </w:r>
      <w:r>
        <w:rPr>
          <w:rStyle w:val="15"/>
          <w:rFonts w:hint="eastAsia" w:ascii="仿宋_GB2312" w:hAnsi="楷体" w:eastAsia="仿宋_GB2312"/>
          <w:bCs/>
          <w:color w:val="000000" w:themeColor="text1"/>
          <w:sz w:val="32"/>
          <w:szCs w:val="32"/>
        </w:rPr>
        <w:t>完成</w:t>
      </w:r>
      <w:r>
        <w:rPr>
          <w:rStyle w:val="15"/>
          <w:rFonts w:hint="eastAsia" w:ascii="仿宋_GB2312" w:hAnsi="楷体" w:eastAsia="仿宋_GB2312"/>
          <w:bCs/>
          <w:color w:val="000000"/>
          <w:sz w:val="32"/>
          <w:szCs w:val="32"/>
        </w:rPr>
        <w:t>预算98.32%。其中：</w:t>
      </w:r>
      <w:bookmarkEnd w:id="37"/>
      <w:bookmarkEnd w:id="38"/>
      <w:bookmarkEnd w:id="39"/>
    </w:p>
    <w:p>
      <w:pPr>
        <w:spacing w:line="576" w:lineRule="exact"/>
        <w:ind w:firstLine="642" w:firstLineChars="200"/>
        <w:rPr>
          <w:rStyle w:val="15"/>
          <w:rFonts w:ascii="仿宋_GB2312" w:hAnsi="楷体" w:eastAsia="仿宋_GB2312"/>
          <w:b w:val="0"/>
          <w:bCs/>
          <w:color w:val="000000"/>
          <w:sz w:val="32"/>
          <w:szCs w:val="32"/>
        </w:rPr>
      </w:pPr>
      <w:r>
        <w:rPr>
          <w:rStyle w:val="15"/>
          <w:rFonts w:hint="eastAsia" w:ascii="仿宋_GB2312" w:hAnsi="楷体" w:eastAsia="仿宋_GB2312"/>
          <w:bCs/>
          <w:color w:val="000000"/>
          <w:sz w:val="32"/>
          <w:szCs w:val="32"/>
        </w:rPr>
        <w:t>1.社会保障和就业（类）人力资源和社会保障管理事务（款）行政运行（项）：</w:t>
      </w:r>
      <w:r>
        <w:rPr>
          <w:rStyle w:val="15"/>
          <w:rFonts w:hint="eastAsia" w:ascii="仿宋_GB2312" w:hAnsi="楷体" w:eastAsia="仿宋_GB2312"/>
          <w:b w:val="0"/>
          <w:bCs/>
          <w:color w:val="000000"/>
          <w:sz w:val="32"/>
          <w:szCs w:val="32"/>
        </w:rPr>
        <w:t>支出决算为261.95万元，完成预算100%。</w:t>
      </w:r>
    </w:p>
    <w:p>
      <w:pPr>
        <w:spacing w:line="576" w:lineRule="exact"/>
        <w:ind w:firstLine="642" w:firstLineChars="200"/>
        <w:rPr>
          <w:rFonts w:ascii="仿宋_GB2312" w:eastAsia="仿宋_GB2312"/>
          <w:color w:val="333333"/>
          <w:sz w:val="32"/>
          <w:szCs w:val="32"/>
        </w:rPr>
      </w:pPr>
      <w:r>
        <w:rPr>
          <w:rStyle w:val="15"/>
          <w:rFonts w:hint="eastAsia" w:ascii="仿宋_GB2312" w:hAnsi="楷体" w:eastAsia="仿宋_GB2312"/>
          <w:bCs/>
          <w:color w:val="000000"/>
          <w:sz w:val="32"/>
          <w:szCs w:val="32"/>
        </w:rPr>
        <w:t>2. 社会保障和就业（类）人力资源和社会保障管理事务（款）社会保险经办机构（项）：</w:t>
      </w:r>
      <w:r>
        <w:rPr>
          <w:rStyle w:val="15"/>
          <w:rFonts w:hint="eastAsia" w:ascii="仿宋_GB2312" w:hAnsi="楷体" w:eastAsia="仿宋_GB2312"/>
          <w:b w:val="0"/>
          <w:bCs/>
          <w:color w:val="000000"/>
          <w:sz w:val="32"/>
          <w:szCs w:val="32"/>
        </w:rPr>
        <w:t>支出决算为1.14万元，完成预算16.29%，决算数小于预算数的主要原因是</w:t>
      </w:r>
      <w:r>
        <w:rPr>
          <w:rFonts w:hint="eastAsia" w:ascii="仿宋_GB2312" w:hAnsi="微软雅黑" w:eastAsia="仿宋_GB2312" w:cs="宋体"/>
          <w:color w:val="333333"/>
          <w:kern w:val="0"/>
          <w:sz w:val="32"/>
          <w:szCs w:val="32"/>
        </w:rPr>
        <w:t>我局</w:t>
      </w:r>
      <w:r>
        <w:rPr>
          <w:rFonts w:hint="eastAsia" w:ascii="仿宋_GB2312" w:eastAsia="仿宋_GB2312"/>
          <w:sz w:val="32"/>
          <w:szCs w:val="32"/>
        </w:rPr>
        <w:t>本着反对铺张浪费、厉行节约的原则</w:t>
      </w:r>
      <w:r>
        <w:rPr>
          <w:rFonts w:hint="eastAsia" w:ascii="仿宋_GB2312" w:eastAsia="仿宋_GB2312"/>
          <w:color w:val="333333"/>
          <w:sz w:val="32"/>
          <w:szCs w:val="32"/>
        </w:rPr>
        <w:t>使用专项工作经费。</w:t>
      </w:r>
    </w:p>
    <w:p>
      <w:pPr>
        <w:spacing w:line="576" w:lineRule="exact"/>
        <w:ind w:firstLine="642" w:firstLineChars="200"/>
        <w:rPr>
          <w:rStyle w:val="15"/>
          <w:rFonts w:ascii="仿宋_GB2312" w:hAnsi="楷体" w:eastAsia="仿宋_GB2312"/>
          <w:b w:val="0"/>
          <w:bCs/>
          <w:color w:val="000000"/>
          <w:sz w:val="32"/>
          <w:szCs w:val="32"/>
        </w:rPr>
      </w:pPr>
      <w:r>
        <w:rPr>
          <w:rStyle w:val="15"/>
          <w:rFonts w:hint="eastAsia" w:ascii="仿宋_GB2312" w:hAnsi="楷体" w:eastAsia="仿宋_GB2312"/>
          <w:bCs/>
          <w:color w:val="000000"/>
          <w:sz w:val="32"/>
          <w:szCs w:val="32"/>
        </w:rPr>
        <w:t>3.社会保障和就业（类）行政事业单位离退休（款）机关事业单位基本养老保险缴费支出（项）：</w:t>
      </w:r>
      <w:r>
        <w:rPr>
          <w:rStyle w:val="15"/>
          <w:rFonts w:hint="eastAsia" w:ascii="仿宋_GB2312" w:hAnsi="楷体" w:eastAsia="仿宋_GB2312"/>
          <w:b w:val="0"/>
          <w:bCs/>
          <w:color w:val="000000"/>
          <w:sz w:val="32"/>
          <w:szCs w:val="32"/>
        </w:rPr>
        <w:t>支出决算为29.12万元，完成预算100%。</w:t>
      </w:r>
    </w:p>
    <w:p>
      <w:pPr>
        <w:spacing w:line="576" w:lineRule="exact"/>
        <w:ind w:firstLine="642" w:firstLineChars="200"/>
        <w:rPr>
          <w:rFonts w:ascii="仿宋_GB2312" w:eastAsia="仿宋_GB2312"/>
          <w:color w:val="333333"/>
          <w:sz w:val="32"/>
          <w:szCs w:val="32"/>
        </w:rPr>
      </w:pPr>
      <w:r>
        <w:rPr>
          <w:rStyle w:val="15"/>
          <w:rFonts w:hint="eastAsia" w:ascii="仿宋_GB2312" w:hAnsi="楷体" w:eastAsia="仿宋_GB2312"/>
          <w:bCs/>
          <w:color w:val="000000"/>
          <w:sz w:val="32"/>
          <w:szCs w:val="32"/>
        </w:rPr>
        <w:t>4.社会保障和就业（类）行政事业单位离退休（款）机关事业单位职业年金缴费支出（项）</w:t>
      </w:r>
      <w:r>
        <w:rPr>
          <w:rStyle w:val="15"/>
          <w:rFonts w:hint="eastAsia" w:ascii="仿宋_GB2312" w:hAnsi="楷体" w:eastAsia="仿宋_GB2312"/>
          <w:b w:val="0"/>
          <w:bCs/>
          <w:color w:val="000000"/>
          <w:sz w:val="32"/>
          <w:szCs w:val="32"/>
        </w:rPr>
        <w:t>支出决算为11.65万元，完成预算100%。</w:t>
      </w:r>
    </w:p>
    <w:p>
      <w:pPr>
        <w:spacing w:line="576" w:lineRule="exact"/>
        <w:ind w:firstLine="642" w:firstLineChars="200"/>
        <w:rPr>
          <w:rStyle w:val="15"/>
          <w:rFonts w:ascii="仿宋_GB2312" w:hAnsi="楷体" w:eastAsia="仿宋_GB2312"/>
          <w:b w:val="0"/>
          <w:bCs/>
          <w:color w:val="000000"/>
          <w:sz w:val="32"/>
          <w:szCs w:val="32"/>
        </w:rPr>
      </w:pPr>
      <w:r>
        <w:rPr>
          <w:rStyle w:val="15"/>
          <w:rFonts w:hint="eastAsia" w:ascii="仿宋_GB2312" w:hAnsi="楷体" w:eastAsia="仿宋_GB2312"/>
          <w:bCs/>
          <w:color w:val="000000"/>
          <w:sz w:val="32"/>
          <w:szCs w:val="32"/>
        </w:rPr>
        <w:t>5.医疗卫生与计划生育（类）行政事业单位医疗（款）行政事业单位医疗（项）:</w:t>
      </w:r>
      <w:r>
        <w:rPr>
          <w:rStyle w:val="15"/>
          <w:rFonts w:hint="eastAsia" w:ascii="仿宋_GB2312" w:hAnsi="楷体" w:eastAsia="仿宋_GB2312"/>
          <w:b w:val="0"/>
          <w:bCs/>
          <w:color w:val="000000"/>
          <w:sz w:val="32"/>
          <w:szCs w:val="32"/>
        </w:rPr>
        <w:t>支出决算为16.70万元，完成预算100%。</w:t>
      </w:r>
    </w:p>
    <w:p>
      <w:pPr>
        <w:spacing w:line="576" w:lineRule="exact"/>
        <w:ind w:firstLine="642" w:firstLineChars="200"/>
        <w:rPr>
          <w:rFonts w:ascii="仿宋_GB2312" w:hAnsi="楷体" w:eastAsia="仿宋_GB2312"/>
          <w:bCs/>
          <w:color w:val="000000"/>
          <w:sz w:val="32"/>
          <w:szCs w:val="32"/>
        </w:rPr>
      </w:pPr>
      <w:r>
        <w:rPr>
          <w:rStyle w:val="15"/>
          <w:rFonts w:hint="eastAsia" w:ascii="仿宋_GB2312" w:hAnsi="楷体" w:eastAsia="仿宋_GB2312"/>
          <w:bCs/>
          <w:color w:val="000000"/>
          <w:sz w:val="32"/>
          <w:szCs w:val="32"/>
        </w:rPr>
        <w:t>6.住房保障（类）住房改革支出（款）住房公积金（项）:</w:t>
      </w:r>
      <w:r>
        <w:rPr>
          <w:rStyle w:val="15"/>
          <w:rFonts w:hint="eastAsia" w:ascii="仿宋_GB2312" w:hAnsi="楷体" w:eastAsia="仿宋_GB2312"/>
          <w:b w:val="0"/>
          <w:bCs/>
          <w:color w:val="000000"/>
          <w:sz w:val="32"/>
          <w:szCs w:val="32"/>
        </w:rPr>
        <w:t>支出决算为22.31万元，完成预算100%。</w:t>
      </w:r>
    </w:p>
    <w:p>
      <w:pPr>
        <w:pStyle w:val="3"/>
        <w:spacing w:line="576" w:lineRule="exact"/>
        <w:ind w:firstLine="640" w:firstLineChars="200"/>
        <w:rPr>
          <w:rStyle w:val="26"/>
          <w:b/>
          <w:bCs/>
        </w:rPr>
      </w:pPr>
      <w:bookmarkStart w:id="40" w:name="_Toc15396608"/>
      <w:bookmarkStart w:id="41" w:name="_Toc15377214"/>
      <w:r>
        <w:rPr>
          <w:rFonts w:hint="eastAsia" w:ascii="黑体" w:eastAsia="黑体"/>
          <w:b w:val="0"/>
          <w:bCs w:val="0"/>
          <w:color w:val="000000"/>
        </w:rPr>
        <w:t>六、</w:t>
      </w:r>
      <w:r>
        <w:rPr>
          <w:rFonts w:hint="eastAsia" w:ascii="黑体" w:hAnsi="黑体" w:eastAsia="黑体"/>
          <w:b w:val="0"/>
          <w:bCs w:val="0"/>
          <w:color w:val="000000"/>
        </w:rPr>
        <w:t>一</w:t>
      </w:r>
      <w:r>
        <w:rPr>
          <w:rStyle w:val="26"/>
          <w:rFonts w:hint="eastAsia" w:ascii="黑体" w:hAnsi="黑体" w:eastAsia="黑体"/>
          <w:b w:val="0"/>
          <w:bCs/>
        </w:rPr>
        <w:t>般公共预算财政拨款基本支出决算情况说明</w:t>
      </w:r>
      <w:bookmarkEnd w:id="40"/>
      <w:bookmarkEnd w:id="41"/>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2018年一般公共预算财政拨款基本支出341.73万元，其中：</w:t>
      </w:r>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人员经费323.55万元，主要包括：基本工资、津贴补贴、奖金、绩效工资、机关事业单位基本养老保险缴费、职业年金缴费、其他社会保障缴费、生活补助、奖励金、住房公积金。</w:t>
      </w:r>
      <w:r>
        <w:rPr>
          <w:rFonts w:hint="eastAsia" w:ascii="仿宋_GB2312" w:hAnsi="楷体" w:eastAsia="仿宋_GB2312"/>
          <w:color w:val="000000"/>
          <w:sz w:val="32"/>
          <w:szCs w:val="32"/>
        </w:rPr>
        <w:br w:type="textWrapping"/>
      </w:r>
      <w:r>
        <w:rPr>
          <w:rFonts w:hint="eastAsia" w:ascii="仿宋_GB2312" w:hAnsi="楷体" w:eastAsia="仿宋_GB2312"/>
          <w:color w:val="000000"/>
          <w:sz w:val="32"/>
          <w:szCs w:val="32"/>
        </w:rPr>
        <w:t>　　公用经费18.18万元，主要包括：办公费、印刷费、手续费、水费、电费、邮电费、差旅费、培训费、公务接待费、工会经费、其他交通费、其他商品和服务支出。</w:t>
      </w:r>
    </w:p>
    <w:p>
      <w:pPr>
        <w:pStyle w:val="3"/>
        <w:spacing w:line="576" w:lineRule="exact"/>
        <w:ind w:firstLine="640" w:firstLineChars="200"/>
        <w:rPr>
          <w:rStyle w:val="26"/>
          <w:rFonts w:ascii="黑体" w:hAnsi="黑体" w:eastAsia="黑体"/>
          <w:b w:val="0"/>
          <w:bCs/>
        </w:rPr>
      </w:pPr>
      <w:bookmarkStart w:id="42" w:name="_Toc15377215"/>
      <w:bookmarkStart w:id="43" w:name="_Toc15396609"/>
      <w:r>
        <w:rPr>
          <w:rFonts w:hint="eastAsia" w:ascii="黑体" w:eastAsia="黑体"/>
          <w:b w:val="0"/>
          <w:bCs w:val="0"/>
          <w:color w:val="000000"/>
        </w:rPr>
        <w:t>七、</w:t>
      </w:r>
      <w:r>
        <w:rPr>
          <w:rStyle w:val="26"/>
          <w:rFonts w:hint="eastAsia" w:ascii="黑体" w:hAnsi="黑体" w:eastAsia="黑体"/>
          <w:b/>
          <w:bCs/>
        </w:rPr>
        <w:t>“</w:t>
      </w:r>
      <w:r>
        <w:rPr>
          <w:rStyle w:val="26"/>
          <w:rFonts w:hint="eastAsia" w:ascii="黑体" w:hAnsi="黑体" w:eastAsia="黑体"/>
          <w:b w:val="0"/>
          <w:bCs/>
        </w:rPr>
        <w:t>三公”经费财政拨款支出决算情况说明</w:t>
      </w:r>
      <w:bookmarkEnd w:id="42"/>
      <w:bookmarkEnd w:id="43"/>
    </w:p>
    <w:p>
      <w:pPr>
        <w:spacing w:line="576" w:lineRule="exact"/>
        <w:ind w:firstLine="642" w:firstLineChars="200"/>
        <w:outlineLvl w:val="1"/>
        <w:rPr>
          <w:rFonts w:ascii="仿宋" w:hAnsi="仿宋" w:eastAsia="仿宋"/>
          <w:b/>
          <w:color w:val="000000"/>
          <w:sz w:val="32"/>
          <w:szCs w:val="32"/>
        </w:rPr>
      </w:pPr>
      <w:bookmarkStart w:id="44" w:name="_Toc15377216"/>
      <w:r>
        <w:rPr>
          <w:rFonts w:hint="eastAsia" w:ascii="楷体" w:hAnsi="楷体" w:eastAsia="楷体"/>
          <w:b/>
          <w:color w:val="000000"/>
          <w:sz w:val="32"/>
          <w:szCs w:val="32"/>
        </w:rPr>
        <w:t>（一）“三公”经费财政拨款支出决算总体情况说明</w:t>
      </w:r>
      <w:bookmarkEnd w:id="44"/>
    </w:p>
    <w:p>
      <w:pPr>
        <w:spacing w:line="576" w:lineRule="exact"/>
        <w:ind w:firstLine="640" w:firstLineChars="200"/>
        <w:rPr>
          <w:rFonts w:ascii="仿宋_GB2312" w:eastAsia="仿宋_GB2312"/>
          <w:color w:val="333333"/>
          <w:sz w:val="32"/>
          <w:szCs w:val="32"/>
        </w:rPr>
      </w:pPr>
      <w:r>
        <w:rPr>
          <w:rFonts w:hint="eastAsia" w:ascii="仿宋_GB2312" w:hAnsi="楷体" w:eastAsia="仿宋_GB2312"/>
          <w:color w:val="000000"/>
          <w:sz w:val="32"/>
          <w:szCs w:val="32"/>
        </w:rPr>
        <w:t>2018年“三公”经费财政拨款支出决算为0.09万元，完成预算100%。</w:t>
      </w:r>
    </w:p>
    <w:p>
      <w:pPr>
        <w:spacing w:line="576" w:lineRule="exact"/>
        <w:ind w:firstLine="642" w:firstLineChars="200"/>
        <w:outlineLvl w:val="1"/>
        <w:rPr>
          <w:rFonts w:ascii="楷体" w:hAnsi="楷体" w:eastAsia="楷体"/>
          <w:b/>
          <w:color w:val="000000"/>
          <w:sz w:val="32"/>
          <w:szCs w:val="32"/>
        </w:rPr>
      </w:pPr>
      <w:bookmarkStart w:id="45" w:name="_Toc15377217"/>
      <w:r>
        <w:rPr>
          <w:rFonts w:hint="eastAsia" w:ascii="楷体" w:hAnsi="楷体" w:eastAsia="楷体"/>
          <w:b/>
          <w:color w:val="000000"/>
          <w:sz w:val="32"/>
          <w:szCs w:val="32"/>
        </w:rPr>
        <w:t>（二）“三公”经费财政拨款支出决算具体情况说明</w:t>
      </w:r>
      <w:bookmarkEnd w:id="45"/>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2018年“三公”经费财政拨款支出决算中，因公出国（境）费支出决算0万元，占0%；公务用车购置及运行维护费支出决算0万元，占0%；公务接待费支出决算0.09万元，100%。具体情况如下：</w:t>
      </w:r>
    </w:p>
    <w:p>
      <w:pPr>
        <w:spacing w:line="576" w:lineRule="exact"/>
        <w:ind w:firstLine="800" w:firstLineChars="250"/>
        <w:rPr>
          <w:rFonts w:ascii="仿宋_GB2312" w:hAnsi="楷体" w:eastAsia="仿宋_GB2312"/>
          <w:color w:val="000000"/>
          <w:sz w:val="32"/>
          <w:szCs w:val="32"/>
        </w:rPr>
      </w:pPr>
      <w:r>
        <w:rPr>
          <w:rFonts w:hint="eastAsia" w:ascii="仿宋_GB2312" w:hAnsi="楷体" w:eastAsia="仿宋_GB2312"/>
          <w:color w:val="000000"/>
          <w:sz w:val="32"/>
          <w:szCs w:val="32"/>
        </w:rPr>
        <w:t>图7：“三公”经费财政拨款支出结构图</w:t>
      </w:r>
    </w:p>
    <w:p>
      <w:pPr>
        <w:tabs>
          <w:tab w:val="left" w:pos="1905"/>
        </w:tabs>
      </w:pPr>
      <w:r>
        <w:drawing>
          <wp:inline distT="0" distB="0" distL="0" distR="0">
            <wp:extent cx="4486275" cy="1600200"/>
            <wp:effectExtent l="19050" t="0" r="9525" b="0"/>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42" w:firstLineChars="200"/>
        <w:rPr>
          <w:rFonts w:ascii="仿宋_GB2312" w:hAnsi="楷体" w:eastAsia="仿宋_GB2312"/>
          <w:b/>
          <w:color w:val="000000"/>
          <w:sz w:val="32"/>
          <w:szCs w:val="32"/>
        </w:rPr>
      </w:pPr>
      <w:r>
        <w:rPr>
          <w:rFonts w:hint="eastAsia" w:ascii="仿宋_GB2312" w:hAnsi="楷体" w:eastAsia="仿宋_GB2312"/>
          <w:b/>
          <w:color w:val="000000"/>
          <w:sz w:val="32"/>
          <w:szCs w:val="32"/>
        </w:rPr>
        <w:t>1.因公出国（境）经费支出</w:t>
      </w:r>
      <w:r>
        <w:rPr>
          <w:rFonts w:hint="eastAsia" w:ascii="仿宋_GB2312" w:hAnsi="楷体" w:eastAsia="仿宋_GB2312"/>
          <w:color w:val="000000"/>
          <w:sz w:val="32"/>
          <w:szCs w:val="32"/>
        </w:rPr>
        <w:t>0万元，</w:t>
      </w:r>
      <w:r>
        <w:rPr>
          <w:rStyle w:val="15"/>
          <w:rFonts w:hint="eastAsia" w:ascii="仿宋_GB2312" w:hAnsi="楷体" w:eastAsia="仿宋_GB2312"/>
          <w:b w:val="0"/>
          <w:bCs/>
          <w:color w:val="000000"/>
          <w:sz w:val="32"/>
          <w:szCs w:val="32"/>
        </w:rPr>
        <w:t>完成预算0%</w:t>
      </w:r>
      <w:r>
        <w:rPr>
          <w:rFonts w:hint="eastAsia" w:ascii="仿宋_GB2312" w:hAnsi="楷体" w:eastAsia="仿宋_GB2312"/>
          <w:color w:val="000000"/>
          <w:sz w:val="32"/>
          <w:szCs w:val="32"/>
        </w:rPr>
        <w:t>。</w:t>
      </w:r>
    </w:p>
    <w:p>
      <w:pPr>
        <w:spacing w:line="576" w:lineRule="exact"/>
        <w:ind w:firstLine="640"/>
        <w:rPr>
          <w:rFonts w:ascii="仿宋_GB2312" w:hAnsi="楷体" w:eastAsia="仿宋_GB2312"/>
          <w:b/>
          <w:color w:val="000000"/>
          <w:sz w:val="32"/>
          <w:szCs w:val="32"/>
        </w:rPr>
      </w:pPr>
      <w:r>
        <w:rPr>
          <w:rFonts w:hint="eastAsia" w:ascii="仿宋_GB2312" w:hAnsi="楷体" w:eastAsia="仿宋_GB2312"/>
          <w:b/>
          <w:color w:val="000000"/>
          <w:sz w:val="32"/>
          <w:szCs w:val="32"/>
        </w:rPr>
        <w:t>2.公务用车购置及运行维护费支出</w:t>
      </w:r>
      <w:r>
        <w:rPr>
          <w:rFonts w:hint="eastAsia" w:ascii="仿宋_GB2312" w:hAnsi="楷体" w:eastAsia="仿宋_GB2312"/>
          <w:color w:val="000000"/>
          <w:sz w:val="32"/>
          <w:szCs w:val="32"/>
        </w:rPr>
        <w:t>0万元,</w:t>
      </w:r>
      <w:r>
        <w:rPr>
          <w:rStyle w:val="15"/>
          <w:rFonts w:hint="eastAsia" w:ascii="仿宋_GB2312" w:hAnsi="楷体" w:eastAsia="仿宋_GB2312"/>
          <w:b w:val="0"/>
          <w:bCs/>
          <w:color w:val="000000"/>
          <w:sz w:val="32"/>
          <w:szCs w:val="32"/>
        </w:rPr>
        <w:t>完成预算0%。</w:t>
      </w:r>
    </w:p>
    <w:p>
      <w:pPr>
        <w:spacing w:line="576" w:lineRule="exact"/>
        <w:ind w:firstLine="640" w:firstLineChars="200"/>
        <w:rPr>
          <w:rFonts w:ascii="仿宋_GB2312" w:hAnsi="楷体" w:eastAsia="仿宋_GB2312"/>
          <w:b/>
          <w:color w:val="000000"/>
          <w:sz w:val="32"/>
          <w:szCs w:val="32"/>
        </w:rPr>
      </w:pPr>
      <w:r>
        <w:rPr>
          <w:rFonts w:hint="eastAsia" w:ascii="仿宋_GB2312" w:hAnsi="楷体" w:eastAsia="仿宋_GB2312"/>
          <w:color w:val="000000"/>
          <w:sz w:val="32"/>
          <w:szCs w:val="32"/>
        </w:rPr>
        <w:t>其中：</w:t>
      </w:r>
      <w:r>
        <w:rPr>
          <w:rFonts w:hint="eastAsia" w:ascii="仿宋_GB2312" w:hAnsi="楷体" w:eastAsia="仿宋_GB2312"/>
          <w:b/>
          <w:color w:val="000000"/>
          <w:sz w:val="32"/>
          <w:szCs w:val="32"/>
        </w:rPr>
        <w:t>公务用车购置支出</w:t>
      </w:r>
      <w:r>
        <w:rPr>
          <w:rFonts w:hint="eastAsia" w:ascii="仿宋_GB2312" w:hAnsi="楷体" w:eastAsia="仿宋_GB2312"/>
          <w:color w:val="000000"/>
          <w:sz w:val="32"/>
          <w:szCs w:val="32"/>
        </w:rPr>
        <w:t>0万元。</w:t>
      </w:r>
    </w:p>
    <w:p>
      <w:pPr>
        <w:spacing w:line="576" w:lineRule="exact"/>
        <w:ind w:firstLine="640"/>
        <w:rPr>
          <w:rFonts w:ascii="仿宋_GB2312" w:hAnsi="楷体" w:eastAsia="仿宋_GB2312"/>
          <w:color w:val="000000"/>
          <w:sz w:val="32"/>
          <w:szCs w:val="32"/>
        </w:rPr>
      </w:pPr>
      <w:r>
        <w:rPr>
          <w:rFonts w:hint="eastAsia" w:ascii="仿宋_GB2312" w:hAnsi="楷体" w:eastAsia="仿宋_GB2312"/>
          <w:b/>
          <w:color w:val="000000"/>
          <w:sz w:val="32"/>
          <w:szCs w:val="32"/>
        </w:rPr>
        <w:t>公务用车运行维护费支出</w:t>
      </w:r>
      <w:r>
        <w:rPr>
          <w:rFonts w:hint="eastAsia" w:ascii="仿宋_GB2312" w:hAnsi="楷体" w:eastAsia="仿宋_GB2312"/>
          <w:color w:val="000000"/>
          <w:sz w:val="32"/>
          <w:szCs w:val="32"/>
        </w:rPr>
        <w:t>0万元。</w:t>
      </w:r>
    </w:p>
    <w:p>
      <w:pPr>
        <w:spacing w:line="576" w:lineRule="exact"/>
        <w:ind w:firstLine="642" w:firstLineChars="200"/>
        <w:rPr>
          <w:rFonts w:ascii="仿宋_GB2312" w:eastAsia="仿宋_GB2312"/>
          <w:color w:val="333333"/>
          <w:sz w:val="32"/>
          <w:szCs w:val="32"/>
        </w:rPr>
      </w:pPr>
      <w:r>
        <w:rPr>
          <w:rFonts w:hint="eastAsia" w:ascii="仿宋_GB2312" w:hAnsi="楷体" w:eastAsia="仿宋_GB2312"/>
          <w:b/>
          <w:color w:val="000000"/>
          <w:sz w:val="32"/>
          <w:szCs w:val="32"/>
        </w:rPr>
        <w:t>3.公务接待费支出</w:t>
      </w:r>
      <w:r>
        <w:rPr>
          <w:rFonts w:hint="eastAsia" w:ascii="仿宋_GB2312" w:hAnsi="楷体" w:eastAsia="仿宋_GB2312"/>
          <w:color w:val="000000"/>
          <w:sz w:val="32"/>
          <w:szCs w:val="32"/>
        </w:rPr>
        <w:t>0.09万元，</w:t>
      </w:r>
      <w:r>
        <w:rPr>
          <w:rStyle w:val="15"/>
          <w:rFonts w:hint="eastAsia" w:ascii="仿宋_GB2312" w:hAnsi="楷体" w:eastAsia="仿宋_GB2312"/>
          <w:b w:val="0"/>
          <w:bCs/>
          <w:color w:val="000000"/>
          <w:sz w:val="32"/>
          <w:szCs w:val="32"/>
        </w:rPr>
        <w:t>完成预算100%。</w:t>
      </w:r>
      <w:r>
        <w:rPr>
          <w:rFonts w:hint="eastAsia" w:ascii="仿宋_GB2312" w:hAnsi="楷体" w:eastAsia="仿宋_GB2312"/>
          <w:color w:val="000000"/>
          <w:sz w:val="32"/>
          <w:szCs w:val="32"/>
        </w:rPr>
        <w:t>公务接待费支出决算比2017年减少0.09万元，下降50%。主要原因是</w:t>
      </w:r>
      <w:r>
        <w:rPr>
          <w:rFonts w:hint="eastAsia" w:ascii="仿宋_GB2312" w:eastAsia="仿宋_GB2312"/>
          <w:color w:val="333333"/>
          <w:sz w:val="32"/>
          <w:szCs w:val="32"/>
        </w:rPr>
        <w:t>首先，</w:t>
      </w:r>
      <w:r>
        <w:rPr>
          <w:rFonts w:hint="eastAsia" w:ascii="仿宋_GB2312" w:hAnsi="微软雅黑" w:eastAsia="仿宋_GB2312" w:cs="宋体"/>
          <w:color w:val="333333"/>
          <w:kern w:val="0"/>
          <w:sz w:val="32"/>
          <w:szCs w:val="32"/>
        </w:rPr>
        <w:t>执行公务检查的人次减少；其次，我局</w:t>
      </w:r>
      <w:r>
        <w:rPr>
          <w:rFonts w:hint="eastAsia" w:ascii="仿宋_GB2312" w:eastAsia="仿宋_GB2312"/>
          <w:sz w:val="32"/>
          <w:szCs w:val="32"/>
        </w:rPr>
        <w:t>本着反对铺张浪费、厉行节约的原则</w:t>
      </w:r>
      <w:r>
        <w:rPr>
          <w:rFonts w:hint="eastAsia" w:ascii="仿宋_GB2312" w:eastAsia="仿宋_GB2312"/>
          <w:color w:val="333333"/>
          <w:sz w:val="32"/>
          <w:szCs w:val="32"/>
        </w:rPr>
        <w:t>。</w:t>
      </w:r>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主要用于执行公务、开展业务活动开支的交通费、住宿费、用餐费等。国内公务接待2批次，11人次（不包括陪同人员），共计支出0.09万元，具体内容包括：</w:t>
      </w:r>
      <w:r>
        <w:rPr>
          <w:rFonts w:hint="eastAsia" w:ascii="仿宋_GB2312" w:hAnsi="仿宋" w:eastAsia="仿宋_GB2312"/>
          <w:sz w:val="32"/>
          <w:szCs w:val="32"/>
        </w:rPr>
        <w:t>主要用于接待</w:t>
      </w:r>
      <w:r>
        <w:rPr>
          <w:rFonts w:hint="eastAsia" w:ascii="仿宋_GB2312" w:hAnsi="楷体" w:eastAsia="仿宋_GB2312"/>
          <w:color w:val="000000"/>
          <w:sz w:val="32"/>
          <w:szCs w:val="32"/>
        </w:rPr>
        <w:t>用餐费。其中：</w:t>
      </w:r>
      <w:r>
        <w:rPr>
          <w:rFonts w:ascii="仿宋_GB2312" w:hAnsi="仿宋" w:eastAsia="仿宋_GB2312"/>
          <w:sz w:val="32"/>
          <w:szCs w:val="32"/>
        </w:rPr>
        <w:t>201</w:t>
      </w:r>
      <w:r>
        <w:rPr>
          <w:rFonts w:hint="eastAsia" w:ascii="仿宋_GB2312" w:hAnsi="仿宋" w:eastAsia="仿宋_GB2312"/>
          <w:sz w:val="32"/>
          <w:szCs w:val="32"/>
        </w:rPr>
        <w:t>8年3月23日州人社局李书记带队一行5人到我县开展阿坝州社会保险经办机构风险管理专项行动检查，期间发生公务接待费0.04万元；</w:t>
      </w:r>
      <w:r>
        <w:rPr>
          <w:rFonts w:ascii="仿宋_GB2312" w:hAnsi="仿宋" w:eastAsia="仿宋_GB2312"/>
          <w:sz w:val="32"/>
          <w:szCs w:val="32"/>
        </w:rPr>
        <w:t>201</w:t>
      </w:r>
      <w:r>
        <w:rPr>
          <w:rFonts w:hint="eastAsia" w:ascii="仿宋_GB2312" w:hAnsi="仿宋" w:eastAsia="仿宋_GB2312"/>
          <w:sz w:val="32"/>
          <w:szCs w:val="32"/>
        </w:rPr>
        <w:t>8年8月28日州人社局副局长一行6人来我县开展工伤保险内部控制专项检查期间发生公务接待费0.05万元</w:t>
      </w:r>
      <w:r>
        <w:rPr>
          <w:rFonts w:hint="eastAsia" w:ascii="仿宋_GB2312" w:hAnsi="楷体" w:eastAsia="仿宋_GB2312"/>
          <w:color w:val="000000"/>
          <w:sz w:val="32"/>
          <w:szCs w:val="32"/>
        </w:rPr>
        <w:t>。</w:t>
      </w:r>
    </w:p>
    <w:p>
      <w:pPr>
        <w:spacing w:line="576" w:lineRule="exact"/>
        <w:ind w:firstLine="642" w:firstLineChars="200"/>
        <w:rPr>
          <w:rFonts w:ascii="仿宋_GB2312" w:hAnsi="楷体" w:eastAsia="仿宋_GB2312"/>
          <w:color w:val="000000" w:themeColor="text1"/>
          <w:sz w:val="32"/>
          <w:szCs w:val="32"/>
        </w:rPr>
      </w:pPr>
      <w:r>
        <w:rPr>
          <w:rFonts w:hint="eastAsia" w:ascii="仿宋_GB2312" w:hAnsi="楷体" w:eastAsia="仿宋_GB2312"/>
          <w:b/>
          <w:color w:val="000000"/>
          <w:sz w:val="32"/>
          <w:szCs w:val="32"/>
        </w:rPr>
        <w:t>外事接待支出</w:t>
      </w:r>
      <w:r>
        <w:rPr>
          <w:rFonts w:hint="eastAsia" w:ascii="仿宋_GB2312" w:hAnsi="楷体" w:eastAsia="仿宋_GB2312"/>
          <w:color w:val="000000"/>
          <w:sz w:val="32"/>
          <w:szCs w:val="32"/>
        </w:rPr>
        <w:t>0万元</w:t>
      </w:r>
      <w:r>
        <w:rPr>
          <w:rFonts w:hint="eastAsia" w:ascii="仿宋_GB2312" w:hAnsi="楷体" w:eastAsia="仿宋_GB2312"/>
          <w:color w:val="000000" w:themeColor="text1"/>
          <w:sz w:val="32"/>
          <w:szCs w:val="32"/>
        </w:rPr>
        <w:t>。</w:t>
      </w:r>
    </w:p>
    <w:p>
      <w:pPr>
        <w:spacing w:line="576" w:lineRule="exact"/>
        <w:ind w:firstLine="640"/>
        <w:rPr>
          <w:rFonts w:ascii="仿宋_GB2312" w:hAnsi="楷体" w:eastAsia="仿宋_GB2312"/>
          <w:color w:val="000000" w:themeColor="text1"/>
          <w:sz w:val="32"/>
          <w:szCs w:val="32"/>
        </w:rPr>
      </w:pPr>
      <w:r>
        <w:rPr>
          <w:rFonts w:hint="eastAsia" w:ascii="仿宋_GB2312" w:hAnsi="楷体" w:eastAsia="仿宋_GB2312"/>
          <w:b/>
          <w:color w:val="000000"/>
          <w:sz w:val="32"/>
          <w:szCs w:val="32"/>
        </w:rPr>
        <w:t>其他国内公务接待支出</w:t>
      </w:r>
      <w:r>
        <w:rPr>
          <w:rFonts w:hint="eastAsia" w:ascii="仿宋_GB2312" w:hAnsi="楷体" w:eastAsia="仿宋_GB2312"/>
          <w:color w:val="000000"/>
          <w:sz w:val="32"/>
          <w:szCs w:val="32"/>
        </w:rPr>
        <w:t>0万元</w:t>
      </w:r>
      <w:r>
        <w:rPr>
          <w:rFonts w:hint="eastAsia" w:ascii="仿宋_GB2312" w:hAnsi="楷体" w:eastAsia="仿宋_GB2312"/>
          <w:color w:val="000000" w:themeColor="text1"/>
          <w:sz w:val="32"/>
          <w:szCs w:val="32"/>
        </w:rPr>
        <w:t>。</w:t>
      </w:r>
      <w:bookmarkStart w:id="46" w:name="_Toc15377218"/>
      <w:bookmarkStart w:id="47" w:name="_Toc15396610"/>
    </w:p>
    <w:p>
      <w:pPr>
        <w:spacing w:line="576" w:lineRule="exact"/>
        <w:ind w:firstLine="640" w:firstLineChars="200"/>
        <w:rPr>
          <w:rStyle w:val="26"/>
          <w:rFonts w:ascii="黑体" w:hAnsi="黑体" w:eastAsia="黑体"/>
          <w:b w:val="0"/>
        </w:rPr>
      </w:pPr>
      <w:r>
        <w:rPr>
          <w:rFonts w:hint="eastAsia" w:ascii="黑体" w:hAnsi="黑体" w:eastAsia="黑体" w:cs="黑体"/>
          <w:color w:val="000000" w:themeColor="text1"/>
          <w:sz w:val="32"/>
          <w:szCs w:val="32"/>
        </w:rPr>
        <w:t>八、</w:t>
      </w:r>
      <w:r>
        <w:rPr>
          <w:rStyle w:val="26"/>
          <w:rFonts w:hint="eastAsia" w:ascii="黑体" w:hAnsi="黑体" w:eastAsia="黑体"/>
          <w:b w:val="0"/>
        </w:rPr>
        <w:t>政府性基金预算支出决算情况说明</w:t>
      </w:r>
      <w:bookmarkEnd w:id="46"/>
      <w:bookmarkEnd w:id="47"/>
    </w:p>
    <w:p>
      <w:pPr>
        <w:pStyle w:val="3"/>
        <w:spacing w:line="576" w:lineRule="exact"/>
        <w:ind w:firstLine="640" w:firstLineChars="200"/>
        <w:rPr>
          <w:rFonts w:ascii="仿宋_GB2312" w:hAnsi="楷体" w:eastAsia="仿宋_GB2312"/>
          <w:b w:val="0"/>
          <w:bCs w:val="0"/>
          <w:color w:val="000000"/>
        </w:rPr>
      </w:pPr>
      <w:r>
        <w:rPr>
          <w:rFonts w:hint="eastAsia" w:ascii="仿宋_GB2312" w:hAnsi="楷体" w:eastAsia="仿宋_GB2312"/>
          <w:b w:val="0"/>
          <w:bCs w:val="0"/>
          <w:color w:val="000000"/>
        </w:rPr>
        <w:t>2018年政府性基金预算拨款支出0万元。</w:t>
      </w:r>
      <w:bookmarkStart w:id="48" w:name="_Toc15377219"/>
      <w:bookmarkStart w:id="49" w:name="_Toc15396611"/>
    </w:p>
    <w:p>
      <w:pPr>
        <w:pStyle w:val="3"/>
        <w:spacing w:line="576" w:lineRule="exact"/>
        <w:ind w:firstLine="640" w:firstLineChars="200"/>
        <w:rPr>
          <w:rStyle w:val="26"/>
          <w:rFonts w:ascii="黑体" w:hAnsi="黑体" w:eastAsia="黑体"/>
          <w:b w:val="0"/>
          <w:bCs/>
        </w:rPr>
      </w:pPr>
      <w:r>
        <w:rPr>
          <w:rStyle w:val="26"/>
          <w:rFonts w:hint="eastAsia" w:ascii="黑体" w:hAnsi="黑体" w:eastAsia="黑体"/>
          <w:b w:val="0"/>
          <w:bCs/>
        </w:rPr>
        <w:t>九、国有资本经营预算支出决算情况说明</w:t>
      </w:r>
      <w:bookmarkEnd w:id="48"/>
      <w:bookmarkEnd w:id="49"/>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2018年国有资本经营预算拨款支出0万元。</w:t>
      </w:r>
    </w:p>
    <w:p>
      <w:pPr>
        <w:spacing w:line="576" w:lineRule="exact"/>
        <w:ind w:firstLine="640" w:firstLineChars="200"/>
        <w:rPr>
          <w:rStyle w:val="26"/>
          <w:rFonts w:ascii="黑体" w:hAnsi="黑体" w:eastAsia="黑体"/>
          <w:b w:val="0"/>
        </w:rPr>
      </w:pPr>
      <w:r>
        <w:rPr>
          <w:rStyle w:val="26"/>
          <w:rFonts w:hint="eastAsia" w:ascii="黑体" w:hAnsi="黑体" w:eastAsia="黑体"/>
          <w:b w:val="0"/>
        </w:rPr>
        <w:t>十、预算绩效情况说明</w:t>
      </w:r>
    </w:p>
    <w:p>
      <w:pPr>
        <w:spacing w:line="576" w:lineRule="exact"/>
        <w:ind w:firstLine="642" w:firstLineChars="200"/>
        <w:outlineLvl w:val="1"/>
        <w:rPr>
          <w:rFonts w:ascii="楷体" w:hAnsi="楷体" w:eastAsia="楷体" w:cs="楷体_GB2312"/>
          <w:b/>
          <w:bCs/>
          <w:sz w:val="32"/>
          <w:szCs w:val="32"/>
        </w:rPr>
      </w:pPr>
      <w:r>
        <w:rPr>
          <w:rFonts w:hint="eastAsia" w:ascii="楷体" w:hAnsi="楷体" w:eastAsia="楷体" w:cs="楷体_GB2312"/>
          <w:b/>
          <w:bCs/>
          <w:sz w:val="32"/>
          <w:szCs w:val="32"/>
        </w:rPr>
        <w:t>预算绩效管理工作开展情况</w:t>
      </w:r>
    </w:p>
    <w:p>
      <w:pPr>
        <w:spacing w:line="576"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根据预算绩效管理要求，本部门（单位）在年初预算编制阶段，组织对0项目开展了预算事前绩效评估，对0个项目编制了绩效目标，预算执行过程中，选取0个项目开展绩效监控，年终执行完毕后，对0个项目开展了绩效目标完成情况梳理填报。</w:t>
      </w:r>
    </w:p>
    <w:p>
      <w:pPr>
        <w:pStyle w:val="35"/>
        <w:spacing w:line="576" w:lineRule="exact"/>
        <w:ind w:right="84" w:rightChars="40" w:firstLine="640" w:firstLineChars="200"/>
        <w:rPr>
          <w:rFonts w:ascii="仿宋_GB2312" w:eastAsia="仿宋_GB2312"/>
          <w:color w:val="000000"/>
          <w:sz w:val="32"/>
          <w:szCs w:val="32"/>
        </w:rPr>
      </w:pPr>
      <w:r>
        <w:rPr>
          <w:rFonts w:hint="eastAsia" w:ascii="仿宋_GB2312" w:hAnsi="楷体" w:eastAsia="仿宋_GB2312" w:cs="仿宋_GB2312"/>
          <w:sz w:val="32"/>
          <w:szCs w:val="32"/>
        </w:rPr>
        <w:t>本部门按要求对2018年部门整体支出开展绩效自评，从评价情况来看，</w:t>
      </w:r>
      <w:r>
        <w:rPr>
          <w:rFonts w:hint="eastAsia" w:ascii="仿宋_GB2312" w:eastAsia="仿宋_GB2312"/>
          <w:color w:val="000000"/>
          <w:sz w:val="32"/>
          <w:szCs w:val="32"/>
          <w:shd w:val="clear" w:color="auto" w:fill="FFFFFF"/>
        </w:rPr>
        <w:t>我局所有财政资金支出主要用于保障本单位机构正常运转、完成日常工作任务以及承担社会保险事业发展相关工作。</w:t>
      </w:r>
      <w:r>
        <w:rPr>
          <w:rStyle w:val="34"/>
          <w:rFonts w:eastAsia="仿宋_GB2312"/>
          <w:color w:val="000000"/>
          <w:sz w:val="32"/>
          <w:szCs w:val="32"/>
          <w:shd w:val="clear" w:color="auto" w:fill="FFFFFF"/>
        </w:rPr>
        <w:t> </w:t>
      </w:r>
    </w:p>
    <w:p>
      <w:pPr>
        <w:spacing w:line="576" w:lineRule="exact"/>
        <w:ind w:left="638" w:leftChars="304" w:firstLine="138" w:firstLineChars="43"/>
        <w:outlineLvl w:val="1"/>
        <w:rPr>
          <w:rFonts w:ascii="楷体" w:hAnsi="楷体" w:eastAsia="楷体" w:cs="楷体_GB2312"/>
          <w:b/>
          <w:bCs/>
          <w:sz w:val="32"/>
          <w:szCs w:val="32"/>
        </w:rPr>
      </w:pPr>
      <w:r>
        <w:rPr>
          <w:rFonts w:hint="eastAsia" w:ascii="楷体" w:hAnsi="楷体" w:eastAsia="楷体" w:cs="楷体_GB2312"/>
          <w:b/>
          <w:bCs/>
          <w:sz w:val="32"/>
          <w:szCs w:val="32"/>
        </w:rPr>
        <w:t>项目绩效目标完成情况</w:t>
      </w:r>
    </w:p>
    <w:p>
      <w:pPr>
        <w:spacing w:line="576" w:lineRule="exact"/>
        <w:ind w:firstLine="640" w:firstLineChars="200"/>
        <w:outlineLvl w:val="1"/>
        <w:rPr>
          <w:rFonts w:ascii="仿宋_GB2312" w:hAnsi="楷体" w:eastAsia="仿宋_GB2312" w:cs="仿宋_GB2312"/>
          <w:sz w:val="32"/>
          <w:szCs w:val="32"/>
        </w:rPr>
      </w:pPr>
      <w:r>
        <w:rPr>
          <w:rFonts w:hint="eastAsia" w:ascii="仿宋_GB2312" w:hAnsi="楷体" w:eastAsia="仿宋_GB2312" w:cs="仿宋_GB2312"/>
          <w:sz w:val="32"/>
          <w:szCs w:val="32"/>
        </w:rPr>
        <w:t>本部门在2018年度部门决算中反映“人力资源社会保障服务能力建设定向财力转移支付资金”1个项目绩效目标实际完成情况。</w:t>
      </w:r>
    </w:p>
    <w:p>
      <w:pPr>
        <w:tabs>
          <w:tab w:val="left" w:pos="312"/>
        </w:tabs>
        <w:spacing w:line="576"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“人力资源社会保障服务能力建设定向财力转移支付资金”项目绩效目标完成情况综述。项目全年预算数7万元，执行数为1.14万元，完成预算的16.29%。</w:t>
      </w:r>
      <w:r>
        <w:rPr>
          <w:rFonts w:hint="eastAsia" w:ascii="仿宋_GB2312" w:hAnsi="仿宋_GB2312" w:eastAsia="仿宋_GB2312" w:cs="仿宋_GB2312"/>
          <w:sz w:val="32"/>
          <w:szCs w:val="32"/>
        </w:rPr>
        <w:t>通过项目实施，保障单位工作的正常运转。</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ascii="宋体" w:hAnsi="宋体" w:cs="宋体"/>
                <w:color w:val="000000"/>
                <w:sz w:val="24"/>
              </w:rPr>
              <w:t>人力资源社会保障服务能力建设设定向财力转移支付资金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ascii="宋体" w:hAnsi="宋体" w:cs="宋体"/>
                <w:color w:val="000000"/>
                <w:sz w:val="24"/>
              </w:rPr>
              <w:t>茂县社会保险事业管理局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1.14万元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1.14万元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0" w:firstLineChars="150"/>
              <w:jc w:val="left"/>
              <w:textAlignment w:val="center"/>
              <w:rPr>
                <w:rFonts w:ascii="宋体" w:hAnsi="宋体" w:cs="宋体"/>
                <w:color w:val="000000"/>
                <w:sz w:val="24"/>
              </w:rPr>
            </w:pPr>
            <w:r>
              <w:rPr>
                <w:rFonts w:ascii="宋体" w:hAnsi="宋体" w:cs="宋体"/>
                <w:color w:val="000000"/>
                <w:sz w:val="24"/>
              </w:rPr>
              <w:t>保障单位机构正常运行</w:t>
            </w:r>
            <w:r>
              <w:rPr>
                <w:rFonts w:hint="eastAsia" w:ascii="宋体" w:hAnsi="宋体" w:cs="宋体"/>
                <w:color w:val="000000"/>
                <w:sz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保障了</w:t>
            </w:r>
            <w:r>
              <w:rPr>
                <w:rFonts w:hint="eastAsia" w:ascii="宋体" w:hAnsi="宋体" w:cs="宋体"/>
                <w:color w:val="000000"/>
                <w:sz w:val="24"/>
              </w:rPr>
              <w:t>2018年单位机构工作正常运行。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当年</w:t>
            </w:r>
            <w:r>
              <w:rPr>
                <w:rFonts w:hint="eastAsia" w:ascii="宋体" w:hAnsi="宋体" w:cs="宋体"/>
                <w:color w:val="000000"/>
                <w:sz w:val="24"/>
              </w:rPr>
              <w:t>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当年</w:t>
            </w:r>
            <w:r>
              <w:rPr>
                <w:rFonts w:hint="eastAsia" w:ascii="宋体" w:hAnsi="宋体" w:cs="宋体"/>
                <w:color w:val="000000"/>
                <w:sz w:val="24"/>
              </w:rPr>
              <w:t>12月底前</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支出指标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支出测算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按照往年及动态调整进行测算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费用正常支出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0" w:firstLineChars="150"/>
              <w:jc w:val="left"/>
              <w:textAlignment w:val="center"/>
              <w:rPr>
                <w:rFonts w:ascii="宋体" w:hAnsi="宋体" w:cs="宋体"/>
                <w:color w:val="000000"/>
                <w:sz w:val="24"/>
              </w:rPr>
            </w:pPr>
            <w:r>
              <w:rPr>
                <w:rFonts w:ascii="宋体" w:hAnsi="宋体" w:cs="宋体"/>
                <w:color w:val="000000"/>
                <w:sz w:val="24"/>
              </w:rPr>
              <w:t>保障</w:t>
            </w:r>
            <w:r>
              <w:rPr>
                <w:rFonts w:hint="eastAsia" w:ascii="宋体" w:hAnsi="宋体" w:cs="宋体"/>
                <w:color w:val="000000"/>
                <w:sz w:val="24"/>
              </w:rPr>
              <w:t>单位机构工作正常运行。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ascii="宋体" w:hAnsi="宋体" w:cs="宋体"/>
                <w:color w:val="000000"/>
                <w:sz w:val="24"/>
              </w:rPr>
              <w:t>保障了</w:t>
            </w:r>
            <w:r>
              <w:rPr>
                <w:rFonts w:hint="eastAsia" w:ascii="宋体" w:hAnsi="宋体" w:cs="宋体"/>
                <w:color w:val="000000"/>
                <w:sz w:val="24"/>
              </w:rPr>
              <w:t>2018年单位机构工作正常运行。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预计完成100%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ascii="宋体" w:hAnsi="宋体" w:cs="宋体"/>
                <w:color w:val="000000"/>
                <w:sz w:val="24"/>
              </w:rPr>
              <w:t>本着反对铺张浪费</w:t>
            </w:r>
            <w:r>
              <w:rPr>
                <w:rFonts w:hint="eastAsia" w:ascii="宋体" w:hAnsi="宋体" w:cs="宋体"/>
                <w:color w:val="000000"/>
                <w:sz w:val="24"/>
              </w:rPr>
              <w:t>、</w:t>
            </w:r>
            <w:r>
              <w:rPr>
                <w:rFonts w:ascii="宋体" w:hAnsi="宋体" w:cs="宋体"/>
                <w:color w:val="000000"/>
                <w:sz w:val="24"/>
              </w:rPr>
              <w:t>厉行节约的原则</w:t>
            </w:r>
            <w:r>
              <w:rPr>
                <w:rFonts w:hint="eastAsia" w:ascii="宋体" w:hAnsi="宋体" w:cs="宋体"/>
                <w:color w:val="000000"/>
                <w:sz w:val="24"/>
              </w:rPr>
              <w:t>，</w:t>
            </w:r>
            <w:r>
              <w:rPr>
                <w:rFonts w:ascii="宋体" w:hAnsi="宋体" w:cs="宋体"/>
                <w:color w:val="000000"/>
                <w:sz w:val="24"/>
              </w:rPr>
              <w:t>实际完成</w:t>
            </w:r>
            <w:r>
              <w:rPr>
                <w:rFonts w:hint="eastAsia" w:ascii="宋体" w:hAnsi="宋体" w:cs="宋体"/>
                <w:color w:val="000000"/>
                <w:sz w:val="24"/>
              </w:rPr>
              <w:t>16.29%。</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spacing w:line="576" w:lineRule="exact"/>
        <w:ind w:firstLine="642" w:firstLineChars="200"/>
        <w:outlineLvl w:val="1"/>
        <w:rPr>
          <w:rFonts w:ascii="楷体" w:hAnsi="楷体" w:eastAsia="楷体" w:cs="楷体_GB2312"/>
          <w:b/>
          <w:bCs/>
          <w:sz w:val="32"/>
          <w:szCs w:val="32"/>
        </w:rPr>
      </w:pPr>
    </w:p>
    <w:p>
      <w:pPr>
        <w:spacing w:line="576" w:lineRule="exact"/>
        <w:ind w:firstLine="642" w:firstLineChars="200"/>
        <w:outlineLvl w:val="1"/>
        <w:rPr>
          <w:rFonts w:ascii="楷体" w:hAnsi="楷体" w:eastAsia="楷体" w:cs="仿宋_GB2312"/>
          <w:sz w:val="32"/>
          <w:szCs w:val="32"/>
        </w:rPr>
      </w:pPr>
      <w:r>
        <w:rPr>
          <w:rFonts w:hint="eastAsia" w:ascii="楷体" w:hAnsi="楷体" w:eastAsia="楷体" w:cs="楷体_GB2312"/>
          <w:b/>
          <w:bCs/>
          <w:sz w:val="32"/>
          <w:szCs w:val="32"/>
        </w:rPr>
        <w:t>部门开展绩效评价结果</w:t>
      </w:r>
    </w:p>
    <w:p>
      <w:pPr>
        <w:spacing w:line="576"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本部门按要求对2018年部门整体支出绩效评价情况开展自评，《茂县社会保险事业管理局2018年部门整体支出绩效评价报告》见附件。</w:t>
      </w:r>
    </w:p>
    <w:p>
      <w:pPr>
        <w:spacing w:line="576"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pPr>
        <w:spacing w:line="576" w:lineRule="exact"/>
        <w:ind w:firstLine="642" w:firstLineChars="200"/>
        <w:outlineLvl w:val="2"/>
        <w:rPr>
          <w:rFonts w:ascii="楷体" w:hAnsi="楷体" w:eastAsia="楷体"/>
          <w:color w:val="000000"/>
          <w:sz w:val="32"/>
          <w:szCs w:val="32"/>
        </w:rPr>
      </w:pPr>
      <w:bookmarkStart w:id="52" w:name="_Toc15377222"/>
      <w:r>
        <w:rPr>
          <w:rFonts w:hint="eastAsia" w:ascii="楷体" w:hAnsi="楷体" w:eastAsia="楷体"/>
          <w:b/>
          <w:color w:val="000000"/>
          <w:sz w:val="32"/>
          <w:szCs w:val="32"/>
        </w:rPr>
        <w:t>（一）机关运行经费支出情况</w:t>
      </w:r>
      <w:bookmarkEnd w:id="52"/>
    </w:p>
    <w:p>
      <w:pPr>
        <w:spacing w:line="576" w:lineRule="exact"/>
        <w:ind w:firstLine="640" w:firstLineChars="200"/>
        <w:rPr>
          <w:rFonts w:ascii="仿宋_GB2312" w:hAnsi="楷体" w:eastAsia="仿宋_GB2312"/>
          <w:color w:val="000000" w:themeColor="text1"/>
          <w:sz w:val="32"/>
          <w:szCs w:val="32"/>
        </w:rPr>
      </w:pPr>
      <w:r>
        <w:rPr>
          <w:rFonts w:hint="eastAsia" w:ascii="仿宋_GB2312" w:hAnsi="楷体" w:eastAsia="仿宋_GB2312"/>
          <w:color w:val="000000"/>
          <w:sz w:val="32"/>
          <w:szCs w:val="32"/>
        </w:rPr>
        <w:t>2018年，我局机关运行经费支出</w:t>
      </w:r>
      <w:r>
        <w:rPr>
          <w:rFonts w:hint="eastAsia" w:ascii="仿宋_GB2312" w:hAnsi="楷体" w:eastAsia="仿宋_GB2312"/>
          <w:color w:val="000000"/>
          <w:sz w:val="32"/>
          <w:szCs w:val="32"/>
          <w:lang w:val="en-US" w:eastAsia="zh-CN"/>
        </w:rPr>
        <w:t>19.32</w:t>
      </w:r>
      <w:r>
        <w:rPr>
          <w:rFonts w:hint="eastAsia" w:ascii="仿宋_GB2312" w:hAnsi="楷体" w:eastAsia="仿宋_GB2312"/>
          <w:color w:val="000000"/>
          <w:sz w:val="32"/>
          <w:szCs w:val="32"/>
        </w:rPr>
        <w:t>万元，比2017年增加</w:t>
      </w:r>
      <w:r>
        <w:rPr>
          <w:rFonts w:hint="eastAsia" w:ascii="仿宋_GB2312" w:hAnsi="楷体" w:eastAsia="仿宋_GB2312"/>
          <w:color w:val="000000"/>
          <w:sz w:val="32"/>
          <w:szCs w:val="32"/>
          <w:lang w:val="en-US" w:eastAsia="zh-CN"/>
        </w:rPr>
        <w:t>2</w:t>
      </w:r>
      <w:r>
        <w:rPr>
          <w:rFonts w:hint="eastAsia" w:ascii="仿宋_GB2312" w:hAnsi="楷体" w:eastAsia="仿宋_GB2312"/>
          <w:color w:val="000000"/>
          <w:sz w:val="32"/>
          <w:szCs w:val="32"/>
        </w:rPr>
        <w:t>万元，增长</w:t>
      </w:r>
      <w:r>
        <w:rPr>
          <w:rFonts w:hint="eastAsia" w:ascii="仿宋_GB2312" w:hAnsi="楷体" w:eastAsia="仿宋_GB2312"/>
          <w:color w:val="000000"/>
          <w:sz w:val="32"/>
          <w:szCs w:val="32"/>
          <w:lang w:val="en-US" w:eastAsia="zh-CN"/>
        </w:rPr>
        <w:t>11.55</w:t>
      </w:r>
      <w:r>
        <w:rPr>
          <w:rFonts w:hint="eastAsia" w:ascii="仿宋_GB2312" w:hAnsi="楷体" w:eastAsia="仿宋_GB2312"/>
          <w:color w:val="000000"/>
          <w:sz w:val="32"/>
          <w:szCs w:val="32"/>
        </w:rPr>
        <w:t>%。</w:t>
      </w:r>
      <w:r>
        <w:rPr>
          <w:rFonts w:hint="eastAsia" w:ascii="仿宋_GB2312" w:hAnsi="楷体" w:eastAsia="仿宋_GB2312"/>
          <w:color w:val="000000" w:themeColor="text1"/>
          <w:sz w:val="32"/>
          <w:szCs w:val="32"/>
        </w:rPr>
        <w:t>主要</w:t>
      </w:r>
      <w:r>
        <w:rPr>
          <w:rFonts w:hint="default" w:ascii="仿宋_GB2312" w:hAnsi="楷体" w:eastAsia="仿宋_GB2312"/>
          <w:color w:val="000000" w:themeColor="text1"/>
          <w:sz w:val="32"/>
          <w:szCs w:val="32"/>
        </w:rPr>
        <w:t>原因是</w:t>
      </w:r>
      <w:r>
        <w:rPr>
          <w:rFonts w:hint="eastAsia" w:ascii="仿宋_GB2312" w:hAnsi="楷体" w:eastAsia="仿宋_GB2312"/>
          <w:color w:val="000000" w:themeColor="text1"/>
          <w:sz w:val="32"/>
          <w:szCs w:val="32"/>
        </w:rPr>
        <w:t>工作需要2017年下半年</w:t>
      </w:r>
      <w:r>
        <w:rPr>
          <w:rFonts w:hint="eastAsia" w:ascii="仿宋_GB2312" w:eastAsia="仿宋_GB2312"/>
          <w:sz w:val="32"/>
          <w:szCs w:val="32"/>
        </w:rPr>
        <w:t>工作人员增加</w:t>
      </w:r>
      <w:r>
        <w:rPr>
          <w:rFonts w:hint="eastAsia" w:ascii="仿宋_GB2312" w:hAnsi="楷体" w:eastAsia="仿宋_GB2312"/>
          <w:color w:val="000000" w:themeColor="text1"/>
          <w:sz w:val="32"/>
          <w:szCs w:val="32"/>
        </w:rPr>
        <w:t>，2018年机关运行经费支出随之增加。</w:t>
      </w:r>
    </w:p>
    <w:p>
      <w:pPr>
        <w:spacing w:line="576" w:lineRule="exact"/>
        <w:ind w:firstLine="642" w:firstLineChars="200"/>
        <w:outlineLvl w:val="1"/>
        <w:rPr>
          <w:rFonts w:ascii="楷体" w:hAnsi="楷体" w:eastAsia="楷体"/>
          <w:b/>
          <w:color w:val="000000"/>
          <w:sz w:val="32"/>
          <w:szCs w:val="32"/>
        </w:rPr>
      </w:pPr>
      <w:bookmarkStart w:id="53" w:name="_Toc15377223"/>
      <w:r>
        <w:rPr>
          <w:rFonts w:hint="eastAsia" w:ascii="楷体" w:hAnsi="楷体" w:eastAsia="楷体"/>
          <w:b/>
          <w:color w:val="000000"/>
          <w:sz w:val="32"/>
          <w:szCs w:val="32"/>
        </w:rPr>
        <w:t>（二）政府采购支出情况</w:t>
      </w:r>
      <w:bookmarkEnd w:id="53"/>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2018年，我局政府采购支出总额0万元。</w:t>
      </w:r>
    </w:p>
    <w:p>
      <w:pPr>
        <w:spacing w:line="576" w:lineRule="exact"/>
        <w:ind w:firstLine="642" w:firstLineChars="200"/>
        <w:outlineLvl w:val="1"/>
        <w:rPr>
          <w:rFonts w:ascii="楷体" w:hAnsi="楷体" w:eastAsia="楷体"/>
          <w:b/>
          <w:color w:val="000000"/>
          <w:sz w:val="32"/>
          <w:szCs w:val="32"/>
        </w:rPr>
      </w:pPr>
      <w:bookmarkStart w:id="54" w:name="_Toc15377224"/>
      <w:r>
        <w:rPr>
          <w:rFonts w:hint="eastAsia" w:ascii="楷体" w:hAnsi="楷体" w:eastAsia="楷体"/>
          <w:b/>
          <w:color w:val="000000"/>
          <w:sz w:val="32"/>
          <w:szCs w:val="32"/>
        </w:rPr>
        <w:t>（三）国有资产占有使用情况</w:t>
      </w:r>
      <w:bookmarkEnd w:id="54"/>
    </w:p>
    <w:p>
      <w:pPr>
        <w:autoSpaceDE w:val="0"/>
        <w:autoSpaceDN w:val="0"/>
        <w:adjustRightInd w:val="0"/>
        <w:spacing w:line="576" w:lineRule="exact"/>
        <w:ind w:firstLine="640" w:firstLineChars="200"/>
        <w:jc w:val="left"/>
        <w:rPr>
          <w:rFonts w:ascii="仿宋_GB2312" w:hAnsi="楷体" w:eastAsia="仿宋_GB2312"/>
          <w:color w:val="000000"/>
          <w:sz w:val="32"/>
          <w:szCs w:val="32"/>
        </w:rPr>
      </w:pPr>
      <w:r>
        <w:rPr>
          <w:rFonts w:hint="eastAsia" w:ascii="仿宋_GB2312" w:hAnsi="楷体" w:eastAsia="仿宋_GB2312"/>
          <w:color w:val="000000"/>
          <w:sz w:val="32"/>
          <w:szCs w:val="32"/>
        </w:rPr>
        <w:t>截至2018年12月31日，我局共有车辆0辆。</w:t>
      </w: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widowControl/>
        <w:spacing w:line="576" w:lineRule="exact"/>
        <w:jc w:val="left"/>
        <w:rPr>
          <w:rFonts w:ascii="仿宋_GB2312" w:eastAsia="仿宋_GB2312"/>
          <w:b/>
          <w:color w:val="000000"/>
          <w:sz w:val="32"/>
          <w:szCs w:val="32"/>
        </w:rPr>
      </w:pPr>
    </w:p>
    <w:p>
      <w:pPr>
        <w:numPr>
          <w:ilvl w:val="0"/>
          <w:numId w:val="3"/>
        </w:numPr>
        <w:spacing w:line="600" w:lineRule="exact"/>
        <w:ind w:firstLine="660" w:firstLineChars="150"/>
        <w:jc w:val="center"/>
        <w:outlineLvl w:val="0"/>
        <w:rPr>
          <w:rStyle w:val="25"/>
          <w:rFonts w:ascii="方正小标宋简体" w:hAnsi="黑体" w:eastAsia="方正小标宋简体"/>
          <w:b w:val="0"/>
        </w:rPr>
      </w:pPr>
      <w:bookmarkStart w:id="55" w:name="_Toc15396613"/>
      <w:bookmarkStart w:id="56" w:name="_Toc15377225"/>
      <w:r>
        <w:rPr>
          <w:rFonts w:hint="eastAsia" w:ascii="方正小标宋简体" w:hAnsi="黑体" w:eastAsia="方正小标宋简体"/>
          <w:bCs/>
          <w:color w:val="000000"/>
          <w:sz w:val="44"/>
          <w:szCs w:val="44"/>
        </w:rPr>
        <w:t>名</w:t>
      </w:r>
      <w:r>
        <w:rPr>
          <w:rStyle w:val="25"/>
          <w:rFonts w:hint="eastAsia" w:ascii="方正小标宋简体" w:hAnsi="黑体" w:eastAsia="方正小标宋简体"/>
          <w:b w:val="0"/>
        </w:rPr>
        <w:t>词解释</w:t>
      </w:r>
      <w:bookmarkEnd w:id="55"/>
      <w:bookmarkEnd w:id="56"/>
    </w:p>
    <w:p>
      <w:pPr>
        <w:spacing w:line="600" w:lineRule="exact"/>
        <w:ind w:left="663"/>
        <w:jc w:val="left"/>
        <w:outlineLvl w:val="0"/>
        <w:rPr>
          <w:rFonts w:ascii="方正小标宋简体" w:hAnsi="黑体" w:eastAsia="方正小标宋简体"/>
          <w:bCs/>
          <w:kern w:val="44"/>
          <w:sz w:val="44"/>
          <w:szCs w:val="44"/>
        </w:rPr>
      </w:pP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1.财政拨款收入：指单位从同级财政部门取得的财政预算资金。</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2.事业收入：指事业单位开展专业业务活动及辅助活动取得的收入。</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3.经营收入：指事业单位在专业业务活动及其辅助活动之外开展非独立核算经营活动取得的收入。</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4.其他收入：指单位取得的除上述收入以外的各项收入。</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6.年初结转和结余：指以前年度尚未完成、结转到本年按有关规定继续使用的资金。</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7.结余分配：指事业单位按照事业单位会计制度的规定从非财政补助结余中分配的事业基金和职工福利基金等。</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8.年末结转和结余：指单位按有关规定结转到下年或以后年度继续使用的资金。</w:t>
      </w:r>
    </w:p>
    <w:p>
      <w:pPr>
        <w:pStyle w:val="23"/>
        <w:spacing w:line="576" w:lineRule="exact"/>
        <w:ind w:firstLine="640" w:firstLineChars="200"/>
        <w:jc w:val="both"/>
        <w:rPr>
          <w:rStyle w:val="15"/>
          <w:rFonts w:ascii="仿宋_GB2312" w:hAnsi="楷体" w:eastAsia="仿宋_GB2312"/>
          <w:b w:val="0"/>
          <w:bCs/>
          <w:sz w:val="32"/>
          <w:szCs w:val="32"/>
        </w:rPr>
      </w:pPr>
      <w:r>
        <w:rPr>
          <w:rFonts w:hint="eastAsia" w:ascii="仿宋_GB2312" w:hAnsi="楷体" w:eastAsia="仿宋_GB2312"/>
          <w:sz w:val="32"/>
          <w:szCs w:val="32"/>
        </w:rPr>
        <w:t>9.</w:t>
      </w:r>
      <w:r>
        <w:rPr>
          <w:rStyle w:val="15"/>
          <w:rFonts w:hint="eastAsia" w:ascii="仿宋_GB2312" w:hAnsi="楷体" w:eastAsia="仿宋_GB2312"/>
          <w:b w:val="0"/>
          <w:bCs/>
          <w:sz w:val="32"/>
          <w:szCs w:val="32"/>
        </w:rPr>
        <w:t>社会保障和就业（类）人力资源和社会保障管理事务（款）行政运行（项）：机关单位用于保障机构正常运行、开展日常工作的基本支出。</w:t>
      </w:r>
    </w:p>
    <w:p>
      <w:pPr>
        <w:pStyle w:val="23"/>
        <w:spacing w:line="576" w:lineRule="exact"/>
        <w:ind w:firstLine="640" w:firstLineChars="200"/>
        <w:jc w:val="both"/>
        <w:rPr>
          <w:rStyle w:val="15"/>
          <w:rFonts w:ascii="仿宋_GB2312" w:hAnsi="楷体" w:eastAsia="仿宋_GB2312"/>
          <w:b w:val="0"/>
          <w:bCs/>
          <w:sz w:val="32"/>
          <w:szCs w:val="32"/>
        </w:rPr>
      </w:pPr>
      <w:r>
        <w:rPr>
          <w:rStyle w:val="15"/>
          <w:rFonts w:hint="eastAsia" w:ascii="仿宋_GB2312" w:hAnsi="楷体" w:eastAsia="仿宋_GB2312"/>
          <w:b w:val="0"/>
          <w:bCs/>
          <w:sz w:val="32"/>
          <w:szCs w:val="32"/>
        </w:rPr>
        <w:t>10.社会保障和就业（类）人力资源和社会保障管理事务（款）社会保险经办机构（项）：指</w:t>
      </w:r>
      <w:r>
        <w:rPr>
          <w:rFonts w:hint="eastAsia" w:ascii="仿宋_GB2312" w:eastAsia="仿宋_GB2312"/>
          <w:sz w:val="32"/>
          <w:szCs w:val="32"/>
        </w:rPr>
        <w:t>是由州级财政根据阿州财社</w:t>
      </w:r>
      <w:r>
        <w:rPr>
          <w:rFonts w:ascii="仿宋_GB2312" w:eastAsia="仿宋_GB2312"/>
          <w:sz w:val="32"/>
          <w:szCs w:val="32"/>
        </w:rPr>
        <w:t>[201</w:t>
      </w: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25号文件安排的五险统征及管理工作经费。</w:t>
      </w:r>
    </w:p>
    <w:p>
      <w:pPr>
        <w:spacing w:line="576" w:lineRule="exact"/>
        <w:ind w:right="-57" w:rightChars="-27" w:firstLine="640" w:firstLineChars="200"/>
        <w:rPr>
          <w:rStyle w:val="15"/>
          <w:rFonts w:ascii="仿宋_GB2312" w:hAnsi="楷体" w:eastAsia="仿宋_GB2312"/>
          <w:b w:val="0"/>
          <w:bCs/>
          <w:color w:val="000000"/>
          <w:sz w:val="32"/>
          <w:szCs w:val="32"/>
        </w:rPr>
      </w:pPr>
      <w:r>
        <w:rPr>
          <w:rStyle w:val="15"/>
          <w:rFonts w:hint="eastAsia" w:ascii="仿宋_GB2312" w:hAnsi="楷体" w:eastAsia="仿宋_GB2312"/>
          <w:b w:val="0"/>
          <w:bCs/>
          <w:color w:val="000000"/>
          <w:sz w:val="32"/>
          <w:szCs w:val="32"/>
        </w:rPr>
        <w:t>11.社会保障和就业（类）行政事业单位离退休（款）机关事业单位基本养老保险缴费支出（项）：指单位实施养老保险制度由单位缴纳的养老保险费的支出。</w:t>
      </w:r>
    </w:p>
    <w:p>
      <w:pPr>
        <w:spacing w:line="576" w:lineRule="exact"/>
        <w:ind w:right="-57" w:rightChars="-27" w:firstLine="640" w:firstLineChars="200"/>
        <w:rPr>
          <w:rFonts w:ascii="仿宋_GB2312" w:hAnsi="楷体" w:eastAsia="仿宋_GB2312"/>
          <w:bCs/>
          <w:color w:val="000000"/>
          <w:sz w:val="32"/>
          <w:szCs w:val="32"/>
        </w:rPr>
      </w:pPr>
      <w:r>
        <w:rPr>
          <w:rStyle w:val="15"/>
          <w:rFonts w:hint="eastAsia" w:ascii="仿宋_GB2312" w:hAnsi="楷体" w:eastAsia="仿宋_GB2312"/>
          <w:b w:val="0"/>
          <w:bCs/>
          <w:color w:val="000000"/>
          <w:sz w:val="32"/>
          <w:szCs w:val="32"/>
        </w:rPr>
        <w:t>12.社会保障和就业（类）行政事业单位离退休（款）机关事业单位职业年金缴费支出（项）：指单位实施养老保险制度由单位缴纳的职业年金的支出。</w:t>
      </w:r>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13.医疗卫生与计划生育（类）行政事业单位医疗（款）</w:t>
      </w:r>
    </w:p>
    <w:p>
      <w:pPr>
        <w:spacing w:line="576" w:lineRule="exact"/>
        <w:rPr>
          <w:rFonts w:ascii="仿宋_GB2312" w:eastAsia="仿宋_GB2312"/>
          <w:color w:val="000000"/>
          <w:sz w:val="32"/>
          <w:szCs w:val="32"/>
        </w:rPr>
      </w:pPr>
      <w:r>
        <w:rPr>
          <w:rFonts w:hint="eastAsia" w:ascii="仿宋_GB2312" w:hAnsi="楷体" w:eastAsia="仿宋_GB2312"/>
          <w:color w:val="000000"/>
          <w:sz w:val="32"/>
          <w:szCs w:val="32"/>
        </w:rPr>
        <w:t>行政单位医疗（项）：</w:t>
      </w:r>
      <w:r>
        <w:rPr>
          <w:rFonts w:hint="eastAsia" w:ascii="仿宋_GB2312" w:eastAsia="仿宋_GB2312"/>
          <w:color w:val="000000"/>
          <w:sz w:val="32"/>
          <w:szCs w:val="32"/>
        </w:rPr>
        <w:t>指行政单位医疗保险支出。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14.住房保障（类）住房改革支出（款）住房公积金（项）：指反映行政事业单位按人力资源和社会保障部、财政部规定的基本工资和津贴补贴以及规定比例为职工缴纳的住房公积金支出。</w:t>
      </w:r>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15.基本支出：指为保障机构正常运转、完成日常工作任务而发生的人员支出和公用支出。</w:t>
      </w:r>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16.项目支出：指在基本支出之外为完成特定行政任务和事业发展目标所发生的支出。</w:t>
      </w:r>
    </w:p>
    <w:p>
      <w:pPr>
        <w:spacing w:line="576"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17.经营支出：指事业单位在专业业务活动及其辅助活动之外开展非独立核算经营活动发生的支出。</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jc w:val="both"/>
        <w:rPr>
          <w:rFonts w:ascii="仿宋_GB2312" w:hAnsi="楷体" w:eastAsia="仿宋_GB2312"/>
          <w:sz w:val="32"/>
          <w:szCs w:val="32"/>
        </w:rPr>
      </w:pPr>
      <w:r>
        <w:rPr>
          <w:rFonts w:hint="eastAsia" w:ascii="仿宋_GB2312" w:hAnsi="楷体" w:eastAsia="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3"/>
        </w:numPr>
        <w:spacing w:line="576" w:lineRule="exact"/>
        <w:ind w:firstLine="662" w:firstLineChars="150"/>
        <w:jc w:val="center"/>
        <w:outlineLvl w:val="0"/>
        <w:rPr>
          <w:rStyle w:val="25"/>
          <w:rFonts w:ascii="方正小标宋简体" w:hAnsi="黑体" w:eastAsia="方正小标宋简体"/>
          <w:b w:val="0"/>
        </w:rPr>
      </w:pPr>
      <w:bookmarkStart w:id="57" w:name="_Toc15377226"/>
      <w:r>
        <w:rPr>
          <w:rFonts w:hint="eastAsia" w:ascii="仿宋_GB2312" w:eastAsia="仿宋_GB2312"/>
          <w:b/>
          <w:color w:val="000000"/>
          <w:sz w:val="44"/>
          <w:szCs w:val="44"/>
        </w:rPr>
        <w:br w:type="page"/>
      </w:r>
      <w:bookmarkStart w:id="58" w:name="_Toc15396614"/>
      <w:r>
        <w:rPr>
          <w:rStyle w:val="25"/>
          <w:rFonts w:hint="eastAsia" w:ascii="方正小标宋简体" w:hAnsi="黑体" w:eastAsia="方正小标宋简体"/>
          <w:b w:val="0"/>
        </w:rPr>
        <w:t>附件</w:t>
      </w:r>
      <w:bookmarkEnd w:id="58"/>
    </w:p>
    <w:p>
      <w:pPr>
        <w:spacing w:line="600" w:lineRule="exact"/>
        <w:jc w:val="center"/>
        <w:outlineLvl w:val="0"/>
        <w:rPr>
          <w:rStyle w:val="25"/>
        </w:rPr>
      </w:pPr>
    </w:p>
    <w:p>
      <w:pPr>
        <w:spacing w:line="600" w:lineRule="exact"/>
        <w:jc w:val="center"/>
        <w:outlineLvl w:val="0"/>
        <w:rPr>
          <w:rFonts w:ascii="方正小标宋简体" w:hAnsi="黑体" w:eastAsia="方正小标宋简体" w:cs="方正小标宋简体"/>
          <w:sz w:val="44"/>
          <w:szCs w:val="44"/>
        </w:rPr>
      </w:pPr>
      <w:bookmarkStart w:id="59" w:name="_Toc15396616"/>
      <w:r>
        <w:rPr>
          <w:rFonts w:hint="eastAsia" w:ascii="方正小标宋简体" w:hAnsi="黑体" w:eastAsia="方正小标宋简体" w:cs="方正小标宋简体"/>
          <w:sz w:val="44"/>
          <w:szCs w:val="44"/>
        </w:rPr>
        <w:t>茂县社会保险事业管理局</w:t>
      </w:r>
    </w:p>
    <w:p>
      <w:pPr>
        <w:spacing w:line="600" w:lineRule="exact"/>
        <w:jc w:val="center"/>
        <w:outlineLvl w:val="0"/>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2018年部门整体支出绩效评价报告</w:t>
      </w:r>
      <w:bookmarkEnd w:id="59"/>
    </w:p>
    <w:p>
      <w:pPr>
        <w:spacing w:line="580" w:lineRule="exact"/>
        <w:ind w:firstLine="640" w:firstLineChars="200"/>
        <w:rPr>
          <w:rFonts w:ascii="黑体" w:hAnsi="黑体" w:eastAsia="黑体" w:cs="黑体"/>
          <w:sz w:val="32"/>
          <w:szCs w:val="32"/>
        </w:rPr>
      </w:pPr>
    </w:p>
    <w:p>
      <w:pPr>
        <w:pStyle w:val="3"/>
        <w:spacing w:line="576" w:lineRule="exact"/>
        <w:ind w:firstLine="640" w:firstLineChars="200"/>
        <w:rPr>
          <w:rFonts w:ascii="仿宋" w:hAnsi="仿宋" w:eastAsia="仿宋"/>
          <w:b w:val="0"/>
          <w:bCs w:val="0"/>
          <w:color w:val="000000"/>
        </w:rPr>
      </w:pPr>
      <w:r>
        <w:rPr>
          <w:rFonts w:hint="eastAsia" w:ascii="黑体" w:hAnsi="黑体" w:eastAsia="黑体" w:cs="黑体"/>
          <w:b w:val="0"/>
          <w:bCs w:val="0"/>
        </w:rPr>
        <w:t>一、部门（单位）概况</w:t>
      </w:r>
    </w:p>
    <w:p>
      <w:pPr>
        <w:spacing w:line="576" w:lineRule="exact"/>
        <w:ind w:firstLine="642" w:firstLineChars="200"/>
        <w:rPr>
          <w:rFonts w:ascii="楷体" w:hAnsi="楷体" w:eastAsia="楷体" w:cs="仿宋_GB2312"/>
          <w:b/>
          <w:bCs/>
          <w:sz w:val="32"/>
          <w:szCs w:val="32"/>
        </w:rPr>
      </w:pPr>
      <w:r>
        <w:rPr>
          <w:rFonts w:ascii="仿宋" w:hAnsi="仿宋" w:eastAsia="仿宋" w:cs="仿宋_GB2312"/>
          <w:b/>
          <w:bCs/>
          <w:sz w:val="32"/>
          <w:szCs w:val="32"/>
        </w:rPr>
        <w:t>（</w:t>
      </w:r>
      <w:r>
        <w:rPr>
          <w:rFonts w:ascii="楷体" w:hAnsi="楷体" w:eastAsia="楷体" w:cs="仿宋_GB2312"/>
          <w:b/>
          <w:bCs/>
          <w:sz w:val="32"/>
          <w:szCs w:val="32"/>
        </w:rPr>
        <w:t>一）机构组成</w:t>
      </w:r>
    </w:p>
    <w:p>
      <w:pPr>
        <w:spacing w:line="576" w:lineRule="exact"/>
        <w:ind w:right="-342" w:rightChars="-16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茂县社会保险事业管理局是县政府综合管理全县社会保险工作的职能部门，承担政府职能的管理机构，为副科级财政全额拨款的（参公）事业单位。</w:t>
      </w:r>
      <w:r>
        <w:rPr>
          <w:rFonts w:hint="eastAsia" w:ascii="仿宋_GB2312" w:hAnsi="仿宋_GB2312" w:eastAsia="仿宋_GB2312" w:cs="仿宋_GB2312"/>
          <w:color w:val="333333"/>
          <w:sz w:val="32"/>
          <w:szCs w:val="32"/>
        </w:rPr>
        <w:t>局内设“五股一室”，即办公室、财务股、机关事业单位养老保险股、职业年金股、退管股、社会保险统一征收股。</w:t>
      </w:r>
      <w:r>
        <w:rPr>
          <w:rFonts w:hint="eastAsia" w:ascii="仿宋_GB2312" w:hAnsi="仿宋_GB2312" w:eastAsia="仿宋_GB2312" w:cs="仿宋_GB2312"/>
          <w:sz w:val="32"/>
          <w:szCs w:val="32"/>
        </w:rPr>
        <w:t>归县人力资源和社会保障局管理。</w:t>
      </w:r>
    </w:p>
    <w:p>
      <w:pPr>
        <w:pStyle w:val="24"/>
        <w:spacing w:line="576" w:lineRule="exact"/>
        <w:ind w:firstLine="643"/>
        <w:rPr>
          <w:rFonts w:ascii="楷体" w:hAnsi="楷体" w:eastAsia="楷体" w:cs="仿宋_GB2312"/>
          <w:b/>
          <w:bCs/>
          <w:sz w:val="32"/>
          <w:szCs w:val="32"/>
        </w:rPr>
      </w:pPr>
      <w:r>
        <w:rPr>
          <w:rFonts w:hint="eastAsia" w:ascii="楷体" w:hAnsi="楷体" w:eastAsia="楷体" w:cs="仿宋_GB2312"/>
          <w:b/>
          <w:bCs/>
          <w:sz w:val="32"/>
          <w:szCs w:val="32"/>
        </w:rPr>
        <w:t>（二）</w:t>
      </w:r>
      <w:r>
        <w:rPr>
          <w:rFonts w:ascii="楷体" w:hAnsi="楷体" w:eastAsia="楷体" w:cs="仿宋_GB2312"/>
          <w:b/>
          <w:bCs/>
          <w:sz w:val="32"/>
          <w:szCs w:val="32"/>
        </w:rPr>
        <w:t>机构职能</w:t>
      </w:r>
    </w:p>
    <w:p>
      <w:pPr>
        <w:pStyle w:val="24"/>
        <w:spacing w:line="576" w:lineRule="exact"/>
        <w:ind w:right="-342" w:rightChars="-163" w:firstLine="640"/>
        <w:rPr>
          <w:rFonts w:ascii="仿宋_GB2312" w:eastAsia="仿宋_GB2312" w:cs="仿宋_GB2312"/>
          <w:sz w:val="32"/>
          <w:szCs w:val="32"/>
        </w:rPr>
      </w:pPr>
      <w:r>
        <w:rPr>
          <w:rFonts w:hint="eastAsia" w:ascii="仿宋_GB2312" w:eastAsia="仿宋_GB2312"/>
          <w:sz w:val="32"/>
          <w:szCs w:val="32"/>
        </w:rPr>
        <w:t>在县委、县政府和县人力资源和社会保障局的领导下，</w:t>
      </w:r>
      <w:r>
        <w:rPr>
          <w:rFonts w:hint="eastAsia" w:ascii="仿宋_GB2312" w:eastAsia="仿宋_GB2312" w:cs="仿宋_GB2312"/>
          <w:sz w:val="32"/>
          <w:szCs w:val="32"/>
        </w:rPr>
        <w:t>贯彻执行党和国家有关社会保险的路线、方针、政策和法律、法规;负责辖区内参保单位和个人养老、工伤、生育保险基金的征收、管理、审核、拨付工作；承办辖区参保单位社会保险登记、变更、注销。职工保险关系转移，灵活就业人员参保、续保工作；审核参保职工待遇享受条件、计算其待遇，按时足额发放社会保险金;负责参保单位和个人养老、工伤、生育保险的日常管理工作；负责社会保险数据、信息的处理和管理，参保个人帐户的建立和管理；为参保单位和个人、提供有关养老、工伤、生育保险的政策宣传咨询服务，受理群众来信来访;负责完成县委、县政府和上级部门交办的其它工作事项。</w:t>
      </w:r>
    </w:p>
    <w:p>
      <w:pPr>
        <w:pStyle w:val="24"/>
        <w:spacing w:line="576" w:lineRule="exact"/>
        <w:ind w:firstLine="643"/>
        <w:rPr>
          <w:rFonts w:ascii="仿宋" w:hAnsi="仿宋" w:eastAsia="仿宋" w:cs="仿宋_GB2312"/>
          <w:b/>
          <w:bCs/>
          <w:sz w:val="32"/>
          <w:szCs w:val="32"/>
        </w:rPr>
      </w:pPr>
      <w:r>
        <w:rPr>
          <w:rFonts w:hint="eastAsia" w:ascii="楷体" w:hAnsi="楷体" w:eastAsia="楷体" w:cs="仿宋_GB2312"/>
          <w:b/>
          <w:bCs/>
          <w:sz w:val="32"/>
          <w:szCs w:val="32"/>
        </w:rPr>
        <w:t>（三）</w:t>
      </w:r>
      <w:r>
        <w:rPr>
          <w:rFonts w:ascii="楷体" w:hAnsi="楷体" w:eastAsia="楷体" w:cs="仿宋_GB2312"/>
          <w:b/>
          <w:bCs/>
          <w:sz w:val="32"/>
          <w:szCs w:val="32"/>
        </w:rPr>
        <w:t>人员概况</w:t>
      </w:r>
    </w:p>
    <w:p>
      <w:pPr>
        <w:tabs>
          <w:tab w:val="left" w:pos="284"/>
        </w:tabs>
        <w:spacing w:line="576" w:lineRule="exact"/>
        <w:ind w:right="-340" w:rightChars="-162" w:firstLine="640" w:firstLineChars="200"/>
        <w:jc w:val="left"/>
        <w:rPr>
          <w:rFonts w:ascii="仿宋" w:hAnsi="仿宋" w:eastAsia="仿宋" w:cs="仿宋_GB2312"/>
          <w:sz w:val="32"/>
          <w:szCs w:val="32"/>
        </w:rPr>
      </w:pPr>
      <w:r>
        <w:rPr>
          <w:rFonts w:hint="eastAsia" w:ascii="仿宋_GB2312" w:eastAsia="仿宋_GB2312"/>
          <w:sz w:val="32"/>
          <w:szCs w:val="32"/>
        </w:rPr>
        <w:t>我局为财政全额拨款的一级预算副科级参公事业单位，核定参公编制24人。单位内设1名局长，1名副局长；2018年末在职人员22人（其中参公干部20人，工勤2人），退休人员6人。</w:t>
      </w:r>
    </w:p>
    <w:p>
      <w:pPr>
        <w:pStyle w:val="3"/>
        <w:spacing w:line="576" w:lineRule="exact"/>
        <w:ind w:firstLine="640" w:firstLineChars="200"/>
        <w:jc w:val="left"/>
        <w:rPr>
          <w:rFonts w:ascii="仿宋" w:hAnsi="仿宋" w:eastAsia="仿宋"/>
          <w:color w:val="000000"/>
        </w:rPr>
      </w:pPr>
      <w:r>
        <w:rPr>
          <w:rFonts w:ascii="黑体" w:hAnsi="黑体" w:eastAsia="黑体" w:cs="黑体"/>
          <w:b w:val="0"/>
          <w:bCs w:val="0"/>
        </w:rPr>
        <w:t>二、部门财政资金收支情况</w:t>
      </w:r>
    </w:p>
    <w:p>
      <w:pPr>
        <w:spacing w:line="576" w:lineRule="exact"/>
        <w:ind w:firstLine="642" w:firstLineChars="200"/>
        <w:rPr>
          <w:rFonts w:ascii="楷体" w:hAnsi="楷体" w:eastAsia="楷体" w:cs="仿宋_GB2312"/>
          <w:b/>
          <w:bCs/>
          <w:sz w:val="32"/>
          <w:szCs w:val="32"/>
        </w:rPr>
      </w:pPr>
      <w:r>
        <w:rPr>
          <w:rFonts w:ascii="楷体" w:hAnsi="楷体" w:eastAsia="楷体" w:cs="仿宋_GB2312"/>
          <w:b/>
          <w:bCs/>
          <w:sz w:val="32"/>
          <w:szCs w:val="32"/>
        </w:rPr>
        <w:t>（一）部门财政资金收入情况</w:t>
      </w:r>
    </w:p>
    <w:p>
      <w:pPr>
        <w:spacing w:line="576" w:lineRule="exact"/>
        <w:ind w:right="-523" w:rightChars="-249" w:firstLine="640" w:firstLineChars="200"/>
        <w:rPr>
          <w:rFonts w:ascii="仿宋_GB2312" w:eastAsia="仿宋_GB2312"/>
          <w:sz w:val="32"/>
          <w:szCs w:val="32"/>
        </w:rPr>
      </w:pPr>
      <w:r>
        <w:rPr>
          <w:rFonts w:hint="eastAsia" w:ascii="仿宋_GB2312" w:eastAsia="仿宋_GB2312"/>
          <w:sz w:val="32"/>
          <w:szCs w:val="32"/>
        </w:rPr>
        <w:t>2018年单位财政资金收入：348.73万元,均为一般公共预算财政拨款收入。单位无上级补助收入、事业收入、经营收入等其他性质的经费收入。</w:t>
      </w:r>
    </w:p>
    <w:p>
      <w:pPr>
        <w:spacing w:line="576" w:lineRule="exact"/>
        <w:ind w:firstLine="642" w:firstLineChars="200"/>
        <w:rPr>
          <w:rFonts w:ascii="仿宋" w:hAnsi="仿宋" w:eastAsia="仿宋" w:cs="仿宋_GB2312"/>
          <w:b/>
          <w:bCs/>
          <w:sz w:val="32"/>
          <w:szCs w:val="32"/>
        </w:rPr>
      </w:pPr>
      <w:r>
        <w:rPr>
          <w:rFonts w:ascii="楷体" w:hAnsi="楷体" w:eastAsia="楷体" w:cs="仿宋_GB2312"/>
          <w:b/>
          <w:bCs/>
          <w:sz w:val="32"/>
          <w:szCs w:val="32"/>
        </w:rPr>
        <w:t>（二）部门财政资金支出情况</w:t>
      </w:r>
    </w:p>
    <w:p>
      <w:pPr>
        <w:widowControl/>
        <w:adjustRightInd w:val="0"/>
        <w:snapToGrid w:val="0"/>
        <w:spacing w:line="576" w:lineRule="exact"/>
        <w:ind w:right="-523" w:rightChars="-249" w:firstLine="640" w:firstLineChars="200"/>
        <w:jc w:val="left"/>
        <w:rPr>
          <w:rFonts w:ascii="仿宋_GB2312" w:eastAsia="仿宋_GB2312"/>
          <w:sz w:val="32"/>
          <w:szCs w:val="32"/>
        </w:rPr>
      </w:pPr>
      <w:r>
        <w:rPr>
          <w:rFonts w:hint="eastAsia" w:ascii="仿宋_GB2312" w:eastAsia="仿宋_GB2312"/>
          <w:sz w:val="32"/>
          <w:szCs w:val="32"/>
        </w:rPr>
        <w:t>2018年我局财政资金总支出：342.87万元，全部用于正常支出。按支出功能分：社会保障和就业支出303.86万元，主要用于本单位人员工资、照规定标准为职工缴纳的机关事业单位养老保险和职业年金、保障日常运转以及为完成特定行政工作任务和事业发展目标而安排的年度项目支出；医疗卫生与计划生育支出</w:t>
      </w:r>
      <w:r>
        <w:rPr>
          <w:rFonts w:ascii="仿宋_GB2312" w:eastAsia="仿宋_GB2312"/>
          <w:sz w:val="32"/>
          <w:szCs w:val="32"/>
        </w:rPr>
        <w:t>16</w:t>
      </w:r>
      <w:r>
        <w:rPr>
          <w:rFonts w:hint="eastAsia" w:ascii="仿宋_GB2312" w:eastAsia="仿宋_GB2312"/>
          <w:sz w:val="32"/>
          <w:szCs w:val="32"/>
        </w:rPr>
        <w:t>.70</w:t>
      </w:r>
      <w:r>
        <w:rPr>
          <w:rFonts w:ascii="仿宋_GB2312" w:eastAsia="仿宋_GB2312"/>
          <w:sz w:val="32"/>
          <w:szCs w:val="32"/>
        </w:rPr>
        <w:t>万</w:t>
      </w:r>
      <w:r>
        <w:rPr>
          <w:rFonts w:hint="eastAsia" w:ascii="仿宋_GB2312" w:eastAsia="仿宋_GB2312"/>
          <w:sz w:val="32"/>
          <w:szCs w:val="32"/>
        </w:rPr>
        <w:t>元，主要用于事业单位按照规定标准为职工缴纳的基本医疗保险及公务员医疗补助等支出；住房保障支出：22.31万元，用于单位按照规定标准为职工缴纳住房公积金支出。</w:t>
      </w:r>
    </w:p>
    <w:p>
      <w:pPr>
        <w:pStyle w:val="3"/>
        <w:spacing w:line="576" w:lineRule="exact"/>
        <w:ind w:firstLine="640" w:firstLineChars="200"/>
        <w:rPr>
          <w:rFonts w:ascii="黑体" w:hAnsi="黑体" w:eastAsia="黑体" w:cs="黑体"/>
          <w:b w:val="0"/>
          <w:bCs w:val="0"/>
        </w:rPr>
      </w:pPr>
      <w:r>
        <w:rPr>
          <w:rFonts w:ascii="黑体" w:hAnsi="黑体" w:eastAsia="黑体" w:cs="黑体"/>
          <w:b w:val="0"/>
          <w:bCs w:val="0"/>
        </w:rPr>
        <w:t>三、部门整体预算绩效管理情况</w:t>
      </w:r>
    </w:p>
    <w:p>
      <w:pPr>
        <w:pStyle w:val="3"/>
        <w:spacing w:line="576" w:lineRule="exact"/>
        <w:ind w:firstLine="642" w:firstLineChars="200"/>
        <w:rPr>
          <w:rFonts w:ascii="仿宋" w:hAnsi="仿宋" w:eastAsia="仿宋" w:cs="仿宋_GB2312"/>
        </w:rPr>
      </w:pPr>
      <w:r>
        <w:rPr>
          <w:rFonts w:ascii="仿宋" w:hAnsi="仿宋" w:eastAsia="仿宋" w:cs="仿宋_GB2312"/>
        </w:rPr>
        <w:t>（一）</w:t>
      </w:r>
      <w:r>
        <w:rPr>
          <w:rFonts w:ascii="楷体" w:hAnsi="楷体" w:eastAsia="楷体" w:cs="仿宋_GB2312"/>
        </w:rPr>
        <w:t>部门预算管理</w:t>
      </w:r>
    </w:p>
    <w:p>
      <w:pPr>
        <w:pStyle w:val="30"/>
        <w:spacing w:line="576" w:lineRule="exact"/>
        <w:ind w:right="-342" w:rightChars="-163" w:firstLine="640" w:firstLineChars="200"/>
        <w:rPr>
          <w:rFonts w:ascii="仿宋_GB2312" w:hAnsi="黑体" w:eastAsia="仿宋_GB2312"/>
          <w:color w:val="000000"/>
          <w:sz w:val="32"/>
          <w:szCs w:val="32"/>
        </w:rPr>
      </w:pPr>
      <w:r>
        <w:rPr>
          <w:rFonts w:ascii="仿宋_GB2312" w:hAnsi="黑体" w:eastAsia="仿宋_GB2312"/>
          <w:color w:val="000000"/>
          <w:sz w:val="32"/>
          <w:szCs w:val="32"/>
        </w:rPr>
        <w:t>1.</w:t>
      </w:r>
      <w:r>
        <w:rPr>
          <w:rFonts w:hint="eastAsia" w:ascii="仿宋_GB2312" w:hAnsi="黑体" w:eastAsia="仿宋_GB2312"/>
          <w:color w:val="000000"/>
          <w:sz w:val="32"/>
          <w:szCs w:val="32"/>
        </w:rPr>
        <w:t>预算编制情况</w:t>
      </w:r>
    </w:p>
    <w:p>
      <w:pPr>
        <w:pStyle w:val="30"/>
        <w:spacing w:line="576" w:lineRule="exact"/>
        <w:ind w:right="-342" w:rightChars="-163" w:firstLine="640" w:firstLineChars="200"/>
        <w:rPr>
          <w:rFonts w:ascii="仿宋_GB2312" w:eastAsia="仿宋_GB2312"/>
          <w:sz w:val="32"/>
          <w:szCs w:val="32"/>
        </w:rPr>
      </w:pPr>
      <w:r>
        <w:rPr>
          <w:rFonts w:hint="eastAsia" w:ascii="仿宋_GB2312" w:eastAsia="仿宋_GB2312"/>
          <w:sz w:val="32"/>
          <w:szCs w:val="32"/>
        </w:rPr>
        <w:t>我局严格按照相关的规定和要求根据单位的实际经费使用情况，编制预算和决算报表。在每年9、10月及年底按时编制完成下一年度的预算报表和本年度决算报表的基础上，做到编制准确、指标细化。并按县级部门预算编制通知和有关要求按时向有关检查部门提交部门预算草案。</w:t>
      </w:r>
    </w:p>
    <w:p>
      <w:pPr>
        <w:pStyle w:val="30"/>
        <w:spacing w:line="576" w:lineRule="exact"/>
        <w:ind w:right="-342" w:rightChars="-163" w:firstLine="640" w:firstLineChars="200"/>
        <w:rPr>
          <w:rFonts w:ascii="仿宋_GB2312" w:hAnsi="黑体" w:eastAsia="仿宋_GB2312"/>
          <w:color w:val="000000"/>
          <w:sz w:val="32"/>
          <w:szCs w:val="32"/>
        </w:rPr>
      </w:pPr>
      <w:r>
        <w:rPr>
          <w:rFonts w:ascii="仿宋_GB2312" w:hAnsi="黑体" w:eastAsia="仿宋_GB2312"/>
          <w:color w:val="000000"/>
          <w:sz w:val="32"/>
          <w:szCs w:val="32"/>
        </w:rPr>
        <w:t>2.</w:t>
      </w:r>
      <w:r>
        <w:rPr>
          <w:rFonts w:hint="eastAsia" w:ascii="仿宋_GB2312" w:hAnsi="黑体" w:eastAsia="仿宋_GB2312"/>
          <w:color w:val="000000"/>
          <w:sz w:val="32"/>
          <w:szCs w:val="32"/>
        </w:rPr>
        <w:t>决算编制情况</w:t>
      </w:r>
    </w:p>
    <w:p>
      <w:pPr>
        <w:pStyle w:val="30"/>
        <w:spacing w:line="576" w:lineRule="exact"/>
        <w:ind w:right="-342" w:rightChars="-163"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严格按照县级部门决算编制通知和有关文件要求，在部门决算报表软件中按时按质完成报送及决算编制等工作，并提交部门决算编制说明及决算分析报告，县财政局根据单位提交的决算编制数据进行审核。决算数据全面真实地反映了本单位全年财政资金收支及使用情况，不存在应编未编、错误列编、重现调整决算资金总额度的现象。</w:t>
      </w:r>
    </w:p>
    <w:p>
      <w:pPr>
        <w:spacing w:line="576" w:lineRule="exact"/>
        <w:ind w:right="-523" w:rightChars="-249" w:firstLine="640" w:firstLineChars="200"/>
        <w:rPr>
          <w:rFonts w:ascii="仿宋_GB2312" w:eastAsia="仿宋_GB2312"/>
          <w:sz w:val="32"/>
          <w:szCs w:val="32"/>
        </w:rPr>
      </w:pPr>
      <w:r>
        <w:rPr>
          <w:rFonts w:hint="eastAsia" w:ascii="仿宋_GB2312" w:eastAsia="仿宋_GB2312"/>
          <w:sz w:val="32"/>
          <w:szCs w:val="32"/>
        </w:rPr>
        <w:t>3.预算执行情况</w:t>
      </w:r>
    </w:p>
    <w:p>
      <w:pPr>
        <w:pStyle w:val="30"/>
        <w:spacing w:line="576" w:lineRule="exact"/>
        <w:ind w:right="-342" w:rightChars="-163" w:firstLine="640" w:firstLineChars="200"/>
        <w:rPr>
          <w:rFonts w:ascii="仿宋_GB2312" w:hAnsi="宋体" w:eastAsia="仿宋_GB2312"/>
          <w:color w:val="000000"/>
          <w:sz w:val="32"/>
          <w:szCs w:val="32"/>
          <w:shd w:val="clear" w:color="auto" w:fill="FFFFFF"/>
        </w:rPr>
      </w:pPr>
      <w:r>
        <w:rPr>
          <w:rFonts w:hint="eastAsia" w:ascii="仿宋_GB2312" w:eastAsia="仿宋_GB2312"/>
          <w:sz w:val="32"/>
          <w:szCs w:val="32"/>
        </w:rPr>
        <w:t>2018年我局部门预算累计支出：342.8</w:t>
      </w:r>
      <w:r>
        <w:rPr>
          <w:rFonts w:hint="eastAsia" w:ascii="仿宋_GB2312" w:eastAsia="仿宋_GB2312"/>
          <w:sz w:val="32"/>
          <w:szCs w:val="32"/>
          <w:lang w:val="en-US" w:eastAsia="zh-CN"/>
        </w:rPr>
        <w:t>7</w:t>
      </w:r>
      <w:r>
        <w:rPr>
          <w:rFonts w:hint="eastAsia" w:ascii="仿宋_GB2312" w:eastAsia="仿宋_GB2312"/>
          <w:sz w:val="32"/>
          <w:szCs w:val="32"/>
        </w:rPr>
        <w:t>万元；预算执行进度是98.32%。较2017年同期数274.17万元，增加68.70万元。主要原因一是</w:t>
      </w:r>
      <w:r>
        <w:rPr>
          <w:rFonts w:hint="eastAsia" w:ascii="仿宋_GB2312" w:hAnsi="仿宋" w:eastAsia="仿宋_GB2312" w:cs="仿宋"/>
          <w:sz w:val="32"/>
          <w:szCs w:val="32"/>
        </w:rPr>
        <w:t>本年职工工资标准正常上调。</w:t>
      </w:r>
      <w:r>
        <w:rPr>
          <w:rFonts w:ascii="仿宋_GB2312" w:hAnsi="仿宋" w:eastAsia="仿宋_GB2312" w:cs="仿宋"/>
          <w:sz w:val="32"/>
          <w:szCs w:val="32"/>
        </w:rPr>
        <w:t>二是</w:t>
      </w:r>
      <w:r>
        <w:rPr>
          <w:rFonts w:hint="eastAsia" w:ascii="仿宋_GB2312" w:hAnsi="仿宋" w:eastAsia="仿宋_GB2312" w:cs="仿宋"/>
          <w:sz w:val="32"/>
          <w:szCs w:val="32"/>
        </w:rPr>
        <w:t>职工机保、医保、住房公积金等缴费基数较去年上涨，导致上述工资福利支出及对个人和家庭补助支出单位缴纳部分预算需求较上年有所增加。</w:t>
      </w:r>
      <w:r>
        <w:rPr>
          <w:rFonts w:ascii="仿宋_GB2312" w:hAnsi="仿宋" w:eastAsia="仿宋_GB2312" w:cs="仿宋"/>
          <w:sz w:val="32"/>
          <w:szCs w:val="32"/>
        </w:rPr>
        <w:t>三是201</w:t>
      </w:r>
      <w:r>
        <w:rPr>
          <w:rFonts w:hint="eastAsia" w:ascii="仿宋_GB2312" w:hAnsi="仿宋" w:eastAsia="仿宋_GB2312" w:cs="仿宋"/>
          <w:sz w:val="32"/>
          <w:szCs w:val="32"/>
        </w:rPr>
        <w:t>8年预算人数为23人，较</w:t>
      </w:r>
      <w:r>
        <w:rPr>
          <w:rFonts w:ascii="仿宋_GB2312" w:hAnsi="仿宋" w:eastAsia="仿宋_GB2312" w:cs="仿宋"/>
          <w:sz w:val="32"/>
          <w:szCs w:val="32"/>
        </w:rPr>
        <w:t>201</w:t>
      </w:r>
      <w:r>
        <w:rPr>
          <w:rFonts w:hint="eastAsia" w:ascii="仿宋_GB2312" w:hAnsi="仿宋" w:eastAsia="仿宋_GB2312" w:cs="仿宋"/>
          <w:sz w:val="32"/>
          <w:szCs w:val="32"/>
        </w:rPr>
        <w:t>7年增加8人，根据预算“定员定额”的编制原则，预算收入较上年有所增加。</w:t>
      </w:r>
    </w:p>
    <w:p>
      <w:pPr>
        <w:pStyle w:val="3"/>
        <w:spacing w:line="576" w:lineRule="exact"/>
        <w:ind w:firstLine="642" w:firstLineChars="200"/>
        <w:rPr>
          <w:rFonts w:ascii="楷体" w:hAnsi="楷体" w:eastAsia="楷体" w:cs="仿宋_GB2312"/>
        </w:rPr>
      </w:pPr>
      <w:r>
        <w:rPr>
          <w:rFonts w:hint="eastAsia" w:ascii="楷体" w:hAnsi="楷体" w:eastAsia="楷体" w:cs="仿宋_GB2312"/>
        </w:rPr>
        <w:t>（二）</w:t>
      </w:r>
      <w:r>
        <w:rPr>
          <w:rFonts w:ascii="楷体" w:hAnsi="楷体" w:eastAsia="楷体" w:cs="仿宋_GB2312"/>
        </w:rPr>
        <w:t>专项预算管理</w:t>
      </w:r>
    </w:p>
    <w:p>
      <w:pPr>
        <w:pStyle w:val="32"/>
        <w:spacing w:line="576" w:lineRule="exact"/>
        <w:ind w:right="-523" w:rightChars="-249" w:firstLine="640" w:firstLineChars="200"/>
        <w:rPr>
          <w:rFonts w:ascii="仿宋_GB2312" w:eastAsia="仿宋_GB2312"/>
          <w:color w:val="000000"/>
          <w:sz w:val="32"/>
          <w:szCs w:val="32"/>
        </w:rPr>
      </w:pPr>
      <w:r>
        <w:rPr>
          <w:rFonts w:hint="eastAsia" w:ascii="仿宋_GB2312" w:eastAsia="仿宋_GB2312"/>
          <w:color w:val="000000"/>
          <w:sz w:val="32"/>
          <w:szCs w:val="32"/>
        </w:rPr>
        <w:t>2018年，本部门无专项预算。</w:t>
      </w:r>
    </w:p>
    <w:p>
      <w:pPr>
        <w:pStyle w:val="32"/>
        <w:spacing w:line="576" w:lineRule="exact"/>
        <w:ind w:right="-523" w:rightChars="-249" w:firstLine="642" w:firstLineChars="200"/>
        <w:rPr>
          <w:rFonts w:ascii="楷体" w:hAnsi="楷体" w:eastAsia="楷体" w:cs="仿宋_GB2312"/>
          <w:b/>
          <w:bCs/>
          <w:sz w:val="32"/>
          <w:szCs w:val="32"/>
        </w:rPr>
      </w:pPr>
      <w:r>
        <w:rPr>
          <w:rFonts w:hint="eastAsia" w:ascii="楷体" w:hAnsi="楷体" w:eastAsia="楷体" w:cs="仿宋_GB2312"/>
          <w:b/>
          <w:bCs/>
          <w:sz w:val="32"/>
          <w:szCs w:val="32"/>
        </w:rPr>
        <w:t>（三）</w:t>
      </w:r>
      <w:r>
        <w:rPr>
          <w:rFonts w:ascii="楷体" w:hAnsi="楷体" w:eastAsia="楷体" w:cs="仿宋_GB2312"/>
          <w:b/>
          <w:bCs/>
          <w:sz w:val="32"/>
          <w:szCs w:val="32"/>
        </w:rPr>
        <w:t>结果应用情况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对部门预算绩效管理工作开展情况认真进行了自查自评。开展绩效评价自查，将评价结果作为预算安排的重要依据，不断强化绩效理念，推动我局部门整体绩效管理水平，不断提升我局所有财政资金支出主要用于保障本单位机构正常运转、完成日常工作任务以及承担社会保险事业发展相关工作。</w:t>
      </w:r>
    </w:p>
    <w:p>
      <w:pPr>
        <w:pStyle w:val="3"/>
        <w:spacing w:line="576" w:lineRule="exact"/>
        <w:ind w:firstLine="640" w:firstLineChars="200"/>
        <w:rPr>
          <w:rFonts w:ascii="黑体" w:hAnsi="黑体" w:eastAsia="黑体" w:cs="黑体"/>
          <w:b w:val="0"/>
          <w:bCs w:val="0"/>
        </w:rPr>
      </w:pPr>
      <w:r>
        <w:rPr>
          <w:rFonts w:ascii="黑体" w:hAnsi="黑体" w:eastAsia="黑体" w:cs="黑体"/>
          <w:b w:val="0"/>
          <w:bCs w:val="0"/>
        </w:rPr>
        <w:t>四、评价结论及建议</w:t>
      </w:r>
    </w:p>
    <w:p>
      <w:pPr>
        <w:pStyle w:val="3"/>
        <w:spacing w:line="576" w:lineRule="exact"/>
        <w:ind w:firstLine="642" w:firstLineChars="200"/>
        <w:rPr>
          <w:rFonts w:ascii="楷体" w:hAnsi="楷体" w:eastAsia="楷体" w:cs="仿宋_GB2312"/>
        </w:rPr>
      </w:pPr>
      <w:r>
        <w:rPr>
          <w:rFonts w:ascii="楷体" w:hAnsi="楷体" w:eastAsia="楷体" w:cs="仿宋_GB2312"/>
        </w:rPr>
        <w:t>（一）评价结论</w:t>
      </w:r>
    </w:p>
    <w:p>
      <w:pPr>
        <w:pStyle w:val="33"/>
        <w:spacing w:line="576" w:lineRule="exact"/>
        <w:ind w:right="-523" w:rightChars="-249"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我局按照茂财发【2019】40号文件的规定和要求，认真开展自评工作。通过自评，2018年部门整体支出绩效评价自查自评结果良好，保证了部门的正常运行和日常工作的正常开展。自评得分98.5分。</w:t>
      </w:r>
    </w:p>
    <w:tbl>
      <w:tblPr>
        <w:tblStyle w:val="13"/>
        <w:tblW w:w="9665" w:type="dxa"/>
        <w:tblInd w:w="0" w:type="dxa"/>
        <w:tblLayout w:type="fixed"/>
        <w:tblCellMar>
          <w:top w:w="0" w:type="dxa"/>
          <w:left w:w="0" w:type="dxa"/>
          <w:bottom w:w="0" w:type="dxa"/>
          <w:right w:w="0" w:type="dxa"/>
        </w:tblCellMar>
      </w:tblPr>
      <w:tblGrid>
        <w:gridCol w:w="948"/>
        <w:gridCol w:w="877"/>
        <w:gridCol w:w="1113"/>
        <w:gridCol w:w="2322"/>
        <w:gridCol w:w="438"/>
        <w:gridCol w:w="632"/>
        <w:gridCol w:w="3335"/>
      </w:tblGrid>
      <w:tr>
        <w:tblPrEx>
          <w:tblCellMar>
            <w:top w:w="0" w:type="dxa"/>
            <w:left w:w="0" w:type="dxa"/>
            <w:bottom w:w="0" w:type="dxa"/>
            <w:right w:w="0" w:type="dxa"/>
          </w:tblCellMar>
        </w:tblPrEx>
        <w:trPr>
          <w:trHeight w:val="600" w:hRule="atLeast"/>
        </w:trPr>
        <w:tc>
          <w:tcPr>
            <w:tcW w:w="9665" w:type="dxa"/>
            <w:gridSpan w:val="7"/>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2018年县级部门整体支出绩效评价指标体系</w:t>
            </w:r>
          </w:p>
        </w:tc>
      </w:tr>
      <w:tr>
        <w:tblPrEx>
          <w:tblCellMar>
            <w:top w:w="0" w:type="dxa"/>
            <w:left w:w="0" w:type="dxa"/>
            <w:bottom w:w="0" w:type="dxa"/>
            <w:right w:w="0" w:type="dxa"/>
          </w:tblCellMar>
        </w:tblPrEx>
        <w:trPr>
          <w:trHeight w:val="48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指标解释</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扣分</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扣分  理由</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计分标准（备注）</w:t>
            </w:r>
          </w:p>
        </w:tc>
      </w:tr>
      <w:tr>
        <w:tblPrEx>
          <w:tblCellMar>
            <w:top w:w="0" w:type="dxa"/>
            <w:left w:w="0" w:type="dxa"/>
            <w:bottom w:w="0" w:type="dxa"/>
            <w:right w:w="0" w:type="dxa"/>
          </w:tblCellMar>
        </w:tblPrEx>
        <w:trPr>
          <w:trHeight w:val="760" w:hRule="atLeast"/>
        </w:trPr>
        <w:tc>
          <w:tcPr>
            <w:tcW w:w="94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预算编制   （10分）</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报送时效     （1分）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基础信息更新（1分）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部门是否按照县级部门预算编制通知和有关要求，按时完成基础库、项目库报送工作</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超过规定5个工作日扣0.5分，10个工作日扣1分，以此类推，直至扣完</w:t>
            </w:r>
          </w:p>
        </w:tc>
      </w:tr>
      <w:tr>
        <w:tblPrEx>
          <w:tblCellMar>
            <w:top w:w="0" w:type="dxa"/>
            <w:left w:w="0" w:type="dxa"/>
            <w:bottom w:w="0" w:type="dxa"/>
            <w:right w:w="0" w:type="dxa"/>
          </w:tblCellMar>
        </w:tblPrEx>
        <w:trPr>
          <w:trHeight w:val="84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编制质量     （2分）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预算编制准确（1分）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（预算资金总来源-中期评估调整取消资金-预算结余注销资金）÷预算资金总来源*指标分值</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其中：预算资金总来源是指县级年初预算与执行中追加预算（不含当年专款）总和</w:t>
            </w:r>
          </w:p>
        </w:tc>
      </w:tr>
      <w:tr>
        <w:tblPrEx>
          <w:tblCellMar>
            <w:top w:w="0" w:type="dxa"/>
            <w:left w:w="0" w:type="dxa"/>
            <w:bottom w:w="0" w:type="dxa"/>
            <w:right w:w="0" w:type="dxa"/>
          </w:tblCellMar>
        </w:tblPrEx>
        <w:trPr>
          <w:trHeight w:val="63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部门预算审查（1分）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155" w:leftChars="-74"/>
              <w:jc w:val="center"/>
              <w:textAlignment w:val="center"/>
              <w:rPr>
                <w:rFonts w:ascii="宋体" w:hAnsi="宋体" w:cs="宋体"/>
                <w:color w:val="000000"/>
                <w:sz w:val="18"/>
                <w:szCs w:val="18"/>
              </w:rPr>
            </w:pPr>
            <w:r>
              <w:rPr>
                <w:rFonts w:hint="eastAsia" w:ascii="宋体" w:hAnsi="宋体" w:cs="宋体"/>
                <w:color w:val="000000"/>
                <w:kern w:val="0"/>
                <w:sz w:val="18"/>
                <w:szCs w:val="18"/>
              </w:rPr>
              <w:t>根据县人大财经委对预算     草案审查结果进行考核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对财经委审查后提出并确需修改的问题，每个问题扣0.02分，直至扣完</w:t>
            </w:r>
          </w:p>
        </w:tc>
      </w:tr>
      <w:tr>
        <w:tblPrEx>
          <w:tblCellMar>
            <w:top w:w="0" w:type="dxa"/>
            <w:left w:w="0" w:type="dxa"/>
            <w:bottom w:w="0" w:type="dxa"/>
            <w:right w:w="0" w:type="dxa"/>
          </w:tblCellMar>
        </w:tblPrEx>
        <w:trPr>
          <w:trHeight w:val="84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1020"/>
              </w:tabs>
              <w:jc w:val="center"/>
              <w:textAlignment w:val="center"/>
              <w:rPr>
                <w:rFonts w:ascii="宋体" w:hAnsi="宋体" w:cs="宋体"/>
                <w:color w:val="000000"/>
                <w:sz w:val="18"/>
                <w:szCs w:val="18"/>
              </w:rPr>
            </w:pPr>
            <w:r>
              <w:rPr>
                <w:rFonts w:hint="eastAsia" w:ascii="宋体" w:hAnsi="宋体" w:cs="宋体"/>
                <w:color w:val="000000"/>
                <w:kern w:val="0"/>
                <w:sz w:val="18"/>
                <w:szCs w:val="18"/>
              </w:rPr>
              <w:t>绩效目标     （5分）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部门整体绩效目标（2分）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部门整体绩效目标编制完整、合理</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绩效目标编制不够细致</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部门整体绩效目标能完整、合理反映部门年度职责履行情况的得分，否则不得分</w:t>
            </w:r>
          </w:p>
        </w:tc>
      </w:tr>
      <w:tr>
        <w:tblPrEx>
          <w:tblCellMar>
            <w:top w:w="0" w:type="dxa"/>
            <w:left w:w="0" w:type="dxa"/>
            <w:bottom w:w="0" w:type="dxa"/>
            <w:right w:w="0" w:type="dxa"/>
          </w:tblCellMar>
        </w:tblPrEx>
        <w:trPr>
          <w:trHeight w:val="480" w:hRule="atLeast"/>
        </w:trPr>
        <w:tc>
          <w:tcPr>
            <w:tcW w:w="9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重点项目绩效目标（3分）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项目绩效目标编制明确、量化</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项目支出绩效目标编制不明确和量化的发现一个扣0.5分，直至扣完</w:t>
            </w:r>
          </w:p>
        </w:tc>
      </w:tr>
      <w:tr>
        <w:tblPrEx>
          <w:tblCellMar>
            <w:top w:w="0" w:type="dxa"/>
            <w:left w:w="0" w:type="dxa"/>
            <w:bottom w:w="0" w:type="dxa"/>
            <w:right w:w="0" w:type="dxa"/>
          </w:tblCellMar>
        </w:tblPrEx>
        <w:trPr>
          <w:trHeight w:val="420"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   （20分）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财力专项预算分配时限（4分）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按规定及时分配财力专项预算</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按《预算法》规定时限完成分配的考核得分，否则不得分</w:t>
            </w:r>
          </w:p>
        </w:tc>
      </w:tr>
      <w:tr>
        <w:tblPrEx>
          <w:tblCellMar>
            <w:top w:w="0" w:type="dxa"/>
            <w:left w:w="0" w:type="dxa"/>
            <w:bottom w:w="0" w:type="dxa"/>
            <w:right w:w="0" w:type="dxa"/>
          </w:tblCellMar>
        </w:tblPrEx>
        <w:trPr>
          <w:trHeight w:val="4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部门预算执行进度（6分）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部门按要求严格预算执行管理</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部门预算实际列支数÷部门预算总额*指标分值</w:t>
            </w:r>
          </w:p>
        </w:tc>
      </w:tr>
      <w:tr>
        <w:tblPrEx>
          <w:tblCellMar>
            <w:top w:w="0" w:type="dxa"/>
            <w:left w:w="0" w:type="dxa"/>
            <w:bottom w:w="0" w:type="dxa"/>
            <w:right w:w="0" w:type="dxa"/>
          </w:tblCellMar>
        </w:tblPrEx>
        <w:trPr>
          <w:trHeight w:val="70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预算调整 （4分）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执行中期评估（4分）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部门中期评估调整取消资金÷(中期评估调整取消资金+预算结余注销资金）*指标分值</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当中期评估调整取消资金与结余注销资金之和为零时，得满分</w:t>
            </w:r>
          </w:p>
        </w:tc>
      </w:tr>
      <w:tr>
        <w:tblPrEx>
          <w:tblCellMar>
            <w:top w:w="0" w:type="dxa"/>
            <w:left w:w="0" w:type="dxa"/>
            <w:bottom w:w="0" w:type="dxa"/>
            <w:right w:w="0" w:type="dxa"/>
          </w:tblCellMar>
        </w:tblPrEx>
        <w:trPr>
          <w:trHeight w:val="7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行政成本 （6分）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三公经费（6分）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严格执行“三公经费”预算</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部门“三公”经费决算数一项超预算扣1分，两项超预算扣2分，以此类推，直至扣完</w:t>
            </w:r>
          </w:p>
        </w:tc>
      </w:tr>
      <w:tr>
        <w:tblPrEx>
          <w:tblCellMar>
            <w:top w:w="0" w:type="dxa"/>
            <w:left w:w="0" w:type="dxa"/>
            <w:bottom w:w="0" w:type="dxa"/>
            <w:right w:w="0" w:type="dxa"/>
          </w:tblCellMar>
        </w:tblPrEx>
        <w:trPr>
          <w:trHeight w:val="420" w:hRule="atLeast"/>
        </w:trPr>
        <w:tc>
          <w:tcPr>
            <w:tcW w:w="94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综合管理   （40分）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政府采购 实施计划   （4分）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政府采购实施计划编制（2分）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实施计划与政府采购预算的一致性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（1-调整或细化资金/政府采购预算资金）*分值</w:t>
            </w:r>
          </w:p>
        </w:tc>
      </w:tr>
      <w:tr>
        <w:tblPrEx>
          <w:tblCellMar>
            <w:top w:w="0" w:type="dxa"/>
            <w:left w:w="0" w:type="dxa"/>
            <w:bottom w:w="0" w:type="dxa"/>
            <w:right w:w="0" w:type="dxa"/>
          </w:tblCellMar>
        </w:tblPrEx>
        <w:trPr>
          <w:trHeight w:val="6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政府采购实施计划的执行（2分）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126" w:leftChars="60"/>
              <w:jc w:val="left"/>
              <w:textAlignment w:val="center"/>
              <w:rPr>
                <w:rFonts w:ascii="宋体" w:hAnsi="宋体" w:cs="宋体"/>
                <w:color w:val="000000"/>
                <w:sz w:val="18"/>
                <w:szCs w:val="18"/>
              </w:rPr>
            </w:pPr>
            <w:r>
              <w:rPr>
                <w:rFonts w:hint="eastAsia" w:ascii="宋体" w:hAnsi="宋体" w:cs="宋体"/>
                <w:color w:val="000000"/>
                <w:kern w:val="0"/>
                <w:sz w:val="18"/>
                <w:szCs w:val="18"/>
              </w:rPr>
              <w:t>执行的实施计划与备案的实施计划的一致性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（1-实施计划备案后的调整或细化资金/实施计划备案后的资金）*分值</w:t>
            </w:r>
          </w:p>
        </w:tc>
      </w:tr>
      <w:tr>
        <w:tblPrEx>
          <w:tblCellMar>
            <w:top w:w="0" w:type="dxa"/>
            <w:left w:w="0" w:type="dxa"/>
            <w:bottom w:w="0" w:type="dxa"/>
            <w:right w:w="0" w:type="dxa"/>
          </w:tblCellMar>
        </w:tblPrEx>
        <w:trPr>
          <w:trHeight w:val="10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资产管理 （6分）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48"/>
              </w:tabs>
              <w:jc w:val="center"/>
              <w:textAlignment w:val="center"/>
              <w:rPr>
                <w:rFonts w:ascii="宋体" w:hAnsi="宋体" w:cs="宋体"/>
                <w:color w:val="000000"/>
                <w:sz w:val="18"/>
                <w:szCs w:val="18"/>
              </w:rPr>
            </w:pPr>
            <w:r>
              <w:rPr>
                <w:rFonts w:hint="eastAsia" w:ascii="宋体" w:hAnsi="宋体" w:cs="宋体"/>
                <w:color w:val="000000"/>
                <w:kern w:val="0"/>
                <w:sz w:val="18"/>
                <w:szCs w:val="18"/>
              </w:rPr>
              <w:t>资产管理信息系统建设情况（2分）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考核部门和单位将国有资产纳入资产信息系统管理情况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①未将所属单位国有资产纳入系统管理，每少一个单位扣1分。②未将资产变动情况及时录入系统，每次扣0.5分。③未落实人员负责管理系统，扣1分。</w:t>
            </w:r>
          </w:p>
        </w:tc>
      </w:tr>
      <w:tr>
        <w:tblPrEx>
          <w:tblCellMar>
            <w:top w:w="0" w:type="dxa"/>
            <w:left w:w="0" w:type="dxa"/>
            <w:bottom w:w="0" w:type="dxa"/>
            <w:right w:w="0" w:type="dxa"/>
          </w:tblCellMar>
        </w:tblPrEx>
        <w:trPr>
          <w:trHeight w:val="174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行政事业单位资产清查开展情况（2分）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考核行政事业单位按要求及时、准确、全面开展资产清查工作情况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CellMar>
            <w:top w:w="0" w:type="dxa"/>
            <w:left w:w="0" w:type="dxa"/>
            <w:bottom w:w="0" w:type="dxa"/>
            <w:right w:w="0" w:type="dxa"/>
          </w:tblCellMar>
        </w:tblPrEx>
        <w:trPr>
          <w:trHeight w:val="12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行政事业单位资产报表上报情况（2分）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考核行政事业单位上报国有资产报表数据的真实性、准确性、全面性</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①未落实专人负责资产报表，未及时上报资产报表扣1分。②报表填报不规范，内容不完整，数据不真实，扣1分。③未提交分析报告，对资产变动情况未作分析说明，扣1分。</w:t>
            </w:r>
          </w:p>
        </w:tc>
      </w:tr>
      <w:tr>
        <w:tblPrEx>
          <w:tblCellMar>
            <w:top w:w="0" w:type="dxa"/>
            <w:left w:w="0" w:type="dxa"/>
            <w:bottom w:w="0" w:type="dxa"/>
            <w:right w:w="0" w:type="dxa"/>
          </w:tblCellMar>
        </w:tblPrEx>
        <w:trPr>
          <w:trHeight w:val="11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内控制度管理（4分）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内部控制度健全完整（4分）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考核部门内部控制制度的设置和执行情况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kern w:val="0"/>
                <w:sz w:val="18"/>
                <w:szCs w:val="18"/>
              </w:rPr>
              <w:t>内部报告编写的不很完整细致。</w:t>
            </w: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内部控制制度健全完整并执行良好的得分，否则不得分。在本年度内因内控制度不健全或执行不到位，造成单位出现廉政风险或发生重大责任事故的不得分。</w:t>
            </w:r>
          </w:p>
        </w:tc>
      </w:tr>
      <w:tr>
        <w:tblPrEx>
          <w:tblCellMar>
            <w:top w:w="0" w:type="dxa"/>
            <w:left w:w="0" w:type="dxa"/>
            <w:bottom w:w="0" w:type="dxa"/>
            <w:right w:w="0" w:type="dxa"/>
          </w:tblCellMar>
        </w:tblPrEx>
        <w:trPr>
          <w:trHeight w:val="12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信息公开（10分）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预算公开（4分）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除涉密信息外，各部门要在财政部门批复后二十日内向社会公开本部门预算（含所有财政资金安排的“三公”经费、机关运行经费的安排、使用情况等）</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按县财政通知要求公开预算，未按要求公开的，发现一处扣0.5分，直至扣完</w:t>
            </w:r>
          </w:p>
        </w:tc>
      </w:tr>
      <w:tr>
        <w:tblPrEx>
          <w:tblCellMar>
            <w:top w:w="0" w:type="dxa"/>
            <w:left w:w="0" w:type="dxa"/>
            <w:bottom w:w="0" w:type="dxa"/>
            <w:right w:w="0" w:type="dxa"/>
          </w:tblCellMar>
        </w:tblPrEx>
        <w:trPr>
          <w:trHeight w:val="12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决算公开（4分）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除涉密信息外，各部门要在财政部门批复二十日内向社会公开本部门决算（含所有财政资金安排的“三公”经费、机关运行经费的安排、使用情况等）</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未按要求公开的，发现一处问题0.5分，直至扣完</w:t>
            </w:r>
          </w:p>
        </w:tc>
      </w:tr>
      <w:tr>
        <w:tblPrEx>
          <w:tblCellMar>
            <w:top w:w="0" w:type="dxa"/>
            <w:left w:w="0" w:type="dxa"/>
            <w:bottom w:w="0" w:type="dxa"/>
            <w:right w:w="0" w:type="dxa"/>
          </w:tblCellMar>
        </w:tblPrEx>
        <w:trPr>
          <w:trHeight w:val="63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绩效信息公开（2分）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按要求公开部门整体支出绩效自评报告及其他按要求应公开的绩效信息</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未按要求公开的，发现一处问题0.5分，直至扣完</w:t>
            </w:r>
          </w:p>
        </w:tc>
      </w:tr>
      <w:tr>
        <w:tblPrEx>
          <w:tblCellMar>
            <w:top w:w="0" w:type="dxa"/>
            <w:left w:w="0" w:type="dxa"/>
            <w:bottom w:w="0" w:type="dxa"/>
            <w:right w:w="0" w:type="dxa"/>
          </w:tblCellMar>
        </w:tblPrEx>
        <w:trPr>
          <w:trHeight w:val="12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绩效评价（10分）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评价项目覆盖率（2分）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部门实施绩效评价项目数量占部门管理专项预算项目数量的比重，部门申报绩效目标项目数量的比重，用以反映和考核部门实施绩效评价项目资金覆盖情况</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评价覆盖率=实施绩效评价项目数量/部门管理专项预算项目数量×100%</w:t>
            </w:r>
          </w:p>
        </w:tc>
      </w:tr>
      <w:tr>
        <w:tblPrEx>
          <w:tblCellMar>
            <w:top w:w="0" w:type="dxa"/>
            <w:left w:w="0" w:type="dxa"/>
            <w:bottom w:w="0" w:type="dxa"/>
            <w:right w:w="0" w:type="dxa"/>
          </w:tblCellMar>
        </w:tblPrEx>
        <w:trPr>
          <w:trHeight w:val="5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评价层次（2分）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部门（单位）是否对单位内部股室开展整体绩效评价</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对单位内部实施评价的得分，否则不得分</w:t>
            </w:r>
          </w:p>
        </w:tc>
      </w:tr>
      <w:tr>
        <w:tblPrEx>
          <w:tblCellMar>
            <w:top w:w="0" w:type="dxa"/>
            <w:left w:w="0" w:type="dxa"/>
            <w:bottom w:w="0" w:type="dxa"/>
            <w:right w:w="0" w:type="dxa"/>
          </w:tblCellMar>
        </w:tblPrEx>
        <w:trPr>
          <w:trHeight w:val="70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评价结果报告（2分）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部门是否按要求向财政部门报告自评报告等相关绩效信息</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未按要求报送的，发现一处扣0.5分，直至扣完。</w:t>
            </w:r>
          </w:p>
        </w:tc>
      </w:tr>
      <w:tr>
        <w:tblPrEx>
          <w:tblCellMar>
            <w:top w:w="0" w:type="dxa"/>
            <w:left w:w="0" w:type="dxa"/>
            <w:bottom w:w="0" w:type="dxa"/>
            <w:right w:w="0" w:type="dxa"/>
          </w:tblCellMar>
        </w:tblPrEx>
        <w:trPr>
          <w:trHeight w:val="6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整改完成率（4分）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部门是否按要求针对绩效评价发现问题制定整改措施，并整改落实到位</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完成率=应制定整改措施的项目数量/部门实际制定整改措施项目数量×100%。</w:t>
            </w:r>
          </w:p>
        </w:tc>
      </w:tr>
      <w:tr>
        <w:tblPrEx>
          <w:tblCellMar>
            <w:top w:w="0" w:type="dxa"/>
            <w:left w:w="0" w:type="dxa"/>
            <w:bottom w:w="0" w:type="dxa"/>
            <w:right w:w="0" w:type="dxa"/>
          </w:tblCellMar>
        </w:tblPrEx>
        <w:trPr>
          <w:trHeight w:val="10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依法接受财政监督（6分）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是否按要求开展自查自纠（2分）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根据相关自查自纠报告、报表报送时效和质量进行考核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未在规定时间内报送自查自纠相关材料（包括：纸质和电子版）的，扣0.5分；报告内容不完整，扣1分；报表质量差（如：数据、逻辑、勾稽关系错误）等扣0.5分；直至扣完</w:t>
            </w:r>
          </w:p>
        </w:tc>
      </w:tr>
      <w:tr>
        <w:tblPrEx>
          <w:tblCellMar>
            <w:top w:w="0" w:type="dxa"/>
            <w:left w:w="0" w:type="dxa"/>
            <w:bottom w:w="0" w:type="dxa"/>
            <w:right w:w="0" w:type="dxa"/>
          </w:tblCellMar>
        </w:tblPrEx>
        <w:trPr>
          <w:trHeight w:val="48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重点检查发现违规违纪问题（2分）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根据检查组提供的工作底稿、检查报告等资料进行考核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专项检查发现的违纪违规问题，每个问题扣0.5分，直至扣完</w:t>
            </w:r>
          </w:p>
        </w:tc>
      </w:tr>
      <w:tr>
        <w:tblPrEx>
          <w:tblCellMar>
            <w:top w:w="0" w:type="dxa"/>
            <w:left w:w="0" w:type="dxa"/>
            <w:bottom w:w="0" w:type="dxa"/>
            <w:right w:w="0" w:type="dxa"/>
          </w:tblCellMar>
        </w:tblPrEx>
        <w:trPr>
          <w:trHeight w:val="660" w:hRule="atLeast"/>
        </w:trPr>
        <w:tc>
          <w:tcPr>
            <w:tcW w:w="9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存在问题整改是否到位（2分）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根据相关整改报告、凭证依据等相关证明材料进行考核</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未在规定时间内完成整改，并提供相关证明材料的，每个问题0.5分，直至扣完</w:t>
            </w:r>
          </w:p>
        </w:tc>
      </w:tr>
      <w:tr>
        <w:tblPrEx>
          <w:tblCellMar>
            <w:top w:w="0" w:type="dxa"/>
            <w:left w:w="0" w:type="dxa"/>
            <w:bottom w:w="0" w:type="dxa"/>
            <w:right w:w="0" w:type="dxa"/>
          </w:tblCellMar>
        </w:tblPrEx>
        <w:trPr>
          <w:trHeight w:val="560"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right="120" w:rightChars="57"/>
              <w:jc w:val="center"/>
              <w:textAlignment w:val="center"/>
              <w:rPr>
                <w:rFonts w:ascii="宋体" w:hAnsi="宋体" w:cs="宋体"/>
                <w:color w:val="000000"/>
                <w:sz w:val="18"/>
                <w:szCs w:val="18"/>
              </w:rPr>
            </w:pPr>
            <w:r>
              <w:rPr>
                <w:rFonts w:hint="eastAsia" w:ascii="宋体" w:hAnsi="宋体" w:cs="宋体"/>
                <w:color w:val="000000"/>
                <w:kern w:val="0"/>
                <w:sz w:val="18"/>
                <w:szCs w:val="18"/>
              </w:rPr>
              <w:t>整体效益   （30分）</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部门整体绩效（30分）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重点项目绩效评价结果（10分）</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部门实施重大项目的经济、社会效益</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8"/>
                <w:szCs w:val="18"/>
              </w:rPr>
            </w:pPr>
          </w:p>
        </w:tc>
        <w:tc>
          <w:tcPr>
            <w:tcW w:w="3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根据县财政组织实施项目绩效评价结果换算</w:t>
            </w:r>
          </w:p>
        </w:tc>
      </w:tr>
      <w:tr>
        <w:tblPrEx>
          <w:tblCellMar>
            <w:top w:w="0" w:type="dxa"/>
            <w:left w:w="0" w:type="dxa"/>
            <w:bottom w:w="0" w:type="dxa"/>
            <w:right w:w="0" w:type="dxa"/>
          </w:tblCellMar>
        </w:tblPrEx>
        <w:trPr>
          <w:trHeight w:val="42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部门职能完成情况特性指标（20分）</w:t>
            </w:r>
          </w:p>
        </w:tc>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根据部门职能职责、州级主管部门和县委县政府安排的各项专项工作任务及其他年度重点工作任务等，汇总梳理形成能够量化衡量且全面反映部门职能工作完成情况的若干指标。</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3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部门和评价组根据部门实际设置</w:t>
            </w:r>
          </w:p>
        </w:tc>
      </w:tr>
      <w:tr>
        <w:tblPrEx>
          <w:tblCellMar>
            <w:top w:w="0" w:type="dxa"/>
            <w:left w:w="0" w:type="dxa"/>
            <w:bottom w:w="0" w:type="dxa"/>
            <w:right w:w="0" w:type="dxa"/>
          </w:tblCellMar>
        </w:tblPrEx>
        <w:trPr>
          <w:trHeight w:val="1300"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33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460" w:hRule="atLeast"/>
        </w:trPr>
        <w:tc>
          <w:tcPr>
            <w:tcW w:w="9665" w:type="dxa"/>
            <w:gridSpan w:val="7"/>
            <w:tcBorders>
              <w:top w:val="single" w:color="000000" w:sz="4" w:space="0"/>
              <w:left w:val="nil"/>
              <w:bottom w:val="nil"/>
              <w:right w:val="nil"/>
            </w:tcBorders>
            <w:tcMar>
              <w:top w:w="15" w:type="dxa"/>
              <w:left w:w="15" w:type="dxa"/>
              <w:right w:w="15" w:type="dxa"/>
            </w:tcMar>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注：若某部门不存在某项评价内容或评价指标，则该评价内容或评价指标不计入该部门考核评价范围，即该部门评价总分＝不含该评价内容或指标的评价总分/（100-该评价内容或指标所占分值）*100。</w:t>
            </w:r>
          </w:p>
        </w:tc>
      </w:tr>
    </w:tbl>
    <w:p>
      <w:pPr>
        <w:pStyle w:val="3"/>
        <w:spacing w:line="576" w:lineRule="exact"/>
        <w:ind w:firstLine="642" w:firstLineChars="200"/>
        <w:rPr>
          <w:rFonts w:ascii="楷体" w:hAnsi="楷体" w:eastAsia="楷体" w:cs="仿宋_GB2312"/>
        </w:rPr>
      </w:pPr>
      <w:r>
        <w:rPr>
          <w:rFonts w:ascii="楷体" w:hAnsi="楷体" w:eastAsia="楷体" w:cs="仿宋_GB2312"/>
        </w:rPr>
        <w:t>（二）存在问题</w:t>
      </w:r>
    </w:p>
    <w:p>
      <w:pPr>
        <w:pStyle w:val="33"/>
        <w:spacing w:line="576" w:lineRule="exact"/>
        <w:ind w:right="-523" w:rightChars="-249"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单位对部门支出相关规章制度落实力度不够，执行能力不强，在票据报销规范性方面的管理及账务处理上不够规范细致。</w:t>
      </w:r>
    </w:p>
    <w:p>
      <w:pPr>
        <w:pStyle w:val="3"/>
        <w:spacing w:line="576" w:lineRule="exact"/>
        <w:ind w:firstLine="642" w:firstLineChars="200"/>
        <w:rPr>
          <w:rFonts w:ascii="楷体" w:hAnsi="楷体" w:eastAsia="楷体" w:cs="仿宋_GB2312"/>
        </w:rPr>
      </w:pPr>
      <w:r>
        <w:rPr>
          <w:rFonts w:ascii="楷体" w:hAnsi="楷体" w:eastAsia="楷体" w:cs="仿宋_GB2312"/>
        </w:rPr>
        <w:t>（三）改进建议</w:t>
      </w:r>
    </w:p>
    <w:p>
      <w:pPr>
        <w:pStyle w:val="33"/>
        <w:spacing w:line="576" w:lineRule="exact"/>
        <w:ind w:right="-523" w:rightChars="-249"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单位财务人员在今后工作中要按照有关文件及规章制度的要求严格规范各项经费支出，细化各项经费指标的收支管理及审批程序，加大对报销票据的审核把关力度，落实岗位职责，坚守职业道德，重点对“三公”经费开支范围及标准进行准确核算，确保财务原始凭证的规范性、完整性、真实性。</w:t>
      </w:r>
    </w:p>
    <w:p>
      <w:pPr>
        <w:spacing w:line="576" w:lineRule="exact"/>
        <w:ind w:left="-540" w:leftChars="-257" w:right="-523" w:rightChars="-249"/>
        <w:rPr>
          <w:rFonts w:ascii="仿宋_GB2312" w:eastAsia="仿宋_GB2312"/>
          <w:b/>
          <w:sz w:val="32"/>
          <w:szCs w:val="32"/>
        </w:rPr>
      </w:pPr>
      <w:r>
        <w:rPr>
          <w:rStyle w:val="34"/>
          <w:rFonts w:hint="eastAsia" w:eastAsia="仿宋_GB2312" w:cs="Arial"/>
          <w:color w:val="313131"/>
          <w:sz w:val="32"/>
          <w:szCs w:val="32"/>
          <w:shd w:val="clear" w:color="auto" w:fill="FFFFFF"/>
        </w:rPr>
        <w:t> </w:t>
      </w:r>
    </w:p>
    <w:p>
      <w:pPr>
        <w:spacing w:line="580" w:lineRule="exact"/>
        <w:rPr>
          <w:rFonts w:ascii="方正小标宋简体" w:hAnsi="黑体" w:eastAsia="方正小标宋简体"/>
          <w:color w:val="000000"/>
          <w:sz w:val="44"/>
          <w:szCs w:val="44"/>
        </w:rPr>
      </w:pPr>
      <w:bookmarkStart w:id="60" w:name="_Toc15396618"/>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rPr>
          <w:rFonts w:ascii="方正小标宋简体" w:hAnsi="黑体" w:eastAsia="方正小标宋简体"/>
          <w:color w:val="000000"/>
          <w:sz w:val="44"/>
          <w:szCs w:val="44"/>
        </w:rPr>
      </w:pPr>
    </w:p>
    <w:p>
      <w:pPr>
        <w:spacing w:line="580" w:lineRule="exact"/>
        <w:jc w:val="center"/>
        <w:rPr>
          <w:rStyle w:val="25"/>
          <w:rFonts w:ascii="方正小标宋简体" w:hAnsi="黑体" w:eastAsia="方正小标宋简体"/>
          <w:b w:val="0"/>
        </w:rPr>
      </w:pPr>
      <w:r>
        <w:rPr>
          <w:rFonts w:hint="eastAsia" w:ascii="方正小标宋简体" w:hAnsi="黑体" w:eastAsia="方正小标宋简体"/>
          <w:color w:val="000000"/>
          <w:sz w:val="44"/>
          <w:szCs w:val="44"/>
        </w:rPr>
        <w:t>第</w:t>
      </w:r>
      <w:r>
        <w:rPr>
          <w:rStyle w:val="25"/>
          <w:rFonts w:hint="eastAsia" w:ascii="方正小标宋简体" w:hAnsi="黑体" w:eastAsia="方正小标宋简体"/>
          <w:b w:val="0"/>
        </w:rPr>
        <w:t>五部分 附表</w:t>
      </w:r>
      <w:bookmarkEnd w:id="57"/>
      <w:bookmarkEnd w:id="60"/>
    </w:p>
    <w:p>
      <w:pPr>
        <w:spacing w:line="600" w:lineRule="exact"/>
        <w:jc w:val="center"/>
        <w:outlineLvl w:val="0"/>
        <w:rPr>
          <w:rFonts w:ascii="仿宋" w:hAnsi="仿宋" w:eastAsia="仿宋"/>
          <w:b/>
          <w:color w:val="000000"/>
          <w:sz w:val="44"/>
          <w:szCs w:val="44"/>
        </w:rPr>
      </w:pPr>
    </w:p>
    <w:p>
      <w:pPr>
        <w:pStyle w:val="3"/>
        <w:spacing w:line="576" w:lineRule="exact"/>
        <w:rPr>
          <w:rFonts w:ascii="楷体" w:hAnsi="楷体" w:eastAsia="楷体"/>
          <w:color w:val="000000"/>
        </w:rPr>
      </w:pPr>
      <w:bookmarkStart w:id="61" w:name="_Toc15396619"/>
      <w:r>
        <w:rPr>
          <w:rFonts w:hint="eastAsia" w:ascii="仿宋" w:hAnsi="仿宋" w:eastAsia="仿宋"/>
          <w:b w:val="0"/>
          <w:color w:val="000000"/>
        </w:rPr>
        <w:t>一、</w:t>
      </w:r>
      <w:r>
        <w:rPr>
          <w:rFonts w:hint="eastAsia" w:ascii="楷体" w:hAnsi="楷体" w:eastAsia="楷体"/>
          <w:b w:val="0"/>
          <w:color w:val="000000"/>
        </w:rPr>
        <w:t>收</w:t>
      </w:r>
      <w:r>
        <w:rPr>
          <w:rStyle w:val="26"/>
          <w:rFonts w:hint="eastAsia" w:ascii="楷体" w:hAnsi="楷体" w:eastAsia="楷体"/>
          <w:b w:val="0"/>
          <w:bCs w:val="0"/>
        </w:rPr>
        <w:t>入支出决算总表</w:t>
      </w:r>
      <w:bookmarkEnd w:id="61"/>
    </w:p>
    <w:p>
      <w:pPr>
        <w:pStyle w:val="3"/>
        <w:spacing w:line="576" w:lineRule="exact"/>
        <w:rPr>
          <w:rFonts w:ascii="楷体" w:hAnsi="楷体" w:eastAsia="楷体"/>
          <w:color w:val="000000"/>
        </w:rPr>
      </w:pPr>
      <w:bookmarkStart w:id="62" w:name="_Toc15396620"/>
      <w:r>
        <w:rPr>
          <w:rFonts w:hint="eastAsia" w:ascii="楷体" w:hAnsi="楷体" w:eastAsia="楷体"/>
          <w:b w:val="0"/>
          <w:color w:val="000000"/>
        </w:rPr>
        <w:t>二、收</w:t>
      </w:r>
      <w:r>
        <w:rPr>
          <w:rStyle w:val="26"/>
          <w:rFonts w:hint="eastAsia" w:ascii="楷体" w:hAnsi="楷体" w:eastAsia="楷体"/>
          <w:b w:val="0"/>
          <w:bCs w:val="0"/>
        </w:rPr>
        <w:t>入总表</w:t>
      </w:r>
      <w:bookmarkEnd w:id="62"/>
    </w:p>
    <w:p>
      <w:pPr>
        <w:pStyle w:val="3"/>
        <w:spacing w:line="576" w:lineRule="exact"/>
        <w:rPr>
          <w:rFonts w:ascii="楷体" w:hAnsi="楷体" w:eastAsia="楷体"/>
          <w:color w:val="000000"/>
        </w:rPr>
      </w:pPr>
      <w:bookmarkStart w:id="63" w:name="_Toc15396621"/>
      <w:r>
        <w:rPr>
          <w:rStyle w:val="26"/>
          <w:rFonts w:hint="eastAsia" w:ascii="楷体" w:hAnsi="楷体" w:eastAsia="楷体"/>
          <w:b w:val="0"/>
          <w:bCs w:val="0"/>
        </w:rPr>
        <w:t>三、</w:t>
      </w:r>
      <w:r>
        <w:rPr>
          <w:rFonts w:hint="eastAsia" w:ascii="楷体" w:hAnsi="楷体" w:eastAsia="楷体"/>
          <w:b w:val="0"/>
          <w:color w:val="000000"/>
        </w:rPr>
        <w:t>支</w:t>
      </w:r>
      <w:r>
        <w:rPr>
          <w:rStyle w:val="26"/>
          <w:rFonts w:hint="eastAsia" w:ascii="楷体" w:hAnsi="楷体" w:eastAsia="楷体"/>
          <w:b w:val="0"/>
          <w:bCs w:val="0"/>
        </w:rPr>
        <w:t>出总表</w:t>
      </w:r>
      <w:bookmarkEnd w:id="63"/>
    </w:p>
    <w:p>
      <w:pPr>
        <w:pStyle w:val="3"/>
        <w:spacing w:line="576" w:lineRule="exact"/>
        <w:rPr>
          <w:rFonts w:ascii="楷体" w:hAnsi="楷体" w:eastAsia="楷体"/>
          <w:b w:val="0"/>
          <w:color w:val="000000"/>
        </w:rPr>
      </w:pPr>
      <w:bookmarkStart w:id="64" w:name="_Toc15396622"/>
      <w:r>
        <w:rPr>
          <w:rStyle w:val="26"/>
          <w:rFonts w:hint="eastAsia" w:ascii="楷体" w:hAnsi="楷体" w:eastAsia="楷体"/>
          <w:b w:val="0"/>
          <w:bCs w:val="0"/>
        </w:rPr>
        <w:t>四、</w:t>
      </w:r>
      <w:r>
        <w:rPr>
          <w:rFonts w:hint="eastAsia" w:ascii="楷体" w:hAnsi="楷体" w:eastAsia="楷体"/>
          <w:b w:val="0"/>
          <w:color w:val="000000"/>
        </w:rPr>
        <w:t>财</w:t>
      </w:r>
      <w:r>
        <w:rPr>
          <w:rStyle w:val="26"/>
          <w:rFonts w:hint="eastAsia" w:ascii="楷体" w:hAnsi="楷体" w:eastAsia="楷体"/>
          <w:b w:val="0"/>
          <w:bCs w:val="0"/>
        </w:rPr>
        <w:t>政拨款收入支出决算总表</w:t>
      </w:r>
      <w:bookmarkEnd w:id="64"/>
    </w:p>
    <w:p>
      <w:pPr>
        <w:pStyle w:val="3"/>
        <w:spacing w:line="576" w:lineRule="exact"/>
        <w:rPr>
          <w:rFonts w:ascii="楷体" w:hAnsi="楷体" w:eastAsia="楷体"/>
          <w:color w:val="000000"/>
        </w:rPr>
      </w:pPr>
      <w:bookmarkStart w:id="65" w:name="_Toc15396623"/>
      <w:r>
        <w:rPr>
          <w:rStyle w:val="26"/>
          <w:rFonts w:hint="eastAsia" w:ascii="楷体" w:hAnsi="楷体" w:eastAsia="楷体"/>
          <w:b w:val="0"/>
          <w:bCs w:val="0"/>
        </w:rPr>
        <w:t>五、</w:t>
      </w:r>
      <w:r>
        <w:rPr>
          <w:rFonts w:hint="eastAsia" w:ascii="楷体" w:hAnsi="楷体" w:eastAsia="楷体"/>
          <w:b w:val="0"/>
          <w:color w:val="000000"/>
        </w:rPr>
        <w:t>财</w:t>
      </w:r>
      <w:r>
        <w:rPr>
          <w:rStyle w:val="26"/>
          <w:rFonts w:hint="eastAsia" w:ascii="楷体" w:hAnsi="楷体" w:eastAsia="楷体"/>
          <w:b w:val="0"/>
          <w:bCs w:val="0"/>
        </w:rPr>
        <w:t>政拨款支出决算明细表</w:t>
      </w:r>
      <w:bookmarkEnd w:id="65"/>
    </w:p>
    <w:p>
      <w:pPr>
        <w:pStyle w:val="3"/>
        <w:spacing w:line="576" w:lineRule="exact"/>
        <w:rPr>
          <w:rFonts w:ascii="楷体" w:hAnsi="楷体" w:eastAsia="楷体"/>
          <w:color w:val="000000"/>
        </w:rPr>
      </w:pPr>
      <w:bookmarkStart w:id="66" w:name="_Toc15396624"/>
      <w:r>
        <w:rPr>
          <w:rStyle w:val="26"/>
          <w:rFonts w:hint="eastAsia" w:ascii="楷体" w:hAnsi="楷体" w:eastAsia="楷体"/>
          <w:b w:val="0"/>
          <w:bCs w:val="0"/>
        </w:rPr>
        <w:t>六、</w:t>
      </w:r>
      <w:r>
        <w:rPr>
          <w:rFonts w:hint="eastAsia" w:ascii="楷体" w:hAnsi="楷体" w:eastAsia="楷体"/>
          <w:b w:val="0"/>
          <w:color w:val="000000"/>
        </w:rPr>
        <w:t>一</w:t>
      </w:r>
      <w:r>
        <w:rPr>
          <w:rStyle w:val="26"/>
          <w:rFonts w:hint="eastAsia" w:ascii="楷体" w:hAnsi="楷体" w:eastAsia="楷体"/>
          <w:b w:val="0"/>
          <w:bCs w:val="0"/>
        </w:rPr>
        <w:t>般公共预算财政拨款支出决算表</w:t>
      </w:r>
      <w:bookmarkEnd w:id="66"/>
    </w:p>
    <w:p>
      <w:pPr>
        <w:pStyle w:val="3"/>
        <w:spacing w:line="576" w:lineRule="exact"/>
        <w:rPr>
          <w:rFonts w:ascii="楷体" w:hAnsi="楷体" w:eastAsia="楷体"/>
          <w:color w:val="000000"/>
        </w:rPr>
      </w:pPr>
      <w:bookmarkStart w:id="67" w:name="_Toc15396625"/>
      <w:r>
        <w:rPr>
          <w:rStyle w:val="26"/>
          <w:rFonts w:hint="eastAsia" w:ascii="楷体" w:hAnsi="楷体" w:eastAsia="楷体"/>
          <w:b w:val="0"/>
          <w:bCs w:val="0"/>
        </w:rPr>
        <w:t>七、</w:t>
      </w:r>
      <w:r>
        <w:rPr>
          <w:rFonts w:hint="eastAsia" w:ascii="楷体" w:hAnsi="楷体" w:eastAsia="楷体"/>
          <w:b w:val="0"/>
          <w:color w:val="000000"/>
        </w:rPr>
        <w:t>一</w:t>
      </w:r>
      <w:r>
        <w:rPr>
          <w:rStyle w:val="26"/>
          <w:rFonts w:hint="eastAsia" w:ascii="楷体" w:hAnsi="楷体" w:eastAsia="楷体"/>
          <w:b w:val="0"/>
          <w:bCs w:val="0"/>
        </w:rPr>
        <w:t>般公共预算财政拨款支出决算明细表</w:t>
      </w:r>
      <w:bookmarkEnd w:id="67"/>
    </w:p>
    <w:p>
      <w:pPr>
        <w:pStyle w:val="3"/>
        <w:spacing w:line="576" w:lineRule="exact"/>
        <w:rPr>
          <w:rFonts w:ascii="楷体" w:hAnsi="楷体" w:eastAsia="楷体"/>
          <w:color w:val="000000"/>
        </w:rPr>
      </w:pPr>
      <w:bookmarkStart w:id="68" w:name="_Toc15396626"/>
      <w:r>
        <w:rPr>
          <w:rStyle w:val="26"/>
          <w:rFonts w:hint="eastAsia" w:ascii="楷体" w:hAnsi="楷体" w:eastAsia="楷体"/>
          <w:b w:val="0"/>
          <w:bCs w:val="0"/>
        </w:rPr>
        <w:t>八、</w:t>
      </w:r>
      <w:r>
        <w:rPr>
          <w:rFonts w:hint="eastAsia" w:ascii="楷体" w:hAnsi="楷体" w:eastAsia="楷体"/>
          <w:b w:val="0"/>
          <w:color w:val="000000"/>
        </w:rPr>
        <w:t>一</w:t>
      </w:r>
      <w:r>
        <w:rPr>
          <w:rStyle w:val="26"/>
          <w:rFonts w:hint="eastAsia" w:ascii="楷体" w:hAnsi="楷体" w:eastAsia="楷体"/>
          <w:b w:val="0"/>
          <w:bCs w:val="0"/>
        </w:rPr>
        <w:t>般公共预算财政拨款基本支出决算表</w:t>
      </w:r>
      <w:bookmarkEnd w:id="68"/>
    </w:p>
    <w:p>
      <w:pPr>
        <w:pStyle w:val="3"/>
        <w:spacing w:line="576" w:lineRule="exact"/>
        <w:rPr>
          <w:rFonts w:ascii="楷体" w:hAnsi="楷体" w:eastAsia="楷体"/>
          <w:color w:val="000000"/>
        </w:rPr>
      </w:pPr>
      <w:bookmarkStart w:id="69" w:name="_Toc15396627"/>
      <w:r>
        <w:rPr>
          <w:rStyle w:val="26"/>
          <w:rFonts w:hint="eastAsia" w:ascii="楷体" w:hAnsi="楷体" w:eastAsia="楷体"/>
          <w:b w:val="0"/>
          <w:bCs w:val="0"/>
        </w:rPr>
        <w:t>九、</w:t>
      </w:r>
      <w:r>
        <w:rPr>
          <w:rFonts w:hint="eastAsia" w:ascii="楷体" w:hAnsi="楷体" w:eastAsia="楷体"/>
          <w:b w:val="0"/>
          <w:color w:val="000000"/>
        </w:rPr>
        <w:t>一</w:t>
      </w:r>
      <w:r>
        <w:rPr>
          <w:rStyle w:val="26"/>
          <w:rFonts w:hint="eastAsia" w:ascii="楷体" w:hAnsi="楷体" w:eastAsia="楷体"/>
          <w:b w:val="0"/>
          <w:bCs w:val="0"/>
        </w:rPr>
        <w:t>般公共预算财政拨款项目支出决算表</w:t>
      </w:r>
      <w:bookmarkEnd w:id="69"/>
    </w:p>
    <w:p>
      <w:pPr>
        <w:pStyle w:val="3"/>
        <w:spacing w:line="576" w:lineRule="exact"/>
        <w:rPr>
          <w:rFonts w:ascii="楷体" w:hAnsi="楷体" w:eastAsia="楷体"/>
          <w:color w:val="000000"/>
        </w:rPr>
      </w:pPr>
      <w:bookmarkStart w:id="70" w:name="_Toc15396628"/>
      <w:r>
        <w:rPr>
          <w:rStyle w:val="26"/>
          <w:rFonts w:hint="eastAsia" w:ascii="楷体" w:hAnsi="楷体" w:eastAsia="楷体"/>
          <w:b w:val="0"/>
          <w:bCs w:val="0"/>
        </w:rPr>
        <w:t>十、</w:t>
      </w:r>
      <w:r>
        <w:rPr>
          <w:rFonts w:hint="eastAsia" w:ascii="楷体" w:hAnsi="楷体" w:eastAsia="楷体"/>
          <w:b w:val="0"/>
          <w:color w:val="000000"/>
        </w:rPr>
        <w:t>一</w:t>
      </w:r>
      <w:r>
        <w:rPr>
          <w:rStyle w:val="26"/>
          <w:rFonts w:hint="eastAsia" w:ascii="楷体" w:hAnsi="楷体" w:eastAsia="楷体"/>
          <w:b w:val="0"/>
          <w:bCs w:val="0"/>
        </w:rPr>
        <w:t>般公共预算财政拨款“三公”经费支出决算表</w:t>
      </w:r>
      <w:bookmarkEnd w:id="70"/>
    </w:p>
    <w:p>
      <w:pPr>
        <w:pStyle w:val="3"/>
        <w:spacing w:line="576" w:lineRule="exact"/>
        <w:rPr>
          <w:rFonts w:ascii="楷体" w:hAnsi="楷体" w:eastAsia="楷体"/>
          <w:color w:val="000000"/>
        </w:rPr>
      </w:pPr>
      <w:bookmarkStart w:id="71" w:name="_Toc15396629"/>
      <w:r>
        <w:rPr>
          <w:rStyle w:val="26"/>
          <w:rFonts w:hint="eastAsia" w:ascii="楷体" w:hAnsi="楷体" w:eastAsia="楷体"/>
          <w:b w:val="0"/>
          <w:bCs w:val="0"/>
        </w:rPr>
        <w:t>十一、</w:t>
      </w:r>
      <w:r>
        <w:rPr>
          <w:rFonts w:hint="eastAsia" w:ascii="楷体" w:hAnsi="楷体" w:eastAsia="楷体"/>
          <w:b w:val="0"/>
          <w:color w:val="000000"/>
        </w:rPr>
        <w:t>政</w:t>
      </w:r>
      <w:r>
        <w:rPr>
          <w:rStyle w:val="26"/>
          <w:rFonts w:hint="eastAsia" w:ascii="楷体" w:hAnsi="楷体" w:eastAsia="楷体"/>
          <w:b w:val="0"/>
          <w:bCs w:val="0"/>
        </w:rPr>
        <w:t>府性基金预算财政拨款收入支出决算表</w:t>
      </w:r>
      <w:bookmarkEnd w:id="71"/>
    </w:p>
    <w:p>
      <w:pPr>
        <w:pStyle w:val="3"/>
        <w:spacing w:line="576" w:lineRule="exact"/>
        <w:rPr>
          <w:rFonts w:ascii="楷体" w:hAnsi="楷体" w:eastAsia="楷体"/>
          <w:color w:val="000000"/>
        </w:rPr>
      </w:pPr>
      <w:bookmarkStart w:id="72" w:name="_Toc15396630"/>
      <w:r>
        <w:rPr>
          <w:rStyle w:val="26"/>
          <w:rFonts w:hint="eastAsia" w:ascii="楷体" w:hAnsi="楷体" w:eastAsia="楷体"/>
          <w:b w:val="0"/>
          <w:bCs w:val="0"/>
        </w:rPr>
        <w:t>十二、</w:t>
      </w:r>
      <w:r>
        <w:rPr>
          <w:rFonts w:hint="eastAsia" w:ascii="楷体" w:hAnsi="楷体" w:eastAsia="楷体"/>
          <w:b w:val="0"/>
          <w:color w:val="000000"/>
        </w:rPr>
        <w:t>政</w:t>
      </w:r>
      <w:r>
        <w:rPr>
          <w:rStyle w:val="26"/>
          <w:rFonts w:hint="eastAsia" w:ascii="楷体" w:hAnsi="楷体" w:eastAsia="楷体"/>
          <w:b w:val="0"/>
          <w:bCs w:val="0"/>
        </w:rPr>
        <w:t>府性基金预算财政拨款“三公”经费支出决算表</w:t>
      </w:r>
      <w:bookmarkEnd w:id="72"/>
    </w:p>
    <w:p>
      <w:pPr>
        <w:pStyle w:val="3"/>
        <w:spacing w:line="576" w:lineRule="exact"/>
        <w:rPr>
          <w:rFonts w:ascii="楷体" w:hAnsi="楷体" w:eastAsia="楷体"/>
          <w:b w:val="0"/>
          <w:bCs w:val="0"/>
        </w:rPr>
      </w:pPr>
      <w:bookmarkStart w:id="73" w:name="_Toc15396631"/>
      <w:r>
        <w:rPr>
          <w:rStyle w:val="26"/>
          <w:rFonts w:hint="eastAsia" w:ascii="楷体" w:hAnsi="楷体" w:eastAsia="楷体"/>
          <w:b w:val="0"/>
          <w:bCs w:val="0"/>
        </w:rPr>
        <w:t>十三、</w:t>
      </w:r>
      <w:r>
        <w:rPr>
          <w:rFonts w:hint="eastAsia" w:ascii="楷体" w:hAnsi="楷体" w:eastAsia="楷体"/>
          <w:b w:val="0"/>
          <w:color w:val="000000"/>
        </w:rPr>
        <w:t>国</w:t>
      </w:r>
      <w:r>
        <w:rPr>
          <w:rStyle w:val="26"/>
          <w:rFonts w:hint="eastAsia" w:ascii="楷体" w:hAnsi="楷体" w:eastAsia="楷体"/>
          <w:b w:val="0"/>
          <w:bCs w:val="0"/>
        </w:rPr>
        <w:t>有资本经营预算支出决算表</w:t>
      </w:r>
      <w:bookmarkEnd w:id="73"/>
    </w:p>
    <w:sectPr>
      <w:headerReference r:id="rId3" w:type="default"/>
      <w:footerReference r:id="rId4" w:type="default"/>
      <w:pgSz w:w="11906" w:h="16838"/>
      <w:pgMar w:top="1440" w:right="1134" w:bottom="1134" w:left="113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6969C9D"/>
    <w:multiLevelType w:val="singleLevel"/>
    <w:tmpl w:val="46969C9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BE9"/>
    <w:rsid w:val="00002FDA"/>
    <w:rsid w:val="00003060"/>
    <w:rsid w:val="00011D7C"/>
    <w:rsid w:val="00020F1C"/>
    <w:rsid w:val="000222C6"/>
    <w:rsid w:val="00023B34"/>
    <w:rsid w:val="0002549F"/>
    <w:rsid w:val="00035604"/>
    <w:rsid w:val="00040786"/>
    <w:rsid w:val="0004542A"/>
    <w:rsid w:val="00050489"/>
    <w:rsid w:val="00051D09"/>
    <w:rsid w:val="000577BB"/>
    <w:rsid w:val="00062CE9"/>
    <w:rsid w:val="0006324A"/>
    <w:rsid w:val="0006487A"/>
    <w:rsid w:val="00065F8F"/>
    <w:rsid w:val="0007552D"/>
    <w:rsid w:val="000768F2"/>
    <w:rsid w:val="00077C2F"/>
    <w:rsid w:val="000812AB"/>
    <w:rsid w:val="000844A1"/>
    <w:rsid w:val="00085BF8"/>
    <w:rsid w:val="000876EC"/>
    <w:rsid w:val="00090C28"/>
    <w:rsid w:val="00091610"/>
    <w:rsid w:val="0009184B"/>
    <w:rsid w:val="0009593C"/>
    <w:rsid w:val="0009721C"/>
    <w:rsid w:val="00097FB3"/>
    <w:rsid w:val="000A3E53"/>
    <w:rsid w:val="000A477A"/>
    <w:rsid w:val="000A5433"/>
    <w:rsid w:val="000B047F"/>
    <w:rsid w:val="000B46BA"/>
    <w:rsid w:val="000B5923"/>
    <w:rsid w:val="000B5A48"/>
    <w:rsid w:val="000B6FF3"/>
    <w:rsid w:val="000B7FBB"/>
    <w:rsid w:val="000C3467"/>
    <w:rsid w:val="000C3CA6"/>
    <w:rsid w:val="000C4F74"/>
    <w:rsid w:val="000D1267"/>
    <w:rsid w:val="000D1D50"/>
    <w:rsid w:val="000D5782"/>
    <w:rsid w:val="000E5ACF"/>
    <w:rsid w:val="000E6613"/>
    <w:rsid w:val="000E6D13"/>
    <w:rsid w:val="000E7119"/>
    <w:rsid w:val="000F45E1"/>
    <w:rsid w:val="000F761D"/>
    <w:rsid w:val="00107A50"/>
    <w:rsid w:val="00110D00"/>
    <w:rsid w:val="00111AE3"/>
    <w:rsid w:val="00114E9B"/>
    <w:rsid w:val="001162A3"/>
    <w:rsid w:val="00116FB8"/>
    <w:rsid w:val="00124022"/>
    <w:rsid w:val="00126FDE"/>
    <w:rsid w:val="00131276"/>
    <w:rsid w:val="00132D8B"/>
    <w:rsid w:val="001362A7"/>
    <w:rsid w:val="0013781E"/>
    <w:rsid w:val="00141885"/>
    <w:rsid w:val="0014729F"/>
    <w:rsid w:val="0015023F"/>
    <w:rsid w:val="001526A4"/>
    <w:rsid w:val="001560C3"/>
    <w:rsid w:val="00157BAB"/>
    <w:rsid w:val="00160B2B"/>
    <w:rsid w:val="001654D1"/>
    <w:rsid w:val="00165AB5"/>
    <w:rsid w:val="0017168E"/>
    <w:rsid w:val="00171D11"/>
    <w:rsid w:val="00172050"/>
    <w:rsid w:val="0017217C"/>
    <w:rsid w:val="00173055"/>
    <w:rsid w:val="001735C9"/>
    <w:rsid w:val="001738D6"/>
    <w:rsid w:val="00174232"/>
    <w:rsid w:val="00174ABE"/>
    <w:rsid w:val="0018106D"/>
    <w:rsid w:val="00181106"/>
    <w:rsid w:val="00181713"/>
    <w:rsid w:val="001830C9"/>
    <w:rsid w:val="00186F8F"/>
    <w:rsid w:val="001877A7"/>
    <w:rsid w:val="00191536"/>
    <w:rsid w:val="00196687"/>
    <w:rsid w:val="001A210B"/>
    <w:rsid w:val="001A29BB"/>
    <w:rsid w:val="001A74BE"/>
    <w:rsid w:val="001C0962"/>
    <w:rsid w:val="001C0B8E"/>
    <w:rsid w:val="001C11EF"/>
    <w:rsid w:val="001C45A1"/>
    <w:rsid w:val="001D2A1A"/>
    <w:rsid w:val="001D3AD2"/>
    <w:rsid w:val="001D7531"/>
    <w:rsid w:val="001D77A5"/>
    <w:rsid w:val="001D7848"/>
    <w:rsid w:val="001E32D0"/>
    <w:rsid w:val="001E737D"/>
    <w:rsid w:val="001F0592"/>
    <w:rsid w:val="001F1245"/>
    <w:rsid w:val="001F3C3D"/>
    <w:rsid w:val="001F3FDA"/>
    <w:rsid w:val="001F5215"/>
    <w:rsid w:val="001F7506"/>
    <w:rsid w:val="002006CD"/>
    <w:rsid w:val="00202B36"/>
    <w:rsid w:val="00204B7A"/>
    <w:rsid w:val="00210E39"/>
    <w:rsid w:val="0021101A"/>
    <w:rsid w:val="0021259E"/>
    <w:rsid w:val="0021486B"/>
    <w:rsid w:val="00214E60"/>
    <w:rsid w:val="00216093"/>
    <w:rsid w:val="002167A3"/>
    <w:rsid w:val="0021767A"/>
    <w:rsid w:val="00220536"/>
    <w:rsid w:val="002239CD"/>
    <w:rsid w:val="00223C0B"/>
    <w:rsid w:val="00227F28"/>
    <w:rsid w:val="00230170"/>
    <w:rsid w:val="00230D3C"/>
    <w:rsid w:val="0023130A"/>
    <w:rsid w:val="0023158E"/>
    <w:rsid w:val="002331FB"/>
    <w:rsid w:val="00235629"/>
    <w:rsid w:val="00235FCF"/>
    <w:rsid w:val="00240BC8"/>
    <w:rsid w:val="00254EAF"/>
    <w:rsid w:val="00260C38"/>
    <w:rsid w:val="002616C0"/>
    <w:rsid w:val="002630D5"/>
    <w:rsid w:val="002632F8"/>
    <w:rsid w:val="00265456"/>
    <w:rsid w:val="002662AA"/>
    <w:rsid w:val="00273421"/>
    <w:rsid w:val="00275007"/>
    <w:rsid w:val="00276680"/>
    <w:rsid w:val="00277F28"/>
    <w:rsid w:val="00280496"/>
    <w:rsid w:val="00281EEE"/>
    <w:rsid w:val="00295195"/>
    <w:rsid w:val="00295495"/>
    <w:rsid w:val="00295BCC"/>
    <w:rsid w:val="002A6F29"/>
    <w:rsid w:val="002B1EF9"/>
    <w:rsid w:val="002B2613"/>
    <w:rsid w:val="002B5759"/>
    <w:rsid w:val="002C01AE"/>
    <w:rsid w:val="002C1F8F"/>
    <w:rsid w:val="002C21EE"/>
    <w:rsid w:val="002C3FDC"/>
    <w:rsid w:val="002D1EEC"/>
    <w:rsid w:val="002D3A40"/>
    <w:rsid w:val="002D7EFB"/>
    <w:rsid w:val="002E25C1"/>
    <w:rsid w:val="002E48B5"/>
    <w:rsid w:val="002E76B5"/>
    <w:rsid w:val="002F1818"/>
    <w:rsid w:val="002F25B2"/>
    <w:rsid w:val="002F567B"/>
    <w:rsid w:val="002F5ABD"/>
    <w:rsid w:val="002F65A7"/>
    <w:rsid w:val="002F7454"/>
    <w:rsid w:val="0030038B"/>
    <w:rsid w:val="00301CCA"/>
    <w:rsid w:val="00310F90"/>
    <w:rsid w:val="003216A9"/>
    <w:rsid w:val="00326002"/>
    <w:rsid w:val="0032755B"/>
    <w:rsid w:val="003300BB"/>
    <w:rsid w:val="00332659"/>
    <w:rsid w:val="00334598"/>
    <w:rsid w:val="00334AC3"/>
    <w:rsid w:val="00334FD4"/>
    <w:rsid w:val="00340EB7"/>
    <w:rsid w:val="00342772"/>
    <w:rsid w:val="00343F4C"/>
    <w:rsid w:val="00344CCD"/>
    <w:rsid w:val="00345A43"/>
    <w:rsid w:val="0035619F"/>
    <w:rsid w:val="00357804"/>
    <w:rsid w:val="00362969"/>
    <w:rsid w:val="0036373E"/>
    <w:rsid w:val="0037013F"/>
    <w:rsid w:val="00370FF7"/>
    <w:rsid w:val="00372CAD"/>
    <w:rsid w:val="00373975"/>
    <w:rsid w:val="00380C70"/>
    <w:rsid w:val="00380C92"/>
    <w:rsid w:val="003877A1"/>
    <w:rsid w:val="003906C2"/>
    <w:rsid w:val="0039157B"/>
    <w:rsid w:val="00393AF4"/>
    <w:rsid w:val="00395672"/>
    <w:rsid w:val="00397B2E"/>
    <w:rsid w:val="003A0B9B"/>
    <w:rsid w:val="003A1EDB"/>
    <w:rsid w:val="003A484F"/>
    <w:rsid w:val="003A50A6"/>
    <w:rsid w:val="003B0BE0"/>
    <w:rsid w:val="003B0C1B"/>
    <w:rsid w:val="003B5DED"/>
    <w:rsid w:val="003B688C"/>
    <w:rsid w:val="003C0291"/>
    <w:rsid w:val="003C2BB8"/>
    <w:rsid w:val="003C39AE"/>
    <w:rsid w:val="003C58B7"/>
    <w:rsid w:val="003C5B88"/>
    <w:rsid w:val="003C7B60"/>
    <w:rsid w:val="003D0962"/>
    <w:rsid w:val="003D1FB2"/>
    <w:rsid w:val="003D498B"/>
    <w:rsid w:val="003D66DA"/>
    <w:rsid w:val="003E1310"/>
    <w:rsid w:val="003E16B5"/>
    <w:rsid w:val="003E1F78"/>
    <w:rsid w:val="003E6F55"/>
    <w:rsid w:val="003F06B5"/>
    <w:rsid w:val="003F0CEF"/>
    <w:rsid w:val="003F4998"/>
    <w:rsid w:val="003F66C6"/>
    <w:rsid w:val="003F6E3D"/>
    <w:rsid w:val="00400AF9"/>
    <w:rsid w:val="00404658"/>
    <w:rsid w:val="00406254"/>
    <w:rsid w:val="00406BF4"/>
    <w:rsid w:val="0041164C"/>
    <w:rsid w:val="00414CAD"/>
    <w:rsid w:val="00416CAE"/>
    <w:rsid w:val="0042044A"/>
    <w:rsid w:val="004223DE"/>
    <w:rsid w:val="00425F96"/>
    <w:rsid w:val="00431613"/>
    <w:rsid w:val="00432666"/>
    <w:rsid w:val="00434489"/>
    <w:rsid w:val="00437085"/>
    <w:rsid w:val="004370A3"/>
    <w:rsid w:val="0044169D"/>
    <w:rsid w:val="0044370A"/>
    <w:rsid w:val="00443880"/>
    <w:rsid w:val="004464F4"/>
    <w:rsid w:val="00446923"/>
    <w:rsid w:val="0045737A"/>
    <w:rsid w:val="004573D7"/>
    <w:rsid w:val="004676D4"/>
    <w:rsid w:val="00467CEC"/>
    <w:rsid w:val="0047046D"/>
    <w:rsid w:val="00471401"/>
    <w:rsid w:val="00473769"/>
    <w:rsid w:val="00473F31"/>
    <w:rsid w:val="00480086"/>
    <w:rsid w:val="004800E9"/>
    <w:rsid w:val="0048263A"/>
    <w:rsid w:val="004828F0"/>
    <w:rsid w:val="00483A7D"/>
    <w:rsid w:val="00485C19"/>
    <w:rsid w:val="00487E5D"/>
    <w:rsid w:val="004923B4"/>
    <w:rsid w:val="00494B87"/>
    <w:rsid w:val="004A2A87"/>
    <w:rsid w:val="004A5275"/>
    <w:rsid w:val="004A711F"/>
    <w:rsid w:val="004A7EE4"/>
    <w:rsid w:val="004B179F"/>
    <w:rsid w:val="004B199D"/>
    <w:rsid w:val="004B1F51"/>
    <w:rsid w:val="004B2901"/>
    <w:rsid w:val="004B3221"/>
    <w:rsid w:val="004B3B0B"/>
    <w:rsid w:val="004B4690"/>
    <w:rsid w:val="004B6FA8"/>
    <w:rsid w:val="004C0B8C"/>
    <w:rsid w:val="004C3A12"/>
    <w:rsid w:val="004D0EA8"/>
    <w:rsid w:val="004D2FE8"/>
    <w:rsid w:val="004D3272"/>
    <w:rsid w:val="004D57D3"/>
    <w:rsid w:val="004D594B"/>
    <w:rsid w:val="004D79CF"/>
    <w:rsid w:val="004E0A2D"/>
    <w:rsid w:val="004E206B"/>
    <w:rsid w:val="004E3693"/>
    <w:rsid w:val="004E4394"/>
    <w:rsid w:val="004E5B29"/>
    <w:rsid w:val="004E6DF7"/>
    <w:rsid w:val="004E7381"/>
    <w:rsid w:val="004E7F23"/>
    <w:rsid w:val="004F00EC"/>
    <w:rsid w:val="004F05BA"/>
    <w:rsid w:val="004F0FBD"/>
    <w:rsid w:val="004F138F"/>
    <w:rsid w:val="004F1591"/>
    <w:rsid w:val="004F4264"/>
    <w:rsid w:val="004F6D60"/>
    <w:rsid w:val="005010D5"/>
    <w:rsid w:val="00501564"/>
    <w:rsid w:val="00501B42"/>
    <w:rsid w:val="00502786"/>
    <w:rsid w:val="00503760"/>
    <w:rsid w:val="00505A47"/>
    <w:rsid w:val="00512AC4"/>
    <w:rsid w:val="00512FDA"/>
    <w:rsid w:val="00514FB8"/>
    <w:rsid w:val="00515973"/>
    <w:rsid w:val="00520DA0"/>
    <w:rsid w:val="00522FCB"/>
    <w:rsid w:val="005337DD"/>
    <w:rsid w:val="005338E4"/>
    <w:rsid w:val="0053648B"/>
    <w:rsid w:val="005407AC"/>
    <w:rsid w:val="005412B8"/>
    <w:rsid w:val="005427A3"/>
    <w:rsid w:val="00545F72"/>
    <w:rsid w:val="005511E1"/>
    <w:rsid w:val="005575FA"/>
    <w:rsid w:val="00557B10"/>
    <w:rsid w:val="0056181B"/>
    <w:rsid w:val="005664BB"/>
    <w:rsid w:val="0056771E"/>
    <w:rsid w:val="005728CF"/>
    <w:rsid w:val="0057481D"/>
    <w:rsid w:val="005778C8"/>
    <w:rsid w:val="005826F7"/>
    <w:rsid w:val="0058486E"/>
    <w:rsid w:val="00584BAA"/>
    <w:rsid w:val="00586B91"/>
    <w:rsid w:val="00592094"/>
    <w:rsid w:val="005A0662"/>
    <w:rsid w:val="005A2F22"/>
    <w:rsid w:val="005A6081"/>
    <w:rsid w:val="005B61B1"/>
    <w:rsid w:val="005C0310"/>
    <w:rsid w:val="005C6F73"/>
    <w:rsid w:val="005D1C8B"/>
    <w:rsid w:val="005D3F75"/>
    <w:rsid w:val="005D5577"/>
    <w:rsid w:val="005D5CED"/>
    <w:rsid w:val="005E6076"/>
    <w:rsid w:val="005F123E"/>
    <w:rsid w:val="005F1765"/>
    <w:rsid w:val="005F1A4C"/>
    <w:rsid w:val="005F420D"/>
    <w:rsid w:val="005F668B"/>
    <w:rsid w:val="005F751D"/>
    <w:rsid w:val="0060182E"/>
    <w:rsid w:val="00605688"/>
    <w:rsid w:val="006070AF"/>
    <w:rsid w:val="00607E6C"/>
    <w:rsid w:val="006101B1"/>
    <w:rsid w:val="00614E44"/>
    <w:rsid w:val="00617F25"/>
    <w:rsid w:val="006201E5"/>
    <w:rsid w:val="00622830"/>
    <w:rsid w:val="00622DD3"/>
    <w:rsid w:val="00630AEF"/>
    <w:rsid w:val="006325F8"/>
    <w:rsid w:val="00632C09"/>
    <w:rsid w:val="00632D3B"/>
    <w:rsid w:val="00634C9A"/>
    <w:rsid w:val="0063646D"/>
    <w:rsid w:val="0063773F"/>
    <w:rsid w:val="006440E4"/>
    <w:rsid w:val="006441F3"/>
    <w:rsid w:val="00644A6F"/>
    <w:rsid w:val="00651A8B"/>
    <w:rsid w:val="00652F8B"/>
    <w:rsid w:val="00654493"/>
    <w:rsid w:val="00654C14"/>
    <w:rsid w:val="00660B42"/>
    <w:rsid w:val="0066128F"/>
    <w:rsid w:val="0066343B"/>
    <w:rsid w:val="00664777"/>
    <w:rsid w:val="00666CDC"/>
    <w:rsid w:val="006729BD"/>
    <w:rsid w:val="006748A4"/>
    <w:rsid w:val="00676D5B"/>
    <w:rsid w:val="00680844"/>
    <w:rsid w:val="0068398B"/>
    <w:rsid w:val="00683E73"/>
    <w:rsid w:val="00694E1A"/>
    <w:rsid w:val="006A3141"/>
    <w:rsid w:val="006A574B"/>
    <w:rsid w:val="006A5E34"/>
    <w:rsid w:val="006A77AA"/>
    <w:rsid w:val="006A7B71"/>
    <w:rsid w:val="006B2422"/>
    <w:rsid w:val="006B2B9A"/>
    <w:rsid w:val="006B54EB"/>
    <w:rsid w:val="006B5F04"/>
    <w:rsid w:val="006B7260"/>
    <w:rsid w:val="006C1937"/>
    <w:rsid w:val="006D1733"/>
    <w:rsid w:val="006D24EB"/>
    <w:rsid w:val="006D2844"/>
    <w:rsid w:val="006D2EC3"/>
    <w:rsid w:val="006D48DE"/>
    <w:rsid w:val="006D539B"/>
    <w:rsid w:val="006E06FF"/>
    <w:rsid w:val="006E096B"/>
    <w:rsid w:val="006E09EC"/>
    <w:rsid w:val="006E3392"/>
    <w:rsid w:val="006E3AAF"/>
    <w:rsid w:val="006E7E08"/>
    <w:rsid w:val="006E7FC5"/>
    <w:rsid w:val="006F020C"/>
    <w:rsid w:val="006F1097"/>
    <w:rsid w:val="006F2479"/>
    <w:rsid w:val="006F3599"/>
    <w:rsid w:val="00702E0F"/>
    <w:rsid w:val="0070446E"/>
    <w:rsid w:val="00706E71"/>
    <w:rsid w:val="00706EC8"/>
    <w:rsid w:val="00711867"/>
    <w:rsid w:val="007127B7"/>
    <w:rsid w:val="00713F2F"/>
    <w:rsid w:val="00714EFA"/>
    <w:rsid w:val="0071609C"/>
    <w:rsid w:val="0072175B"/>
    <w:rsid w:val="007237B3"/>
    <w:rsid w:val="00726568"/>
    <w:rsid w:val="00733414"/>
    <w:rsid w:val="00735015"/>
    <w:rsid w:val="007416B6"/>
    <w:rsid w:val="00741ECE"/>
    <w:rsid w:val="00742110"/>
    <w:rsid w:val="00746F48"/>
    <w:rsid w:val="00750A10"/>
    <w:rsid w:val="00752C68"/>
    <w:rsid w:val="00752D42"/>
    <w:rsid w:val="0075404D"/>
    <w:rsid w:val="00755CCD"/>
    <w:rsid w:val="0076182A"/>
    <w:rsid w:val="00762722"/>
    <w:rsid w:val="007641D2"/>
    <w:rsid w:val="00767851"/>
    <w:rsid w:val="00767A80"/>
    <w:rsid w:val="00767B7E"/>
    <w:rsid w:val="00773ACD"/>
    <w:rsid w:val="007770C3"/>
    <w:rsid w:val="00780CE2"/>
    <w:rsid w:val="00783EFC"/>
    <w:rsid w:val="00784D24"/>
    <w:rsid w:val="00784E25"/>
    <w:rsid w:val="00785FBA"/>
    <w:rsid w:val="00786E4A"/>
    <w:rsid w:val="007875EB"/>
    <w:rsid w:val="00793160"/>
    <w:rsid w:val="0079426B"/>
    <w:rsid w:val="007A4886"/>
    <w:rsid w:val="007B37F5"/>
    <w:rsid w:val="007B3C1F"/>
    <w:rsid w:val="007B635D"/>
    <w:rsid w:val="007C4359"/>
    <w:rsid w:val="007D312A"/>
    <w:rsid w:val="007D3310"/>
    <w:rsid w:val="007D3F19"/>
    <w:rsid w:val="007D7A97"/>
    <w:rsid w:val="007E0D72"/>
    <w:rsid w:val="007E1C5E"/>
    <w:rsid w:val="007E23B0"/>
    <w:rsid w:val="007E272C"/>
    <w:rsid w:val="007F175D"/>
    <w:rsid w:val="007F1991"/>
    <w:rsid w:val="007F2C2F"/>
    <w:rsid w:val="007F3F7C"/>
    <w:rsid w:val="007F55FC"/>
    <w:rsid w:val="007F5665"/>
    <w:rsid w:val="00800112"/>
    <w:rsid w:val="008047D9"/>
    <w:rsid w:val="00806EE5"/>
    <w:rsid w:val="0081121E"/>
    <w:rsid w:val="00815C00"/>
    <w:rsid w:val="00815DF6"/>
    <w:rsid w:val="00817A97"/>
    <w:rsid w:val="00822B5C"/>
    <w:rsid w:val="008251A6"/>
    <w:rsid w:val="008253BB"/>
    <w:rsid w:val="008308B7"/>
    <w:rsid w:val="0083706E"/>
    <w:rsid w:val="008402CF"/>
    <w:rsid w:val="008423A5"/>
    <w:rsid w:val="00846A24"/>
    <w:rsid w:val="00850625"/>
    <w:rsid w:val="00853718"/>
    <w:rsid w:val="00855221"/>
    <w:rsid w:val="0085603F"/>
    <w:rsid w:val="00856248"/>
    <w:rsid w:val="00857707"/>
    <w:rsid w:val="00860645"/>
    <w:rsid w:val="00860742"/>
    <w:rsid w:val="0086162D"/>
    <w:rsid w:val="008620D2"/>
    <w:rsid w:val="00863707"/>
    <w:rsid w:val="00871F71"/>
    <w:rsid w:val="00883EC8"/>
    <w:rsid w:val="00885AF4"/>
    <w:rsid w:val="00885EBB"/>
    <w:rsid w:val="00886688"/>
    <w:rsid w:val="0088754E"/>
    <w:rsid w:val="00887C21"/>
    <w:rsid w:val="008906D9"/>
    <w:rsid w:val="00892318"/>
    <w:rsid w:val="008939CD"/>
    <w:rsid w:val="00895FC2"/>
    <w:rsid w:val="00897CDB"/>
    <w:rsid w:val="008A16C8"/>
    <w:rsid w:val="008A48BF"/>
    <w:rsid w:val="008A6F8D"/>
    <w:rsid w:val="008B119F"/>
    <w:rsid w:val="008B25E6"/>
    <w:rsid w:val="008B31BD"/>
    <w:rsid w:val="008B6287"/>
    <w:rsid w:val="008B768C"/>
    <w:rsid w:val="008C4569"/>
    <w:rsid w:val="008C4DB1"/>
    <w:rsid w:val="008C4EAF"/>
    <w:rsid w:val="008C5176"/>
    <w:rsid w:val="008C6C17"/>
    <w:rsid w:val="008C7FD0"/>
    <w:rsid w:val="008D66D1"/>
    <w:rsid w:val="008E1DE7"/>
    <w:rsid w:val="008E4F0C"/>
    <w:rsid w:val="008E55F1"/>
    <w:rsid w:val="008E643B"/>
    <w:rsid w:val="008E707C"/>
    <w:rsid w:val="00900B08"/>
    <w:rsid w:val="0090106A"/>
    <w:rsid w:val="00901CE1"/>
    <w:rsid w:val="00902155"/>
    <w:rsid w:val="00902FA3"/>
    <w:rsid w:val="00912C3A"/>
    <w:rsid w:val="00914F96"/>
    <w:rsid w:val="00921368"/>
    <w:rsid w:val="00923564"/>
    <w:rsid w:val="0092392E"/>
    <w:rsid w:val="00923F3F"/>
    <w:rsid w:val="00925297"/>
    <w:rsid w:val="009255D0"/>
    <w:rsid w:val="009300AF"/>
    <w:rsid w:val="009315F9"/>
    <w:rsid w:val="009317A2"/>
    <w:rsid w:val="00940567"/>
    <w:rsid w:val="00940678"/>
    <w:rsid w:val="00942279"/>
    <w:rsid w:val="0094460F"/>
    <w:rsid w:val="00946945"/>
    <w:rsid w:val="00951248"/>
    <w:rsid w:val="0095152F"/>
    <w:rsid w:val="00954C49"/>
    <w:rsid w:val="0095556D"/>
    <w:rsid w:val="009558F5"/>
    <w:rsid w:val="00961A81"/>
    <w:rsid w:val="009649F7"/>
    <w:rsid w:val="009652FE"/>
    <w:rsid w:val="00965C02"/>
    <w:rsid w:val="0097099F"/>
    <w:rsid w:val="00971997"/>
    <w:rsid w:val="00971CBE"/>
    <w:rsid w:val="00971FFC"/>
    <w:rsid w:val="00972B24"/>
    <w:rsid w:val="00972E2D"/>
    <w:rsid w:val="00975868"/>
    <w:rsid w:val="0098660A"/>
    <w:rsid w:val="009875CC"/>
    <w:rsid w:val="00987C4D"/>
    <w:rsid w:val="00992368"/>
    <w:rsid w:val="009931C3"/>
    <w:rsid w:val="009966B0"/>
    <w:rsid w:val="009A6509"/>
    <w:rsid w:val="009A7871"/>
    <w:rsid w:val="009A7DC7"/>
    <w:rsid w:val="009B2C43"/>
    <w:rsid w:val="009B2CBF"/>
    <w:rsid w:val="009B4EAE"/>
    <w:rsid w:val="009B5775"/>
    <w:rsid w:val="009B7573"/>
    <w:rsid w:val="009C22F4"/>
    <w:rsid w:val="009C2E98"/>
    <w:rsid w:val="009D1929"/>
    <w:rsid w:val="009D3447"/>
    <w:rsid w:val="009D37C1"/>
    <w:rsid w:val="009D4711"/>
    <w:rsid w:val="009D56A8"/>
    <w:rsid w:val="009D7609"/>
    <w:rsid w:val="009D769B"/>
    <w:rsid w:val="009E2D30"/>
    <w:rsid w:val="009F0559"/>
    <w:rsid w:val="009F1185"/>
    <w:rsid w:val="009F18CD"/>
    <w:rsid w:val="009F1DAD"/>
    <w:rsid w:val="009F2A13"/>
    <w:rsid w:val="009F5376"/>
    <w:rsid w:val="00A04175"/>
    <w:rsid w:val="00A04EB0"/>
    <w:rsid w:val="00A0563C"/>
    <w:rsid w:val="00A10C9A"/>
    <w:rsid w:val="00A13CC1"/>
    <w:rsid w:val="00A16847"/>
    <w:rsid w:val="00A16FF1"/>
    <w:rsid w:val="00A22E96"/>
    <w:rsid w:val="00A237D8"/>
    <w:rsid w:val="00A2477B"/>
    <w:rsid w:val="00A249C0"/>
    <w:rsid w:val="00A25BFF"/>
    <w:rsid w:val="00A268C4"/>
    <w:rsid w:val="00A307CD"/>
    <w:rsid w:val="00A31F91"/>
    <w:rsid w:val="00A40A00"/>
    <w:rsid w:val="00A40B6A"/>
    <w:rsid w:val="00A4142F"/>
    <w:rsid w:val="00A419B6"/>
    <w:rsid w:val="00A448E4"/>
    <w:rsid w:val="00A459BC"/>
    <w:rsid w:val="00A56DF2"/>
    <w:rsid w:val="00A57B14"/>
    <w:rsid w:val="00A60E1B"/>
    <w:rsid w:val="00A67AB5"/>
    <w:rsid w:val="00A67E42"/>
    <w:rsid w:val="00A7008A"/>
    <w:rsid w:val="00A73755"/>
    <w:rsid w:val="00A748CC"/>
    <w:rsid w:val="00A804EF"/>
    <w:rsid w:val="00A80816"/>
    <w:rsid w:val="00A8136A"/>
    <w:rsid w:val="00A81B55"/>
    <w:rsid w:val="00A84D05"/>
    <w:rsid w:val="00A91760"/>
    <w:rsid w:val="00A93B00"/>
    <w:rsid w:val="00A93C21"/>
    <w:rsid w:val="00AA3D37"/>
    <w:rsid w:val="00AA4159"/>
    <w:rsid w:val="00AA5487"/>
    <w:rsid w:val="00AB3173"/>
    <w:rsid w:val="00AB454E"/>
    <w:rsid w:val="00AC1980"/>
    <w:rsid w:val="00AC373A"/>
    <w:rsid w:val="00AC3C6A"/>
    <w:rsid w:val="00AC5BDD"/>
    <w:rsid w:val="00AC679F"/>
    <w:rsid w:val="00AD39D0"/>
    <w:rsid w:val="00AD5620"/>
    <w:rsid w:val="00AD6DBB"/>
    <w:rsid w:val="00AD7358"/>
    <w:rsid w:val="00AD7C1B"/>
    <w:rsid w:val="00AE16BA"/>
    <w:rsid w:val="00AE1EBE"/>
    <w:rsid w:val="00AE4106"/>
    <w:rsid w:val="00AE628E"/>
    <w:rsid w:val="00AE68A6"/>
    <w:rsid w:val="00AF191E"/>
    <w:rsid w:val="00AF2FDA"/>
    <w:rsid w:val="00B008E1"/>
    <w:rsid w:val="00B03C9D"/>
    <w:rsid w:val="00B052B2"/>
    <w:rsid w:val="00B060AE"/>
    <w:rsid w:val="00B100B5"/>
    <w:rsid w:val="00B10517"/>
    <w:rsid w:val="00B10ADC"/>
    <w:rsid w:val="00B11033"/>
    <w:rsid w:val="00B13074"/>
    <w:rsid w:val="00B14E76"/>
    <w:rsid w:val="00B15AEF"/>
    <w:rsid w:val="00B161B8"/>
    <w:rsid w:val="00B16E3B"/>
    <w:rsid w:val="00B170F0"/>
    <w:rsid w:val="00B2048C"/>
    <w:rsid w:val="00B204B9"/>
    <w:rsid w:val="00B20623"/>
    <w:rsid w:val="00B24611"/>
    <w:rsid w:val="00B255CD"/>
    <w:rsid w:val="00B26614"/>
    <w:rsid w:val="00B310B9"/>
    <w:rsid w:val="00B32B5E"/>
    <w:rsid w:val="00B33164"/>
    <w:rsid w:val="00B33F66"/>
    <w:rsid w:val="00B34C1B"/>
    <w:rsid w:val="00B35F3F"/>
    <w:rsid w:val="00B36B08"/>
    <w:rsid w:val="00B36CBB"/>
    <w:rsid w:val="00B425E0"/>
    <w:rsid w:val="00B440AA"/>
    <w:rsid w:val="00B44144"/>
    <w:rsid w:val="00B44B70"/>
    <w:rsid w:val="00B53C56"/>
    <w:rsid w:val="00B562E6"/>
    <w:rsid w:val="00B609E5"/>
    <w:rsid w:val="00B60B5F"/>
    <w:rsid w:val="00B63794"/>
    <w:rsid w:val="00B64396"/>
    <w:rsid w:val="00B70F7A"/>
    <w:rsid w:val="00B71721"/>
    <w:rsid w:val="00B71A27"/>
    <w:rsid w:val="00B71B3B"/>
    <w:rsid w:val="00B77EA6"/>
    <w:rsid w:val="00B814CD"/>
    <w:rsid w:val="00B81598"/>
    <w:rsid w:val="00B837FD"/>
    <w:rsid w:val="00B841F1"/>
    <w:rsid w:val="00B927CE"/>
    <w:rsid w:val="00B944D6"/>
    <w:rsid w:val="00B95057"/>
    <w:rsid w:val="00B96F42"/>
    <w:rsid w:val="00BA2767"/>
    <w:rsid w:val="00BA30E7"/>
    <w:rsid w:val="00BA4D00"/>
    <w:rsid w:val="00BA7C79"/>
    <w:rsid w:val="00BB2C1B"/>
    <w:rsid w:val="00BB4DF0"/>
    <w:rsid w:val="00BB684C"/>
    <w:rsid w:val="00BC18EE"/>
    <w:rsid w:val="00BC2714"/>
    <w:rsid w:val="00BC289F"/>
    <w:rsid w:val="00BC5361"/>
    <w:rsid w:val="00BC5460"/>
    <w:rsid w:val="00BC6B50"/>
    <w:rsid w:val="00BD0E25"/>
    <w:rsid w:val="00BD4737"/>
    <w:rsid w:val="00BE0160"/>
    <w:rsid w:val="00BE0CB9"/>
    <w:rsid w:val="00BE0CD1"/>
    <w:rsid w:val="00BE14DA"/>
    <w:rsid w:val="00BE6662"/>
    <w:rsid w:val="00BE69FC"/>
    <w:rsid w:val="00BE7497"/>
    <w:rsid w:val="00BE7F15"/>
    <w:rsid w:val="00BF5306"/>
    <w:rsid w:val="00BF55B6"/>
    <w:rsid w:val="00BF5BD6"/>
    <w:rsid w:val="00C0123D"/>
    <w:rsid w:val="00C03E31"/>
    <w:rsid w:val="00C06E8D"/>
    <w:rsid w:val="00C070C5"/>
    <w:rsid w:val="00C10AAE"/>
    <w:rsid w:val="00C1138B"/>
    <w:rsid w:val="00C15223"/>
    <w:rsid w:val="00C16329"/>
    <w:rsid w:val="00C210EF"/>
    <w:rsid w:val="00C22891"/>
    <w:rsid w:val="00C328BD"/>
    <w:rsid w:val="00C33430"/>
    <w:rsid w:val="00C33E06"/>
    <w:rsid w:val="00C33E72"/>
    <w:rsid w:val="00C354B2"/>
    <w:rsid w:val="00C35554"/>
    <w:rsid w:val="00C3739E"/>
    <w:rsid w:val="00C42709"/>
    <w:rsid w:val="00C434BD"/>
    <w:rsid w:val="00C50AA6"/>
    <w:rsid w:val="00C50D5F"/>
    <w:rsid w:val="00C512AF"/>
    <w:rsid w:val="00C533CC"/>
    <w:rsid w:val="00C5751C"/>
    <w:rsid w:val="00C61BFC"/>
    <w:rsid w:val="00C62B85"/>
    <w:rsid w:val="00C65438"/>
    <w:rsid w:val="00C66364"/>
    <w:rsid w:val="00C73994"/>
    <w:rsid w:val="00C8099C"/>
    <w:rsid w:val="00C85A7E"/>
    <w:rsid w:val="00C87545"/>
    <w:rsid w:val="00C87917"/>
    <w:rsid w:val="00C91CBB"/>
    <w:rsid w:val="00C92006"/>
    <w:rsid w:val="00C9278D"/>
    <w:rsid w:val="00C95FDB"/>
    <w:rsid w:val="00CA0B22"/>
    <w:rsid w:val="00CA2A8B"/>
    <w:rsid w:val="00CA3AC3"/>
    <w:rsid w:val="00CA5CB6"/>
    <w:rsid w:val="00CA6D1C"/>
    <w:rsid w:val="00CA7452"/>
    <w:rsid w:val="00CA76DC"/>
    <w:rsid w:val="00CB0BBE"/>
    <w:rsid w:val="00CB30C5"/>
    <w:rsid w:val="00CB5026"/>
    <w:rsid w:val="00CB630D"/>
    <w:rsid w:val="00CB7284"/>
    <w:rsid w:val="00CC09B6"/>
    <w:rsid w:val="00CC5378"/>
    <w:rsid w:val="00CC6454"/>
    <w:rsid w:val="00CC666F"/>
    <w:rsid w:val="00CD1E3F"/>
    <w:rsid w:val="00CD2C34"/>
    <w:rsid w:val="00CD4F51"/>
    <w:rsid w:val="00CD5D9E"/>
    <w:rsid w:val="00CE1CF6"/>
    <w:rsid w:val="00CE3089"/>
    <w:rsid w:val="00CE3B7D"/>
    <w:rsid w:val="00CE44F6"/>
    <w:rsid w:val="00CE49DA"/>
    <w:rsid w:val="00CE79DB"/>
    <w:rsid w:val="00CE7B61"/>
    <w:rsid w:val="00CF29F5"/>
    <w:rsid w:val="00CF34BB"/>
    <w:rsid w:val="00CF709C"/>
    <w:rsid w:val="00D00095"/>
    <w:rsid w:val="00D01750"/>
    <w:rsid w:val="00D0362C"/>
    <w:rsid w:val="00D0673A"/>
    <w:rsid w:val="00D06DE6"/>
    <w:rsid w:val="00D16321"/>
    <w:rsid w:val="00D17A64"/>
    <w:rsid w:val="00D20620"/>
    <w:rsid w:val="00D2174B"/>
    <w:rsid w:val="00D24DEF"/>
    <w:rsid w:val="00D252AE"/>
    <w:rsid w:val="00D26091"/>
    <w:rsid w:val="00D30E58"/>
    <w:rsid w:val="00D32CD0"/>
    <w:rsid w:val="00D34E7C"/>
    <w:rsid w:val="00D35489"/>
    <w:rsid w:val="00D36D32"/>
    <w:rsid w:val="00D41EFF"/>
    <w:rsid w:val="00D45025"/>
    <w:rsid w:val="00D469A9"/>
    <w:rsid w:val="00D50C01"/>
    <w:rsid w:val="00D51276"/>
    <w:rsid w:val="00D52191"/>
    <w:rsid w:val="00D55CA5"/>
    <w:rsid w:val="00D61122"/>
    <w:rsid w:val="00D63FED"/>
    <w:rsid w:val="00D645B6"/>
    <w:rsid w:val="00D7035F"/>
    <w:rsid w:val="00D70A80"/>
    <w:rsid w:val="00D71B8B"/>
    <w:rsid w:val="00D71D97"/>
    <w:rsid w:val="00D733E9"/>
    <w:rsid w:val="00D73CDB"/>
    <w:rsid w:val="00D80747"/>
    <w:rsid w:val="00D80820"/>
    <w:rsid w:val="00D830A3"/>
    <w:rsid w:val="00D830A6"/>
    <w:rsid w:val="00D86259"/>
    <w:rsid w:val="00D86766"/>
    <w:rsid w:val="00D92B3E"/>
    <w:rsid w:val="00DA65AC"/>
    <w:rsid w:val="00DA75BF"/>
    <w:rsid w:val="00DB0CF9"/>
    <w:rsid w:val="00DB1913"/>
    <w:rsid w:val="00DC410D"/>
    <w:rsid w:val="00DC68CA"/>
    <w:rsid w:val="00DC7CBA"/>
    <w:rsid w:val="00DD5BB5"/>
    <w:rsid w:val="00DD6E79"/>
    <w:rsid w:val="00DD73B7"/>
    <w:rsid w:val="00DE3B9B"/>
    <w:rsid w:val="00DF02D7"/>
    <w:rsid w:val="00DF031F"/>
    <w:rsid w:val="00DF28BC"/>
    <w:rsid w:val="00DF3465"/>
    <w:rsid w:val="00DF34B9"/>
    <w:rsid w:val="00DF7BEB"/>
    <w:rsid w:val="00DF7E7A"/>
    <w:rsid w:val="00E01053"/>
    <w:rsid w:val="00E0210B"/>
    <w:rsid w:val="00E07ACF"/>
    <w:rsid w:val="00E1129B"/>
    <w:rsid w:val="00E177F2"/>
    <w:rsid w:val="00E20693"/>
    <w:rsid w:val="00E2506E"/>
    <w:rsid w:val="00E25FD1"/>
    <w:rsid w:val="00E331A1"/>
    <w:rsid w:val="00E33202"/>
    <w:rsid w:val="00E336A9"/>
    <w:rsid w:val="00E36FF4"/>
    <w:rsid w:val="00E37AFE"/>
    <w:rsid w:val="00E4041D"/>
    <w:rsid w:val="00E42893"/>
    <w:rsid w:val="00E43100"/>
    <w:rsid w:val="00E43B6A"/>
    <w:rsid w:val="00E440FE"/>
    <w:rsid w:val="00E45067"/>
    <w:rsid w:val="00E4515E"/>
    <w:rsid w:val="00E5040C"/>
    <w:rsid w:val="00E50624"/>
    <w:rsid w:val="00E523DB"/>
    <w:rsid w:val="00E552C9"/>
    <w:rsid w:val="00E55933"/>
    <w:rsid w:val="00E564D2"/>
    <w:rsid w:val="00E568DF"/>
    <w:rsid w:val="00E61C41"/>
    <w:rsid w:val="00E6221C"/>
    <w:rsid w:val="00E64269"/>
    <w:rsid w:val="00E671F6"/>
    <w:rsid w:val="00E71AD7"/>
    <w:rsid w:val="00E72505"/>
    <w:rsid w:val="00E741AA"/>
    <w:rsid w:val="00E764E5"/>
    <w:rsid w:val="00E80BA0"/>
    <w:rsid w:val="00E81226"/>
    <w:rsid w:val="00E82267"/>
    <w:rsid w:val="00E86DE2"/>
    <w:rsid w:val="00EA010F"/>
    <w:rsid w:val="00EA02E9"/>
    <w:rsid w:val="00EA1BE9"/>
    <w:rsid w:val="00EA3287"/>
    <w:rsid w:val="00EA3EE4"/>
    <w:rsid w:val="00EA4246"/>
    <w:rsid w:val="00EA43BE"/>
    <w:rsid w:val="00EA5283"/>
    <w:rsid w:val="00EA57E2"/>
    <w:rsid w:val="00EB632C"/>
    <w:rsid w:val="00EC66D7"/>
    <w:rsid w:val="00ED1B63"/>
    <w:rsid w:val="00ED3140"/>
    <w:rsid w:val="00ED3C1F"/>
    <w:rsid w:val="00ED4085"/>
    <w:rsid w:val="00ED420E"/>
    <w:rsid w:val="00ED42F9"/>
    <w:rsid w:val="00EE08B2"/>
    <w:rsid w:val="00EE0F20"/>
    <w:rsid w:val="00EE2F57"/>
    <w:rsid w:val="00EE5B22"/>
    <w:rsid w:val="00EE6750"/>
    <w:rsid w:val="00EE6B19"/>
    <w:rsid w:val="00EE720B"/>
    <w:rsid w:val="00EF218C"/>
    <w:rsid w:val="00EF2427"/>
    <w:rsid w:val="00EF2786"/>
    <w:rsid w:val="00EF431F"/>
    <w:rsid w:val="00EF4C34"/>
    <w:rsid w:val="00EF77C6"/>
    <w:rsid w:val="00F04BB6"/>
    <w:rsid w:val="00F05438"/>
    <w:rsid w:val="00F06AB1"/>
    <w:rsid w:val="00F107B5"/>
    <w:rsid w:val="00F1361C"/>
    <w:rsid w:val="00F15631"/>
    <w:rsid w:val="00F160C7"/>
    <w:rsid w:val="00F1751F"/>
    <w:rsid w:val="00F21EBE"/>
    <w:rsid w:val="00F26861"/>
    <w:rsid w:val="00F26AC9"/>
    <w:rsid w:val="00F27B81"/>
    <w:rsid w:val="00F32661"/>
    <w:rsid w:val="00F359DF"/>
    <w:rsid w:val="00F36D8F"/>
    <w:rsid w:val="00F375CA"/>
    <w:rsid w:val="00F379DE"/>
    <w:rsid w:val="00F4070E"/>
    <w:rsid w:val="00F417B1"/>
    <w:rsid w:val="00F4222A"/>
    <w:rsid w:val="00F429A4"/>
    <w:rsid w:val="00F42A93"/>
    <w:rsid w:val="00F47060"/>
    <w:rsid w:val="00F509F1"/>
    <w:rsid w:val="00F514FF"/>
    <w:rsid w:val="00F56C3A"/>
    <w:rsid w:val="00F57202"/>
    <w:rsid w:val="00F6029A"/>
    <w:rsid w:val="00F602DF"/>
    <w:rsid w:val="00F60AC0"/>
    <w:rsid w:val="00F663E9"/>
    <w:rsid w:val="00F66F06"/>
    <w:rsid w:val="00F722B1"/>
    <w:rsid w:val="00F72B27"/>
    <w:rsid w:val="00F75BEC"/>
    <w:rsid w:val="00F81FD9"/>
    <w:rsid w:val="00F822AC"/>
    <w:rsid w:val="00F841AA"/>
    <w:rsid w:val="00F910D3"/>
    <w:rsid w:val="00F921AB"/>
    <w:rsid w:val="00F96D81"/>
    <w:rsid w:val="00F97CCD"/>
    <w:rsid w:val="00FA1FE1"/>
    <w:rsid w:val="00FA23E8"/>
    <w:rsid w:val="00FA3AEA"/>
    <w:rsid w:val="00FA693A"/>
    <w:rsid w:val="00FA6A4B"/>
    <w:rsid w:val="00FA6B92"/>
    <w:rsid w:val="00FB1868"/>
    <w:rsid w:val="00FB23AD"/>
    <w:rsid w:val="00FB3FDA"/>
    <w:rsid w:val="00FC0EE2"/>
    <w:rsid w:val="00FC64DD"/>
    <w:rsid w:val="00FC783E"/>
    <w:rsid w:val="00FD04BB"/>
    <w:rsid w:val="00FD2F7F"/>
    <w:rsid w:val="00FD3803"/>
    <w:rsid w:val="00FD3CC1"/>
    <w:rsid w:val="00FD7215"/>
    <w:rsid w:val="00FE0341"/>
    <w:rsid w:val="00FE431C"/>
    <w:rsid w:val="00FE4FDF"/>
    <w:rsid w:val="00FE5D2E"/>
    <w:rsid w:val="00FE7B5D"/>
    <w:rsid w:val="00FF1E02"/>
    <w:rsid w:val="00FF30B4"/>
    <w:rsid w:val="00FF36DC"/>
    <w:rsid w:val="00FF4700"/>
    <w:rsid w:val="00FF53FE"/>
    <w:rsid w:val="00FF5ED1"/>
    <w:rsid w:val="00FF6590"/>
    <w:rsid w:val="00FF72C4"/>
    <w:rsid w:val="03C62A12"/>
    <w:rsid w:val="0601640B"/>
    <w:rsid w:val="06C01C4D"/>
    <w:rsid w:val="087557DF"/>
    <w:rsid w:val="0E9439FC"/>
    <w:rsid w:val="10C055FF"/>
    <w:rsid w:val="12C43003"/>
    <w:rsid w:val="13471299"/>
    <w:rsid w:val="16BB723D"/>
    <w:rsid w:val="172E3A14"/>
    <w:rsid w:val="1D1378A0"/>
    <w:rsid w:val="1E2E2280"/>
    <w:rsid w:val="1E840B3E"/>
    <w:rsid w:val="1FE44D20"/>
    <w:rsid w:val="20173BB8"/>
    <w:rsid w:val="21232772"/>
    <w:rsid w:val="240371BF"/>
    <w:rsid w:val="263457A9"/>
    <w:rsid w:val="29D076B3"/>
    <w:rsid w:val="29D23E1C"/>
    <w:rsid w:val="29FD04D3"/>
    <w:rsid w:val="2A182AEA"/>
    <w:rsid w:val="2AF11CDF"/>
    <w:rsid w:val="2F093605"/>
    <w:rsid w:val="2FA71AA7"/>
    <w:rsid w:val="31465865"/>
    <w:rsid w:val="319F7F4E"/>
    <w:rsid w:val="344F57F5"/>
    <w:rsid w:val="420C6676"/>
    <w:rsid w:val="461B063C"/>
    <w:rsid w:val="46E94A14"/>
    <w:rsid w:val="474D38F2"/>
    <w:rsid w:val="47C41B36"/>
    <w:rsid w:val="48A97A61"/>
    <w:rsid w:val="49213BB8"/>
    <w:rsid w:val="4A0B089F"/>
    <w:rsid w:val="511750E6"/>
    <w:rsid w:val="54215556"/>
    <w:rsid w:val="580E1DB0"/>
    <w:rsid w:val="58191271"/>
    <w:rsid w:val="5AE4681B"/>
    <w:rsid w:val="5C5A71AC"/>
    <w:rsid w:val="60E7675E"/>
    <w:rsid w:val="6610201D"/>
    <w:rsid w:val="67F4240B"/>
    <w:rsid w:val="6CB2300D"/>
    <w:rsid w:val="6FA74049"/>
    <w:rsid w:val="71E312C8"/>
    <w:rsid w:val="730930A1"/>
    <w:rsid w:val="73764817"/>
    <w:rsid w:val="739F0732"/>
    <w:rsid w:val="7592553D"/>
    <w:rsid w:val="F9FF64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无间隔1"/>
    <w:link w:val="3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No Spacing Char"/>
    <w:basedOn w:val="14"/>
    <w:link w:val="30"/>
    <w:qFormat/>
    <w:locked/>
    <w:uiPriority w:val="0"/>
    <w:rPr>
      <w:rFonts w:ascii="Calibri" w:hAnsi="Calibri"/>
      <w:kern w:val="2"/>
      <w:sz w:val="21"/>
      <w:szCs w:val="22"/>
    </w:rPr>
  </w:style>
  <w:style w:type="paragraph" w:customStyle="1" w:styleId="3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无间隔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4">
    <w:name w:val="apple-converted-space"/>
    <w:basedOn w:val="14"/>
    <w:qFormat/>
    <w:uiPriority w:val="0"/>
  </w:style>
  <w:style w:type="paragraph" w:customStyle="1" w:styleId="35">
    <w:name w:val="无间隔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8"/>
        </c:manualLayout>
      </c:layout>
      <c:overlay val="0"/>
    </c:title>
    <c:autoTitleDeleted val="0"/>
    <c:plotArea>
      <c:layout>
        <c:manualLayout>
          <c:layoutTarget val="inner"/>
          <c:xMode val="edge"/>
          <c:yMode val="edge"/>
          <c:x val="0.0769356344423436"/>
          <c:y val="0.212981143314532"/>
          <c:w val="0.763500149073545"/>
          <c:h val="0.68032464027103"/>
        </c:manualLayout>
      </c:layout>
      <c:barChart>
        <c:barDir val="col"/>
        <c:grouping val="clustered"/>
        <c:varyColors val="0"/>
        <c:ser>
          <c:idx val="0"/>
          <c:order val="0"/>
          <c:tx>
            <c:strRef>
              <c:f>Sheet1!$B$1</c:f>
              <c:strCache>
                <c:ptCount val="1"/>
                <c:pt idx="0">
                  <c:v>2017年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274.17</c:v>
                </c:pt>
              </c:numCache>
            </c:numRef>
          </c:val>
        </c:ser>
        <c:ser>
          <c:idx val="1"/>
          <c:order val="1"/>
          <c:tx>
            <c:strRef>
              <c:f>Sheet1!$C$1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348.729999999999</c:v>
                </c:pt>
              </c:numCache>
            </c:numRef>
          </c:val>
        </c:ser>
        <c:dLbls>
          <c:showLegendKey val="0"/>
          <c:showVal val="1"/>
          <c:showCatName val="0"/>
          <c:showSerName val="0"/>
          <c:showPercent val="0"/>
          <c:showBubbleSize val="0"/>
        </c:dLbls>
        <c:gapWidth val="150"/>
        <c:axId val="192439424"/>
        <c:axId val="192440960"/>
      </c:barChart>
      <c:catAx>
        <c:axId val="19243942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2440960"/>
        <c:crosses val="autoZero"/>
        <c:auto val="1"/>
        <c:lblAlgn val="ctr"/>
        <c:lblOffset val="100"/>
        <c:noMultiLvlLbl val="0"/>
      </c:catAx>
      <c:valAx>
        <c:axId val="19244096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2439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年收入决算结构图</a:t>
            </a:r>
            <a:endParaRPr lang="zh-CN" altLang="en-US"/>
          </a:p>
        </c:rich>
      </c:tx>
      <c:layout/>
      <c:overlay val="0"/>
    </c:title>
    <c:autoTitleDeleted val="0"/>
    <c:plotArea>
      <c:layout>
        <c:manualLayout>
          <c:layoutTarget val="inner"/>
          <c:xMode val="edge"/>
          <c:yMode val="edge"/>
          <c:x val="0.215995924342384"/>
          <c:y val="0.217391304347829"/>
          <c:w val="0.2961506961507"/>
          <c:h val="0.655072463768124"/>
        </c:manualLayout>
      </c:layout>
      <c:pieChart>
        <c:varyColors val="1"/>
        <c:ser>
          <c:idx val="0"/>
          <c:order val="0"/>
          <c:tx>
            <c:strRef>
              <c:f>Sheet1!$B$1</c:f>
              <c:strCache>
                <c:ptCount val="1"/>
                <c:pt idx="0">
                  <c:v>2017年部门决算收入结构图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185021872265968"/>
                  <c:y val="-0.25623178728100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100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General</c:formatCode>
                <c:ptCount val="7"/>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8"/>
          <c:y val="0.192746260074382"/>
          <c:w val="0.342222222222222"/>
          <c:h val="0.73888873431458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layout>
                <c:manualLayout>
                  <c:x val="-0.0156591620077341"/>
                  <c:y val="-0.2933831485350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0.33</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99.67</c:v>
                </c:pt>
                <c:pt idx="1">
                  <c:v>1.13999999999999</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92"/>
          <c:y val="0.0521624031445841"/>
        </c:manualLayout>
      </c:layout>
      <c:overlay val="0"/>
    </c:title>
    <c:autoTitleDeleted val="0"/>
    <c:plotArea>
      <c:layout>
        <c:manualLayout>
          <c:layoutTarget val="inner"/>
          <c:xMode val="edge"/>
          <c:yMode val="edge"/>
          <c:x val="0.0769356344423441"/>
          <c:y val="0.212981143314532"/>
          <c:w val="0.763500149073545"/>
          <c:h val="0.68032464027103"/>
        </c:manualLayout>
      </c:layout>
      <c:barChart>
        <c:barDir val="col"/>
        <c:grouping val="clustered"/>
        <c:varyColors val="0"/>
        <c:ser>
          <c:idx val="0"/>
          <c:order val="0"/>
          <c:tx>
            <c:strRef>
              <c:f>Sheet1!$B$1</c:f>
              <c:strCache>
                <c:ptCount val="1"/>
                <c:pt idx="0">
                  <c:v>2017年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274.17</c:v>
                </c:pt>
                <c:pt idx="1">
                  <c:v>274.17</c:v>
                </c:pt>
              </c:numCache>
            </c:numRef>
          </c:val>
        </c:ser>
        <c:ser>
          <c:idx val="1"/>
          <c:order val="1"/>
          <c:tx>
            <c:strRef>
              <c:f>Sheet1!$C$1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348.73</c:v>
                </c:pt>
                <c:pt idx="1">
                  <c:v>348.73</c:v>
                </c:pt>
              </c:numCache>
            </c:numRef>
          </c:val>
        </c:ser>
        <c:dLbls>
          <c:showLegendKey val="0"/>
          <c:showVal val="1"/>
          <c:showCatName val="0"/>
          <c:showSerName val="0"/>
          <c:showPercent val="0"/>
          <c:showBubbleSize val="0"/>
        </c:dLbls>
        <c:gapWidth val="150"/>
        <c:axId val="199312512"/>
        <c:axId val="199314048"/>
      </c:barChart>
      <c:catAx>
        <c:axId val="1993125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9314048"/>
        <c:crosses val="autoZero"/>
        <c:auto val="1"/>
        <c:lblAlgn val="ctr"/>
        <c:lblOffset val="100"/>
        <c:noMultiLvlLbl val="0"/>
      </c:catAx>
      <c:valAx>
        <c:axId val="1993140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93125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5"/>
          <c:w val="0.770646966143452"/>
          <c:h val="0.683986901018178"/>
        </c:manualLayout>
      </c:layout>
      <c:barChart>
        <c:barDir val="col"/>
        <c:grouping val="clustered"/>
        <c:varyColors val="0"/>
        <c:ser>
          <c:idx val="0"/>
          <c:order val="0"/>
          <c:tx>
            <c:strRef>
              <c:f>Sheet1!$B$1</c:f>
              <c:strCache>
                <c:ptCount val="1"/>
                <c:pt idx="0">
                  <c:v>2017年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274.17</c:v>
                </c:pt>
              </c:numCache>
            </c:numRef>
          </c:val>
        </c:ser>
        <c:ser>
          <c:idx val="1"/>
          <c:order val="1"/>
          <c:tx>
            <c:strRef>
              <c:f>Sheet1!$C$1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342.87</c:v>
                </c:pt>
              </c:numCache>
            </c:numRef>
          </c:val>
        </c:ser>
        <c:dLbls>
          <c:showLegendKey val="0"/>
          <c:showVal val="1"/>
          <c:showCatName val="0"/>
          <c:showSerName val="0"/>
          <c:showPercent val="0"/>
          <c:showBubbleSize val="0"/>
        </c:dLbls>
        <c:gapWidth val="150"/>
        <c:axId val="199446912"/>
        <c:axId val="199448448"/>
      </c:barChart>
      <c:catAx>
        <c:axId val="1994469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9448448"/>
        <c:crosses val="autoZero"/>
        <c:auto val="1"/>
        <c:lblAlgn val="ctr"/>
        <c:lblOffset val="100"/>
        <c:noMultiLvlLbl val="0"/>
      </c:catAx>
      <c:valAx>
        <c:axId val="1994484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94469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201</a:t>
            </a:r>
            <a:r>
              <a:rPr lang="en-US" altLang="en-US" sz="1400"/>
              <a:t>8</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overlay val="0"/>
    </c:title>
    <c:autoTitleDeleted val="0"/>
    <c:plotArea>
      <c:layout/>
      <c:pieChart>
        <c:varyColors val="1"/>
        <c:ser>
          <c:idx val="0"/>
          <c:order val="0"/>
          <c:tx>
            <c:strRef>
              <c:f>Sheet1!$B$1</c:f>
              <c:strCache>
                <c:ptCount val="1"/>
                <c:pt idx="0">
                  <c:v>2017年部门决算支出结构图</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社会保障和就业支出</c:v>
                </c:pt>
                <c:pt idx="1">
                  <c:v>医疗卫生与计划生育支出</c:v>
                </c:pt>
                <c:pt idx="2">
                  <c:v>住房保障支出</c:v>
                </c:pt>
              </c:strCache>
            </c:strRef>
          </c:cat>
          <c:val>
            <c:numRef>
              <c:f>Sheet1!$B$2:$B$4</c:f>
              <c:numCache>
                <c:formatCode>General</c:formatCode>
                <c:ptCount val="3"/>
                <c:pt idx="0">
                  <c:v>88.62</c:v>
                </c:pt>
                <c:pt idx="1">
                  <c:v>4.87</c:v>
                </c:pt>
                <c:pt idx="2">
                  <c:v>6.51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1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Lbl>
              <c:idx val="0"/>
              <c:delete val="1"/>
            </c:dLbl>
            <c:dLbl>
              <c:idx val="1"/>
              <c:delete val="1"/>
            </c:dLbl>
            <c:dLbl>
              <c:idx val="2"/>
              <c:layout>
                <c:manualLayout>
                  <c:x val="0.00581796702163822"/>
                  <c:y val="-0.271600424946882"/>
                </c:manualLayout>
              </c:layout>
              <c:tx>
                <c:rich>
                  <a:bodyPr rot="0" spcFirstLastPara="0" vertOverflow="ellipsis" vert="horz" wrap="square" lIns="38100" tIns="19050" rIns="38100" bIns="19050" anchor="ctr" anchorCtr="1"/>
                  <a:lstStyle/>
                  <a:p>
                    <a:pPr>
                      <a:defRPr lang="zh-CN" sz="1600" b="0" i="0" u="none" strike="noStrike" kern="1200" baseline="0">
                        <a:solidFill>
                          <a:schemeClr val="tx1"/>
                        </a:solidFill>
                        <a:latin typeface="+mn-lt"/>
                        <a:ea typeface="+mn-ea"/>
                        <a:cs typeface="+mn-cs"/>
                      </a:defRPr>
                    </a:pPr>
                    <a:r>
                      <a:rPr lang="en-US" altLang="en-US" sz="1600"/>
                      <a:t>100%</a:t>
                    </a:r>
                    <a:endParaRPr lang="en-US" altLang="en-US" sz="1600"/>
                  </a:p>
                </c:rich>
              </c:tx>
              <c:numFmt formatCode="General" sourceLinked="1"/>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因公出国（经）经费支出</c:v>
                </c:pt>
                <c:pt idx="1">
                  <c:v>公务用车购置及运行维护费支出</c:v>
                </c:pt>
                <c:pt idx="2">
                  <c:v>公务接待支出</c:v>
                </c:pt>
              </c:strCache>
            </c:strRef>
          </c:cat>
          <c:val>
            <c:numRef>
              <c:f>Sheet1!$B$2:$B$4</c:f>
              <c:numCache>
                <c:formatCode>General</c:formatCode>
                <c:ptCount val="3"/>
                <c:pt idx="2">
                  <c:v>100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9844</Words>
  <Characters>2189</Characters>
  <Lines>18</Lines>
  <Paragraphs>24</Paragraphs>
  <TotalTime>72</TotalTime>
  <ScaleCrop>false</ScaleCrop>
  <LinksUpToDate>false</LinksUpToDate>
  <CharactersWithSpaces>12009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2021-06-09T15:41:00Z</cp:lastPrinted>
  <dcterms:modified xsi:type="dcterms:W3CDTF">2026-05-09T15:48:20Z</dcterms:modified>
  <dc:title>四川省***</dc:title>
  <cp:revision>696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965C0772278C4C1C9109E7148FE00CFC</vt:lpwstr>
  </property>
</Properties>
</file>