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val="en-US" w:eastAsia="zh-CN"/>
        </w:rPr>
        <w:t>社会保险事业管理局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11"/>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11"/>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茂县社会保险事业管理局是县政府综合管理全县社会保险工作的职能部门，承担政府职能</w:t>
      </w:r>
      <w:r>
        <w:rPr>
          <w:rFonts w:hint="eastAsia" w:ascii="仿宋" w:hAnsi="仿宋" w:eastAsia="仿宋" w:cs="仿宋_GB2312"/>
          <w:b w:val="0"/>
          <w:bCs w:val="0"/>
          <w:sz w:val="32"/>
          <w:szCs w:val="32"/>
        </w:rPr>
        <w:t>的管理机构</w:t>
      </w:r>
      <w:r>
        <w:rPr>
          <w:rFonts w:hint="eastAsia" w:ascii="仿宋" w:hAnsi="仿宋" w:eastAsia="仿宋" w:cs="仿宋_GB2312"/>
          <w:sz w:val="32"/>
          <w:szCs w:val="32"/>
        </w:rPr>
        <w:t>，贯彻执行国家、省、州有关社会保险政策和法律、法规，负责全县企业基本养老保险、机关事业养老保险、职业年金、工伤保险等社会保险工作。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（二）2023年重点工作</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1.加强宣传力度，落实社保政策</w:t>
      </w:r>
      <w:r>
        <w:rPr>
          <w:rFonts w:hint="eastAsia" w:ascii="仿宋" w:hAnsi="仿宋" w:eastAsia="仿宋" w:cs="仿宋_GB2312"/>
          <w:sz w:val="32"/>
          <w:szCs w:val="32"/>
        </w:rPr>
        <w:t>。</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2.持续推进建筑行业参加工伤保险</w:t>
      </w:r>
      <w:r>
        <w:rPr>
          <w:rFonts w:hint="eastAsia" w:ascii="仿宋" w:hAnsi="仿宋" w:eastAsia="仿宋" w:cs="仿宋_GB2312"/>
          <w:sz w:val="32"/>
          <w:szCs w:val="32"/>
        </w:rPr>
        <w:t>。</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3.加强拟退休人员信息预审公示力度</w:t>
      </w:r>
      <w:r>
        <w:rPr>
          <w:rFonts w:hint="eastAsia" w:ascii="仿宋" w:hAnsi="仿宋" w:eastAsia="仿宋" w:cs="仿宋_GB2312"/>
          <w:sz w:val="32"/>
          <w:szCs w:val="32"/>
        </w:rPr>
        <w:t>。</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4.加强生存认证工作，维护基金安全</w:t>
      </w:r>
      <w:r>
        <w:rPr>
          <w:rFonts w:hint="eastAsia" w:ascii="仿宋" w:hAnsi="仿宋" w:eastAsia="仿宋" w:cs="仿宋_GB2312"/>
          <w:sz w:val="32"/>
          <w:szCs w:val="32"/>
        </w:rPr>
        <w:t>。</w:t>
      </w:r>
    </w:p>
    <w:p>
      <w:pPr>
        <w:pageBreakBefore w:val="0"/>
        <w:kinsoku/>
        <w:wordWrap/>
        <w:overflowPunct/>
        <w:topLinePunct w:val="0"/>
        <w:autoSpaceDE/>
        <w:autoSpaceDN/>
        <w:bidi w:val="0"/>
        <w:spacing w:line="576" w:lineRule="exact"/>
        <w:ind w:right="-342" w:rightChars="-163"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5.落实政风建设，转变服务理念</w:t>
      </w:r>
      <w:r>
        <w:rPr>
          <w:rFonts w:hint="eastAsia" w:ascii="仿宋" w:hAnsi="仿宋" w:eastAsia="仿宋" w:cs="仿宋_GB2312"/>
          <w:sz w:val="32"/>
          <w:szCs w:val="32"/>
        </w:rPr>
        <w:t>。</w:t>
      </w:r>
    </w:p>
    <w:p>
      <w:pPr>
        <w:pStyle w:val="11"/>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pStyle w:val="13"/>
        <w:keepNext w:val="0"/>
        <w:keepLines w:val="0"/>
        <w:pageBreakBefore w:val="0"/>
        <w:widowControl/>
        <w:suppressAutoHyphens w:val="0"/>
        <w:overflowPunct w:val="0"/>
        <w:bidi w:val="0"/>
        <w:snapToGrid/>
        <w:spacing w:line="560" w:lineRule="exact"/>
        <w:ind w:firstLine="640"/>
        <w:jc w:val="both"/>
        <w:textAlignment w:val="auto"/>
        <w:rPr>
          <w:rFonts w:ascii="仿宋_GB2312" w:eastAsia="仿宋_GB2312"/>
          <w:sz w:val="32"/>
          <w:szCs w:val="32"/>
          <w:lang w:eastAsia="zh-CN"/>
        </w:rPr>
      </w:pPr>
      <w:r>
        <w:rPr>
          <w:rFonts w:hint="eastAsia" w:ascii="仿宋" w:hAnsi="仿宋" w:eastAsia="仿宋" w:cs="仿宋_GB2312"/>
          <w:color w:val="auto"/>
          <w:kern w:val="2"/>
          <w:sz w:val="32"/>
          <w:szCs w:val="32"/>
          <w:lang w:val="en-US" w:eastAsia="zh-CN" w:bidi="ar-SA"/>
        </w:rPr>
        <w:t>茂县社会保险事业管理局属一级预算单位。</w:t>
      </w:r>
    </w:p>
    <w:p>
      <w:pPr>
        <w:pStyle w:val="11"/>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按照综合预算的原则，茂县社会保险事业管理局所有收入和支出均纳入部门预算管理。收入包括：一般公共预算拨款收入3365315.10元；支出包括：社会保障和就业支出2954660.82元，卫生健康支出190382.28元，住房保障支出220272.00元。茂县社会保险事业管理局2023年收支总预算3365315.10元,比2022年收支预算总数增加1138897.71元，主要原因:人员变动、职工职务职级变动增资及每年行政事业人员工资正常晋升。</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cs="Times New Roman"/>
          <w:sz w:val="32"/>
          <w:szCs w:val="32"/>
        </w:rPr>
      </w:pPr>
      <w:r>
        <w:rPr>
          <w:rFonts w:ascii="仿宋_GB2312" w:eastAsia="仿宋_GB2312"/>
          <w:sz w:val="32"/>
          <w:szCs w:val="32"/>
        </w:rPr>
        <w:t>　　</w:t>
      </w:r>
      <w:r>
        <w:rPr>
          <w:rFonts w:hint="eastAsia" w:ascii="仿宋" w:hAnsi="仿宋" w:eastAsia="仿宋" w:cs="仿宋_GB2312"/>
          <w:color w:val="auto"/>
          <w:kern w:val="2"/>
          <w:sz w:val="32"/>
          <w:szCs w:val="32"/>
          <w:lang w:val="en-US" w:eastAsia="zh-CN" w:bidi="ar-SA"/>
        </w:rPr>
        <w:t>2023年收入预算3365315.10元；一般公共预算拨款收入3365315.10元，占100%。</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hint="eastAsia" w:ascii="仿宋" w:hAnsi="仿宋" w:eastAsia="仿宋" w:cs="仿宋_GB2312"/>
          <w:color w:val="auto"/>
          <w:kern w:val="2"/>
          <w:sz w:val="32"/>
          <w:szCs w:val="32"/>
          <w:lang w:val="en-US" w:eastAsia="zh-CN" w:bidi="ar-SA"/>
        </w:rPr>
      </w:pPr>
      <w:r>
        <w:rPr>
          <w:rFonts w:ascii="仿宋_GB2312" w:eastAsia="仿宋_GB2312"/>
          <w:sz w:val="32"/>
          <w:szCs w:val="32"/>
        </w:rPr>
        <w:t>　</w:t>
      </w:r>
      <w:r>
        <w:rPr>
          <w:rFonts w:hint="eastAsia" w:ascii="仿宋" w:hAnsi="仿宋" w:eastAsia="仿宋" w:cs="仿宋_GB2312"/>
          <w:color w:val="auto"/>
          <w:kern w:val="2"/>
          <w:sz w:val="32"/>
          <w:szCs w:val="32"/>
          <w:lang w:val="en-US" w:eastAsia="zh-CN" w:bidi="ar-SA"/>
        </w:rPr>
        <w:t>　2023年支出预算3365315.10元，其中：基本支出3365315.10元，占100%。</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2023年财政拨款收支总预算3365315.10元,比2022年收支预算总数增加1138897.71元，主要原因:人员变动、职工职务职级变动增资及每年行政事业人员工资正常晋升。</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收入包括：本年一般公共预算拨款收入3365315.10元。</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支出包括：社会保障和就业支出2954660.82元，卫生健康支出190382.28元，住房保障支出220272.00元。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2"/>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2023年一般公共预算当年拨款3365315.10元,比2022年预算数增加1138897.71元，主要原因:人员变动、职工职务职级变动增资及每年行政事业人员工资正常晋升。</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社会保障和就业支出2954660.82元，占87.80%；卫生健康支出190382.28元，占5.66%；住房保障支出220272.00元，占6.54%。</w:t>
      </w:r>
    </w:p>
    <w:p>
      <w:pPr>
        <w:pStyle w:val="12"/>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1.社会保障和就业支出（208）人力资源和社会保障管理事务（01）行政运行（01）2023年预算数为2609227.86元，主要用于单位人员经费和日常公用经费等基本支出。</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2.社会保障和就业支出（208）行政事业单位养老支出（05）机关事业单位基本养老保险缴费支出（05）2023年预算数为230288.64元，主要用于单位缴纳基本养老保险费。</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3.社会保障和就业支出（208）行政事业单位养老支出（05）机关事业单位职业年金缴费支出（06）2023年预算数为115144.32元，主要用于单位缴纳职业年金。</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4.卫生健康支出（210）行政事业单位医疗（11）行政单位医疗（01）2023年预算数为190382.28元，主要用于行政单位缴纳基本医疗保险。</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5.住房保障支出（221）住房改革支出（02）住房公积金（01）2023年预算数为220272.00元，主要用于单位为职工缴纳住房公积金。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一般公共预算基本支出3365315.10元，其中：人员经费3228325.10元，主要包括：基本工资、津贴补贴、奖金、其他社会保障缴费、绩效工资、机关事业单位基本养老保险缴费、职业年金缴费、其他工资福利支出、奖励金、住房公积金、其他对个人和家庭的补助支出。公用经费136990.00元，主要包括：办公费、印刷费、电费、邮电费、差旅费、维修（护）费、租赁费、培训费、劳务费、工会经费、福利费、其他交通工具运行维护费。</w:t>
      </w:r>
    </w:p>
    <w:p>
      <w:pPr>
        <w:spacing w:line="560" w:lineRule="exact"/>
        <w:ind w:firstLine="640" w:firstLineChars="200"/>
        <w:rPr>
          <w:rFonts w:ascii="黑体" w:eastAsia="黑体"/>
          <w:sz w:val="32"/>
          <w:szCs w:val="32"/>
        </w:rPr>
      </w:pPr>
      <w:r>
        <w:rPr>
          <w:rFonts w:hint="eastAsia" w:ascii="黑体" w:hAnsi="黑体" w:eastAsia="黑体"/>
          <w:sz w:val="32"/>
          <w:szCs w:val="32"/>
        </w:rPr>
        <w:t xml:space="preserve">  七、“三公”经费财政拨款预算安排情况说明</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2023年“三公”经费财政拨款预算数3040.00元，其中：无因公出国（境）经费，公务接待费3040.00元，无公务用车购置及运行维护费。</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（一）2023年无因公出国（境）经费，同比无变化。</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default"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（二）2023年公务接待经费3040.00元。较2022年预算经费增加640元，增长26.67%，主要原因是：人员增加。</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（三）</w:t>
      </w:r>
      <w:r>
        <w:rPr>
          <w:rFonts w:hint="eastAsia" w:ascii="仿宋" w:eastAsia="仿宋" w:cs="仿宋_GB2312"/>
          <w:color w:val="auto"/>
          <w:kern w:val="2"/>
          <w:sz w:val="32"/>
          <w:szCs w:val="32"/>
          <w:lang w:val="en-US" w:eastAsia="zh-CN" w:bidi="ar-SA"/>
        </w:rPr>
        <w:t>2</w:t>
      </w:r>
      <w:r>
        <w:rPr>
          <w:rFonts w:hint="eastAsia" w:ascii="仿宋" w:hAnsi="仿宋" w:eastAsia="仿宋" w:cs="仿宋_GB2312"/>
          <w:color w:val="auto"/>
          <w:kern w:val="2"/>
          <w:sz w:val="32"/>
          <w:szCs w:val="32"/>
          <w:lang w:val="en-US" w:eastAsia="zh-CN" w:bidi="ar-SA"/>
        </w:rPr>
        <w:t>023年公务用车购置及运行费0万元，同比无变化。（其中：公务用车购置0万元，同比无变化；公车运行维护费0万元，同比无变化）；无政府性基金预算安排“三公”经费。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2023年无政府性基金预算拨款安排的支出。</w:t>
      </w:r>
    </w:p>
    <w:p>
      <w:pPr>
        <w:pStyle w:val="12"/>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2023年机关运行经费财政拨款预算为136990.00元，比2022年预算增加28840.00元，增长26.67%。主要原因是：人员增加，导致相应公用经费增加。</w:t>
      </w:r>
    </w:p>
    <w:p>
      <w:pPr>
        <w:pStyle w:val="12"/>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2023年茂县社会保险事业管理局未安排政府采购预算。</w:t>
      </w:r>
    </w:p>
    <w:p>
      <w:pPr>
        <w:pStyle w:val="12"/>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bookmarkStart w:id="0" w:name="_GoBack"/>
      <w:bookmarkEnd w:id="0"/>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截止2022年12月31日，我单位固定资产总额309405.00元，其中：房屋0平方米，价值0元；公务用车0辆，价值 0元；其他固定资产309405.00元。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pStyle w:val="12"/>
        <w:spacing w:before="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w:t>
      </w:r>
      <w:r>
        <w:rPr>
          <w:rFonts w:hint="eastAsia"/>
          <w:sz w:val="32"/>
          <w:szCs w:val="32"/>
          <w:lang w:val="en-US" w:eastAsia="zh-CN"/>
        </w:rPr>
        <w:t>3</w:t>
      </w:r>
      <w:r>
        <w:rPr>
          <w:rFonts w:hint="eastAsia" w:ascii="仿宋_GB2312" w:eastAsia="仿宋_GB2312"/>
          <w:sz w:val="32"/>
          <w:szCs w:val="32"/>
        </w:rPr>
        <w:t>年开展绩效目标管理的项目</w:t>
      </w:r>
      <w:r>
        <w:rPr>
          <w:rFonts w:hint="eastAsia"/>
          <w:sz w:val="32"/>
          <w:szCs w:val="32"/>
          <w:lang w:val="en-US" w:eastAsia="zh-CN"/>
        </w:rPr>
        <w:t>11</w:t>
      </w:r>
      <w:r>
        <w:rPr>
          <w:rFonts w:hint="eastAsia" w:ascii="仿宋_GB2312" w:eastAsia="仿宋_GB2312"/>
          <w:sz w:val="32"/>
          <w:szCs w:val="32"/>
        </w:rPr>
        <w:t xml:space="preserve">个，涉及预算 </w:t>
      </w:r>
      <w:r>
        <w:rPr>
          <w:rFonts w:hint="eastAsia"/>
          <w:sz w:val="32"/>
          <w:szCs w:val="32"/>
          <w:lang w:val="en-US" w:eastAsia="zh-CN"/>
        </w:rPr>
        <w:t>336.53</w:t>
      </w:r>
      <w:r>
        <w:rPr>
          <w:rFonts w:hint="eastAsia" w:ascii="仿宋_GB2312" w:eastAsia="仿宋_GB2312"/>
          <w:sz w:val="32"/>
          <w:szCs w:val="32"/>
        </w:rPr>
        <w:t>万元。其中：人员类项目</w:t>
      </w:r>
      <w:r>
        <w:rPr>
          <w:rFonts w:hint="eastAsia" w:ascii="仿宋_GB2312" w:eastAsia="仿宋_GB2312"/>
          <w:sz w:val="32"/>
          <w:szCs w:val="32"/>
          <w:lang w:val="en-US" w:eastAsia="zh-CN"/>
        </w:rPr>
        <w:t>1</w:t>
      </w:r>
      <w:r>
        <w:rPr>
          <w:rFonts w:hint="eastAsia"/>
          <w:sz w:val="32"/>
          <w:szCs w:val="32"/>
          <w:lang w:val="en-US" w:eastAsia="zh-CN"/>
        </w:rPr>
        <w:t>0</w:t>
      </w:r>
      <w:r>
        <w:rPr>
          <w:rFonts w:hint="eastAsia" w:ascii="仿宋_GB2312" w:eastAsia="仿宋_GB2312"/>
          <w:sz w:val="32"/>
          <w:szCs w:val="32"/>
        </w:rPr>
        <w:t>个，涉及预算</w:t>
      </w:r>
      <w:r>
        <w:rPr>
          <w:rFonts w:hint="eastAsia"/>
          <w:sz w:val="32"/>
          <w:szCs w:val="32"/>
          <w:lang w:val="en-US" w:eastAsia="zh-CN"/>
        </w:rPr>
        <w:t>322.83</w:t>
      </w:r>
      <w:r>
        <w:rPr>
          <w:rFonts w:hint="eastAsia" w:ascii="仿宋_GB2312" w:eastAsia="仿宋_GB2312"/>
          <w:sz w:val="32"/>
          <w:szCs w:val="32"/>
        </w:rPr>
        <w:t xml:space="preserve">万元；运转类项目 </w:t>
      </w:r>
      <w:r>
        <w:rPr>
          <w:rFonts w:hint="eastAsia" w:ascii="仿宋_GB2312" w:eastAsia="仿宋_GB2312"/>
          <w:sz w:val="32"/>
          <w:szCs w:val="32"/>
          <w:lang w:val="en-US" w:eastAsia="zh-CN"/>
        </w:rPr>
        <w:t>1</w:t>
      </w:r>
      <w:r>
        <w:rPr>
          <w:rFonts w:hint="eastAsia" w:ascii="仿宋_GB2312" w:eastAsia="仿宋_GB2312"/>
          <w:sz w:val="32"/>
          <w:szCs w:val="32"/>
        </w:rPr>
        <w:t>个，涉及预算</w:t>
      </w:r>
      <w:r>
        <w:rPr>
          <w:rFonts w:hint="eastAsia"/>
          <w:sz w:val="32"/>
          <w:szCs w:val="32"/>
          <w:lang w:val="en-US" w:eastAsia="zh-CN"/>
        </w:rPr>
        <w:t>13.70</w:t>
      </w:r>
      <w:r>
        <w:rPr>
          <w:rFonts w:hint="eastAsia" w:ascii="仿宋_GB2312" w:eastAsia="仿宋_GB2312"/>
          <w:sz w:val="32"/>
          <w:szCs w:val="32"/>
        </w:rPr>
        <w:t>万元；特定目标类项目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12"/>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13"/>
        <w:keepNext w:val="0"/>
        <w:keepLines w:val="0"/>
        <w:pageBreakBefore w:val="0"/>
        <w:widowControl/>
        <w:suppressAutoHyphens w:val="0"/>
        <w:overflowPunct w:val="0"/>
        <w:bidi w:val="0"/>
        <w:snapToGrid/>
        <w:spacing w:line="560" w:lineRule="exact"/>
        <w:ind w:firstLine="640"/>
        <w:jc w:val="both"/>
        <w:textAlignment w:val="auto"/>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ascii="仿宋_GB2312" w:hAnsi="Calibri" w:eastAsia="仿宋_GB2312" w:cs="Times New Roman"/>
          <w:color w:val="auto"/>
          <w:kern w:val="2"/>
          <w:sz w:val="32"/>
          <w:szCs w:val="32"/>
          <w:lang w:val="en-US" w:eastAsia="zh-CN" w:bidi="ar-SA"/>
        </w:rPr>
        <w:t>指由财政拨款形成的部门收入。按现行管理制度，部门预算中反映的财政拨款仅包括一般公共预算拨款和政府性基金预算拨款。</w:t>
      </w:r>
    </w:p>
    <w:p>
      <w:pPr>
        <w:pStyle w:val="12"/>
        <w:spacing w:before="0" w:line="360" w:lineRule="auto"/>
        <w:ind w:firstLine="643" w:firstLineChars="200"/>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ascii="仿宋_GB2312" w:hAnsi="Calibri" w:eastAsia="仿宋_GB2312" w:cs="Times New Roman"/>
          <w:kern w:val="2"/>
          <w:sz w:val="32"/>
          <w:szCs w:val="32"/>
          <w:lang w:val="en-US" w:eastAsia="zh-CN" w:bidi="ar-SA"/>
        </w:rPr>
        <w:t>指所属事业单位开展专业业务活动及辅助活动所取得的收入。</w:t>
      </w:r>
    </w:p>
    <w:p>
      <w:pPr>
        <w:pStyle w:val="12"/>
        <w:spacing w:before="0" w:line="360" w:lineRule="auto"/>
        <w:ind w:firstLine="643" w:firstLineChars="200"/>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ascii="仿宋_GB2312" w:hAnsi="Calibri" w:eastAsia="仿宋_GB2312" w:cs="Times New Roman"/>
          <w:kern w:val="2"/>
          <w:sz w:val="32"/>
          <w:szCs w:val="32"/>
          <w:lang w:val="en-US" w:eastAsia="zh-CN" w:bidi="ar-SA"/>
        </w:rPr>
        <w:t>指所属事业单位在专业业务活动及其辅助活动之外开展非独立核算经营活动取得的收入。</w:t>
      </w:r>
    </w:p>
    <w:p>
      <w:pPr>
        <w:pStyle w:val="12"/>
        <w:spacing w:before="0" w:line="360" w:lineRule="auto"/>
        <w:ind w:firstLine="643" w:firstLineChars="200"/>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ascii="仿宋_GB2312" w:hAnsi="Calibri" w:eastAsia="仿宋_GB2312" w:cs="Times New Roman"/>
          <w:kern w:val="2"/>
          <w:sz w:val="32"/>
          <w:szCs w:val="32"/>
          <w:lang w:val="en-US" w:eastAsia="zh-CN" w:bidi="ar-SA"/>
        </w:rPr>
        <w:t>指除上述“财政拨款收入”、“事业收入”、“事业单位经营收入”等以外的收入，主要是所属行政事业单位按规定动用的售房收入、存款利息收入等。</w:t>
      </w:r>
    </w:p>
    <w:p>
      <w:pPr>
        <w:pStyle w:val="12"/>
        <w:spacing w:before="0" w:line="360" w:lineRule="auto"/>
        <w:ind w:firstLine="643" w:firstLineChars="200"/>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hAnsi="Calibri" w:eastAsia="仿宋_GB2312"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p>
    <w:p>
      <w:pPr>
        <w:pStyle w:val="12"/>
        <w:spacing w:before="0" w:line="360" w:lineRule="auto"/>
        <w:ind w:firstLine="643" w:firstLineChars="200"/>
        <w:rPr>
          <w:rFonts w:hint="eastAsia" w:ascii="仿宋_GB2312" w:hAnsi="Calibri" w:eastAsia="仿宋_GB2312" w:cs="Times New Roman"/>
          <w:kern w:val="2"/>
          <w:sz w:val="32"/>
          <w:szCs w:val="32"/>
          <w:lang w:val="en-US" w:eastAsia="zh-CN" w:bidi="ar-SA"/>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ascii="仿宋_GB2312" w:hAnsi="Calibri" w:eastAsia="仿宋_GB2312"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hjOTYyYjJiYTQxNjdmOGE4MTEzNzczMTBiZWM1NjkifQ=="/>
  </w:docVars>
  <w:rsids>
    <w:rsidRoot w:val="7AE4629A"/>
    <w:rsid w:val="000451C2"/>
    <w:rsid w:val="00053256"/>
    <w:rsid w:val="0006464F"/>
    <w:rsid w:val="000C0283"/>
    <w:rsid w:val="00100BDA"/>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510B0E"/>
    <w:rsid w:val="026453D2"/>
    <w:rsid w:val="05031CD2"/>
    <w:rsid w:val="05A93B78"/>
    <w:rsid w:val="07674A16"/>
    <w:rsid w:val="07AF3E24"/>
    <w:rsid w:val="081E0B1B"/>
    <w:rsid w:val="0A6F38B0"/>
    <w:rsid w:val="0BC35C62"/>
    <w:rsid w:val="0DAE10A6"/>
    <w:rsid w:val="0E2350DD"/>
    <w:rsid w:val="10A818CA"/>
    <w:rsid w:val="10D80401"/>
    <w:rsid w:val="111331E7"/>
    <w:rsid w:val="1310375B"/>
    <w:rsid w:val="13197D31"/>
    <w:rsid w:val="1347448C"/>
    <w:rsid w:val="13637D2A"/>
    <w:rsid w:val="13B32A60"/>
    <w:rsid w:val="149A21AD"/>
    <w:rsid w:val="15204125"/>
    <w:rsid w:val="156C1118"/>
    <w:rsid w:val="15D942D4"/>
    <w:rsid w:val="15E12DFF"/>
    <w:rsid w:val="164003A4"/>
    <w:rsid w:val="166407D5"/>
    <w:rsid w:val="16AC7D4C"/>
    <w:rsid w:val="16B96DED"/>
    <w:rsid w:val="16C5583A"/>
    <w:rsid w:val="16FF7D6A"/>
    <w:rsid w:val="177904B8"/>
    <w:rsid w:val="17981D0B"/>
    <w:rsid w:val="17A740BC"/>
    <w:rsid w:val="193131D8"/>
    <w:rsid w:val="19497888"/>
    <w:rsid w:val="1B0406D7"/>
    <w:rsid w:val="1C250273"/>
    <w:rsid w:val="1D3B2012"/>
    <w:rsid w:val="1E920355"/>
    <w:rsid w:val="1F3208AA"/>
    <w:rsid w:val="20361CB8"/>
    <w:rsid w:val="205A7FDA"/>
    <w:rsid w:val="220A45EB"/>
    <w:rsid w:val="239C52BE"/>
    <w:rsid w:val="26D8506D"/>
    <w:rsid w:val="28F72F97"/>
    <w:rsid w:val="29566940"/>
    <w:rsid w:val="2A740DBF"/>
    <w:rsid w:val="2C32088E"/>
    <w:rsid w:val="2C46226B"/>
    <w:rsid w:val="2DB651CE"/>
    <w:rsid w:val="306E6BCA"/>
    <w:rsid w:val="327B225B"/>
    <w:rsid w:val="32BF7DF5"/>
    <w:rsid w:val="34D50E3E"/>
    <w:rsid w:val="356D1D1E"/>
    <w:rsid w:val="37E05E4F"/>
    <w:rsid w:val="3B722F28"/>
    <w:rsid w:val="3C756255"/>
    <w:rsid w:val="3C925866"/>
    <w:rsid w:val="3CA27F74"/>
    <w:rsid w:val="3CF248ED"/>
    <w:rsid w:val="3EF77C18"/>
    <w:rsid w:val="3FAF311E"/>
    <w:rsid w:val="400C6ED0"/>
    <w:rsid w:val="420D3F2C"/>
    <w:rsid w:val="423A048D"/>
    <w:rsid w:val="4240289D"/>
    <w:rsid w:val="43C875B2"/>
    <w:rsid w:val="45433394"/>
    <w:rsid w:val="46B765F5"/>
    <w:rsid w:val="47B265AF"/>
    <w:rsid w:val="48EB0A3F"/>
    <w:rsid w:val="4A176B9D"/>
    <w:rsid w:val="4B0D2C88"/>
    <w:rsid w:val="4EBE3A8B"/>
    <w:rsid w:val="4EC54E1A"/>
    <w:rsid w:val="50355D69"/>
    <w:rsid w:val="50593A6B"/>
    <w:rsid w:val="539C00D9"/>
    <w:rsid w:val="54BF230B"/>
    <w:rsid w:val="57343D83"/>
    <w:rsid w:val="596A6CE9"/>
    <w:rsid w:val="598C3104"/>
    <w:rsid w:val="5BAA4591"/>
    <w:rsid w:val="60721FAE"/>
    <w:rsid w:val="6127215B"/>
    <w:rsid w:val="61693C9D"/>
    <w:rsid w:val="64485FA5"/>
    <w:rsid w:val="64CC0F4B"/>
    <w:rsid w:val="6545060B"/>
    <w:rsid w:val="659A6BA8"/>
    <w:rsid w:val="6759214B"/>
    <w:rsid w:val="692A1FF1"/>
    <w:rsid w:val="693B7D5A"/>
    <w:rsid w:val="6D91109F"/>
    <w:rsid w:val="6E4A555D"/>
    <w:rsid w:val="6FCA73A4"/>
    <w:rsid w:val="73AA39A0"/>
    <w:rsid w:val="74A07852"/>
    <w:rsid w:val="764D37C3"/>
    <w:rsid w:val="76F23809"/>
    <w:rsid w:val="777E2694"/>
    <w:rsid w:val="780E2ADE"/>
    <w:rsid w:val="78E57CE3"/>
    <w:rsid w:val="797F26F3"/>
    <w:rsid w:val="7A3525A4"/>
    <w:rsid w:val="7AC04563"/>
    <w:rsid w:val="7AE4629A"/>
    <w:rsid w:val="7C5E4034"/>
    <w:rsid w:val="7C61744E"/>
    <w:rsid w:val="7E0724A9"/>
    <w:rsid w:val="7EE32C29"/>
    <w:rsid w:val="7FA44454"/>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before="100" w:beforeAutospacing="1" w:after="0"/>
      <w:ind w:firstLine="100" w:firstLineChars="100"/>
    </w:pPr>
    <w:rPr>
      <w:rFonts w:ascii="Times New Roman" w:hAnsi="Times New Roman" w:eastAsia="楷体_GB2312"/>
    </w:rPr>
  </w:style>
  <w:style w:type="paragraph" w:styleId="3">
    <w:name w:val="Body Text"/>
    <w:basedOn w:val="1"/>
    <w:next w:val="4"/>
    <w:qFormat/>
    <w:uiPriority w:val="0"/>
    <w:pPr>
      <w:spacing w:after="120"/>
    </w:pPr>
    <w:rPr>
      <w:rFonts w:ascii="Calibri" w:hAnsi="Calibri"/>
    </w:rPr>
  </w:style>
  <w:style w:type="paragraph" w:styleId="4">
    <w:name w:val="Body Text First Indent"/>
    <w:basedOn w:val="3"/>
    <w:qFormat/>
    <w:uiPriority w:val="0"/>
    <w:pPr>
      <w:ind w:firstLine="100" w:firstLineChars="100"/>
    </w:pPr>
    <w:rPr>
      <w:kern w:val="0"/>
      <w:sz w:val="20"/>
      <w:szCs w:val="20"/>
    </w:rPr>
  </w:style>
  <w:style w:type="paragraph" w:styleId="5">
    <w:name w:val="Body Text Indent"/>
    <w:basedOn w:val="1"/>
    <w:qFormat/>
    <w:uiPriority w:val="0"/>
    <w:pPr>
      <w:tabs>
        <w:tab w:val="left" w:pos="960"/>
      </w:tabs>
      <w:spacing w:line="540" w:lineRule="exact"/>
      <w:ind w:firstLine="5440" w:firstLineChars="1700"/>
    </w:pPr>
    <w:rPr>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firstLine="420" w:firstLineChars="200"/>
    </w:p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 w:type="paragraph" w:customStyle="1" w:styleId="13">
    <w:name w:val="正文1"/>
    <w:qFormat/>
    <w:uiPriority w:val="0"/>
    <w:pPr>
      <w:widowControl/>
      <w:suppressAutoHyphens w:val="0"/>
      <w:bidi w:val="0"/>
      <w:spacing w:before="0" w:after="0"/>
      <w:ind w:firstLine="360"/>
      <w:jc w:val="left"/>
    </w:pPr>
    <w:rPr>
      <w:rFonts w:ascii="Calibri" w:hAnsi="Calibri" w:eastAsia="宋体" w:cs="Arial"/>
      <w:color w:val="auto"/>
      <w:kern w:val="0"/>
      <w:sz w:val="22"/>
      <w:szCs w:val="22"/>
      <w:lang w:val="en-US" w:eastAsia="zh-CN"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2669</Words>
  <Characters>3131</Characters>
  <Lines>23</Lines>
  <Paragraphs>6</Paragraphs>
  <TotalTime>0</TotalTime>
  <ScaleCrop>false</ScaleCrop>
  <LinksUpToDate>false</LinksUpToDate>
  <CharactersWithSpaces>3141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2024-08-14T01:21:29Z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E55BE357D25548B0A6AE305467EE8F9C</vt:lpwstr>
  </property>
</Properties>
</file>