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社会保险事业管理局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4"/>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14"/>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sz w:val="32"/>
          <w:szCs w:val="32"/>
        </w:rPr>
      </w:pPr>
      <w:r>
        <w:rPr>
          <w:rFonts w:hint="eastAsia" w:ascii="仿宋" w:eastAsia="仿宋" w:cs="仿宋_GB2312"/>
          <w:sz w:val="32"/>
          <w:szCs w:val="32"/>
        </w:rPr>
        <w:t>茂县社会保险事业管理局是县政府综合管理全县社会保险工作的职能部门，承担政府职能</w:t>
      </w:r>
      <w:r>
        <w:rPr>
          <w:rFonts w:hint="eastAsia" w:ascii="仿宋" w:eastAsia="仿宋" w:cs="仿宋_GB2312"/>
          <w:b w:val="0"/>
          <w:bCs w:val="0"/>
          <w:sz w:val="32"/>
          <w:szCs w:val="32"/>
        </w:rPr>
        <w:t>的管理机构</w:t>
      </w:r>
      <w:r>
        <w:rPr>
          <w:rFonts w:hint="eastAsia" w:ascii="仿宋" w:eastAsia="仿宋" w:cs="仿宋_GB2312"/>
          <w:sz w:val="32"/>
          <w:szCs w:val="32"/>
        </w:rPr>
        <w:t>，贯彻执行国家、省、州有关社会保险政策和法律、法规，负责全县企业基本养老保险、机关事业养老保险、职业年金、工伤保险等社会保险工作。</w:t>
      </w:r>
    </w:p>
    <w:p>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1.加强政策宣传，</w:t>
      </w:r>
      <w:r>
        <w:rPr>
          <w:rFonts w:ascii="仿宋_GB2312" w:eastAsia="仿宋_GB2312" w:cs="仿宋_GB2312"/>
          <w:kern w:val="0"/>
          <w:sz w:val="32"/>
          <w:szCs w:val="32"/>
          <w:lang w:val="en-US" w:eastAsia="zh-CN" w:bidi="ar-SA"/>
        </w:rPr>
        <w:t>继续实施全民参保计划</w:t>
      </w:r>
      <w:r>
        <w:rPr>
          <w:rFonts w:hint="eastAsia" w:ascii="仿宋_GB2312" w:eastAsia="仿宋_GB2312" w:cs="仿宋_GB2312"/>
          <w:b/>
          <w:bCs/>
          <w:color w:val="000000"/>
          <w:sz w:val="32"/>
          <w:szCs w:val="32"/>
          <w:highlight w:val="none"/>
        </w:rPr>
        <w:t>。</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2.持续推进建筑行业参加工伤保险</w:t>
      </w:r>
      <w:r>
        <w:rPr>
          <w:rFonts w:hint="eastAsia" w:ascii="仿宋" w:eastAsia="仿宋" w:cs="仿宋_GB2312"/>
          <w:color w:val="auto"/>
          <w:sz w:val="32"/>
          <w:szCs w:val="32"/>
        </w:rPr>
        <w:t>。</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3.加强拟退休人员信息预审公示力度</w:t>
      </w:r>
      <w:r>
        <w:rPr>
          <w:rFonts w:hint="eastAsia" w:ascii="仿宋" w:eastAsia="仿宋" w:cs="仿宋_GB2312"/>
          <w:color w:val="auto"/>
          <w:sz w:val="32"/>
          <w:szCs w:val="32"/>
          <w:lang w:eastAsia="zh-CN"/>
        </w:rPr>
        <w:t>，</w:t>
      </w:r>
      <w:r>
        <w:rPr>
          <w:rFonts w:ascii="仿宋_GB2312" w:eastAsia="仿宋_GB2312" w:cs="仿宋_GB2312"/>
          <w:kern w:val="0"/>
          <w:sz w:val="32"/>
          <w:szCs w:val="32"/>
          <w:lang w:val="en-US" w:eastAsia="zh-CN" w:bidi="ar-SA"/>
        </w:rPr>
        <w:t>扎实开展待遇领取资格认证，确保社保待遇按时足额发放</w:t>
      </w:r>
      <w:r>
        <w:rPr>
          <w:rFonts w:hint="eastAsia" w:ascii="仿宋" w:eastAsia="仿宋" w:cs="仿宋_GB2312"/>
          <w:color w:val="auto"/>
          <w:sz w:val="32"/>
          <w:szCs w:val="32"/>
        </w:rPr>
        <w:t>。</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ascii="仿宋" w:eastAsia="仿宋" w:cs="仿宋_GB2312"/>
          <w:color w:val="auto"/>
          <w:sz w:val="32"/>
          <w:szCs w:val="32"/>
          <w:lang w:val="en-US" w:eastAsia="zh-CN"/>
        </w:rPr>
      </w:pPr>
      <w:r>
        <w:rPr>
          <w:rFonts w:hint="eastAsia" w:ascii="仿宋" w:eastAsia="仿宋" w:cs="仿宋_GB2312"/>
          <w:color w:val="auto"/>
          <w:sz w:val="32"/>
          <w:szCs w:val="32"/>
          <w:lang w:val="en-US" w:eastAsia="zh-CN"/>
        </w:rPr>
        <w:t>4.严格规范社保基金管理。</w:t>
      </w:r>
    </w:p>
    <w:p>
      <w:pPr>
        <w:pStyle w:val="14"/>
        <w:numPr>
          <w:ilvl w:val="0"/>
          <w:numId w:val="1"/>
        </w:numPr>
        <w:ind w:firstLineChars="0"/>
        <w:rPr>
          <w:rFonts w:ascii="黑体" w:eastAsia="黑体"/>
          <w:sz w:val="32"/>
          <w:szCs w:val="32"/>
        </w:rPr>
      </w:pPr>
      <w:r>
        <w:rPr>
          <w:rFonts w:hint="eastAsia" w:ascii="黑体" w:eastAsia="黑体"/>
          <w:sz w:val="32"/>
          <w:szCs w:val="32"/>
        </w:rPr>
        <w:t>部门预算单位构成</w:t>
      </w:r>
    </w:p>
    <w:p>
      <w:pPr>
        <w:pStyle w:val="16"/>
        <w:keepNext w:val="0"/>
        <w:keepLines w:val="0"/>
        <w:pageBreakBefore w:val="0"/>
        <w:widowControl/>
        <w:suppressAutoHyphens w:val="0"/>
        <w:overflowPunct w:val="0"/>
        <w:bidi w:val="0"/>
        <w:snapToGrid/>
        <w:spacing w:line="560" w:lineRule="exact"/>
        <w:ind w:firstLine="640"/>
        <w:jc w:val="both"/>
        <w:textAlignment w:val="auto"/>
        <w:rPr>
          <w:rFonts w:ascii="仿宋_GB2312" w:eastAsia="仿宋_GB2312"/>
          <w:sz w:val="32"/>
          <w:szCs w:val="32"/>
          <w:lang w:eastAsia="zh-CN"/>
        </w:rPr>
      </w:pPr>
      <w:r>
        <w:rPr>
          <w:rFonts w:hint="eastAsia" w:ascii="仿宋" w:eastAsia="仿宋" w:cs="仿宋_GB2312"/>
          <w:color w:val="auto"/>
          <w:kern w:val="2"/>
          <w:sz w:val="32"/>
          <w:szCs w:val="32"/>
          <w:lang w:val="en-US" w:eastAsia="zh-CN" w:bidi="ar-SA"/>
        </w:rPr>
        <w:t>茂县社会保险事业管理局属一级预算单位。</w:t>
      </w:r>
    </w:p>
    <w:p>
      <w:pPr>
        <w:pStyle w:val="14"/>
        <w:ind w:left="720" w:firstLine="0" w:firstLineChars="0"/>
        <w:rPr>
          <w:rFonts w:ascii="黑体" w:eastAsia="黑体"/>
          <w:sz w:val="32"/>
          <w:szCs w:val="32"/>
        </w:rPr>
      </w:pPr>
      <w:r>
        <w:rPr>
          <w:rFonts w:hint="eastAsia" w:ascii="黑体" w:eastAsia="黑体"/>
          <w:sz w:val="32"/>
          <w:szCs w:val="32"/>
        </w:rPr>
        <w:t>三、收支预算情况说明</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按照综合预算的原则，茂县社会保险事业管理局所有收入和支出均纳入部门预算管理。收入包括：一般公共预算拨款收入3770312.81元；支出包括：社会保障和就业支出3269132.10元，卫生健康支出220344.71元，住房保障支出280836.00元。茂县社会保险事业管理局2024年收支总预算3770312.81元,比2023年收支预算总数增加404997.71元，主要原因:人员增加、职务职级变动增资及每年行政事业人员工资正常晋升。</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cs="Times New Roman"/>
          <w:sz w:val="32"/>
          <w:szCs w:val="32"/>
        </w:rPr>
      </w:pPr>
      <w:r>
        <w:rPr>
          <w:rFonts w:ascii="仿宋_GB2312" w:eastAsia="仿宋_GB2312"/>
          <w:sz w:val="32"/>
          <w:szCs w:val="32"/>
        </w:rPr>
        <w:t>　　</w:t>
      </w:r>
      <w:r>
        <w:rPr>
          <w:rFonts w:hint="eastAsia" w:ascii="仿宋" w:eastAsia="仿宋" w:cs="仿宋_GB2312"/>
          <w:color w:val="auto"/>
          <w:kern w:val="2"/>
          <w:sz w:val="32"/>
          <w:szCs w:val="32"/>
          <w:lang w:val="en-US" w:eastAsia="zh-CN" w:bidi="ar-SA"/>
        </w:rPr>
        <w:t>2024年收入预算3770312.81元；一般公共预算拨款收入3770312.81元，占100%。</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hint="eastAsia" w:ascii="仿宋" w:eastAsia="仿宋" w:cs="仿宋_GB2312"/>
          <w:color w:val="auto"/>
          <w:kern w:val="2"/>
          <w:sz w:val="32"/>
          <w:szCs w:val="32"/>
          <w:lang w:val="en-US" w:eastAsia="zh-CN" w:bidi="ar-SA"/>
        </w:rPr>
      </w:pPr>
      <w:r>
        <w:rPr>
          <w:rFonts w:ascii="仿宋_GB2312" w:eastAsia="仿宋_GB2312"/>
          <w:sz w:val="32"/>
          <w:szCs w:val="32"/>
        </w:rPr>
        <w:t>　</w:t>
      </w:r>
      <w:r>
        <w:rPr>
          <w:rFonts w:hint="eastAsia" w:ascii="仿宋" w:eastAsia="仿宋" w:cs="仿宋_GB2312"/>
          <w:color w:val="auto"/>
          <w:kern w:val="2"/>
          <w:sz w:val="32"/>
          <w:szCs w:val="32"/>
          <w:lang w:val="en-US" w:eastAsia="zh-CN" w:bidi="ar-SA"/>
        </w:rPr>
        <w:t>　2024年支出预算3770312.81元，其中：基本支出3770312.81元，占100%。</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2024年财政拨款收支总预算3770312.81元,比2023年收支预算总数增加404997.71元，主要原因:人员增加、职务职级变动增资及每年行政事业人员工资正常晋升。</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收入包括：本年一般公共预算拨款收入3770312.81元。</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支出包括：社会保障和就业支出3269132.10元，卫生健康支出220344.71元，住房保障支出280836.00元。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5"/>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2024年一般公共预算当年拨款3770312.81元,比2023年预算数增加404997.71元，主要原因:人员增加、职务职级变动增资及每年行政事业人员工资正常晋升。</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社会保障和就业支出3269132.10元，占86.71%；卫生健康支出220344.71元，占5.84%；住房保障支出280836.00元，占7.45%。</w:t>
      </w:r>
    </w:p>
    <w:p>
      <w:pPr>
        <w:pStyle w:val="15"/>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1.社会保障和就业支出（208）人力资源和社会保障管理事务（01）行政运行（01）2024年预算数为2881338.90元，主要用于单位人员经费和日常公用经费等基本支出。</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2.社会保障和就业支出（208）行政事业单位养老支出（05）机关事业单位基本养老保险缴费支出（05）2024年预算数为258528.80元，主要用于单位缴纳基本养老保险费。</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3.社会保障和就业支出（208）行政事业单位养老支出（05）机关事业单位职业年金缴费支出（06）2024年预算数为129264.40元，主要用于单位缴纳职业年金。</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4.卫生健康支出（210）行政事业单位医疗（11）行政单位医疗（01）2024年预算数为220344.71元，主要用于行政单位缴纳基本医疗保险。</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5.住房保障支出（221）住房改革支出（02）住房公积金（01）2024年预算数为280836.00元，主要用于单位为职工缴纳住房公积金。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一般公共预算基本支出3770312.81元，其中：人员经费3618902.81元，主要包括：基本工资、津贴补贴、奖金、其他社会保障缴费、绩效工资、机关事业单位基本养老保险缴费、职业年金缴费、其他工资福利支出、奖励金、住房公积金、其他对个人和家庭的补助支出。公用经费151410.00元，主要包括：办公费、印刷费、电费、邮电费、差旅费、维修（护）费、租赁费、培训费、劳务费、工会经费、福利费、其他交通工具运行维护费。</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2024年“三公”经费财政拨款预算数3360.00元，其中：无因公出国（境）经费，公务接待费3360.00元，无公务用车购置及运行维护费。</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（一）2024年无因公出国（境）经费，同比无变化。</w:t>
      </w:r>
    </w:p>
    <w:p>
      <w:pPr>
        <w:pStyle w:val="16"/>
        <w:keepNext w:val="0"/>
        <w:keepLines w:val="0"/>
        <w:pageBreakBefore w:val="0"/>
        <w:widowControl/>
        <w:suppressAutoHyphens w:val="0"/>
        <w:overflowPunct w:val="0"/>
        <w:bidi w:val="0"/>
        <w:snapToGrid/>
        <w:spacing w:line="560" w:lineRule="exact"/>
        <w:ind w:firstLine="640"/>
        <w:jc w:val="both"/>
        <w:textAlignment w:val="auto"/>
        <w:rPr>
          <w:rFonts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（二）2024年公务接待经费3360.00元。较2023年预算经费增加320.00元，增长10.53%，主要原因是：人员增加。</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（三）2024年公务用车购置及运行费0万元，同比无变化。（其中：公务用车购置0万元，同比无变化；公车运行维护费0万元，同比无变化）；无政府性基金预算安排“三公”经费。</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2024年无政府性基金预算拨款安排的支出。</w:t>
      </w:r>
    </w:p>
    <w:p>
      <w:pPr>
        <w:pStyle w:val="15"/>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2024年机关运行经费财政拨款预算为151410.00元，比2023年预算增加14420.00元，增长10.53%。主要原因是：人员增加导致公用经费增加。</w:t>
      </w:r>
    </w:p>
    <w:p>
      <w:pPr>
        <w:pStyle w:val="15"/>
        <w:spacing w:before="0" w:line="360" w:lineRule="auto"/>
        <w:ind w:firstLine="643"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bookmarkStart w:id="0" w:name="_GoBack"/>
      <w:bookmarkEnd w:id="0"/>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2024年茂县社会保险事业管理局未安排政府采购预算。</w:t>
      </w:r>
    </w:p>
    <w:p>
      <w:pPr>
        <w:pStyle w:val="15"/>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截止2023年12月31日，我单位固定资产总额325915.00元，其中：房屋0平方米，价值0元；公务用车0辆，价值 0元；其他固定资产325915.00元。</w:t>
      </w:r>
    </w:p>
    <w:p>
      <w:pPr>
        <w:spacing w:line="560" w:lineRule="exact"/>
        <w:ind w:firstLine="643"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15"/>
        <w:spacing w:before="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2024</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15</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377.03</w:t>
      </w:r>
      <w:r>
        <w:rPr>
          <w:rFonts w:hint="eastAsia" w:ascii="仿宋_GB2312" w:eastAsia="仿宋_GB2312"/>
          <w:sz w:val="32"/>
          <w:szCs w:val="32"/>
        </w:rPr>
        <w:t>万元。其中：人员类项目</w:t>
      </w:r>
      <w:r>
        <w:rPr>
          <w:rFonts w:hint="eastAsia" w:ascii="仿宋_GB2312" w:eastAsia="仿宋_GB2312"/>
          <w:sz w:val="32"/>
          <w:szCs w:val="32"/>
          <w:lang w:val="en-US" w:eastAsia="zh-CN"/>
        </w:rPr>
        <w:t>14</w:t>
      </w:r>
      <w:r>
        <w:rPr>
          <w:rFonts w:hint="eastAsia" w:ascii="仿宋_GB2312" w:eastAsia="仿宋_GB2312"/>
          <w:sz w:val="32"/>
          <w:szCs w:val="32"/>
        </w:rPr>
        <w:t>个，涉及预算</w:t>
      </w:r>
      <w:r>
        <w:rPr>
          <w:rFonts w:hint="eastAsia" w:ascii="仿宋_GB2312" w:eastAsia="仿宋_GB2312"/>
          <w:sz w:val="32"/>
          <w:szCs w:val="32"/>
          <w:lang w:val="en-US" w:eastAsia="zh-CN"/>
        </w:rPr>
        <w:t>361.89</w:t>
      </w:r>
      <w:r>
        <w:rPr>
          <w:rFonts w:hint="eastAsia" w:ascii="仿宋_GB2312" w:eastAsia="仿宋_GB2312"/>
          <w:sz w:val="32"/>
          <w:szCs w:val="32"/>
        </w:rPr>
        <w:t xml:space="preserve">万元；运转类项目 </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15.14</w:t>
      </w:r>
      <w:r>
        <w:rPr>
          <w:rFonts w:hint="eastAsia" w:ascii="仿宋_GB2312" w:eastAsia="仿宋_GB2312"/>
          <w:sz w:val="32"/>
          <w:szCs w:val="32"/>
        </w:rPr>
        <w:t>万元；特定目标类项目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15"/>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6"/>
        <w:keepNext w:val="0"/>
        <w:keepLines w:val="0"/>
        <w:pageBreakBefore w:val="0"/>
        <w:widowControl/>
        <w:suppressAutoHyphens w:val="0"/>
        <w:overflowPunct w:val="0"/>
        <w:bidi w:val="0"/>
        <w:snapToGrid/>
        <w:spacing w:line="560" w:lineRule="exact"/>
        <w:ind w:firstLine="640"/>
        <w:jc w:val="both"/>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ascii="仿宋_GB2312" w:eastAsia="仿宋_GB2312" w:cs="Times New Roman"/>
          <w:color w:val="auto"/>
          <w:kern w:val="2"/>
          <w:sz w:val="32"/>
          <w:szCs w:val="32"/>
          <w:lang w:val="en-US" w:eastAsia="zh-CN" w:bidi="ar-SA"/>
        </w:rPr>
        <w:t>指由财政拨款形成的部门收入。按现行管理制度，部门预算中反映的财政拨款仅包括一般公共预算拨款和政府性基金预算拨款。</w:t>
      </w:r>
    </w:p>
    <w:p>
      <w:pPr>
        <w:pStyle w:val="15"/>
        <w:spacing w:before="0" w:line="360" w:lineRule="auto"/>
        <w:ind w:firstLine="643"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（二）事业收入：</w:t>
      </w:r>
      <w:r>
        <w:rPr>
          <w:rFonts w:hint="eastAsia" w:ascii="仿宋_GB2312" w:eastAsia="仿宋_GB2312" w:cs="Times New Roman"/>
          <w:kern w:val="2"/>
          <w:sz w:val="32"/>
          <w:szCs w:val="32"/>
          <w:lang w:val="en-US" w:eastAsia="zh-CN" w:bidi="ar-SA"/>
        </w:rPr>
        <w:t>指所属事业单位开展专业业务活动及辅助活动所取得的收入。</w:t>
      </w:r>
    </w:p>
    <w:p>
      <w:pPr>
        <w:pStyle w:val="15"/>
        <w:spacing w:before="0" w:line="360" w:lineRule="auto"/>
        <w:ind w:firstLine="643"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（三）事业单位经营收入：</w:t>
      </w:r>
      <w:r>
        <w:rPr>
          <w:rFonts w:hint="eastAsia" w:ascii="仿宋_GB2312" w:eastAsia="仿宋_GB2312" w:cs="Times New Roman"/>
          <w:kern w:val="2"/>
          <w:sz w:val="32"/>
          <w:szCs w:val="32"/>
          <w:lang w:val="en-US" w:eastAsia="zh-CN" w:bidi="ar-SA"/>
        </w:rPr>
        <w:t>指所属事业单位在专业业务活动及其辅助活动之外开展非独立核算经营活动取得的收入。</w:t>
      </w:r>
    </w:p>
    <w:p>
      <w:pPr>
        <w:pStyle w:val="15"/>
        <w:spacing w:before="0" w:line="360" w:lineRule="auto"/>
        <w:ind w:firstLine="643"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（四）其他收入：</w:t>
      </w:r>
      <w:r>
        <w:rPr>
          <w:rFonts w:hint="eastAsia" w:ascii="仿宋_GB2312" w:eastAsia="仿宋_GB2312" w:cs="Times New Roman"/>
          <w:kern w:val="2"/>
          <w:sz w:val="32"/>
          <w:szCs w:val="32"/>
          <w:lang w:val="en-US" w:eastAsia="zh-CN" w:bidi="ar-SA"/>
        </w:rPr>
        <w:t>指除上述“财政拨款收入”、“事业收入”、“事业单位经营收入”等以外的收入，主要是所属行政事业单位按规定动用的售房收入、存款利息收入等。</w:t>
      </w:r>
    </w:p>
    <w:p>
      <w:pPr>
        <w:pStyle w:val="15"/>
        <w:spacing w:before="0" w:line="360" w:lineRule="auto"/>
        <w:ind w:firstLine="643"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15"/>
        <w:spacing w:before="0" w:line="360" w:lineRule="auto"/>
        <w:ind w:firstLine="643"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（六）上年结转：</w:t>
      </w:r>
      <w:r>
        <w:rPr>
          <w:rFonts w:hint="eastAsia" w:ascii="仿宋_GB2312" w:eastAsia="仿宋_GB2312"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DhjOTYyYjJiYTQxNjdmOGE4MTEzNzczMTBiZWM1NjkifQ=="/>
  </w:docVars>
  <w:rsids>
    <w:rsidRoot w:val="00000000"/>
    <w:rsid w:val="00AE4E5E"/>
    <w:rsid w:val="03520B7D"/>
    <w:rsid w:val="05285061"/>
    <w:rsid w:val="069B5E85"/>
    <w:rsid w:val="08275C22"/>
    <w:rsid w:val="08A70B11"/>
    <w:rsid w:val="0A326B00"/>
    <w:rsid w:val="0E07353A"/>
    <w:rsid w:val="0E6F3E7F"/>
    <w:rsid w:val="10042CED"/>
    <w:rsid w:val="15F1786F"/>
    <w:rsid w:val="197762DD"/>
    <w:rsid w:val="1A4C5ECE"/>
    <w:rsid w:val="1A9F5AEC"/>
    <w:rsid w:val="1AE87493"/>
    <w:rsid w:val="2AE76F8B"/>
    <w:rsid w:val="2F4A2072"/>
    <w:rsid w:val="3276166B"/>
    <w:rsid w:val="37D26BEE"/>
    <w:rsid w:val="3D0D46DF"/>
    <w:rsid w:val="3D4E0F7F"/>
    <w:rsid w:val="4166337B"/>
    <w:rsid w:val="43943464"/>
    <w:rsid w:val="47484C91"/>
    <w:rsid w:val="474B6530"/>
    <w:rsid w:val="476B6BD2"/>
    <w:rsid w:val="57600001"/>
    <w:rsid w:val="64F8151B"/>
    <w:rsid w:val="65A90B99"/>
    <w:rsid w:val="66DF1983"/>
    <w:rsid w:val="69912070"/>
    <w:rsid w:val="6C81185B"/>
    <w:rsid w:val="74065409"/>
    <w:rsid w:val="77884AB3"/>
    <w:rsid w:val="792D7DEE"/>
    <w:rsid w:val="794D1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rPr>
  </w:style>
  <w:style w:type="paragraph" w:styleId="6">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7">
    <w:name w:val="heading 3"/>
    <w:basedOn w:val="1"/>
    <w:next w:val="1"/>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正文首行缩进1"/>
    <w:basedOn w:val="3"/>
    <w:uiPriority w:val="0"/>
    <w:pPr>
      <w:spacing w:before="100" w:beforeAutospacing="1" w:after="0"/>
      <w:ind w:firstLine="100" w:firstLineChars="100"/>
    </w:pPr>
    <w:rPr>
      <w:rFonts w:ascii="Times New Roman" w:hAnsi="Times New Roman" w:eastAsia="楷体_GB2312"/>
    </w:rPr>
  </w:style>
  <w:style w:type="paragraph" w:styleId="3">
    <w:name w:val="Body Text"/>
    <w:basedOn w:val="1"/>
    <w:next w:val="4"/>
    <w:uiPriority w:val="0"/>
    <w:pPr>
      <w:spacing w:after="120"/>
    </w:pPr>
    <w:rPr>
      <w:rFonts w:ascii="Calibri" w:hAnsi="Calibri"/>
    </w:rPr>
  </w:style>
  <w:style w:type="paragraph" w:styleId="4">
    <w:name w:val="Body Text First Indent"/>
    <w:basedOn w:val="3"/>
    <w:autoRedefine/>
    <w:qFormat/>
    <w:uiPriority w:val="0"/>
    <w:pPr>
      <w:ind w:firstLine="100" w:firstLineChars="100"/>
    </w:pPr>
    <w:rPr>
      <w:kern w:val="0"/>
      <w:sz w:val="20"/>
      <w:szCs w:val="20"/>
    </w:rPr>
  </w:style>
  <w:style w:type="paragraph" w:styleId="8">
    <w:name w:val="Body Text Indent"/>
    <w:basedOn w:val="1"/>
    <w:qFormat/>
    <w:uiPriority w:val="0"/>
    <w:pPr>
      <w:tabs>
        <w:tab w:val="left" w:pos="960"/>
      </w:tabs>
      <w:spacing w:line="540" w:lineRule="exact"/>
      <w:ind w:firstLine="1700" w:firstLineChars="1700"/>
    </w:pPr>
    <w:rPr>
      <w:sz w:val="32"/>
      <w:szCs w:val="32"/>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autoRedefine/>
    <w:qFormat/>
    <w:uiPriority w:val="0"/>
    <w:pPr>
      <w:ind w:firstLine="200" w:firstLineChars="200"/>
    </w:pPr>
  </w:style>
  <w:style w:type="paragraph" w:styleId="14">
    <w:name w:val="List Paragraph"/>
    <w:basedOn w:val="1"/>
    <w:autoRedefine/>
    <w:qFormat/>
    <w:uiPriority w:val="0"/>
    <w:pPr>
      <w:ind w:firstLine="200" w:firstLineChars="200"/>
    </w:pPr>
  </w:style>
  <w:style w:type="paragraph" w:customStyle="1" w:styleId="15">
    <w:name w:val="正文文本1"/>
    <w:basedOn w:val="1"/>
    <w:autoRedefine/>
    <w:uiPriority w:val="0"/>
    <w:pPr>
      <w:spacing w:before="93"/>
    </w:pPr>
    <w:rPr>
      <w:rFonts w:ascii="仿宋_GB2312" w:eastAsia="仿宋_GB2312"/>
      <w:kern w:val="0"/>
      <w:sz w:val="30"/>
      <w:szCs w:val="20"/>
    </w:rPr>
  </w:style>
  <w:style w:type="paragraph" w:customStyle="1" w:styleId="16">
    <w:name w:val="正文1"/>
    <w:autoRedefine/>
    <w:qFormat/>
    <w:uiPriority w:val="0"/>
    <w:pPr>
      <w:widowControl/>
      <w:suppressAutoHyphens w:val="0"/>
      <w:bidi w:val="0"/>
      <w:spacing w:before="0" w:after="0"/>
      <w:ind w:firstLine="360"/>
      <w:jc w:val="left"/>
    </w:pPr>
    <w:rPr>
      <w:rFonts w:ascii="Calibri" w:hAnsi="Calibri" w:eastAsia="宋体" w:cs="Arial"/>
      <w:color w:val="auto"/>
      <w:kern w:val="0"/>
      <w:sz w:val="22"/>
      <w:szCs w:val="22"/>
      <w:lang w:val="en-US" w:eastAsia="zh-CN"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2679</Words>
  <Characters>3140</Characters>
  <Lines>170</Lines>
  <Paragraphs>80</Paragraphs>
  <TotalTime>0</TotalTime>
  <ScaleCrop>false</ScaleCrop>
  <LinksUpToDate>false</LinksUpToDate>
  <CharactersWithSpaces>3150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2024-08-14T02:27:31Z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E55BE357D25548B0A6AE305467EE8F9C</vt:lpwstr>
  </property>
</Properties>
</file>