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val="en-US" w:eastAsia="zh-CN"/>
        </w:rPr>
        <w:t>社会保险事业管理局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5"/>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pStyle w:val="14"/>
        <w:rPr>
          <w:rFonts w:ascii="黑体" w:eastAsia="黑体"/>
          <w:sz w:val="32"/>
          <w:szCs w:val="32"/>
        </w:rPr>
      </w:pPr>
    </w:p>
    <w:p>
      <w:pPr>
        <w:pStyle w:val="14"/>
        <w:rPr>
          <w:rFonts w:ascii="黑体" w:eastAsia="黑体"/>
          <w:sz w:val="32"/>
          <w:szCs w:val="32"/>
        </w:rPr>
      </w:pPr>
    </w:p>
    <w:p>
      <w:pPr>
        <w:pStyle w:val="15"/>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sz w:val="32"/>
          <w:szCs w:val="32"/>
        </w:rPr>
      </w:pPr>
      <w:r>
        <w:rPr>
          <w:rFonts w:hint="eastAsia" w:ascii="仿宋" w:eastAsia="仿宋" w:cs="仿宋_GB2312"/>
          <w:sz w:val="32"/>
          <w:szCs w:val="32"/>
        </w:rPr>
        <w:t>茂县社会保险事业管理局是县政府综合管理全县社会保险工作的职能部门，承担政府职能</w:t>
      </w:r>
      <w:r>
        <w:rPr>
          <w:rFonts w:hint="eastAsia" w:ascii="仿宋" w:eastAsia="仿宋" w:cs="仿宋_GB2312"/>
          <w:b w:val="0"/>
          <w:bCs w:val="0"/>
          <w:sz w:val="32"/>
          <w:szCs w:val="32"/>
        </w:rPr>
        <w:t>的管理机构</w:t>
      </w:r>
      <w:r>
        <w:rPr>
          <w:rFonts w:hint="eastAsia" w:ascii="仿宋" w:eastAsia="仿宋" w:cs="仿宋_GB2312"/>
          <w:sz w:val="32"/>
          <w:szCs w:val="32"/>
        </w:rPr>
        <w:t>，贯彻执行国家、省、州有关社会保险政策和法律、法规，负责全县企业基本养老保险、机关事业养老保险、职业年金、工伤保险等社会保险工作。</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1.</w:t>
      </w:r>
      <w:r>
        <w:rPr>
          <w:rFonts w:ascii="仿宋_GB2312" w:eastAsia="仿宋_GB2312" w:cs="仿宋_GB2312"/>
          <w:color w:val="auto"/>
          <w:kern w:val="0"/>
          <w:sz w:val="32"/>
          <w:szCs w:val="32"/>
          <w:lang w:val="en-US" w:eastAsia="zh-CN" w:bidi="ar-SA"/>
        </w:rPr>
        <w:t>继续</w:t>
      </w:r>
      <w:r>
        <w:rPr>
          <w:rFonts w:hint="eastAsia" w:ascii="仿宋" w:eastAsia="仿宋" w:cs="仿宋_GB2312"/>
          <w:color w:val="auto"/>
          <w:sz w:val="32"/>
          <w:szCs w:val="32"/>
          <w:lang w:val="en-US" w:eastAsia="zh-CN"/>
        </w:rPr>
        <w:t>加强</w:t>
      </w:r>
      <w:r>
        <w:rPr>
          <w:rFonts w:hint="eastAsia" w:ascii="CESI仿宋-GB2312" w:hAnsi="CESI仿宋-GB2312" w:eastAsia="CESI仿宋-GB2312" w:cs="CESI仿宋-GB2312"/>
          <w:b w:val="0"/>
          <w:bCs w:val="0"/>
          <w:color w:val="191919"/>
          <w:sz w:val="32"/>
          <w:szCs w:val="32"/>
          <w:lang w:eastAsia="zh-CN"/>
        </w:rPr>
        <w:t>社保</w:t>
      </w:r>
      <w:r>
        <w:rPr>
          <w:rFonts w:hint="eastAsia" w:ascii="仿宋" w:eastAsia="仿宋" w:cs="仿宋_GB2312"/>
          <w:color w:val="auto"/>
          <w:sz w:val="32"/>
          <w:szCs w:val="32"/>
          <w:lang w:val="en-US" w:eastAsia="zh-CN"/>
        </w:rPr>
        <w:t>政策</w:t>
      </w:r>
      <w:r>
        <w:rPr>
          <w:rFonts w:hint="eastAsia" w:ascii="仿宋" w:eastAsia="仿宋" w:cs="仿宋_GB2312"/>
          <w:color w:val="auto"/>
          <w:sz w:val="32"/>
          <w:szCs w:val="32"/>
          <w:lang w:val="en" w:eastAsia="zh-CN"/>
        </w:rPr>
        <w:t>进企业、进乡镇、进社区</w:t>
      </w:r>
      <w:r>
        <w:rPr>
          <w:rFonts w:hint="eastAsia" w:ascii="仿宋" w:eastAsia="仿宋" w:cs="仿宋_GB2312"/>
          <w:color w:val="auto"/>
          <w:sz w:val="32"/>
          <w:szCs w:val="32"/>
          <w:lang w:val="en-US" w:eastAsia="zh-CN"/>
        </w:rPr>
        <w:t>宣传，增强群众参保意识。</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color w:val="auto"/>
          <w:sz w:val="32"/>
          <w:szCs w:val="32"/>
          <w:lang w:val="en-US" w:eastAsia="zh-CN"/>
        </w:rPr>
      </w:pPr>
      <w:r>
        <w:rPr>
          <w:rFonts w:hint="eastAsia" w:ascii="仿宋" w:eastAsia="仿宋" w:cs="仿宋_GB2312"/>
          <w:color w:val="auto"/>
          <w:sz w:val="32"/>
          <w:szCs w:val="32"/>
          <w:lang w:val="en-US" w:eastAsia="zh-CN"/>
        </w:rPr>
        <w:t>2.按时足额发放待遇，切实提升待遇发放工作精细化水平。</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 w:eastAsia="仿宋" w:cs="仿宋_GB2312"/>
          <w:color w:val="auto"/>
          <w:sz w:val="32"/>
          <w:szCs w:val="32"/>
        </w:rPr>
      </w:pPr>
      <w:r>
        <w:rPr>
          <w:rFonts w:hint="eastAsia" w:ascii="仿宋" w:eastAsia="仿宋" w:cs="仿宋_GB2312"/>
          <w:color w:val="auto"/>
          <w:sz w:val="32"/>
          <w:szCs w:val="32"/>
          <w:lang w:val="en-US" w:eastAsia="zh-CN"/>
        </w:rPr>
        <w:t>3.加强基金安全监管，守好群众的“养老钱”、“保命钱”，全面推进我县社会保障事业高质量发展</w:t>
      </w:r>
      <w:r>
        <w:rPr>
          <w:rFonts w:hint="eastAsia" w:ascii="仿宋" w:eastAsia="仿宋" w:cs="仿宋_GB2312"/>
          <w:color w:val="auto"/>
          <w:sz w:val="32"/>
          <w:szCs w:val="32"/>
        </w:rPr>
        <w:t>。</w:t>
      </w:r>
    </w:p>
    <w:p>
      <w:pPr>
        <w:pStyle w:val="15"/>
        <w:numPr>
          <w:ilvl w:val="0"/>
          <w:numId w:val="1"/>
        </w:numPr>
        <w:ind w:firstLineChars="0"/>
        <w:rPr>
          <w:rFonts w:ascii="黑体" w:eastAsia="黑体"/>
          <w:sz w:val="32"/>
          <w:szCs w:val="32"/>
        </w:rPr>
      </w:pPr>
      <w:r>
        <w:rPr>
          <w:rFonts w:hint="eastAsia" w:ascii="黑体" w:eastAsia="黑体"/>
          <w:sz w:val="32"/>
          <w:szCs w:val="32"/>
        </w:rPr>
        <w:t>部门预算单位构成</w:t>
      </w:r>
    </w:p>
    <w:p>
      <w:pPr>
        <w:pStyle w:val="17"/>
        <w:keepNext w:val="0"/>
        <w:keepLines w:val="0"/>
        <w:pageBreakBefore w:val="0"/>
        <w:widowControl/>
        <w:suppressAutoHyphens w:val="0"/>
        <w:overflowPunct w:val="0"/>
        <w:bidi w:val="0"/>
        <w:snapToGrid/>
        <w:spacing w:line="560" w:lineRule="exact"/>
        <w:ind w:firstLine="640"/>
        <w:jc w:val="both"/>
        <w:textAlignment w:val="auto"/>
        <w:rPr>
          <w:rFonts w:ascii="仿宋_GB2312" w:eastAsia="仿宋_GB2312"/>
          <w:sz w:val="32"/>
          <w:szCs w:val="32"/>
          <w:lang w:eastAsia="zh-CN"/>
        </w:rPr>
      </w:pPr>
      <w:r>
        <w:rPr>
          <w:rFonts w:hint="eastAsia" w:ascii="仿宋" w:eastAsia="仿宋" w:cs="仿宋_GB2312"/>
          <w:color w:val="auto"/>
          <w:kern w:val="2"/>
          <w:sz w:val="32"/>
          <w:szCs w:val="32"/>
          <w:lang w:val="en-US" w:eastAsia="zh-CN" w:bidi="ar-SA"/>
        </w:rPr>
        <w:t>茂县社会保险事业管理局属一级预算单位。</w:t>
      </w:r>
    </w:p>
    <w:p>
      <w:pPr>
        <w:pStyle w:val="15"/>
        <w:ind w:left="720" w:firstLine="0" w:firstLineChars="0"/>
        <w:rPr>
          <w:rFonts w:ascii="黑体" w:eastAsia="黑体"/>
          <w:sz w:val="32"/>
          <w:szCs w:val="32"/>
        </w:rPr>
      </w:pPr>
      <w:r>
        <w:rPr>
          <w:rFonts w:hint="eastAsia" w:ascii="黑体" w:eastAsia="黑体"/>
          <w:sz w:val="32"/>
          <w:szCs w:val="32"/>
        </w:rPr>
        <w:t>三、收支预算情况说明</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按照综合预算的原则，茂县社会保险事业管理局所有收入和支出均纳入部门预算管理。收入包括：一般公共预算拨款收入5280995.10元；支出包括：社会保障和就业支出4563397.01元，卫生健康支出290710.09元，住房保障支出426888.00元。茂县社会保险事业管理局2025年收支总预算5280995.10元,比2024年收支预算总数增加1510682.29元，主要原因:人员增加、职务职级变动增资及每年行政事业人员工资正常晋升。</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cs="Times New Roman"/>
          <w:sz w:val="32"/>
          <w:szCs w:val="32"/>
        </w:rPr>
      </w:pPr>
      <w:r>
        <w:rPr>
          <w:rFonts w:ascii="仿宋_GB2312" w:eastAsia="仿宋_GB2312"/>
          <w:sz w:val="32"/>
          <w:szCs w:val="32"/>
        </w:rPr>
        <w:t>　　</w:t>
      </w:r>
      <w:r>
        <w:rPr>
          <w:rFonts w:hint="eastAsia" w:ascii="仿宋" w:eastAsia="仿宋" w:cs="仿宋_GB2312"/>
          <w:color w:val="auto"/>
          <w:kern w:val="2"/>
          <w:sz w:val="32"/>
          <w:szCs w:val="32"/>
          <w:lang w:val="en-US" w:eastAsia="zh-CN" w:bidi="ar-SA"/>
        </w:rPr>
        <w:t>2025年收入预算5280995.10元；一般公共预算拨款收入5280995.10元，占100%。</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hint="eastAsia" w:ascii="仿宋" w:eastAsia="仿宋" w:cs="仿宋_GB2312"/>
          <w:color w:val="auto"/>
          <w:kern w:val="2"/>
          <w:sz w:val="32"/>
          <w:szCs w:val="32"/>
          <w:lang w:val="en-US" w:eastAsia="zh-CN" w:bidi="ar-SA"/>
        </w:rPr>
      </w:pPr>
      <w:r>
        <w:rPr>
          <w:rFonts w:ascii="仿宋_GB2312" w:eastAsia="仿宋_GB2312"/>
          <w:sz w:val="32"/>
          <w:szCs w:val="32"/>
        </w:rPr>
        <w:t>　</w:t>
      </w:r>
      <w:r>
        <w:rPr>
          <w:rFonts w:hint="eastAsia" w:ascii="仿宋" w:eastAsia="仿宋" w:cs="仿宋_GB2312"/>
          <w:color w:val="auto"/>
          <w:kern w:val="2"/>
          <w:sz w:val="32"/>
          <w:szCs w:val="32"/>
          <w:lang w:val="en-US" w:eastAsia="zh-CN" w:bidi="ar-SA"/>
        </w:rPr>
        <w:t>　2025年支出预算5280995.10元，其中：基本支出5280995.10元，占100%。</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2025年财政拨款收支总预算5280995.10元,比2024年收支预算总数增加1510682.29元，主要原因:人员增加、职务职级变动增资及每年行政事业人员工资正常晋升。</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收入包括：本年一般公共预算拨款收入5280995.10元。</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支出包括：社会保障和就业支出4563397.01元，卫生健康支出290710.09元，住房保障支出426888.00元。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6"/>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2025年一般公共预算当年拨款5280995.10元,比2024年收支预算总数增加1510682.29元，主要原因:人员增加、职务职级变动增资及每年行政事业人员工资正常晋升。</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社会保障和就业支出4563397.01元，占86.41%；卫生健康支出290710.09元，占5.50%；住房保障支出426888.00元，占8.09%。</w:t>
      </w:r>
    </w:p>
    <w:p>
      <w:pPr>
        <w:pStyle w:val="16"/>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1.社会保障和就业支出（208）人力资源和社会保障管理事务（01）行政运行（01）2025年预算数为4010180.93元，主要用于单位人员经费和日常公用经费等基本支出。</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2.社会保障和就业支出（208）行政事业单位养老支出（05）机关事业单位基本养老保险缴费支出（05）2025年预算数为368810.72元，主要用于单位缴纳基本养老保险费。</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3.社会保障和就业支出（208）行政事业单位养老支出（05）机关事业单位职业年金缴费支出（06）2025年预算数为184405.36元，主要用于单位缴纳职业年金。</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4.卫生健康支出（210）行政事业单位医疗（11）行政单位医疗（01）2025年预算数为290710.09元，主要用于行政单位缴纳基本医疗保险。</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5.住房保障支出（221）住房改革支出（02）住房公积金（01）2025年预算数为426888.00元，主要用于单位为职工缴纳住房公积金。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一般公共预算基本支出5280995.10元，其中：人员经费4926821.34元，主要包括：基本工资、津贴补贴、奖金、其他社会保障缴费、绩效工资、机关事业单位基本养老保险缴费、职业年金缴费、其他工资福利支出、奖励金、住房公积金、其他对个人和家庭的补助支出。公用经费354173.76元，主要包括：办公费、印刷费、电费、邮电费、差旅费、维修（护）费、租赁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2025年“三公”经费财政拨款预算数3360.00元，其中：无因公出国（境）经费，公务接待费3360.00元，无公务用车购置及运行维护费。</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（一）2025年无因公出国（境）经费，同比无变化。</w:t>
      </w:r>
    </w:p>
    <w:p>
      <w:pPr>
        <w:pStyle w:val="17"/>
        <w:keepNext w:val="0"/>
        <w:keepLines w:val="0"/>
        <w:pageBreakBefore w:val="0"/>
        <w:widowControl/>
        <w:suppressAutoHyphens w:val="0"/>
        <w:overflowPunct w:val="0"/>
        <w:bidi w:val="0"/>
        <w:snapToGrid/>
        <w:spacing w:line="560" w:lineRule="exact"/>
        <w:ind w:firstLine="640"/>
        <w:jc w:val="both"/>
        <w:textAlignment w:val="auto"/>
        <w:rPr>
          <w:rFonts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（二）2025年公务接待经费3360.00元。同比无变化。</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（三）2025年公务用车购置及运行费0元，同比无变化。</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2025年无政府性基金预算拨款安排的支出。</w:t>
      </w:r>
    </w:p>
    <w:p>
      <w:pPr>
        <w:pStyle w:val="16"/>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2025年机关运行经费财政拨款预算为354173.76元，比2024年预算增加202763.76元，增长133.92%。主要原因是：人员增加导致公用经费增加。</w:t>
      </w:r>
    </w:p>
    <w:p>
      <w:pPr>
        <w:pStyle w:val="16"/>
        <w:spacing w:before="0" w:line="360" w:lineRule="auto"/>
        <w:ind w:firstLine="642"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2025年茂县社会保险事业管理局未安排政府采购预算。</w:t>
      </w:r>
    </w:p>
    <w:p>
      <w:pPr>
        <w:pStyle w:val="16"/>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 w:eastAsia="仿宋" w:cs="仿宋_GB2312"/>
          <w:color w:val="auto"/>
          <w:kern w:val="2"/>
          <w:sz w:val="32"/>
          <w:szCs w:val="32"/>
          <w:lang w:val="en-US" w:eastAsia="zh-CN" w:bidi="ar-SA"/>
        </w:rPr>
      </w:pPr>
      <w:r>
        <w:rPr>
          <w:rFonts w:hint="eastAsia" w:ascii="仿宋" w:eastAsia="仿宋" w:cs="仿宋_GB2312"/>
          <w:color w:val="auto"/>
          <w:kern w:val="2"/>
          <w:sz w:val="32"/>
          <w:szCs w:val="32"/>
          <w:lang w:val="en-US" w:eastAsia="zh-CN" w:bidi="ar-SA"/>
        </w:rPr>
        <w:t>截止2024年12月31日，我单位固定资产总额325915.00元，其中：其他固定资产325915.00元。</w:t>
      </w:r>
    </w:p>
    <w:p>
      <w:pPr>
        <w:spacing w:line="560" w:lineRule="exact"/>
        <w:ind w:firstLine="642" w:firstLineChars="200"/>
        <w:rPr>
          <w:rFonts w:hint="eastAsia" w:ascii="楷体_GB2312" w:eastAsia="楷体_GB2312" w:cs="仿宋_GB2312"/>
          <w:b/>
          <w:color w:val="auto"/>
          <w:sz w:val="32"/>
          <w:szCs w:val="32"/>
          <w:lang w:eastAsia="zh-CN"/>
        </w:rPr>
      </w:pPr>
      <w:r>
        <w:rPr>
          <w:rFonts w:hint="eastAsia" w:ascii="楷体_GB2312" w:eastAsia="楷体_GB2312" w:cs="仿宋_GB2312"/>
          <w:b/>
          <w:color w:val="auto"/>
          <w:sz w:val="32"/>
          <w:szCs w:val="32"/>
        </w:rPr>
        <w:t>（四）绩效目标设置情况</w:t>
      </w:r>
    </w:p>
    <w:p>
      <w:pPr>
        <w:pStyle w:val="16"/>
        <w:spacing w:before="0" w:line="360" w:lineRule="auto"/>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sz w:val="32"/>
          <w:szCs w:val="32"/>
          <w:lang w:val="en-US" w:eastAsia="zh-CN"/>
        </w:rPr>
        <w:t>0</w:t>
      </w:r>
      <w:r>
        <w:rPr>
          <w:rFonts w:hint="eastAsia" w:ascii="仿宋_GB2312" w:eastAsia="仿宋_GB2312"/>
          <w:sz w:val="32"/>
          <w:szCs w:val="32"/>
        </w:rPr>
        <w:t>个，一般公共预算当年拨款</w:t>
      </w:r>
      <w:r>
        <w:rPr>
          <w:rFonts w:hint="eastAsia"/>
          <w:sz w:val="32"/>
          <w:szCs w:val="32"/>
          <w:lang w:val="en-US" w:eastAsia="zh-CN"/>
        </w:rPr>
        <w:t>0</w:t>
      </w:r>
      <w:r>
        <w:rPr>
          <w:rFonts w:hint="eastAsia" w:ascii="仿宋_GB2312" w:eastAsia="仿宋_GB2312"/>
          <w:sz w:val="32"/>
          <w:szCs w:val="32"/>
        </w:rPr>
        <w:t>元。</w:t>
      </w:r>
    </w:p>
    <w:p>
      <w:pPr>
        <w:pStyle w:val="16"/>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ascii="仿宋_GB2312" w:eastAsia="仿宋_GB2312" w:cs="Times New Roman"/>
          <w:color w:val="auto"/>
          <w:kern w:val="2"/>
          <w:sz w:val="32"/>
          <w:szCs w:val="32"/>
          <w:lang w:val="en-US" w:eastAsia="zh-CN" w:bidi="ar-SA"/>
        </w:rPr>
        <w:t>指由财政拨款形成的部门收入。按现行管理制度，部门预算中反映的财政拨款仅包括一般公共预算拨款和政府性基金预算拨款。</w:t>
      </w:r>
    </w:p>
    <w:p>
      <w:pPr>
        <w:pStyle w:val="16"/>
        <w:spacing w:before="0" w:line="360" w:lineRule="auto"/>
        <w:ind w:firstLine="642"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（二）事业收入：</w:t>
      </w:r>
      <w:r>
        <w:rPr>
          <w:rFonts w:hint="eastAsia" w:ascii="仿宋_GB2312" w:eastAsia="仿宋_GB2312" w:cs="Times New Roman"/>
          <w:kern w:val="2"/>
          <w:sz w:val="32"/>
          <w:szCs w:val="32"/>
          <w:lang w:val="en-US" w:eastAsia="zh-CN" w:bidi="ar-SA"/>
        </w:rPr>
        <w:t>指所属事业单位开展专业业务活动及辅助活动所取得的收入。</w:t>
      </w:r>
    </w:p>
    <w:p>
      <w:pPr>
        <w:pStyle w:val="16"/>
        <w:spacing w:before="0" w:line="360" w:lineRule="auto"/>
        <w:ind w:firstLine="642"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（三）事业单位经营收入：</w:t>
      </w:r>
      <w:r>
        <w:rPr>
          <w:rFonts w:hint="eastAsia" w:ascii="仿宋_GB2312" w:eastAsia="仿宋_GB2312" w:cs="Times New Roman"/>
          <w:kern w:val="2"/>
          <w:sz w:val="32"/>
          <w:szCs w:val="32"/>
          <w:lang w:val="en-US" w:eastAsia="zh-CN" w:bidi="ar-SA"/>
        </w:rPr>
        <w:t>指所属事业单位在专业业务活动及其辅助活动之外开展非独立核算经营活动取得的收入。</w:t>
      </w:r>
    </w:p>
    <w:p>
      <w:pPr>
        <w:pStyle w:val="16"/>
        <w:spacing w:before="0" w:line="360" w:lineRule="auto"/>
        <w:ind w:firstLine="642"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（四）其他收入：</w:t>
      </w:r>
      <w:r>
        <w:rPr>
          <w:rFonts w:hint="eastAsia" w:ascii="仿宋_GB2312" w:eastAsia="仿宋_GB2312" w:cs="Times New Roman"/>
          <w:kern w:val="2"/>
          <w:sz w:val="32"/>
          <w:szCs w:val="32"/>
          <w:lang w:val="en-US" w:eastAsia="zh-CN" w:bidi="ar-SA"/>
        </w:rPr>
        <w:t>指除上述“财政拨款收入”、“事业收入”、“事业单位经营收入”等以外的收入，主要是所属行政事业单位按规定动用的售房收入、存款利息收入等。</w:t>
      </w:r>
    </w:p>
    <w:p>
      <w:pPr>
        <w:pStyle w:val="16"/>
        <w:spacing w:before="0" w:line="360" w:lineRule="auto"/>
        <w:ind w:firstLine="642"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cs="Times New Roman"/>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pPr>
        <w:pStyle w:val="16"/>
        <w:spacing w:before="0" w:line="360" w:lineRule="auto"/>
        <w:ind w:firstLine="642" w:firstLineChars="200"/>
        <w:rPr>
          <w:rFonts w:hint="eastAsia" w:ascii="仿宋_GB2312" w:eastAsia="仿宋_GB2312" w:cs="Times New Roman"/>
          <w:kern w:val="2"/>
          <w:sz w:val="32"/>
          <w:szCs w:val="32"/>
          <w:lang w:val="en-US" w:eastAsia="zh-CN" w:bidi="ar-SA"/>
        </w:rPr>
      </w:pPr>
      <w:r>
        <w:rPr>
          <w:rFonts w:hint="eastAsia" w:ascii="楷体_GB2312" w:eastAsia="楷体_GB2312" w:cs="仿宋_GB2312"/>
          <w:b/>
          <w:kern w:val="2"/>
          <w:sz w:val="32"/>
          <w:szCs w:val="32"/>
        </w:rPr>
        <w:t>（六）上年结转：</w:t>
      </w:r>
      <w:r>
        <w:rPr>
          <w:rFonts w:hint="eastAsia" w:ascii="仿宋_GB2312" w:eastAsia="仿宋_GB2312" w:cs="Times New Roman"/>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w:t>
      </w:r>
      <w:r>
        <w:rPr>
          <w:rFonts w:hint="eastAsia" w:ascii="仿宋_GB2312" w:eastAsia="仿宋_GB2312"/>
          <w:sz w:val="32"/>
          <w:szCs w:val="32"/>
          <w:lang w:val="en-US" w:eastAsia="zh-CN"/>
        </w:rPr>
        <w:t>开支的</w:t>
      </w:r>
      <w:r>
        <w:rPr>
          <w:rFonts w:hint="eastAsia" w:ascii="仿宋_GB2312" w:eastAsia="仿宋_GB2312"/>
          <w:sz w:val="32"/>
          <w:szCs w:val="32"/>
        </w:rPr>
        <w:t>各类公务接待（含外宾接待）支出。</w:t>
      </w:r>
    </w:p>
    <w:p>
      <w:pPr>
        <w:spacing w:line="560" w:lineRule="exact"/>
        <w:ind w:firstLine="642" w:firstLineChars="200"/>
        <w:rPr>
          <w:rFonts w:ascii="仿宋_GB2312" w:eastAsia="仿宋_GB2312"/>
          <w:sz w:val="32"/>
          <w:szCs w:val="32"/>
        </w:rPr>
      </w:pPr>
      <w:r>
        <w:rPr>
          <w:rFonts w:hint="eastAsia" w:ascii="仿宋_GB2312" w:eastAsia="仿宋_GB2312" w:cs="仿宋_GB2312"/>
          <w:b/>
          <w:bCs/>
          <w:sz w:val="32"/>
          <w:szCs w:val="32"/>
          <w:lang w:val="en-US" w:eastAsia="zh-CN"/>
        </w:rPr>
        <w:t>附件：</w:t>
      </w:r>
      <w:r>
        <w:rPr>
          <w:rFonts w:hint="eastAsia" w:ascii="仿宋_GB2312" w:eastAsia="仿宋_GB2312" w:cs="仿宋_GB2312"/>
          <w:sz w:val="32"/>
          <w:szCs w:val="32"/>
          <w:lang w:val="en-US" w:eastAsia="zh-CN"/>
        </w:rPr>
        <w:t>茂县社会保险事业管理局2025年部门预算表</w:t>
      </w:r>
    </w:p>
    <w:p>
      <w:pPr>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w:t>
      </w:r>
    </w:p>
    <w:p>
      <w:pPr>
        <w:pStyle w:val="2"/>
        <w:ind w:firstLine="4480" w:firstLineChars="1400"/>
        <w:rPr>
          <w:rFonts w:hint="eastAsia"/>
          <w:lang w:val="en-US" w:eastAsia="zh-CN"/>
        </w:rPr>
      </w:pPr>
      <w:bookmarkStart w:id="0" w:name="_GoBack"/>
      <w:bookmarkEnd w:id="0"/>
      <w:r>
        <w:rPr>
          <w:rFonts w:hint="eastAsia" w:ascii="仿宋_GB2312" w:eastAsia="仿宋_GB2312" w:cs="仿宋_GB2312"/>
          <w:sz w:val="32"/>
          <w:szCs w:val="32"/>
          <w:lang w:val="en-US" w:eastAsia="zh-CN"/>
        </w:rPr>
        <w:t>茂县社会保险事业管理局</w:t>
      </w:r>
    </w:p>
    <w:p>
      <w:pPr>
        <w:pStyle w:val="2"/>
        <w:rPr>
          <w:rFonts w:hint="default"/>
          <w:lang w:val="en-US" w:eastAsia="zh-CN"/>
        </w:rPr>
      </w:pPr>
      <w:r>
        <w:rPr>
          <w:rFonts w:hint="eastAsia" w:ascii="仿宋_GB2312" w:eastAsia="仿宋_GB2312" w:cs="仿宋_GB2312"/>
          <w:sz w:val="32"/>
          <w:szCs w:val="32"/>
          <w:lang w:val="en-US" w:eastAsia="zh-CN"/>
        </w:rPr>
        <w:t xml:space="preserve">                                2025年3月26日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hjOTYyYjJiYTQxNjdmOGE4MTEzNzczMTBiZWM1NjkifQ=="/>
  </w:docVars>
  <w:rsids>
    <w:rsidRoot w:val="00000000"/>
    <w:rsid w:val="00AE4E5E"/>
    <w:rsid w:val="0123584C"/>
    <w:rsid w:val="01903F7B"/>
    <w:rsid w:val="02C848FD"/>
    <w:rsid w:val="03520B7D"/>
    <w:rsid w:val="03576C8A"/>
    <w:rsid w:val="04F574FF"/>
    <w:rsid w:val="05285061"/>
    <w:rsid w:val="055361D1"/>
    <w:rsid w:val="06913768"/>
    <w:rsid w:val="069B5E85"/>
    <w:rsid w:val="06F7755F"/>
    <w:rsid w:val="08275C22"/>
    <w:rsid w:val="08A70B11"/>
    <w:rsid w:val="0A326B00"/>
    <w:rsid w:val="0CBD6B55"/>
    <w:rsid w:val="0DE20BA1"/>
    <w:rsid w:val="0E07353A"/>
    <w:rsid w:val="0E3F1C0C"/>
    <w:rsid w:val="0E6F3E7F"/>
    <w:rsid w:val="0FA61B22"/>
    <w:rsid w:val="10042CED"/>
    <w:rsid w:val="10B1077E"/>
    <w:rsid w:val="13220201"/>
    <w:rsid w:val="15F1786F"/>
    <w:rsid w:val="163A2FC4"/>
    <w:rsid w:val="197762DD"/>
    <w:rsid w:val="1A4C5ECE"/>
    <w:rsid w:val="1A9F5AEC"/>
    <w:rsid w:val="1AE87493"/>
    <w:rsid w:val="1D81597C"/>
    <w:rsid w:val="20C22534"/>
    <w:rsid w:val="24E0567E"/>
    <w:rsid w:val="25CB3C39"/>
    <w:rsid w:val="27B150B0"/>
    <w:rsid w:val="27E770BC"/>
    <w:rsid w:val="2A0929E6"/>
    <w:rsid w:val="2AE76F8B"/>
    <w:rsid w:val="2AEB1B74"/>
    <w:rsid w:val="2C82701B"/>
    <w:rsid w:val="2CDE06F5"/>
    <w:rsid w:val="2D8A5DED"/>
    <w:rsid w:val="2EB9568B"/>
    <w:rsid w:val="2F2D14C0"/>
    <w:rsid w:val="2F4A2072"/>
    <w:rsid w:val="2FD45DE0"/>
    <w:rsid w:val="30564A47"/>
    <w:rsid w:val="30A433F1"/>
    <w:rsid w:val="31762116"/>
    <w:rsid w:val="3276166B"/>
    <w:rsid w:val="34C26774"/>
    <w:rsid w:val="37D26BEE"/>
    <w:rsid w:val="38675A43"/>
    <w:rsid w:val="39A16D33"/>
    <w:rsid w:val="3D0D46DF"/>
    <w:rsid w:val="3D4E0F7F"/>
    <w:rsid w:val="3DD576B4"/>
    <w:rsid w:val="3E4104AD"/>
    <w:rsid w:val="3E832EAB"/>
    <w:rsid w:val="404B5C4A"/>
    <w:rsid w:val="407D1B7C"/>
    <w:rsid w:val="4166337B"/>
    <w:rsid w:val="42666D6B"/>
    <w:rsid w:val="43943464"/>
    <w:rsid w:val="46A2058E"/>
    <w:rsid w:val="47484C91"/>
    <w:rsid w:val="474B6530"/>
    <w:rsid w:val="476B6BD2"/>
    <w:rsid w:val="48651873"/>
    <w:rsid w:val="48E22EC4"/>
    <w:rsid w:val="4B1F3C01"/>
    <w:rsid w:val="4BB548C0"/>
    <w:rsid w:val="4DEB6C85"/>
    <w:rsid w:val="520B348B"/>
    <w:rsid w:val="57600001"/>
    <w:rsid w:val="576D42A0"/>
    <w:rsid w:val="58254B7B"/>
    <w:rsid w:val="59BD41B5"/>
    <w:rsid w:val="5AF745AD"/>
    <w:rsid w:val="5DE3706A"/>
    <w:rsid w:val="5DF43025"/>
    <w:rsid w:val="5E886472"/>
    <w:rsid w:val="64F8151B"/>
    <w:rsid w:val="65A90B99"/>
    <w:rsid w:val="66DF1983"/>
    <w:rsid w:val="67FBBF63"/>
    <w:rsid w:val="690F51B7"/>
    <w:rsid w:val="69912070"/>
    <w:rsid w:val="69AF0748"/>
    <w:rsid w:val="6AD55B60"/>
    <w:rsid w:val="6C6121CE"/>
    <w:rsid w:val="6C81185B"/>
    <w:rsid w:val="6F7E4E45"/>
    <w:rsid w:val="6F977CB5"/>
    <w:rsid w:val="72431297"/>
    <w:rsid w:val="72907369"/>
    <w:rsid w:val="72C97DA4"/>
    <w:rsid w:val="74065409"/>
    <w:rsid w:val="754D1541"/>
    <w:rsid w:val="763E70DC"/>
    <w:rsid w:val="77672662"/>
    <w:rsid w:val="77884AB3"/>
    <w:rsid w:val="792D7DEE"/>
    <w:rsid w:val="794D1B41"/>
    <w:rsid w:val="7A0D5D0B"/>
    <w:rsid w:val="7B44285E"/>
    <w:rsid w:val="7BF905C9"/>
    <w:rsid w:val="7D9615AC"/>
    <w:rsid w:val="7DD328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6">
    <w:name w:val="Body Text Indent"/>
    <w:basedOn w:val="1"/>
    <w:qFormat/>
    <w:uiPriority w:val="0"/>
    <w:pPr>
      <w:tabs>
        <w:tab w:val="left" w:pos="960"/>
      </w:tabs>
      <w:spacing w:line="540" w:lineRule="exact"/>
      <w:ind w:firstLine="1700" w:firstLineChars="1700"/>
    </w:pPr>
    <w:rPr>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0"/>
    <w:pPr>
      <w:ind w:firstLine="100" w:firstLineChars="100"/>
    </w:pPr>
    <w:rPr>
      <w:kern w:val="0"/>
      <w:sz w:val="20"/>
      <w:szCs w:val="20"/>
    </w:rPr>
  </w:style>
  <w:style w:type="paragraph" w:styleId="10">
    <w:name w:val="Body Text First Indent 2"/>
    <w:basedOn w:val="6"/>
    <w:qFormat/>
    <w:uiPriority w:val="0"/>
    <w:pPr>
      <w:ind w:firstLine="200" w:firstLineChars="200"/>
    </w:pPr>
  </w:style>
  <w:style w:type="character" w:styleId="13">
    <w:name w:val="Strong"/>
    <w:basedOn w:val="12"/>
    <w:qFormat/>
    <w:uiPriority w:val="22"/>
    <w:rPr>
      <w:b/>
      <w:bCs/>
    </w:rPr>
  </w:style>
  <w:style w:type="paragraph" w:customStyle="1" w:styleId="14">
    <w:name w:val="正文首行缩进1"/>
    <w:basedOn w:val="2"/>
    <w:qFormat/>
    <w:uiPriority w:val="0"/>
    <w:pPr>
      <w:spacing w:before="100" w:beforeAutospacing="1" w:after="0"/>
      <w:ind w:firstLine="100" w:firstLineChars="100"/>
    </w:pPr>
    <w:rPr>
      <w:rFonts w:ascii="Times New Roman" w:hAnsi="Times New Roman" w:eastAsia="楷体_GB2312"/>
    </w:rPr>
  </w:style>
  <w:style w:type="paragraph" w:styleId="15">
    <w:name w:val="List Paragraph"/>
    <w:basedOn w:val="1"/>
    <w:qFormat/>
    <w:uiPriority w:val="0"/>
    <w:pPr>
      <w:ind w:firstLine="200" w:firstLineChars="200"/>
    </w:pPr>
  </w:style>
  <w:style w:type="paragraph" w:customStyle="1" w:styleId="16">
    <w:name w:val="正文文本1"/>
    <w:basedOn w:val="1"/>
    <w:qFormat/>
    <w:uiPriority w:val="0"/>
    <w:pPr>
      <w:spacing w:before="93"/>
    </w:pPr>
    <w:rPr>
      <w:rFonts w:ascii="仿宋_GB2312" w:eastAsia="仿宋_GB2312"/>
      <w:kern w:val="0"/>
      <w:sz w:val="30"/>
      <w:szCs w:val="20"/>
    </w:rPr>
  </w:style>
  <w:style w:type="paragraph" w:customStyle="1" w:styleId="17">
    <w:name w:val="正文1"/>
    <w:qFormat/>
    <w:uiPriority w:val="0"/>
    <w:pPr>
      <w:widowControl/>
      <w:suppressAutoHyphens w:val="0"/>
      <w:bidi w:val="0"/>
      <w:spacing w:before="0" w:after="0"/>
      <w:ind w:firstLine="360"/>
      <w:jc w:val="left"/>
    </w:pPr>
    <w:rPr>
      <w:rFonts w:ascii="Calibri" w:hAnsi="Calibri" w:eastAsia="宋体" w:cs="Arial"/>
      <w:color w:val="auto"/>
      <w:kern w:val="0"/>
      <w:sz w:val="22"/>
      <w:szCs w:val="22"/>
      <w:lang w:val="en-US" w:eastAsia="zh-CN"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373</Words>
  <Characters>379</Characters>
  <Lines>170</Lines>
  <Paragraphs>80</Paragraphs>
  <TotalTime>5</TotalTime>
  <ScaleCrop>false</ScaleCrop>
  <LinksUpToDate>false</LinksUpToDate>
  <CharactersWithSpaces>379</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2025-03-17T11:50:00Z</cp:lastPrinted>
  <dcterms:modified xsi:type="dcterms:W3CDTF">2025-03-18T10:23:39Z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E55BE357D25548B0A6AE305467EE8F9C</vt:lpwstr>
  </property>
  <property fmtid="{D5CDD505-2E9C-101B-9397-08002B2CF9AE}" pid="4" name="KSOTemplateDocerSaveRecord">
    <vt:lpwstr>eyJoZGlkIjoiZDhjOTYyYjJiYTQxNjdmOGE4MTEzNzczMTBiZWM1NjkifQ==</vt:lpwstr>
  </property>
</Properties>
</file>