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pageBreakBefore w:val="0"/>
        <w:kinsoku/>
        <w:wordWrap/>
        <w:overflowPunct/>
        <w:topLinePunct w:val="0"/>
        <w:bidi w:val="0"/>
        <w:spacing w:line="576"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
      </w:pPr>
      <w:bookmarkStart w:id="0" w:name="_Toc15396475"/>
      <w:bookmarkStart w:id="1" w:name="_Toc15306267"/>
      <w:bookmarkStart w:id="2" w:name="_Toc15396597"/>
      <w:bookmarkStart w:id="3" w:name="_Toc15377193"/>
      <w:bookmarkStart w:id="4" w:name="_Toc15378441"/>
      <w:bookmarkStart w:id="5" w:name="_Toc15377425"/>
      <w:r>
        <w:rPr>
          <w:rFonts w:hint="eastAsia" w:ascii="黑体" w:hAnsi="黑体" w:eastAsia="黑体" w:cs="黑体"/>
          <w:color w:val="auto"/>
          <w:kern w:val="2"/>
          <w:sz w:val="32"/>
          <w:szCs w:val="32"/>
          <w:highlight w:val="none"/>
          <w:lang w:val="en-US" w:eastAsia="zh-CN" w:bidi="ar-SA"/>
        </w:rPr>
        <w:t>附件4</w:t>
      </w:r>
    </w:p>
    <w:p>
      <w:pPr>
        <w:pStyle w:val="8"/>
        <w:pageBreakBefore w:val="0"/>
        <w:kinsoku/>
        <w:wordWrap/>
        <w:overflowPunct/>
        <w:topLinePunct w:val="0"/>
        <w:bidi w:val="0"/>
        <w:spacing w:line="576" w:lineRule="exact"/>
        <w:jc w:val="both"/>
        <w:textAlignment w:val="auto"/>
        <w:rPr>
          <w:rFonts w:hint="eastAsia" w:ascii="Times New Roman" w:hAnsi="Times New Roman" w:eastAsia="方正小标宋简体" w:cs="Times New Roman"/>
          <w:color w:val="auto"/>
          <w:kern w:val="2"/>
          <w:sz w:val="72"/>
          <w:szCs w:val="72"/>
          <w:highlight w:val="none"/>
          <w:lang w:val="en-US" w:eastAsia="zh-CN" w:bidi="ar-SA"/>
        </w:rPr>
      </w:pPr>
    </w:p>
    <w:p>
      <w:pPr>
        <w:pStyle w:val="8"/>
        <w:pageBreakBefore w:val="0"/>
        <w:kinsoku/>
        <w:wordWrap/>
        <w:overflowPunct/>
        <w:topLinePunct w:val="0"/>
        <w:bidi w:val="0"/>
        <w:spacing w:line="576" w:lineRule="exact"/>
        <w:jc w:val="both"/>
        <w:textAlignment w:val="auto"/>
        <w:rPr>
          <w:rFonts w:hint="eastAsia" w:ascii="Times New Roman" w:hAnsi="Times New Roman" w:eastAsia="方正小标宋简体" w:cs="Times New Roman"/>
          <w:color w:val="auto"/>
          <w:kern w:val="2"/>
          <w:sz w:val="72"/>
          <w:szCs w:val="72"/>
          <w:highlight w:val="none"/>
          <w:lang w:val="en-US" w:eastAsia="zh-CN" w:bidi="ar-SA"/>
        </w:rPr>
      </w:pPr>
    </w:p>
    <w:p>
      <w:pPr>
        <w:pStyle w:val="8"/>
        <w:pageBreakBefore w:val="0"/>
        <w:kinsoku/>
        <w:wordWrap/>
        <w:overflowPunct/>
        <w:topLinePunct w:val="0"/>
        <w:bidi w:val="0"/>
        <w:spacing w:line="576" w:lineRule="exact"/>
        <w:jc w:val="both"/>
        <w:textAlignment w:val="auto"/>
        <w:rPr>
          <w:rFonts w:hint="eastAsia" w:ascii="Times New Roman" w:hAnsi="Times New Roman" w:eastAsia="方正小标宋简体" w:cs="Times New Roman"/>
          <w:color w:val="auto"/>
          <w:kern w:val="2"/>
          <w:sz w:val="72"/>
          <w:szCs w:val="72"/>
          <w:highlight w:val="none"/>
          <w:lang w:val="en-US" w:eastAsia="zh-CN" w:bidi="ar-SA"/>
        </w:rPr>
      </w:pPr>
    </w:p>
    <w:p>
      <w:pPr>
        <w:pStyle w:val="8"/>
        <w:pageBreakBefore w:val="0"/>
        <w:kinsoku/>
        <w:wordWrap/>
        <w:overflowPunct/>
        <w:topLinePunct w:val="0"/>
        <w:bidi w:val="0"/>
        <w:spacing w:line="576" w:lineRule="exact"/>
        <w:jc w:val="both"/>
        <w:textAlignment w:val="auto"/>
        <w:rPr>
          <w:rFonts w:hint="eastAsia" w:ascii="Times New Roman" w:hAnsi="Times New Roman" w:eastAsia="方正小标宋简体" w:cs="Times New Roman"/>
          <w:color w:val="auto"/>
          <w:kern w:val="2"/>
          <w:sz w:val="72"/>
          <w:szCs w:val="72"/>
          <w:highlight w:val="none"/>
          <w:lang w:val="en-US" w:eastAsia="zh-CN" w:bidi="ar-SA"/>
        </w:rPr>
      </w:pPr>
    </w:p>
    <w:p>
      <w:pPr>
        <w:pStyle w:val="8"/>
        <w:pageBreakBefore w:val="0"/>
        <w:kinsoku/>
        <w:wordWrap/>
        <w:overflowPunct/>
        <w:topLinePunct w:val="0"/>
        <w:bidi w:val="0"/>
        <w:spacing w:line="576" w:lineRule="exact"/>
        <w:jc w:val="center"/>
        <w:textAlignment w:val="auto"/>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2025年度四川省阿坝州茂县</w:t>
      </w:r>
    </w:p>
    <w:p>
      <w:pPr>
        <w:pStyle w:val="8"/>
        <w:pageBreakBefore w:val="0"/>
        <w:kinsoku/>
        <w:wordWrap/>
        <w:overflowPunct/>
        <w:topLinePunct w:val="0"/>
        <w:bidi w:val="0"/>
        <w:spacing w:line="576" w:lineRule="exact"/>
        <w:jc w:val="center"/>
        <w:textAlignment w:val="auto"/>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社会保险事业管理局部门决算</w:t>
      </w:r>
    </w:p>
    <w:p>
      <w:pPr>
        <w:pageBreakBefore w:val="0"/>
        <w:kinsoku/>
        <w:wordWrap/>
        <w:overflowPunct/>
        <w:topLinePunct w:val="0"/>
        <w:bidi w:val="0"/>
        <w:spacing w:line="576" w:lineRule="exact"/>
        <w:jc w:val="both"/>
        <w:textAlignment w:val="auto"/>
        <w:outlineLvl w:val="0"/>
        <w:rPr>
          <w:rFonts w:ascii="Times New Roman" w:hAnsi="Times New Roman" w:eastAsia="方正小标宋简体"/>
          <w:color w:val="auto"/>
          <w:sz w:val="72"/>
          <w:szCs w:val="72"/>
          <w:highlight w:val="none"/>
        </w:rPr>
      </w:pPr>
    </w:p>
    <w:p>
      <w:pPr>
        <w:pStyle w:val="20"/>
        <w:pageBreakBefore w:val="0"/>
        <w:kinsoku/>
        <w:wordWrap/>
        <w:overflowPunct/>
        <w:topLinePunct w:val="0"/>
        <w:bidi w:val="0"/>
        <w:spacing w:line="576" w:lineRule="exact"/>
        <w:jc w:val="both"/>
        <w:textAlignment w:val="auto"/>
        <w:rPr>
          <w:rFonts w:hint="eastAsia" w:ascii="Times New Roman" w:hAnsi="Times New Roman" w:eastAsia="黑体"/>
          <w:lang w:val="en-US" w:eastAsia="zh-CN"/>
        </w:rPr>
        <w:sectPr>
          <w:footerReference r:id="rId5" w:type="first"/>
          <w:headerReference r:id="rId3" w:type="default"/>
          <w:footerReference r:id="rId4" w:type="default"/>
          <w:pgSz w:w="11906" w:h="16838"/>
          <w:pgMar w:top="2098" w:right="1474" w:bottom="1984" w:left="1587" w:header="851" w:footer="992" w:gutter="0"/>
          <w:pgNumType w:fmt="decimal" w:start="1"/>
          <w:cols w:space="0" w:num="1"/>
          <w:titlePg/>
          <w:rtlGutter w:val="0"/>
          <w:docGrid w:type="lines" w:linePitch="312" w:charSpace="0"/>
        </w:sectPr>
      </w:pPr>
      <w:r>
        <w:rPr>
          <w:rFonts w:hint="eastAsia" w:ascii="Times New Roman" w:hAnsi="Times New Roman"/>
          <w:lang w:val="en-US" w:eastAsia="zh-CN"/>
        </w:rPr>
        <w:t xml:space="preserve"> </w:t>
      </w:r>
    </w:p>
    <w:bookmarkEnd w:id="0"/>
    <w:bookmarkEnd w:id="1"/>
    <w:bookmarkEnd w:id="2"/>
    <w:bookmarkEnd w:id="3"/>
    <w:bookmarkEnd w:id="4"/>
    <w:bookmarkEnd w:id="5"/>
    <w:p>
      <w:pPr>
        <w:pageBreakBefore w:val="0"/>
        <w:widowControl/>
        <w:kinsoku/>
        <w:wordWrap/>
        <w:overflowPunct/>
        <w:topLinePunct w:val="0"/>
        <w:bidi w:val="0"/>
        <w:spacing w:line="576" w:lineRule="exact"/>
        <w:jc w:val="center"/>
        <w:textAlignment w:val="auto"/>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pageBreakBefore w:val="0"/>
        <w:widowControl/>
        <w:kinsoku/>
        <w:wordWrap/>
        <w:overflowPunct/>
        <w:topLinePunct w:val="0"/>
        <w:bidi w:val="0"/>
        <w:spacing w:line="576" w:lineRule="exact"/>
        <w:jc w:val="center"/>
        <w:textAlignment w:val="auto"/>
        <w:rPr>
          <w:rFonts w:ascii="Times New Roman" w:hAnsi="Times New Roman" w:eastAsia="黑体" w:cstheme="minorBidi"/>
          <w:color w:val="auto"/>
          <w:sz w:val="28"/>
          <w:szCs w:val="28"/>
          <w:highlight w:val="none"/>
        </w:rPr>
      </w:pPr>
    </w:p>
    <w:p>
      <w:pPr>
        <w:pStyle w:val="14"/>
        <w:pageBreakBefore w:val="0"/>
        <w:kinsoku/>
        <w:wordWrap/>
        <w:overflowPunct/>
        <w:topLinePunct w:val="0"/>
        <w:bidi w:val="0"/>
        <w:spacing w:line="576" w:lineRule="exact"/>
        <w:jc w:val="center"/>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p>
      <w:pPr>
        <w:pageBreakBefore w:val="0"/>
        <w:kinsoku/>
        <w:wordWrap/>
        <w:overflowPunct/>
        <w:topLinePunct w:val="0"/>
        <w:bidi w:val="0"/>
        <w:spacing w:line="576" w:lineRule="exact"/>
        <w:jc w:val="both"/>
        <w:textAlignment w:val="auto"/>
        <w:rPr>
          <w:rFonts w:ascii="Times New Roman" w:hAnsi="Times New Roman"/>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76" w:lineRule="exact"/>
        <w:jc w:val="both"/>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..........4</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..........4</w:t>
      </w:r>
    </w:p>
    <w:p>
      <w:pPr>
        <w:pStyle w:val="14"/>
        <w:keepNext w:val="0"/>
        <w:keepLines w:val="0"/>
        <w:pageBreakBefore w:val="0"/>
        <w:kinsoku/>
        <w:wordWrap/>
        <w:overflowPunct/>
        <w:topLinePunct w:val="0"/>
        <w:autoSpaceDE/>
        <w:autoSpaceDN/>
        <w:bidi w:val="0"/>
        <w:adjustRightInd w:val="0"/>
        <w:snapToGrid w:val="0"/>
        <w:spacing w:before="0" w:line="576" w:lineRule="exact"/>
        <w:jc w:val="both"/>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一、收入支出决算总体情况说明</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.........5</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5</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............6</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四、财政拨款收入支出决算总体情况说明</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.........6</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五、一般公共预算财政拨款支出决算情况说明</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......7</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仿宋_GB2312" w:hAnsi="仿宋_GB2312" w:eastAsia="仿宋_GB2312" w:cs="仿宋_GB2312"/>
          <w:color w:val="auto"/>
          <w:kern w:val="2"/>
          <w:sz w:val="32"/>
          <w:szCs w:val="32"/>
          <w:highlight w:val="none"/>
          <w:lang w:val="en-US" w:eastAsia="zh-CN" w:bidi="ar-SA"/>
        </w:rPr>
        <w:t>...9</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10</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..10</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.10</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...11</w:t>
      </w:r>
    </w:p>
    <w:p>
      <w:pPr>
        <w:pStyle w:val="14"/>
        <w:keepNext w:val="0"/>
        <w:keepLines w:val="0"/>
        <w:pageBreakBefore w:val="0"/>
        <w:kinsoku/>
        <w:wordWrap/>
        <w:overflowPunct/>
        <w:topLinePunct w:val="0"/>
        <w:autoSpaceDE/>
        <w:autoSpaceDN/>
        <w:bidi w:val="0"/>
        <w:adjustRightInd w:val="0"/>
        <w:snapToGrid w:val="0"/>
        <w:spacing w:before="0" w:line="576" w:lineRule="exact"/>
        <w:jc w:val="both"/>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..13</w:t>
      </w:r>
      <w:bookmarkStart w:id="60" w:name="_GoBack"/>
      <w:bookmarkEnd w:id="60"/>
      <w:r>
        <w:rPr>
          <w:rFonts w:hint="eastAsia" w:ascii="Times New Roman" w:hAnsi="Times New Roman" w:eastAsia="黑体" w:cs="黑体"/>
          <w:color w:val="auto"/>
          <w:sz w:val="32"/>
          <w:szCs w:val="32"/>
          <w:highlight w:val="none"/>
        </w:rPr>
        <w:t>第四部分 附件</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.........15</w:t>
      </w:r>
      <w:r>
        <w:rPr>
          <w:rFonts w:hint="eastAsia" w:ascii="Times New Roman" w:hAnsi="Times New Roman" w:eastAsia="黑体" w:cs="黑体"/>
          <w:color w:val="auto"/>
          <w:sz w:val="32"/>
          <w:szCs w:val="32"/>
          <w:highlight w:val="none"/>
        </w:rPr>
        <w:t xml:space="preserve">第五部分 </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附表</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638" w:leftChars="304" w:firstLine="0" w:firstLineChars="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sz w:val="32"/>
          <w:szCs w:val="32"/>
          <w:highlight w:val="none"/>
        </w:rPr>
        <w:t>二、收入决算表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638" w:leftChars="304" w:firstLine="0" w:firstLineChars="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rPr>
        <w:t>五、财政拨款支出决算明细表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sz w:val="32"/>
          <w:szCs w:val="32"/>
          <w:highlight w:val="none"/>
        </w:rPr>
        <w:t>六、一般公共预算财政拨款支出决算表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638" w:leftChars="304" w:firstLine="0" w:firstLineChars="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七、一般公共预算财政拨款支出决算明细表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九、一般公共预算财政拨款项目支出决算表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638" w:leftChars="304" w:firstLine="0" w:firstLineChars="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十、政府性基金预算财政拨款收入支出决算表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sz w:val="32"/>
          <w:szCs w:val="32"/>
          <w:highlight w:val="none"/>
        </w:rPr>
        <w:t>十一、国有资本经营预算财政拨款收入支出决算表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十三、财政拨款“三公”经费支出决算表</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.16</w:t>
      </w:r>
    </w:p>
    <w:p>
      <w:pPr>
        <w:keepNext w:val="0"/>
        <w:keepLines w:val="0"/>
        <w:pageBreakBefore w:val="0"/>
        <w:widowControl/>
        <w:kinsoku/>
        <w:wordWrap/>
        <w:overflowPunct/>
        <w:topLinePunct w:val="0"/>
        <w:autoSpaceDE/>
        <w:autoSpaceDN/>
        <w:bidi w:val="0"/>
        <w:spacing w:line="576" w:lineRule="exact"/>
        <w:jc w:val="both"/>
        <w:textAlignment w:val="auto"/>
        <w:rPr>
          <w:rFonts w:hint="default" w:ascii="Times New Roman" w:hAnsi="Times New Roman" w:eastAsia="仿宋_GB2312" w:cs="仿宋_GB2312"/>
          <w:bCs/>
          <w:color w:val="auto"/>
          <w:kern w:val="44"/>
          <w:sz w:val="32"/>
          <w:szCs w:val="32"/>
          <w:highlight w:val="none"/>
          <w:lang w:val="en-US"/>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r>
        <w:rPr>
          <w:rFonts w:hint="default" w:eastAsia="仿宋_GB2312" w:cs="仿宋_GB2312"/>
          <w:b/>
          <w:color w:val="auto"/>
          <w:sz w:val="32"/>
          <w:szCs w:val="32"/>
          <w:highlight w:val="none"/>
          <w:lang w:val="en-US"/>
        </w:rPr>
        <w:t xml:space="preserve"> </w:t>
      </w:r>
    </w:p>
    <w:p>
      <w:pPr>
        <w:pStyle w:val="5"/>
        <w:pageBreakBefore w:val="0"/>
        <w:kinsoku/>
        <w:wordWrap/>
        <w:overflowPunct/>
        <w:topLinePunct w:val="0"/>
        <w:bidi w:val="0"/>
        <w:spacing w:line="576" w:lineRule="exact"/>
        <w:jc w:val="center"/>
        <w:textAlignment w:val="auto"/>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pPr>
        <w:pageBreakBefore w:val="0"/>
        <w:widowControl/>
        <w:kinsoku/>
        <w:wordWrap/>
        <w:overflowPunct/>
        <w:topLinePunct w:val="0"/>
        <w:bidi w:val="0"/>
        <w:spacing w:line="576" w:lineRule="exact"/>
        <w:jc w:val="both"/>
        <w:textAlignment w:val="auto"/>
        <w:rPr>
          <w:rFonts w:ascii="Times New Roman" w:hAnsi="Times New Roman" w:eastAsia="黑体"/>
          <w:color w:val="auto"/>
          <w:sz w:val="32"/>
          <w:szCs w:val="32"/>
          <w:highlight w:val="none"/>
        </w:rPr>
      </w:pPr>
    </w:p>
    <w:p>
      <w:pPr>
        <w:pStyle w:val="28"/>
        <w:pageBreakBefore w:val="0"/>
        <w:numPr>
          <w:ilvl w:val="0"/>
          <w:numId w:val="1"/>
        </w:numPr>
        <w:kinsoku/>
        <w:wordWrap/>
        <w:overflowPunct/>
        <w:topLinePunct w:val="0"/>
        <w:bidi w:val="0"/>
        <w:spacing w:line="576" w:lineRule="exact"/>
        <w:ind w:firstLineChars="0"/>
        <w:jc w:val="both"/>
        <w:textAlignment w:val="auto"/>
        <w:outlineLvl w:val="1"/>
        <w:rPr>
          <w:rFonts w:hint="eastAsia" w:ascii="黑体" w:eastAsia="黑体"/>
          <w:color w:val="auto"/>
          <w:sz w:val="32"/>
          <w:szCs w:val="32"/>
          <w:highlight w:val="none"/>
          <w:lang w:eastAsia="zh-CN"/>
        </w:rPr>
      </w:pPr>
      <w:bookmarkStart w:id="8" w:name="_Toc15377204"/>
      <w:bookmarkStart w:id="9" w:name="_Toc15396602"/>
      <w:r>
        <w:rPr>
          <w:rFonts w:hint="eastAsia" w:ascii="黑体" w:eastAsia="黑体"/>
          <w:color w:val="auto"/>
          <w:sz w:val="32"/>
          <w:szCs w:val="32"/>
          <w:highlight w:val="none"/>
          <w:lang w:eastAsia="zh-CN"/>
        </w:rPr>
        <w:t>部门职责</w:t>
      </w:r>
    </w:p>
    <w:p>
      <w:pPr>
        <w:pStyle w:val="28"/>
        <w:pageBreakBefore w:val="0"/>
        <w:kinsoku/>
        <w:wordWrap/>
        <w:overflowPunct/>
        <w:topLinePunct w:val="0"/>
        <w:bidi w:val="0"/>
        <w:spacing w:line="576" w:lineRule="exact"/>
        <w:jc w:val="both"/>
        <w:textAlignment w:val="auto"/>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茂县社会保险事业管理局是县政府综合管理全县社会保险工作的职能部门，承担政府职能的管理机构，贯彻执行国家、省、州有关社会保险政策和法律、法规，负责全县企业基本养老保险、机关事业养老保险、职业年金、工伤保险等社会保险工作。</w:t>
      </w:r>
    </w:p>
    <w:p>
      <w:pPr>
        <w:pStyle w:val="28"/>
        <w:pageBreakBefore w:val="0"/>
        <w:numPr>
          <w:ilvl w:val="0"/>
          <w:numId w:val="1"/>
        </w:numPr>
        <w:kinsoku/>
        <w:wordWrap/>
        <w:overflowPunct/>
        <w:topLinePunct w:val="0"/>
        <w:bidi w:val="0"/>
        <w:spacing w:line="576" w:lineRule="exact"/>
        <w:ind w:firstLineChars="0"/>
        <w:jc w:val="both"/>
        <w:textAlignment w:val="auto"/>
        <w:outlineLvl w:val="1"/>
        <w:rPr>
          <w:rFonts w:hint="eastAsia" w:ascii="黑体" w:eastAsia="黑体"/>
          <w:color w:val="auto"/>
          <w:sz w:val="32"/>
          <w:szCs w:val="32"/>
          <w:highlight w:val="none"/>
          <w:lang w:eastAsia="zh-CN"/>
        </w:rPr>
      </w:pPr>
      <w:r>
        <w:rPr>
          <w:rFonts w:hint="eastAsia" w:ascii="黑体" w:eastAsia="黑体"/>
          <w:color w:val="auto"/>
          <w:sz w:val="32"/>
          <w:szCs w:val="32"/>
          <w:highlight w:val="none"/>
          <w:lang w:eastAsia="zh-CN"/>
        </w:rPr>
        <w:t>机构设置</w:t>
      </w:r>
    </w:p>
    <w:p>
      <w:pPr>
        <w:pStyle w:val="28"/>
        <w:pageBreakBefore w:val="0"/>
        <w:kinsoku/>
        <w:wordWrap/>
        <w:overflowPunct/>
        <w:topLinePunct w:val="0"/>
        <w:bidi w:val="0"/>
        <w:spacing w:line="576" w:lineRule="exact"/>
        <w:jc w:val="both"/>
        <w:textAlignment w:val="auto"/>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茂县社会保险事业管理局下属二级预算单位0个，其中行政单位0个，参照公务员法管理的事业单位0个，其他事业单位0个。</w:t>
      </w:r>
    </w:p>
    <w:p>
      <w:pPr>
        <w:pStyle w:val="5"/>
        <w:pageBreakBefore w:val="0"/>
        <w:kinsoku/>
        <w:wordWrap/>
        <w:overflowPunct/>
        <w:topLinePunct w:val="0"/>
        <w:bidi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p>
    <w:p>
      <w:pPr>
        <w:pStyle w:val="5"/>
        <w:pageBreakBefore w:val="0"/>
        <w:kinsoku/>
        <w:wordWrap/>
        <w:overflowPunct/>
        <w:topLinePunct w:val="0"/>
        <w:bidi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p>
    <w:p>
      <w:pPr>
        <w:pStyle w:val="5"/>
        <w:pageBreakBefore w:val="0"/>
        <w:kinsoku/>
        <w:wordWrap/>
        <w:overflowPunct/>
        <w:topLinePunct w:val="0"/>
        <w:bidi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p>
    <w:p>
      <w:pPr>
        <w:pageBreakBefore w:val="0"/>
        <w:kinsoku/>
        <w:wordWrap/>
        <w:overflowPunct/>
        <w:topLinePunct w:val="0"/>
        <w:bidi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p>
    <w:p>
      <w:pPr>
        <w:pStyle w:val="2"/>
        <w:pageBreakBefore w:val="0"/>
        <w:kinsoku/>
        <w:wordWrap/>
        <w:overflowPunct/>
        <w:topLinePunct w:val="0"/>
        <w:bidi w:val="0"/>
        <w:spacing w:line="576" w:lineRule="exact"/>
        <w:jc w:val="both"/>
        <w:textAlignment w:val="auto"/>
        <w:rPr>
          <w:rFonts w:hint="default"/>
          <w:lang w:val="en-US" w:eastAsia="zh-CN"/>
        </w:rPr>
      </w:pPr>
      <w:r>
        <w:rPr>
          <w:rFonts w:hint="eastAsia"/>
          <w:lang w:val="en-US" w:eastAsia="zh-CN"/>
        </w:rPr>
        <w:t xml:space="preserve"> </w:t>
      </w:r>
    </w:p>
    <w:p>
      <w:pPr>
        <w:pStyle w:val="5"/>
        <w:pageBreakBefore w:val="0"/>
        <w:kinsoku/>
        <w:wordWrap/>
        <w:overflowPunct/>
        <w:topLinePunct w:val="0"/>
        <w:bidi w:val="0"/>
        <w:spacing w:line="576" w:lineRule="exact"/>
        <w:jc w:val="center"/>
        <w:textAlignment w:val="auto"/>
        <w:rPr>
          <w:rFonts w:ascii="Times New Roman" w:hAnsi="Times New Roman"/>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8"/>
      <w:bookmarkEnd w:id="9"/>
    </w:p>
    <w:p>
      <w:pPr>
        <w:pStyle w:val="28"/>
        <w:pageBreakBefore w:val="0"/>
        <w:numPr>
          <w:ilvl w:val="0"/>
          <w:numId w:val="0"/>
        </w:numPr>
        <w:kinsoku/>
        <w:wordWrap/>
        <w:overflowPunct/>
        <w:topLinePunct w:val="0"/>
        <w:bidi w:val="0"/>
        <w:spacing w:line="576" w:lineRule="exact"/>
        <w:ind w:left="640" w:leftChars="0"/>
        <w:jc w:val="both"/>
        <w:textAlignment w:val="auto"/>
        <w:outlineLvl w:val="1"/>
        <w:rPr>
          <w:rFonts w:hint="eastAsia" w:ascii="黑体" w:eastAsia="黑体"/>
          <w:color w:val="auto"/>
          <w:sz w:val="32"/>
          <w:szCs w:val="32"/>
          <w:highlight w:val="none"/>
          <w:lang w:eastAsia="zh-CN"/>
        </w:rPr>
      </w:pPr>
      <w:bookmarkStart w:id="10" w:name="_Toc15396603"/>
      <w:bookmarkStart w:id="11" w:name="_Toc15377205"/>
      <w:r>
        <w:rPr>
          <w:rFonts w:hint="eastAsia" w:ascii="黑体" w:eastAsia="黑体"/>
          <w:color w:val="auto"/>
          <w:sz w:val="32"/>
          <w:szCs w:val="32"/>
          <w:highlight w:val="none"/>
          <w:lang w:eastAsia="zh-CN"/>
        </w:rPr>
        <w:t>一、收入支出决算总体情况说明</w:t>
      </w:r>
      <w:bookmarkEnd w:id="10"/>
      <w:bookmarkEnd w:id="11"/>
    </w:p>
    <w:p>
      <w:pPr>
        <w:pageBreakBefore w:val="0"/>
        <w:kinsoku/>
        <w:wordWrap/>
        <w:overflowPunct/>
        <w:topLinePunct w:val="0"/>
        <w:bidi w:val="0"/>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368300</wp:posOffset>
            </wp:positionH>
            <wp:positionV relativeFrom="paragraph">
              <wp:posOffset>1339215</wp:posOffset>
            </wp:positionV>
            <wp:extent cx="4241165" cy="2498725"/>
            <wp:effectExtent l="0" t="0" r="6985" b="15875"/>
            <wp:wrapTopAndBottom/>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9"/>
                    <a:stretch>
                      <a:fillRect/>
                    </a:stretch>
                  </pic:blipFill>
                  <pic:spPr>
                    <a:xfrm>
                      <a:off x="0" y="0"/>
                      <a:ext cx="4241165" cy="2498725"/>
                    </a:xfrm>
                    <a:prstGeom prst="rect">
                      <a:avLst/>
                    </a:prstGeom>
                  </pic:spPr>
                </pic:pic>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2025年度收入、支出总计均为622.05万元。与上年度相比，收入、支出总计各增加131.36万元，增长26.77%。主要变动原因是:人员增加导致工资和社会保险费增加。</w:t>
      </w:r>
      <w:bookmarkStart w:id="12" w:name="_Toc15396604"/>
      <w:bookmarkStart w:id="13" w:name="_Toc15377206"/>
    </w:p>
    <w:p>
      <w:pPr>
        <w:pStyle w:val="28"/>
        <w:pageBreakBefore w:val="0"/>
        <w:numPr>
          <w:ilvl w:val="0"/>
          <w:numId w:val="0"/>
        </w:numPr>
        <w:kinsoku/>
        <w:wordWrap/>
        <w:overflowPunct/>
        <w:topLinePunct w:val="0"/>
        <w:bidi w:val="0"/>
        <w:spacing w:line="576" w:lineRule="exact"/>
        <w:ind w:left="640" w:leftChars="0"/>
        <w:jc w:val="both"/>
        <w:textAlignment w:val="auto"/>
        <w:outlineLvl w:val="1"/>
        <w:rPr>
          <w:rFonts w:hint="eastAsia" w:ascii="黑体" w:eastAsia="黑体"/>
          <w:color w:val="auto"/>
          <w:sz w:val="32"/>
          <w:szCs w:val="32"/>
          <w:highlight w:val="none"/>
          <w:lang w:eastAsia="zh-CN"/>
        </w:rPr>
      </w:pPr>
      <w:r>
        <w:rPr>
          <w:rFonts w:hint="eastAsia" w:ascii="黑体" w:eastAsia="黑体"/>
          <w:color w:val="auto"/>
          <w:sz w:val="32"/>
          <w:szCs w:val="32"/>
          <w:highlight w:val="none"/>
          <w:lang w:eastAsia="zh-CN"/>
        </w:rPr>
        <w:t>二、收入决算情况说明</w:t>
      </w:r>
      <w:bookmarkEnd w:id="12"/>
      <w:bookmarkEnd w:id="13"/>
    </w:p>
    <w:p>
      <w:pPr>
        <w:pStyle w:val="28"/>
        <w:pageBreakBefore w:val="0"/>
        <w:kinsoku/>
        <w:wordWrap/>
        <w:overflowPunct/>
        <w:topLinePunct w:val="0"/>
        <w:bidi w:val="0"/>
        <w:spacing w:line="576" w:lineRule="exact"/>
        <w:jc w:val="both"/>
        <w:textAlignment w:val="auto"/>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posOffset>264160</wp:posOffset>
            </wp:positionH>
            <wp:positionV relativeFrom="paragraph">
              <wp:posOffset>922020</wp:posOffset>
            </wp:positionV>
            <wp:extent cx="4145915" cy="2345690"/>
            <wp:effectExtent l="0" t="0" r="6985" b="16510"/>
            <wp:wrapTopAndBottom/>
            <wp:docPr id="2" name="图片 2"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3"/>
                    <pic:cNvPicPr>
                      <a:picLocks noChangeAspect="1"/>
                    </pic:cNvPicPr>
                  </pic:nvPicPr>
                  <pic:blipFill>
                    <a:blip r:embed="rId10"/>
                    <a:stretch>
                      <a:fillRect/>
                    </a:stretch>
                  </pic:blipFill>
                  <pic:spPr>
                    <a:xfrm>
                      <a:off x="0" y="0"/>
                      <a:ext cx="4145915" cy="2345690"/>
                    </a:xfrm>
                    <a:prstGeom prst="rect">
                      <a:avLst/>
                    </a:prstGeom>
                  </pic:spPr>
                </pic:pic>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2025年度本年收入合计622.05万元，其中：一般公共预算财政拨款收入622.05万元，占100%。</w:t>
      </w:r>
      <w:bookmarkStart w:id="14" w:name="_Toc15396605"/>
      <w:bookmarkStart w:id="15" w:name="_Toc15377207"/>
    </w:p>
    <w:p>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outlineLvl w:val="1"/>
        <w:rPr>
          <w:rFonts w:hint="eastAsia" w:ascii="Times New Roman" w:hAnsi="Times New Roman" w:eastAsia="黑体"/>
          <w:color w:val="auto"/>
          <w:sz w:val="32"/>
          <w:szCs w:val="32"/>
          <w:highlight w:val="none"/>
          <w:lang w:eastAsia="zh-CN"/>
        </w:rPr>
      </w:pPr>
    </w:p>
    <w:p>
      <w:pPr>
        <w:pStyle w:val="28"/>
        <w:pageBreakBefore w:val="0"/>
        <w:numPr>
          <w:ilvl w:val="0"/>
          <w:numId w:val="0"/>
        </w:numPr>
        <w:kinsoku/>
        <w:wordWrap/>
        <w:overflowPunct/>
        <w:topLinePunct w:val="0"/>
        <w:bidi w:val="0"/>
        <w:spacing w:line="576" w:lineRule="exact"/>
        <w:ind w:left="640" w:leftChars="0"/>
        <w:jc w:val="both"/>
        <w:textAlignment w:val="auto"/>
        <w:outlineLvl w:val="1"/>
        <w:rPr>
          <w:rFonts w:hint="eastAsia" w:ascii="黑体" w:eastAsia="黑体"/>
          <w:color w:val="auto"/>
          <w:sz w:val="32"/>
          <w:szCs w:val="32"/>
          <w:highlight w:val="none"/>
          <w:lang w:eastAsia="zh-CN"/>
        </w:rPr>
      </w:pPr>
      <w:r>
        <w:rPr>
          <w:rFonts w:hint="eastAsia" w:ascii="黑体" w:eastAsia="黑体"/>
          <w:color w:val="auto"/>
          <w:sz w:val="32"/>
          <w:szCs w:val="32"/>
          <w:highlight w:val="none"/>
          <w:lang w:eastAsia="zh-CN"/>
        </w:rPr>
        <w:t>三、支出决算情况说明</w:t>
      </w:r>
      <w:bookmarkEnd w:id="14"/>
      <w:bookmarkEnd w:id="15"/>
    </w:p>
    <w:p>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outlineLvl w:val="1"/>
        <w:rPr>
          <w:rFonts w:hint="eastAsia" w:ascii="Times New Roman" w:hAnsi="Times New Roman" w:eastAsia="黑体"/>
          <w:color w:val="auto"/>
          <w:sz w:val="32"/>
          <w:szCs w:val="32"/>
          <w:highlight w:val="none"/>
        </w:rPr>
      </w:pPr>
      <w:r>
        <w:rPr>
          <w:rFonts w:hint="eastAsia" w:ascii="仿宋_GB2312" w:hAnsi="仿宋_GB2312" w:eastAsia="仿宋_GB2312" w:cs="仿宋_GB2312"/>
          <w:color w:val="auto"/>
          <w:kern w:val="2"/>
          <w:sz w:val="32"/>
          <w:szCs w:val="32"/>
          <w:highlight w:val="none"/>
          <w:lang w:val="en-US" w:eastAsia="zh-CN" w:bidi="ar-SA"/>
        </w:rPr>
        <w:drawing>
          <wp:anchor distT="0" distB="0" distL="114300" distR="114300" simplePos="0" relativeHeight="251665408" behindDoc="0" locked="0" layoutInCell="1" allowOverlap="1">
            <wp:simplePos x="0" y="0"/>
            <wp:positionH relativeFrom="column">
              <wp:posOffset>438150</wp:posOffset>
            </wp:positionH>
            <wp:positionV relativeFrom="paragraph">
              <wp:posOffset>786130</wp:posOffset>
            </wp:positionV>
            <wp:extent cx="4013200" cy="2461260"/>
            <wp:effectExtent l="0" t="0" r="6350" b="15240"/>
            <wp:wrapTopAndBottom/>
            <wp:docPr id="3" name="图片 3"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4"/>
                    <pic:cNvPicPr>
                      <a:picLocks noChangeAspect="1"/>
                    </pic:cNvPicPr>
                  </pic:nvPicPr>
                  <pic:blipFill>
                    <a:blip r:embed="rId11"/>
                    <a:stretch>
                      <a:fillRect/>
                    </a:stretch>
                  </pic:blipFill>
                  <pic:spPr>
                    <a:xfrm>
                      <a:off x="0" y="0"/>
                      <a:ext cx="4013200" cy="2461260"/>
                    </a:xfrm>
                    <a:prstGeom prst="rect">
                      <a:avLst/>
                    </a:prstGeom>
                  </pic:spPr>
                </pic:pic>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2025年度本年支出合计622.05万元，其中：基本支出622.05万元，占100%。</w:t>
      </w:r>
      <w:bookmarkStart w:id="16" w:name="_Toc15396606"/>
      <w:bookmarkStart w:id="17" w:name="_Toc15377208"/>
    </w:p>
    <w:p>
      <w:pPr>
        <w:pageBreakBefore w:val="0"/>
        <w:kinsoku/>
        <w:wordWrap/>
        <w:overflowPunct/>
        <w:topLinePunct w:val="0"/>
        <w:bidi w:val="0"/>
        <w:spacing w:line="576" w:lineRule="exact"/>
        <w:ind w:firstLine="640" w:firstLineChars="200"/>
        <w:jc w:val="both"/>
        <w:textAlignment w:val="auto"/>
        <w:outlineLvl w:val="1"/>
        <w:rPr>
          <w:rFonts w:hint="eastAsia" w:ascii="黑体" w:hAnsi="Times New Roman" w:eastAsia="黑体" w:cs="Times New Roman"/>
          <w:color w:val="auto"/>
          <w:kern w:val="2"/>
          <w:sz w:val="32"/>
          <w:szCs w:val="32"/>
          <w:highlight w:val="none"/>
          <w:lang w:val="en-US" w:eastAsia="zh-CN" w:bidi="ar-SA"/>
        </w:rPr>
      </w:pPr>
      <w:r>
        <w:rPr>
          <w:rFonts w:hint="eastAsia" w:ascii="黑体" w:hAnsi="Times New Roman" w:eastAsia="黑体" w:cs="Times New Roman"/>
          <w:color w:val="auto"/>
          <w:kern w:val="2"/>
          <w:sz w:val="32"/>
          <w:szCs w:val="32"/>
          <w:highlight w:val="none"/>
          <w:lang w:val="en-US" w:eastAsia="zh-CN" w:bidi="ar-SA"/>
        </w:rPr>
        <w:t>四、财政拨款收入支出决算总体情况说明</w:t>
      </w:r>
      <w:bookmarkEnd w:id="16"/>
      <w:bookmarkEnd w:id="17"/>
    </w:p>
    <w:p>
      <w:pPr>
        <w:pStyle w:val="28"/>
        <w:pageBreakBefore w:val="0"/>
        <w:kinsoku/>
        <w:wordWrap/>
        <w:overflowPunct/>
        <w:topLinePunct w:val="0"/>
        <w:bidi w:val="0"/>
        <w:spacing w:line="576" w:lineRule="exact"/>
        <w:jc w:val="both"/>
        <w:textAlignment w:val="auto"/>
        <w:outlineLvl w:val="1"/>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501650</wp:posOffset>
            </wp:positionH>
            <wp:positionV relativeFrom="paragraph">
              <wp:posOffset>1634490</wp:posOffset>
            </wp:positionV>
            <wp:extent cx="4040505" cy="2752725"/>
            <wp:effectExtent l="0" t="0" r="17145" b="9525"/>
            <wp:wrapTopAndBottom/>
            <wp:docPr id="4" name="图片 4"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5"/>
                    <pic:cNvPicPr>
                      <a:picLocks noChangeAspect="1"/>
                    </pic:cNvPicPr>
                  </pic:nvPicPr>
                  <pic:blipFill>
                    <a:blip r:embed="rId12"/>
                    <a:stretch>
                      <a:fillRect/>
                    </a:stretch>
                  </pic:blipFill>
                  <pic:spPr>
                    <a:xfrm>
                      <a:off x="0" y="0"/>
                      <a:ext cx="4040505" cy="2752725"/>
                    </a:xfrm>
                    <a:prstGeom prst="rect">
                      <a:avLst/>
                    </a:prstGeom>
                  </pic:spPr>
                </pic:pic>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2025年度财政拨款收入、支出总计均为622.05万元。与上年度相比，财政拨款收入、支出总计各增加131.36万元，增长26.77%。主要变动原因是</w:t>
      </w:r>
      <w:bookmarkStart w:id="18" w:name="_Toc15396607"/>
      <w:bookmarkStart w:id="19" w:name="_Toc15377209"/>
      <w:r>
        <w:rPr>
          <w:rFonts w:hint="eastAsia" w:ascii="仿宋_GB2312" w:hAnsi="仿宋_GB2312" w:eastAsia="仿宋_GB2312" w:cs="仿宋_GB2312"/>
          <w:color w:val="auto"/>
          <w:kern w:val="2"/>
          <w:sz w:val="32"/>
          <w:szCs w:val="32"/>
          <w:highlight w:val="none"/>
          <w:lang w:val="en-US" w:eastAsia="zh-CN" w:bidi="ar-SA"/>
        </w:rPr>
        <w:t>:人员增加导致工资和社会保险费增加。</w:t>
      </w:r>
    </w:p>
    <w:p>
      <w:pPr>
        <w:pStyle w:val="28"/>
        <w:pageBreakBefore w:val="0"/>
        <w:numPr>
          <w:ilvl w:val="0"/>
          <w:numId w:val="0"/>
        </w:numPr>
        <w:kinsoku/>
        <w:wordWrap/>
        <w:overflowPunct/>
        <w:topLinePunct w:val="0"/>
        <w:bidi w:val="0"/>
        <w:spacing w:line="576" w:lineRule="exact"/>
        <w:ind w:left="640" w:leftChars="0"/>
        <w:jc w:val="both"/>
        <w:textAlignment w:val="auto"/>
        <w:outlineLvl w:val="1"/>
        <w:rPr>
          <w:rFonts w:hint="eastAsia" w:ascii="黑体" w:eastAsia="黑体"/>
          <w:color w:val="auto"/>
          <w:sz w:val="32"/>
          <w:szCs w:val="32"/>
          <w:highlight w:val="none"/>
          <w:lang w:eastAsia="zh-CN"/>
        </w:rPr>
      </w:pPr>
      <w:r>
        <w:rPr>
          <w:rFonts w:hint="eastAsia" w:ascii="黑体" w:eastAsia="黑体"/>
          <w:color w:val="auto"/>
          <w:sz w:val="32"/>
          <w:szCs w:val="32"/>
          <w:highlight w:val="none"/>
          <w:lang w:eastAsia="zh-CN"/>
        </w:rPr>
        <w:t>五、一般公共预算财政拨款支出决算情况说明</w:t>
      </w:r>
      <w:bookmarkEnd w:id="18"/>
      <w:bookmarkEnd w:id="19"/>
    </w:p>
    <w:p>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楷体_GB2312"/>
          <w:b/>
          <w:color w:val="auto"/>
          <w:sz w:val="32"/>
          <w:szCs w:val="32"/>
          <w:highlight w:val="none"/>
        </w:rPr>
      </w:pPr>
      <w:bookmarkStart w:id="2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0"/>
    </w:p>
    <w:p>
      <w:pPr>
        <w:pStyle w:val="28"/>
        <w:pageBreakBefore w:val="0"/>
        <w:kinsoku/>
        <w:wordWrap/>
        <w:overflowPunct/>
        <w:topLinePunct w:val="0"/>
        <w:bidi w:val="0"/>
        <w:spacing w:line="576" w:lineRule="exact"/>
        <w:jc w:val="both"/>
        <w:textAlignment w:val="auto"/>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2025年度一般公共预算财政拨款支出622.05万元，占本年支出合计的100%。与上年度相比，一般公共预算财政拨款支出增加131.36万元，增长26.77%。主要变动原因是：人员增加导致工资和社会保险费增加。</w:t>
      </w:r>
    </w:p>
    <w:p>
      <w:pPr>
        <w:pStyle w:val="28"/>
        <w:pageBreakBefore w:val="0"/>
        <w:kinsoku/>
        <w:wordWrap/>
        <w:overflowPunct/>
        <w:topLinePunct w:val="0"/>
        <w:bidi w:val="0"/>
        <w:spacing w:line="576" w:lineRule="exact"/>
        <w:jc w:val="both"/>
        <w:textAlignment w:val="auto"/>
        <w:outlineLvl w:val="1"/>
        <w:rPr>
          <w:rFonts w:hint="eastAsia" w:ascii="Times New Roman" w:hAnsi="Times New Roman" w:eastAsia="楷体_GB2312" w:cs="楷体_GB2312"/>
          <w:b/>
          <w:color w:val="auto"/>
          <w:kern w:val="2"/>
          <w:sz w:val="32"/>
          <w:szCs w:val="32"/>
          <w:highlight w:val="none"/>
          <w:lang w:val="en-US" w:eastAsia="zh-CN" w:bidi="ar-SA"/>
        </w:rPr>
      </w:pPr>
      <w:bookmarkStart w:id="21" w:name="_Toc15377211"/>
      <w:r>
        <w:rPr>
          <w:rFonts w:hint="eastAsia" w:ascii="Times New Roman" w:hAnsi="Times New Roman" w:eastAsia="楷体_GB2312" w:cs="楷体_GB2312"/>
          <w:b/>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654050</wp:posOffset>
            </wp:positionH>
            <wp:positionV relativeFrom="paragraph">
              <wp:posOffset>146685</wp:posOffset>
            </wp:positionV>
            <wp:extent cx="4108450" cy="2251075"/>
            <wp:effectExtent l="0" t="0" r="6350" b="15875"/>
            <wp:wrapTopAndBottom/>
            <wp:docPr id="5" name="图片 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5"/>
                    <pic:cNvPicPr>
                      <a:picLocks noChangeAspect="1"/>
                    </pic:cNvPicPr>
                  </pic:nvPicPr>
                  <pic:blipFill>
                    <a:blip r:embed="rId12"/>
                    <a:stretch>
                      <a:fillRect/>
                    </a:stretch>
                  </pic:blipFill>
                  <pic:spPr>
                    <a:xfrm>
                      <a:off x="0" y="0"/>
                      <a:ext cx="4108450" cy="2251075"/>
                    </a:xfrm>
                    <a:prstGeom prst="rect">
                      <a:avLst/>
                    </a:prstGeom>
                  </pic:spPr>
                </pic:pic>
              </a:graphicData>
            </a:graphic>
          </wp:anchor>
        </w:drawing>
      </w:r>
      <w:r>
        <w:rPr>
          <w:rFonts w:hint="eastAsia" w:ascii="Times New Roman" w:hAnsi="Times New Roman" w:eastAsia="楷体_GB2312" w:cs="楷体_GB2312"/>
          <w:b/>
          <w:color w:val="auto"/>
          <w:kern w:val="2"/>
          <w:sz w:val="32"/>
          <w:szCs w:val="32"/>
          <w:highlight w:val="none"/>
          <w:lang w:val="en-US" w:eastAsia="zh-CN" w:bidi="ar-SA"/>
        </w:rPr>
        <w:t>（二）一般公共预算财政拨款支出决算结构情况</w:t>
      </w:r>
      <w:bookmarkEnd w:id="21"/>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2025年度一般公共预算财政拨款支出622.05万元，主要用于以下方面：一般公共服务支出622.05万元；社会保障和就业支出546.27万元，占87.82%；卫生健康支出31.97万元，占5.14%；住房保障支出43.81万元，占7.04%。</w:t>
      </w:r>
    </w:p>
    <w:p>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楷体_GB2312"/>
          <w:b/>
          <w:color w:val="auto"/>
          <w:sz w:val="32"/>
          <w:szCs w:val="32"/>
          <w:highlight w:val="none"/>
        </w:rPr>
      </w:pPr>
      <w:bookmarkStart w:id="22" w:name="_Toc15377212"/>
      <w:r>
        <w:rPr>
          <w:rFonts w:hint="eastAsia" w:ascii="Times New Roman" w:hAnsi="Times New Roman" w:eastAsia="楷体_GB2312" w:cs="楷体_GB2312"/>
          <w:b/>
          <w:color w:val="auto"/>
          <w:sz w:val="32"/>
          <w:szCs w:val="32"/>
          <w:highlight w:val="none"/>
        </w:rPr>
        <w:drawing>
          <wp:anchor distT="0" distB="0" distL="114300" distR="114300" simplePos="0" relativeHeight="251663360" behindDoc="0" locked="0" layoutInCell="1" allowOverlap="1">
            <wp:simplePos x="0" y="0"/>
            <wp:positionH relativeFrom="column">
              <wp:posOffset>654050</wp:posOffset>
            </wp:positionH>
            <wp:positionV relativeFrom="paragraph">
              <wp:posOffset>95885</wp:posOffset>
            </wp:positionV>
            <wp:extent cx="4098925" cy="2240280"/>
            <wp:effectExtent l="0" t="0" r="15875" b="7620"/>
            <wp:wrapTopAndBottom/>
            <wp:docPr id="7" name="图片 7"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6"/>
                    <pic:cNvPicPr>
                      <a:picLocks noChangeAspect="1"/>
                    </pic:cNvPicPr>
                  </pic:nvPicPr>
                  <pic:blipFill>
                    <a:blip r:embed="rId13"/>
                    <a:stretch>
                      <a:fillRect/>
                    </a:stretch>
                  </pic:blipFill>
                  <pic:spPr>
                    <a:xfrm>
                      <a:off x="0" y="0"/>
                      <a:ext cx="4098925" cy="2240280"/>
                    </a:xfrm>
                    <a:prstGeom prst="rect">
                      <a:avLst/>
                    </a:prstGeom>
                  </pic:spPr>
                </pic:pic>
              </a:graphicData>
            </a:graphic>
          </wp:anchor>
        </w:drawing>
      </w:r>
      <w:r>
        <w:rPr>
          <w:rFonts w:hint="eastAsia" w:ascii="Times New Roman" w:hAnsi="Times New Roman" w:eastAsia="楷体_GB2312" w:cs="楷体_GB2312"/>
          <w:b/>
          <w:color w:val="auto"/>
          <w:sz w:val="32"/>
          <w:szCs w:val="32"/>
          <w:highlight w:val="none"/>
        </w:rPr>
        <w:t>（三）一般公共预算财政拨款支出决算具体情况</w:t>
      </w:r>
      <w:bookmarkEnd w:id="22"/>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auto"/>
          <w:kern w:val="2"/>
          <w:sz w:val="32"/>
          <w:szCs w:val="32"/>
          <w:highlight w:val="none"/>
          <w:lang w:val="en-US" w:eastAsia="zh-CN" w:bidi="ar-SA"/>
        </w:rPr>
      </w:pPr>
      <w:bookmarkStart w:id="23" w:name="_Toc15378460"/>
      <w:bookmarkStart w:id="24" w:name="_Toc15377213"/>
      <w:bookmarkStart w:id="25" w:name="_Toc15377444"/>
      <w:r>
        <w:rPr>
          <w:rFonts w:hint="eastAsia" w:ascii="仿宋_GB2312" w:hAnsi="仿宋_GB2312" w:eastAsia="仿宋_GB2312" w:cs="仿宋_GB2312"/>
          <w:color w:val="auto"/>
          <w:kern w:val="2"/>
          <w:sz w:val="32"/>
          <w:szCs w:val="32"/>
          <w:highlight w:val="none"/>
          <w:lang w:val="en-US" w:eastAsia="zh-CN" w:bidi="ar-SA"/>
        </w:rPr>
        <w:t>2025年度一般公共预算支出决算数为622.05万元，完成预算100%。其中：</w:t>
      </w:r>
      <w:bookmarkEnd w:id="23"/>
      <w:bookmarkEnd w:id="24"/>
      <w:bookmarkEnd w:id="25"/>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outlineLvl w:val="1"/>
        <w:rPr>
          <w:rFonts w:hint="eastAsia" w:ascii="仿宋_GB2312" w:hAnsi="仿宋_GB2312" w:eastAsia="仿宋_GB2312" w:cs="仿宋_GB2312"/>
          <w:color w:val="000000"/>
          <w:kern w:val="0"/>
          <w:sz w:val="32"/>
          <w:szCs w:val="32"/>
          <w:lang w:val="en-US" w:eastAsia="zh-CN" w:bidi="ar-SA"/>
        </w:rPr>
      </w:pPr>
      <w:r>
        <w:rPr>
          <w:rStyle w:val="18"/>
          <w:rFonts w:hint="eastAsia" w:ascii="仿宋_GB2312" w:hAnsi="仿宋_GB2312" w:eastAsia="仿宋_GB2312" w:cs="仿宋_GB2312"/>
          <w:bCs/>
          <w:color w:val="000000"/>
          <w:sz w:val="32"/>
          <w:szCs w:val="32"/>
        </w:rPr>
        <w:t>1.社会保障和就业</w:t>
      </w:r>
      <w:r>
        <w:rPr>
          <w:rStyle w:val="18"/>
          <w:rFonts w:hint="eastAsia" w:ascii="仿宋_GB2312" w:hAnsi="仿宋_GB2312" w:eastAsia="仿宋_GB2312" w:cs="仿宋_GB2312"/>
          <w:bCs/>
          <w:color w:val="000000"/>
          <w:sz w:val="32"/>
          <w:szCs w:val="32"/>
          <w:lang w:val="en-US" w:eastAsia="zh-CN"/>
        </w:rPr>
        <w:t>支出</w:t>
      </w:r>
      <w:r>
        <w:rPr>
          <w:rStyle w:val="18"/>
          <w:rFonts w:hint="eastAsia" w:ascii="仿宋_GB2312" w:hAnsi="仿宋_GB2312" w:eastAsia="仿宋_GB2312" w:cs="仿宋_GB2312"/>
          <w:bCs/>
          <w:color w:val="000000"/>
          <w:sz w:val="32"/>
          <w:szCs w:val="32"/>
        </w:rPr>
        <w:t>(</w:t>
      </w:r>
      <w:r>
        <w:rPr>
          <w:rStyle w:val="18"/>
          <w:rFonts w:hint="eastAsia" w:ascii="仿宋_GB2312" w:hAnsi="仿宋_GB2312" w:eastAsia="仿宋_GB2312" w:cs="仿宋_GB2312"/>
          <w:bCs/>
          <w:color w:val="000000"/>
          <w:sz w:val="32"/>
          <w:szCs w:val="32"/>
          <w:lang w:val="en-US" w:eastAsia="zh-CN"/>
        </w:rPr>
        <w:t>类</w:t>
      </w:r>
      <w:r>
        <w:rPr>
          <w:rStyle w:val="18"/>
          <w:rFonts w:hint="eastAsia" w:ascii="仿宋_GB2312" w:hAnsi="仿宋_GB2312" w:eastAsia="仿宋_GB2312" w:cs="仿宋_GB2312"/>
          <w:bCs/>
          <w:color w:val="000000"/>
          <w:sz w:val="32"/>
          <w:szCs w:val="32"/>
        </w:rPr>
        <w:t>)</w:t>
      </w:r>
      <w:r>
        <w:rPr>
          <w:rFonts w:hint="eastAsia" w:ascii="仿宋_GB2312" w:hAnsi="仿宋_GB2312" w:eastAsia="仿宋_GB2312" w:cs="仿宋_GB2312"/>
          <w:b/>
          <w:bCs/>
          <w:sz w:val="32"/>
          <w:szCs w:val="32"/>
        </w:rPr>
        <w:t>人力资源和社会保障管理事务(</w:t>
      </w:r>
      <w:r>
        <w:rPr>
          <w:rFonts w:hint="eastAsia" w:ascii="仿宋_GB2312" w:hAnsi="仿宋_GB2312" w:eastAsia="仿宋_GB2312" w:cs="仿宋_GB2312"/>
          <w:b/>
          <w:bCs/>
          <w:sz w:val="32"/>
          <w:szCs w:val="32"/>
          <w:lang w:val="en-US" w:eastAsia="zh-CN"/>
        </w:rPr>
        <w:t>款</w:t>
      </w:r>
      <w:r>
        <w:rPr>
          <w:rFonts w:hint="eastAsia" w:ascii="仿宋_GB2312" w:hAnsi="仿宋_GB2312" w:eastAsia="仿宋_GB2312" w:cs="仿宋_GB2312"/>
          <w:b/>
          <w:bCs/>
          <w:sz w:val="32"/>
          <w:szCs w:val="32"/>
        </w:rPr>
        <w:t>)行政运行（</w:t>
      </w:r>
      <w:r>
        <w:rPr>
          <w:rFonts w:hint="eastAsia" w:ascii="Times New Roman" w:hAnsi="Times New Roman" w:eastAsia="仿宋_GB2312" w:cs="仿宋_GB2312"/>
          <w:b/>
          <w:bCs/>
          <w:color w:val="auto"/>
          <w:kern w:val="2"/>
          <w:sz w:val="32"/>
          <w:szCs w:val="32"/>
          <w:highlight w:val="none"/>
          <w:lang w:val="en-US" w:eastAsia="zh-CN" w:bidi="ar-SA"/>
        </w:rPr>
        <w:t>项</w:t>
      </w:r>
      <w:r>
        <w:rPr>
          <w:rFonts w:hint="eastAsia" w:ascii="仿宋_GB2312" w:hAnsi="仿宋_GB2312" w:eastAsia="仿宋_GB2312" w:cs="仿宋_GB2312"/>
          <w:b/>
          <w:bCs/>
          <w:sz w:val="32"/>
          <w:szCs w:val="32"/>
        </w:rPr>
        <w:t>）</w:t>
      </w:r>
      <w:r>
        <w:rPr>
          <w:rStyle w:val="18"/>
          <w:rFonts w:hint="eastAsia" w:ascii="仿宋_GB2312" w:hAnsi="仿宋_GB2312" w:eastAsia="仿宋_GB2312" w:cs="仿宋_GB2312"/>
          <w:bCs/>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支出决算为466.35万元，完成预算100%，决算数与预算数持平。</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outlineLvl w:val="1"/>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b/>
          <w:color w:val="000000"/>
          <w:sz w:val="32"/>
          <w:szCs w:val="32"/>
        </w:rPr>
        <w:t>2.</w:t>
      </w:r>
      <w:r>
        <w:rPr>
          <w:rStyle w:val="18"/>
          <w:rFonts w:hint="eastAsia" w:ascii="仿宋_GB2312" w:hAnsi="仿宋_GB2312" w:eastAsia="仿宋_GB2312" w:cs="仿宋_GB2312"/>
          <w:bCs/>
          <w:color w:val="000000"/>
          <w:sz w:val="32"/>
          <w:szCs w:val="32"/>
        </w:rPr>
        <w:t>社会保障和就业</w:t>
      </w:r>
      <w:r>
        <w:rPr>
          <w:rStyle w:val="18"/>
          <w:rFonts w:hint="eastAsia" w:ascii="仿宋_GB2312" w:hAnsi="仿宋_GB2312" w:eastAsia="仿宋_GB2312" w:cs="仿宋_GB2312"/>
          <w:bCs/>
          <w:color w:val="000000"/>
          <w:sz w:val="32"/>
          <w:szCs w:val="32"/>
          <w:lang w:val="en-US" w:eastAsia="zh-CN"/>
        </w:rPr>
        <w:t>支出</w:t>
      </w:r>
      <w:r>
        <w:rPr>
          <w:rStyle w:val="18"/>
          <w:rFonts w:hint="eastAsia" w:ascii="仿宋_GB2312" w:hAnsi="仿宋_GB2312" w:eastAsia="仿宋_GB2312" w:cs="仿宋_GB2312"/>
          <w:bCs/>
          <w:color w:val="000000"/>
          <w:sz w:val="32"/>
          <w:szCs w:val="32"/>
        </w:rPr>
        <w:t>(</w:t>
      </w:r>
      <w:r>
        <w:rPr>
          <w:rStyle w:val="18"/>
          <w:rFonts w:hint="eastAsia" w:ascii="仿宋_GB2312" w:hAnsi="仿宋_GB2312" w:eastAsia="仿宋_GB2312" w:cs="仿宋_GB2312"/>
          <w:bCs/>
          <w:color w:val="000000"/>
          <w:sz w:val="32"/>
          <w:szCs w:val="32"/>
          <w:lang w:val="en-US" w:eastAsia="zh-CN"/>
        </w:rPr>
        <w:t>类</w:t>
      </w:r>
      <w:r>
        <w:rPr>
          <w:rStyle w:val="18"/>
          <w:rFonts w:hint="eastAsia" w:ascii="仿宋_GB2312" w:hAnsi="仿宋_GB2312" w:eastAsia="仿宋_GB2312" w:cs="仿宋_GB2312"/>
          <w:bCs/>
          <w:color w:val="000000"/>
          <w:sz w:val="32"/>
          <w:szCs w:val="32"/>
        </w:rPr>
        <w:t>)</w:t>
      </w:r>
      <w:r>
        <w:rPr>
          <w:rFonts w:hint="eastAsia" w:ascii="仿宋_GB2312" w:hAnsi="仿宋_GB2312" w:eastAsia="仿宋_GB2312" w:cs="仿宋_GB2312"/>
          <w:b/>
          <w:bCs/>
          <w:sz w:val="32"/>
          <w:szCs w:val="32"/>
        </w:rPr>
        <w:t>行政事业单位养老支出(</w:t>
      </w:r>
      <w:r>
        <w:rPr>
          <w:rFonts w:hint="eastAsia" w:ascii="仿宋_GB2312" w:hAnsi="仿宋_GB2312" w:eastAsia="仿宋_GB2312" w:cs="仿宋_GB2312"/>
          <w:b/>
          <w:bCs/>
          <w:sz w:val="32"/>
          <w:szCs w:val="32"/>
          <w:lang w:val="en-US" w:eastAsia="zh-CN"/>
        </w:rPr>
        <w:t>款</w:t>
      </w:r>
      <w:r>
        <w:rPr>
          <w:rFonts w:hint="eastAsia" w:ascii="仿宋_GB2312" w:hAnsi="仿宋_GB2312" w:eastAsia="仿宋_GB2312" w:cs="仿宋_GB2312"/>
          <w:b/>
          <w:bCs/>
          <w:sz w:val="32"/>
          <w:szCs w:val="32"/>
        </w:rPr>
        <w:t>) 机关事业单位基本养老保险缴费支出（</w:t>
      </w:r>
      <w:r>
        <w:rPr>
          <w:rFonts w:hint="eastAsia" w:ascii="Times New Roman" w:hAnsi="Times New Roman" w:eastAsia="仿宋_GB2312" w:cs="仿宋_GB2312"/>
          <w:b/>
          <w:bCs/>
          <w:color w:val="auto"/>
          <w:kern w:val="2"/>
          <w:sz w:val="32"/>
          <w:szCs w:val="32"/>
          <w:highlight w:val="none"/>
          <w:lang w:val="en-US" w:eastAsia="zh-CN" w:bidi="ar-SA"/>
        </w:rPr>
        <w:t>项</w:t>
      </w:r>
      <w:r>
        <w:rPr>
          <w:rFonts w:hint="eastAsia" w:ascii="仿宋_GB2312" w:hAnsi="仿宋_GB2312" w:eastAsia="仿宋_GB2312" w:cs="仿宋_GB2312"/>
          <w:b/>
          <w:bCs/>
          <w:sz w:val="32"/>
          <w:szCs w:val="32"/>
        </w:rPr>
        <w:t>）</w:t>
      </w:r>
      <w:r>
        <w:rPr>
          <w:rStyle w:val="18"/>
          <w:rFonts w:hint="eastAsia" w:ascii="仿宋_GB2312" w:hAnsi="仿宋_GB2312" w:eastAsia="仿宋_GB2312" w:cs="仿宋_GB2312"/>
          <w:bCs/>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支出决算为53.28万元，完成预算100%，决算数与预算数持平。</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color w:val="000000"/>
          <w:sz w:val="32"/>
          <w:szCs w:val="32"/>
          <w:lang w:val="en-US" w:eastAsia="zh-CN"/>
        </w:rPr>
        <w:t>3</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b/>
          <w:bCs/>
          <w:sz w:val="32"/>
          <w:szCs w:val="32"/>
        </w:rPr>
        <w:t>社会保障和就业支出</w:t>
      </w:r>
      <w:r>
        <w:rPr>
          <w:rStyle w:val="18"/>
          <w:rFonts w:hint="eastAsia" w:ascii="仿宋_GB2312" w:hAnsi="仿宋_GB2312" w:eastAsia="仿宋_GB2312" w:cs="仿宋_GB2312"/>
          <w:bCs/>
          <w:color w:val="000000"/>
          <w:sz w:val="32"/>
          <w:szCs w:val="32"/>
        </w:rPr>
        <w:t>(</w:t>
      </w:r>
      <w:r>
        <w:rPr>
          <w:rStyle w:val="18"/>
          <w:rFonts w:hint="eastAsia" w:ascii="仿宋_GB2312" w:hAnsi="仿宋_GB2312" w:eastAsia="仿宋_GB2312" w:cs="仿宋_GB2312"/>
          <w:bCs/>
          <w:color w:val="000000"/>
          <w:sz w:val="32"/>
          <w:szCs w:val="32"/>
          <w:lang w:val="en-US" w:eastAsia="zh-CN"/>
        </w:rPr>
        <w:t>类</w:t>
      </w:r>
      <w:r>
        <w:rPr>
          <w:rStyle w:val="18"/>
          <w:rFonts w:hint="eastAsia" w:ascii="仿宋_GB2312" w:hAnsi="仿宋_GB2312" w:eastAsia="仿宋_GB2312" w:cs="仿宋_GB2312"/>
          <w:bCs/>
          <w:color w:val="000000"/>
          <w:sz w:val="32"/>
          <w:szCs w:val="32"/>
        </w:rPr>
        <w:t>)</w:t>
      </w:r>
      <w:r>
        <w:rPr>
          <w:rFonts w:hint="eastAsia" w:ascii="仿宋_GB2312" w:hAnsi="仿宋_GB2312" w:eastAsia="仿宋_GB2312" w:cs="仿宋_GB2312"/>
          <w:b/>
          <w:bCs/>
          <w:sz w:val="32"/>
          <w:szCs w:val="32"/>
        </w:rPr>
        <w:t>行政事业单位养老支出(</w:t>
      </w:r>
      <w:r>
        <w:rPr>
          <w:rFonts w:hint="eastAsia" w:ascii="仿宋_GB2312" w:hAnsi="仿宋_GB2312" w:eastAsia="仿宋_GB2312" w:cs="仿宋_GB2312"/>
          <w:b/>
          <w:bCs/>
          <w:sz w:val="32"/>
          <w:szCs w:val="32"/>
          <w:lang w:val="en-US" w:eastAsia="zh-CN"/>
        </w:rPr>
        <w:t>款</w:t>
      </w:r>
      <w:r>
        <w:rPr>
          <w:rFonts w:hint="eastAsia" w:ascii="仿宋_GB2312" w:hAnsi="仿宋_GB2312" w:eastAsia="仿宋_GB2312" w:cs="仿宋_GB2312"/>
          <w:b/>
          <w:bCs/>
          <w:sz w:val="32"/>
          <w:szCs w:val="32"/>
        </w:rPr>
        <w:t>)机关事业单位职业年金缴费支出（</w:t>
      </w:r>
      <w:r>
        <w:rPr>
          <w:rFonts w:hint="eastAsia" w:ascii="Times New Roman" w:hAnsi="Times New Roman" w:eastAsia="仿宋_GB2312" w:cs="仿宋_GB2312"/>
          <w:b/>
          <w:bCs/>
          <w:color w:val="auto"/>
          <w:kern w:val="2"/>
          <w:sz w:val="32"/>
          <w:szCs w:val="32"/>
          <w:highlight w:val="none"/>
          <w:lang w:val="en-US" w:eastAsia="zh-CN" w:bidi="ar-SA"/>
        </w:rPr>
        <w:t>项</w:t>
      </w:r>
      <w:r>
        <w:rPr>
          <w:rFonts w:hint="eastAsia" w:ascii="仿宋_GB2312" w:hAnsi="仿宋_GB2312" w:eastAsia="仿宋_GB2312" w:cs="仿宋_GB2312"/>
          <w:b/>
          <w:bCs/>
          <w:sz w:val="32"/>
          <w:szCs w:val="32"/>
        </w:rPr>
        <w:t>）</w:t>
      </w:r>
      <w:r>
        <w:rPr>
          <w:rStyle w:val="18"/>
          <w:rFonts w:hint="eastAsia" w:ascii="仿宋_GB2312" w:hAnsi="仿宋_GB2312" w:eastAsia="仿宋_GB2312" w:cs="仿宋_GB2312"/>
          <w:bCs/>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支出决算为26.64万元，完成预算100%，决算数与预算数持平。</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b/>
          <w:color w:val="000000"/>
          <w:sz w:val="32"/>
          <w:szCs w:val="32"/>
          <w:lang w:val="en-US" w:eastAsia="zh-CN"/>
        </w:rPr>
        <w:t>4</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b/>
          <w:bCs/>
          <w:sz w:val="32"/>
          <w:szCs w:val="32"/>
        </w:rPr>
        <w:t>卫生健康支出</w:t>
      </w:r>
      <w:r>
        <w:rPr>
          <w:rStyle w:val="18"/>
          <w:rFonts w:hint="eastAsia" w:ascii="仿宋_GB2312" w:hAnsi="仿宋_GB2312" w:eastAsia="仿宋_GB2312" w:cs="仿宋_GB2312"/>
          <w:bCs/>
          <w:color w:val="000000"/>
          <w:sz w:val="32"/>
          <w:szCs w:val="32"/>
        </w:rPr>
        <w:t>(</w:t>
      </w:r>
      <w:r>
        <w:rPr>
          <w:rStyle w:val="18"/>
          <w:rFonts w:hint="eastAsia" w:ascii="仿宋_GB2312" w:hAnsi="仿宋_GB2312" w:eastAsia="仿宋_GB2312" w:cs="仿宋_GB2312"/>
          <w:bCs/>
          <w:color w:val="000000"/>
          <w:sz w:val="32"/>
          <w:szCs w:val="32"/>
          <w:lang w:val="en-US" w:eastAsia="zh-CN"/>
        </w:rPr>
        <w:t>类</w:t>
      </w:r>
      <w:r>
        <w:rPr>
          <w:rStyle w:val="18"/>
          <w:rFonts w:hint="eastAsia" w:ascii="仿宋_GB2312" w:hAnsi="仿宋_GB2312" w:eastAsia="仿宋_GB2312" w:cs="仿宋_GB2312"/>
          <w:bCs/>
          <w:color w:val="000000"/>
          <w:sz w:val="32"/>
          <w:szCs w:val="32"/>
        </w:rPr>
        <w:t>)</w:t>
      </w:r>
      <w:r>
        <w:rPr>
          <w:rFonts w:hint="eastAsia" w:ascii="仿宋_GB2312" w:hAnsi="仿宋_GB2312" w:eastAsia="仿宋_GB2312" w:cs="仿宋_GB2312"/>
          <w:b/>
          <w:bCs/>
          <w:sz w:val="32"/>
          <w:szCs w:val="32"/>
        </w:rPr>
        <w:t>行政事业单位医疗(</w:t>
      </w:r>
      <w:r>
        <w:rPr>
          <w:rFonts w:hint="eastAsia" w:ascii="仿宋_GB2312" w:hAnsi="仿宋_GB2312" w:eastAsia="仿宋_GB2312" w:cs="仿宋_GB2312"/>
          <w:b/>
          <w:bCs/>
          <w:sz w:val="32"/>
          <w:szCs w:val="32"/>
          <w:lang w:val="en-US" w:eastAsia="zh-CN"/>
        </w:rPr>
        <w:t>款</w:t>
      </w:r>
      <w:r>
        <w:rPr>
          <w:rFonts w:hint="eastAsia" w:ascii="仿宋_GB2312" w:hAnsi="仿宋_GB2312" w:eastAsia="仿宋_GB2312" w:cs="仿宋_GB2312"/>
          <w:b/>
          <w:bCs/>
          <w:sz w:val="32"/>
          <w:szCs w:val="32"/>
        </w:rPr>
        <w:t>)行政单位医疗（</w:t>
      </w:r>
      <w:r>
        <w:rPr>
          <w:rFonts w:hint="eastAsia" w:ascii="Times New Roman" w:hAnsi="Times New Roman" w:eastAsia="仿宋_GB2312" w:cs="仿宋_GB2312"/>
          <w:b/>
          <w:bCs/>
          <w:color w:val="auto"/>
          <w:kern w:val="2"/>
          <w:sz w:val="32"/>
          <w:szCs w:val="32"/>
          <w:highlight w:val="none"/>
          <w:lang w:val="en-US" w:eastAsia="zh-CN" w:bidi="ar-SA"/>
        </w:rPr>
        <w:t>项</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kern w:val="2"/>
          <w:sz w:val="32"/>
          <w:szCs w:val="32"/>
          <w:highlight w:val="none"/>
          <w:lang w:val="en-US" w:eastAsia="zh-CN" w:bidi="ar-SA"/>
        </w:rPr>
        <w:t>支出决算数为31.97万元，完成预算100%，决算数与预算数持平。</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SA"/>
        </w:rPr>
      </w:pPr>
      <w:r>
        <w:rPr>
          <w:rStyle w:val="18"/>
          <w:rFonts w:hint="eastAsia" w:ascii="仿宋_GB2312" w:hAnsi="仿宋_GB2312" w:eastAsia="仿宋_GB2312" w:cs="仿宋_GB2312"/>
          <w:bCs/>
          <w:color w:val="000000"/>
          <w:sz w:val="32"/>
          <w:szCs w:val="32"/>
          <w:lang w:val="en-US" w:eastAsia="zh-CN"/>
        </w:rPr>
        <w:t>5</w:t>
      </w:r>
      <w:r>
        <w:rPr>
          <w:rStyle w:val="18"/>
          <w:rFonts w:hint="eastAsia" w:ascii="仿宋_GB2312" w:hAnsi="仿宋_GB2312" w:eastAsia="仿宋_GB2312" w:cs="仿宋_GB2312"/>
          <w:bCs/>
          <w:color w:val="000000"/>
          <w:sz w:val="32"/>
          <w:szCs w:val="32"/>
        </w:rPr>
        <w:t>.</w:t>
      </w:r>
      <w:r>
        <w:rPr>
          <w:rFonts w:hint="eastAsia" w:ascii="仿宋_GB2312" w:hAnsi="仿宋_GB2312" w:eastAsia="仿宋_GB2312" w:cs="仿宋_GB2312"/>
          <w:b/>
          <w:bCs/>
          <w:sz w:val="32"/>
          <w:szCs w:val="32"/>
        </w:rPr>
        <w:t>住房保障支出</w:t>
      </w:r>
      <w:r>
        <w:rPr>
          <w:rStyle w:val="18"/>
          <w:rFonts w:hint="eastAsia" w:ascii="仿宋_GB2312" w:hAnsi="仿宋_GB2312" w:eastAsia="仿宋_GB2312" w:cs="仿宋_GB2312"/>
          <w:bCs/>
          <w:color w:val="000000"/>
          <w:sz w:val="32"/>
          <w:szCs w:val="32"/>
        </w:rPr>
        <w:t>(</w:t>
      </w:r>
      <w:r>
        <w:rPr>
          <w:rStyle w:val="18"/>
          <w:rFonts w:hint="eastAsia" w:ascii="仿宋_GB2312" w:hAnsi="仿宋_GB2312" w:eastAsia="仿宋_GB2312" w:cs="仿宋_GB2312"/>
          <w:bCs/>
          <w:color w:val="000000"/>
          <w:sz w:val="32"/>
          <w:szCs w:val="32"/>
          <w:lang w:val="en-US" w:eastAsia="zh-CN"/>
        </w:rPr>
        <w:t>类</w:t>
      </w:r>
      <w:r>
        <w:rPr>
          <w:rStyle w:val="18"/>
          <w:rFonts w:hint="eastAsia" w:ascii="仿宋_GB2312" w:hAnsi="仿宋_GB2312" w:eastAsia="仿宋_GB2312" w:cs="仿宋_GB2312"/>
          <w:bCs/>
          <w:color w:val="000000"/>
          <w:sz w:val="32"/>
          <w:szCs w:val="32"/>
        </w:rPr>
        <w:t>)</w:t>
      </w:r>
      <w:r>
        <w:rPr>
          <w:rFonts w:hint="eastAsia" w:ascii="仿宋_GB2312" w:hAnsi="仿宋_GB2312" w:eastAsia="仿宋_GB2312" w:cs="仿宋_GB2312"/>
          <w:b/>
          <w:bCs/>
          <w:sz w:val="32"/>
          <w:szCs w:val="32"/>
        </w:rPr>
        <w:t>住房改革支出(</w:t>
      </w:r>
      <w:r>
        <w:rPr>
          <w:rFonts w:hint="eastAsia" w:ascii="仿宋_GB2312" w:hAnsi="仿宋_GB2312" w:eastAsia="仿宋_GB2312" w:cs="仿宋_GB2312"/>
          <w:b/>
          <w:bCs/>
          <w:sz w:val="32"/>
          <w:szCs w:val="32"/>
          <w:lang w:val="en-US" w:eastAsia="zh-CN"/>
        </w:rPr>
        <w:t>款</w:t>
      </w:r>
      <w:r>
        <w:rPr>
          <w:rFonts w:hint="eastAsia" w:ascii="仿宋_GB2312" w:hAnsi="仿宋_GB2312" w:eastAsia="仿宋_GB2312" w:cs="仿宋_GB2312"/>
          <w:b/>
          <w:bCs/>
          <w:sz w:val="32"/>
          <w:szCs w:val="32"/>
        </w:rPr>
        <w:t>)住房公积金（</w:t>
      </w:r>
      <w:r>
        <w:rPr>
          <w:rFonts w:hint="eastAsia" w:ascii="Times New Roman" w:hAnsi="Times New Roman" w:eastAsia="仿宋_GB2312" w:cs="仿宋_GB2312"/>
          <w:b/>
          <w:bCs/>
          <w:color w:val="auto"/>
          <w:kern w:val="2"/>
          <w:sz w:val="32"/>
          <w:szCs w:val="32"/>
          <w:highlight w:val="none"/>
          <w:lang w:val="en-US" w:eastAsia="zh-CN" w:bidi="ar-SA"/>
        </w:rPr>
        <w:t>项</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kern w:val="2"/>
          <w:sz w:val="32"/>
          <w:szCs w:val="32"/>
          <w:highlight w:val="none"/>
          <w:lang w:val="en-US" w:eastAsia="zh-CN" w:bidi="ar-SA"/>
        </w:rPr>
        <w:t>支出决算数为43.81万元，完成预算100%，决算数与预算数持平。</w:t>
      </w:r>
    </w:p>
    <w:p>
      <w:pPr>
        <w:pageBreakBefore w:val="0"/>
        <w:tabs>
          <w:tab w:val="right" w:pos="8306"/>
        </w:tabs>
        <w:kinsoku/>
        <w:wordWrap/>
        <w:overflowPunct/>
        <w:topLinePunct w:val="0"/>
        <w:bidi w:val="0"/>
        <w:spacing w:line="576" w:lineRule="exact"/>
        <w:ind w:firstLine="640"/>
        <w:jc w:val="both"/>
        <w:textAlignment w:val="auto"/>
        <w:outlineLvl w:val="1"/>
        <w:rPr>
          <w:rStyle w:val="30"/>
          <w:rFonts w:ascii="Times New Roman" w:hAnsi="Times New Roman"/>
          <w:color w:val="auto"/>
          <w:highlight w:val="none"/>
        </w:rPr>
      </w:pPr>
      <w:bookmarkStart w:id="26" w:name="_Toc15377214"/>
      <w:bookmarkStart w:id="27" w:name="_Toc15396608"/>
      <w:r>
        <w:rPr>
          <w:rFonts w:hint="eastAsia" w:ascii="黑体" w:hAnsi="Times New Roman" w:eastAsia="黑体" w:cs="Times New Roman"/>
          <w:color w:val="auto"/>
          <w:kern w:val="2"/>
          <w:sz w:val="32"/>
          <w:szCs w:val="32"/>
          <w:highlight w:val="none"/>
          <w:lang w:val="en-US" w:eastAsia="zh-CN" w:bidi="ar-SA"/>
        </w:rPr>
        <w:t>六、一般公共预算财政拨款基本支出决算情况说明</w:t>
      </w:r>
      <w:bookmarkEnd w:id="26"/>
      <w:bookmarkEnd w:id="27"/>
      <w:r>
        <w:rPr>
          <w:rStyle w:val="30"/>
          <w:rFonts w:ascii="Times New Roman" w:hAnsi="Times New Roman" w:eastAsia="黑体"/>
          <w:b w:val="0"/>
          <w:color w:val="auto"/>
          <w:highlight w:val="none"/>
        </w:rPr>
        <w:tab/>
      </w:r>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2025年度一般公共预算财政拨款基本支出622.05万元，其中：</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ascii="仿宋" w:eastAsia="仿宋"/>
          <w:color w:val="FF0000"/>
          <w:sz w:val="32"/>
          <w:szCs w:val="32"/>
          <w:highlight w:val="none"/>
        </w:rPr>
      </w:pPr>
      <w:r>
        <w:rPr>
          <w:rFonts w:hint="eastAsia" w:ascii="仿宋_GB2312" w:hAnsi="仿宋_GB2312" w:eastAsia="仿宋_GB2312" w:cs="仿宋_GB2312"/>
          <w:color w:val="auto"/>
          <w:kern w:val="2"/>
          <w:sz w:val="32"/>
          <w:szCs w:val="32"/>
          <w:highlight w:val="none"/>
          <w:lang w:val="en-US" w:eastAsia="zh-CN" w:bidi="ar-SA"/>
        </w:rPr>
        <w:t>人员经费598.14万元，主要包括：基本工资、津贴补贴、奖金、机关事业单位基本养老保险缴费、职业年金缴费、职工基本医疗保险缴费、其他社会保障缴费、生活补助、医疗费、奖励金、住房公积金等。</w:t>
      </w:r>
      <w:r>
        <w:rPr>
          <w:rFonts w:hint="eastAsia" w:ascii="仿宋_GB2312" w:hAnsi="仿宋_GB2312" w:eastAsia="仿宋_GB2312" w:cs="仿宋_GB2312"/>
          <w:color w:val="auto"/>
          <w:kern w:val="2"/>
          <w:sz w:val="32"/>
          <w:szCs w:val="32"/>
          <w:highlight w:val="none"/>
          <w:lang w:val="en-US" w:eastAsia="zh-CN" w:bidi="ar-SA"/>
        </w:rPr>
        <w:br w:type="textWrapping"/>
      </w:r>
      <w:r>
        <w:rPr>
          <w:rFonts w:hint="eastAsia" w:ascii="仿宋_GB2312" w:hAnsi="仿宋_GB2312" w:eastAsia="仿宋_GB2312" w:cs="仿宋_GB2312"/>
          <w:color w:val="auto"/>
          <w:kern w:val="2"/>
          <w:sz w:val="32"/>
          <w:szCs w:val="32"/>
          <w:highlight w:val="none"/>
          <w:lang w:val="en-US" w:eastAsia="zh-CN" w:bidi="ar-SA"/>
        </w:rPr>
        <w:t xml:space="preserve">    公用经费23.91万元，主要包括：办公费、邮电费、差旅费、公务接待费、其他交通费、其他商品和服务支出等。</w:t>
      </w:r>
    </w:p>
    <w:p>
      <w:pPr>
        <w:pageBreakBefore w:val="0"/>
        <w:kinsoku/>
        <w:wordWrap/>
        <w:overflowPunct/>
        <w:topLinePunct w:val="0"/>
        <w:bidi w:val="0"/>
        <w:spacing w:line="576" w:lineRule="exact"/>
        <w:ind w:firstLine="640"/>
        <w:jc w:val="both"/>
        <w:textAlignment w:val="auto"/>
        <w:outlineLvl w:val="1"/>
        <w:rPr>
          <w:rFonts w:hint="eastAsia" w:ascii="黑体" w:hAnsi="Times New Roman" w:eastAsia="黑体" w:cs="Times New Roman"/>
          <w:color w:val="auto"/>
          <w:kern w:val="2"/>
          <w:sz w:val="32"/>
          <w:szCs w:val="32"/>
          <w:highlight w:val="none"/>
          <w:lang w:val="en-US" w:eastAsia="zh-CN" w:bidi="ar-SA"/>
        </w:rPr>
      </w:pPr>
      <w:bookmarkStart w:id="28" w:name="_Toc15377215"/>
      <w:bookmarkStart w:id="29" w:name="_Toc15396609"/>
      <w:r>
        <w:rPr>
          <w:rFonts w:hint="eastAsia" w:ascii="黑体" w:hAnsi="Times New Roman" w:eastAsia="黑体" w:cs="Times New Roman"/>
          <w:color w:val="auto"/>
          <w:kern w:val="2"/>
          <w:sz w:val="32"/>
          <w:szCs w:val="32"/>
          <w:highlight w:val="none"/>
          <w:lang w:val="en-US" w:eastAsia="zh-CN" w:bidi="ar-SA"/>
        </w:rPr>
        <w:t>七、财政拨款“三公”经费支出决算情况说明</w:t>
      </w:r>
      <w:bookmarkEnd w:id="28"/>
      <w:bookmarkEnd w:id="29"/>
    </w:p>
    <w:p>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楷体_GB2312"/>
          <w:b/>
          <w:color w:val="auto"/>
          <w:sz w:val="32"/>
          <w:szCs w:val="32"/>
          <w:highlight w:val="none"/>
        </w:rPr>
      </w:pPr>
      <w:bookmarkStart w:id="3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0"/>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2025年度财政拨款“三公”经费支出决算为0.16万元，完成预算100%，与上年度相比增加0.13万元，增长433.33%。主要原因是：上级部门到我局开展基金检查工作批次较上年有所增加。</w:t>
      </w:r>
    </w:p>
    <w:p>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楷体_GB2312"/>
          <w:b/>
          <w:color w:val="auto"/>
          <w:sz w:val="32"/>
          <w:szCs w:val="32"/>
          <w:highlight w:val="none"/>
        </w:rPr>
      </w:pPr>
      <w:bookmarkStart w:id="3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1"/>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2025年度财政拨款“三公”经费支出决算中，公务接待费支出决算0.16万元，占100%。具体情况如下：</w:t>
      </w:r>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587375</wp:posOffset>
            </wp:positionH>
            <wp:positionV relativeFrom="paragraph">
              <wp:posOffset>59055</wp:posOffset>
            </wp:positionV>
            <wp:extent cx="4060825" cy="2355850"/>
            <wp:effectExtent l="0" t="0" r="15875" b="6350"/>
            <wp:wrapTopAndBottom/>
            <wp:docPr id="8" name="图片 8"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8"/>
                    <pic:cNvPicPr>
                      <a:picLocks noChangeAspect="1"/>
                    </pic:cNvPicPr>
                  </pic:nvPicPr>
                  <pic:blipFill>
                    <a:blip r:embed="rId14"/>
                    <a:stretch>
                      <a:fillRect/>
                    </a:stretch>
                  </pic:blipFill>
                  <pic:spPr>
                    <a:xfrm>
                      <a:off x="0" y="0"/>
                      <a:ext cx="4060825" cy="2355850"/>
                    </a:xfrm>
                    <a:prstGeom prst="rect">
                      <a:avLst/>
                    </a:prstGeom>
                  </pic:spPr>
                </pic:pic>
              </a:graphicData>
            </a:graphic>
          </wp:anchor>
        </w:drawing>
      </w:r>
      <w:r>
        <w:rPr>
          <w:rFonts w:hint="eastAsia" w:ascii="仿宋_GB2312" w:hAnsi="仿宋_GB2312" w:eastAsia="仿宋_GB2312" w:cs="仿宋_GB2312"/>
          <w:b/>
          <w:color w:val="auto"/>
          <w:sz w:val="32"/>
          <w:szCs w:val="32"/>
          <w:highlight w:val="none"/>
        </w:rPr>
        <w:t>1.因公出国（境）经费支出</w:t>
      </w:r>
      <w:r>
        <w:rPr>
          <w:rFonts w:hint="eastAsia" w:ascii="仿宋_GB2312" w:hAnsi="仿宋_GB2312" w:eastAsia="仿宋_GB2312" w:cs="仿宋_GB2312"/>
          <w:color w:val="auto"/>
          <w:kern w:val="2"/>
          <w:sz w:val="32"/>
          <w:szCs w:val="32"/>
          <w:highlight w:val="none"/>
          <w:lang w:val="en-US" w:eastAsia="zh-CN" w:bidi="ar-SA"/>
        </w:rPr>
        <w:t>0万元。</w:t>
      </w:r>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color w:val="auto"/>
          <w:sz w:val="32"/>
          <w:szCs w:val="32"/>
          <w:highlight w:val="none"/>
        </w:rPr>
        <w:t>2.公务用车购置及运行维护费支出</w:t>
      </w:r>
      <w:r>
        <w:rPr>
          <w:rFonts w:hint="eastAsia" w:ascii="仿宋_GB2312" w:hAnsi="仿宋_GB2312" w:eastAsia="仿宋_GB2312" w:cs="仿宋_GB2312"/>
          <w:color w:val="auto"/>
          <w:kern w:val="2"/>
          <w:sz w:val="32"/>
          <w:szCs w:val="32"/>
          <w:highlight w:val="none"/>
          <w:lang w:val="en-US" w:eastAsia="zh-CN" w:bidi="ar-SA"/>
        </w:rPr>
        <w:t>0万元。</w:t>
      </w:r>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color w:val="auto"/>
          <w:sz w:val="32"/>
          <w:szCs w:val="32"/>
          <w:highlight w:val="none"/>
          <w:lang w:val="en-US" w:eastAsia="zh-CN"/>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color w:val="auto"/>
          <w:kern w:val="2"/>
          <w:sz w:val="32"/>
          <w:szCs w:val="32"/>
          <w:highlight w:val="none"/>
          <w:lang w:val="en-US" w:eastAsia="zh-CN" w:bidi="ar-SA"/>
        </w:rPr>
        <w:t>0.16万元，完成预算</w:t>
      </w:r>
      <w:r>
        <w:rPr>
          <w:rFonts w:hint="default"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%。公务接待费支出决算与上年度相比增加0.13万元，增长433.33%。主要原因是：上级部门到我局开展基金检查工作批次较上年有所增加。</w:t>
      </w:r>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国内公务接待支出</w:t>
      </w:r>
      <w:r>
        <w:rPr>
          <w:rFonts w:hint="eastAsia" w:ascii="仿宋_GB2312" w:hAnsi="仿宋_GB2312" w:eastAsia="仿宋_GB2312" w:cs="仿宋_GB2312"/>
          <w:color w:val="auto"/>
          <w:kern w:val="2"/>
          <w:sz w:val="32"/>
          <w:szCs w:val="32"/>
          <w:highlight w:val="none"/>
          <w:lang w:val="en-US" w:eastAsia="zh-CN" w:bidi="ar-SA"/>
        </w:rPr>
        <w:t>0.16万元，主要用于开展业务活动开支的用餐费。国内公务接待3批次，15人次（不包括陪同人员），共计支出0.16万元，具体内容包括：开展业务活动开支的用餐费0.</w:t>
      </w:r>
      <w:r>
        <w:rPr>
          <w:rFonts w:hint="default" w:ascii="仿宋_GB2312" w:hAnsi="仿宋_GB2312" w:eastAsia="仿宋_GB2312" w:cs="仿宋_GB2312"/>
          <w:color w:val="auto"/>
          <w:kern w:val="2"/>
          <w:sz w:val="32"/>
          <w:szCs w:val="32"/>
          <w:highlight w:val="none"/>
          <w:lang w:val="en-US" w:eastAsia="zh-CN" w:bidi="ar-SA"/>
        </w:rPr>
        <w:t>16</w:t>
      </w:r>
      <w:r>
        <w:rPr>
          <w:rFonts w:hint="eastAsia" w:ascii="仿宋_GB2312" w:hAnsi="仿宋_GB2312" w:eastAsia="仿宋_GB2312" w:cs="仿宋_GB2312"/>
          <w:color w:val="auto"/>
          <w:kern w:val="2"/>
          <w:sz w:val="32"/>
          <w:szCs w:val="32"/>
          <w:highlight w:val="none"/>
          <w:lang w:val="en-US" w:eastAsia="zh-CN" w:bidi="ar-SA"/>
        </w:rPr>
        <w:t>万元。</w:t>
      </w:r>
    </w:p>
    <w:p>
      <w:pPr>
        <w:pageBreakBefore w:val="0"/>
        <w:kinsoku/>
        <w:wordWrap/>
        <w:overflowPunct/>
        <w:topLinePunct w:val="0"/>
        <w:bidi w:val="0"/>
        <w:spacing w:line="576" w:lineRule="exact"/>
        <w:ind w:firstLine="643" w:firstLineChars="200"/>
        <w:jc w:val="both"/>
        <w:textAlignment w:val="auto"/>
        <w:rPr>
          <w:rFonts w:hint="eastAsia"/>
          <w:lang w:val="en-US" w:eastAsia="zh-CN"/>
        </w:rPr>
      </w:pPr>
      <w:r>
        <w:rPr>
          <w:rFonts w:hint="eastAsia" w:ascii="仿宋_GB2312" w:hAnsi="仿宋_GB2312" w:eastAsia="仿宋_GB2312" w:cs="仿宋_GB2312"/>
          <w:b/>
          <w:color w:val="auto"/>
          <w:sz w:val="32"/>
          <w:szCs w:val="32"/>
          <w:highlight w:val="none"/>
        </w:rPr>
        <w:t>外事接待支出</w:t>
      </w:r>
      <w:r>
        <w:rPr>
          <w:rFonts w:hint="eastAsia" w:ascii="仿宋_GB2312" w:hAnsi="仿宋_GB2312" w:eastAsia="仿宋_GB2312" w:cs="仿宋_GB2312"/>
          <w:color w:val="auto"/>
          <w:kern w:val="2"/>
          <w:sz w:val="32"/>
          <w:szCs w:val="32"/>
          <w:highlight w:val="none"/>
          <w:lang w:val="en-US" w:eastAsia="zh-CN" w:bidi="ar-SA"/>
        </w:rPr>
        <w:t>0万元。</w:t>
      </w:r>
    </w:p>
    <w:p>
      <w:pPr>
        <w:pageBreakBefore w:val="0"/>
        <w:kinsoku/>
        <w:wordWrap/>
        <w:overflowPunct/>
        <w:topLinePunct w:val="0"/>
        <w:bidi w:val="0"/>
        <w:spacing w:line="576" w:lineRule="exact"/>
        <w:ind w:firstLine="640"/>
        <w:jc w:val="both"/>
        <w:textAlignment w:val="auto"/>
        <w:outlineLvl w:val="1"/>
        <w:rPr>
          <w:rFonts w:hint="eastAsia" w:ascii="黑体" w:hAnsi="Times New Roman" w:eastAsia="黑体" w:cs="Times New Roman"/>
          <w:color w:val="auto"/>
          <w:kern w:val="2"/>
          <w:sz w:val="32"/>
          <w:szCs w:val="32"/>
          <w:highlight w:val="none"/>
          <w:lang w:val="en-US" w:eastAsia="zh-CN" w:bidi="ar-SA"/>
        </w:rPr>
      </w:pPr>
      <w:bookmarkStart w:id="32" w:name="_Toc15396610"/>
      <w:bookmarkStart w:id="33" w:name="_Toc15377218"/>
      <w:r>
        <w:rPr>
          <w:rFonts w:hint="eastAsia" w:ascii="黑体" w:hAnsi="Times New Roman" w:eastAsia="黑体" w:cs="Times New Roman"/>
          <w:color w:val="auto"/>
          <w:kern w:val="2"/>
          <w:sz w:val="32"/>
          <w:szCs w:val="32"/>
          <w:highlight w:val="none"/>
          <w:lang w:val="en-US" w:eastAsia="zh-CN" w:bidi="ar-SA"/>
        </w:rPr>
        <w:t>八、政府性基金预算支出决算情况说明</w:t>
      </w:r>
      <w:bookmarkEnd w:id="32"/>
      <w:bookmarkEnd w:id="33"/>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2025年度政府性基金预算财政拨款支出0万元。</w:t>
      </w:r>
    </w:p>
    <w:p>
      <w:pPr>
        <w:pageBreakBefore w:val="0"/>
        <w:numPr>
          <w:ilvl w:val="0"/>
          <w:numId w:val="0"/>
        </w:numPr>
        <w:kinsoku/>
        <w:wordWrap/>
        <w:overflowPunct/>
        <w:topLinePunct w:val="0"/>
        <w:bidi w:val="0"/>
        <w:spacing w:line="576" w:lineRule="exact"/>
        <w:ind w:left="630" w:leftChars="0"/>
        <w:jc w:val="both"/>
        <w:textAlignment w:val="auto"/>
        <w:outlineLvl w:val="1"/>
        <w:rPr>
          <w:rFonts w:hint="eastAsia" w:ascii="黑体" w:hAnsi="Times New Roman" w:eastAsia="黑体" w:cs="Times New Roman"/>
          <w:color w:val="auto"/>
          <w:kern w:val="2"/>
          <w:sz w:val="32"/>
          <w:szCs w:val="32"/>
          <w:highlight w:val="none"/>
          <w:lang w:val="en-US" w:eastAsia="zh-CN" w:bidi="ar-SA"/>
        </w:rPr>
      </w:pPr>
      <w:bookmarkStart w:id="34" w:name="_Toc15396611"/>
      <w:bookmarkStart w:id="35" w:name="_Toc15377219"/>
      <w:r>
        <w:rPr>
          <w:rFonts w:hint="eastAsia" w:ascii="黑体" w:hAnsi="Times New Roman" w:eastAsia="黑体" w:cs="Times New Roman"/>
          <w:color w:val="auto"/>
          <w:kern w:val="2"/>
          <w:sz w:val="32"/>
          <w:szCs w:val="32"/>
          <w:highlight w:val="none"/>
          <w:lang w:val="en-US" w:eastAsia="zh-CN" w:bidi="ar-SA"/>
        </w:rPr>
        <w:t>九、国有资本经营预算支出决算情况说明</w:t>
      </w:r>
      <w:bookmarkEnd w:id="34"/>
      <w:bookmarkEnd w:id="35"/>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2025年度国有资本经营预算财政拨款支出0万元。</w:t>
      </w:r>
    </w:p>
    <w:p>
      <w:pPr>
        <w:pageBreakBefore w:val="0"/>
        <w:numPr>
          <w:ilvl w:val="0"/>
          <w:numId w:val="0"/>
        </w:numPr>
        <w:kinsoku/>
        <w:wordWrap/>
        <w:overflowPunct/>
        <w:topLinePunct w:val="0"/>
        <w:bidi w:val="0"/>
        <w:spacing w:line="576" w:lineRule="exact"/>
        <w:ind w:left="630" w:leftChars="0"/>
        <w:jc w:val="both"/>
        <w:textAlignment w:val="auto"/>
        <w:outlineLvl w:val="1"/>
        <w:rPr>
          <w:rFonts w:hint="eastAsia" w:ascii="黑体" w:hAnsi="Times New Roman" w:eastAsia="黑体" w:cs="Times New Roman"/>
          <w:color w:val="auto"/>
          <w:kern w:val="2"/>
          <w:sz w:val="32"/>
          <w:szCs w:val="32"/>
          <w:highlight w:val="none"/>
          <w:lang w:val="en-US" w:eastAsia="zh-CN" w:bidi="ar-SA"/>
        </w:rPr>
      </w:pPr>
      <w:bookmarkStart w:id="36" w:name="_Toc15396612"/>
      <w:bookmarkStart w:id="37" w:name="_Toc15377221"/>
      <w:r>
        <w:rPr>
          <w:rFonts w:hint="eastAsia" w:ascii="黑体" w:hAnsi="Times New Roman" w:eastAsia="黑体" w:cs="Times New Roman"/>
          <w:color w:val="auto"/>
          <w:kern w:val="2"/>
          <w:sz w:val="32"/>
          <w:szCs w:val="32"/>
          <w:highlight w:val="none"/>
          <w:lang w:val="en-US" w:eastAsia="zh-CN" w:bidi="ar-SA"/>
        </w:rPr>
        <w:t>十、其他重要事项的情况说明</w:t>
      </w:r>
      <w:bookmarkEnd w:id="36"/>
      <w:bookmarkEnd w:id="37"/>
    </w:p>
    <w:p>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楷体_GB2312"/>
          <w:b/>
          <w:color w:val="auto"/>
          <w:sz w:val="32"/>
          <w:szCs w:val="32"/>
          <w:highlight w:val="none"/>
        </w:rPr>
      </w:pPr>
      <w:bookmarkStart w:id="38" w:name="_Toc15377222"/>
      <w:r>
        <w:rPr>
          <w:rFonts w:hint="eastAsia" w:ascii="Times New Roman" w:hAnsi="Times New Roman" w:eastAsia="楷体_GB2312" w:cs="楷体_GB2312"/>
          <w:b/>
          <w:color w:val="auto"/>
          <w:sz w:val="32"/>
          <w:szCs w:val="32"/>
          <w:highlight w:val="none"/>
        </w:rPr>
        <w:t>（一）机关运行经费支出情况</w:t>
      </w:r>
      <w:bookmarkEnd w:id="38"/>
    </w:p>
    <w:p>
      <w:pPr>
        <w:pStyle w:val="28"/>
        <w:pageBreakBefore w:val="0"/>
        <w:kinsoku/>
        <w:wordWrap/>
        <w:overflowPunct/>
        <w:topLinePunct w:val="0"/>
        <w:bidi w:val="0"/>
        <w:spacing w:line="576" w:lineRule="exact"/>
        <w:jc w:val="both"/>
        <w:textAlignment w:val="auto"/>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2025年度，茂县社会保险事业管理局机关运行经费支出23.91万元，与上年度相比增加14.74万元，增长160.74%。主要原因是：人员增加导致工资和社会保险费增加。</w:t>
      </w:r>
    </w:p>
    <w:p>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楷体_GB2312"/>
          <w:b/>
          <w:color w:val="auto"/>
          <w:sz w:val="32"/>
          <w:szCs w:val="32"/>
          <w:highlight w:val="none"/>
        </w:rPr>
      </w:pPr>
      <w:bookmarkStart w:id="39" w:name="_Toc15377223"/>
      <w:r>
        <w:rPr>
          <w:rFonts w:hint="eastAsia" w:ascii="Times New Roman" w:hAnsi="Times New Roman" w:eastAsia="楷体_GB2312" w:cs="楷体_GB2312"/>
          <w:b/>
          <w:color w:val="auto"/>
          <w:sz w:val="32"/>
          <w:szCs w:val="32"/>
          <w:highlight w:val="none"/>
        </w:rPr>
        <w:t>（二）政府采购支出情况</w:t>
      </w:r>
      <w:bookmarkEnd w:id="39"/>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2025年度，茂县社会保险事业管理局政府采购支出总额0万元。</w:t>
      </w:r>
    </w:p>
    <w:p>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楷体_GB2312"/>
          <w:b/>
          <w:color w:val="auto"/>
          <w:sz w:val="32"/>
          <w:szCs w:val="32"/>
          <w:highlight w:val="none"/>
        </w:rPr>
      </w:pPr>
      <w:bookmarkStart w:id="40" w:name="_Toc15377224"/>
      <w:r>
        <w:rPr>
          <w:rFonts w:hint="eastAsia" w:ascii="Times New Roman" w:hAnsi="Times New Roman" w:eastAsia="楷体_GB2312" w:cs="楷体_GB2312"/>
          <w:b/>
          <w:color w:val="auto"/>
          <w:sz w:val="32"/>
          <w:szCs w:val="32"/>
          <w:highlight w:val="none"/>
        </w:rPr>
        <w:t>（三）国有资产占有使用情况</w:t>
      </w:r>
      <w:bookmarkEnd w:id="40"/>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2025年度国有资本经营预算财政拨款支出0万元。</w:t>
      </w:r>
    </w:p>
    <w:p>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pageBreakBefore w:val="0"/>
        <w:kinsoku/>
        <w:wordWrap/>
        <w:overflowPunct/>
        <w:topLinePunct w:val="0"/>
        <w:bidi w:val="0"/>
        <w:spacing w:line="576" w:lineRule="exact"/>
        <w:ind w:firstLine="640" w:firstLineChars="200"/>
        <w:jc w:val="both"/>
        <w:textAlignment w:val="auto"/>
        <w:rPr>
          <w:rFonts w:hint="eastAsia" w:ascii="Times New Roman" w:hAnsi="Times New Roman" w:eastAsia="黑体"/>
          <w:color w:val="auto"/>
          <w:sz w:val="44"/>
          <w:szCs w:val="44"/>
          <w:highlight w:val="none"/>
        </w:rPr>
      </w:pPr>
      <w:bookmarkStart w:id="41" w:name="_Toc15396613"/>
      <w:bookmarkStart w:id="42" w:name="_Toc15377225"/>
      <w:r>
        <w:rPr>
          <w:rFonts w:hint="eastAsia" w:ascii="仿宋_GB2312" w:hAnsi="仿宋_GB2312" w:eastAsia="仿宋_GB2312" w:cs="仿宋_GB2312"/>
          <w:color w:val="auto"/>
          <w:kern w:val="2"/>
          <w:sz w:val="32"/>
          <w:szCs w:val="32"/>
          <w:highlight w:val="none"/>
          <w:lang w:val="en-US" w:eastAsia="zh-CN" w:bidi="ar-SA"/>
        </w:rPr>
        <w:t>根据预算绩效管理要求，2025年度茂县社会保险事业管理局无预算绩效管理。</w:t>
      </w:r>
    </w:p>
    <w:p>
      <w:pPr>
        <w:pageBreakBefore w:val="0"/>
        <w:numPr>
          <w:ilvl w:val="0"/>
          <w:numId w:val="0"/>
        </w:numPr>
        <w:kinsoku/>
        <w:wordWrap/>
        <w:overflowPunct/>
        <w:topLinePunct w:val="0"/>
        <w:bidi w:val="0"/>
        <w:spacing w:line="576" w:lineRule="exact"/>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jc w:val="center"/>
        <w:textAlignment w:val="auto"/>
        <w:outlineLvl w:val="0"/>
        <w:rPr>
          <w:rFonts w:hint="eastAsia" w:ascii="Times New Roman" w:hAnsi="Times New Roman" w:eastAsia="黑体"/>
          <w:color w:val="auto"/>
          <w:sz w:val="44"/>
          <w:szCs w:val="44"/>
          <w:highlight w:val="none"/>
        </w:rPr>
      </w:pPr>
    </w:p>
    <w:p>
      <w:pPr>
        <w:pageBreakBefore w:val="0"/>
        <w:numPr>
          <w:ilvl w:val="0"/>
          <w:numId w:val="0"/>
        </w:numPr>
        <w:kinsoku/>
        <w:wordWrap/>
        <w:overflowPunct/>
        <w:topLinePunct w:val="0"/>
        <w:bidi w:val="0"/>
        <w:spacing w:line="576" w:lineRule="exact"/>
        <w:jc w:val="center"/>
        <w:textAlignment w:val="auto"/>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1"/>
      <w:bookmarkEnd w:id="42"/>
    </w:p>
    <w:p>
      <w:pPr>
        <w:pStyle w:val="3"/>
        <w:pageBreakBefore w:val="0"/>
        <w:kinsoku/>
        <w:wordWrap/>
        <w:overflowPunct/>
        <w:topLinePunct w:val="0"/>
        <w:bidi w:val="0"/>
        <w:spacing w:line="576" w:lineRule="exact"/>
        <w:ind w:left="0" w:leftChars="0" w:firstLine="0" w:firstLineChars="0"/>
        <w:jc w:val="both"/>
        <w:textAlignment w:val="auto"/>
      </w:pP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1.财政拨款收入：指单位从同级财政部门取得的财政预算资金。</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2.事业收入：指事业单位开展专业业务活动及辅助活动取得的收入。</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4.其他收入：指单位取得的除上述收入以外的各项收入。</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8.年末结转和结余：指单位按有关规定结转到下年或以后年度继续使用的资金。</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9.社会保障和就业支出(类) 人力资源和社会保障管理事务(款)行政运行（项）：指机关单位用于保障机构正常运行、开展日常工作的基本支出。</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10.社会保障和就业支出(类) 人力资源和社会保障管理事务(款)社会保险经办机构（项）：指社会保险经办机构开展业务工作的支出。</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11.社会保障和就业支出(类) 人力资源和社会保障管理事务(款)其他人力资源和社会保障管理事务支出（项）：指用于其他人力资源和社会保障管理事务方面支出。</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12.社会保障和就业支出(类)行政事业单位养老支出(款) 机关事业单位基本养老保险缴费支出（项）：指机关事业单位实施养老保险制度由单位缴纳的基本养老保险费支出。</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13.社会保障和就业支出（类）行政事业单位养老支出（款）机关事业单位职业年金缴费支出（项）：指机关事业单位养老保险制度由单位缴纳的职业年金支出。</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14.卫生健康支出（类）行政事业单位医疗（款）行政单位医疗（项）：指财政部门集中安排的行政单位基本医疗保险缴费。</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15.农林水（类）扶贫（款）其他扶贫支出（项）：指用于扶贫方面的支出。</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16.住房保障支出（类）住房改革支出（款）住房公积金（项）：指行政事业单位按规定的标准和比例为职工缴纳的住房公积金。</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17.住房保障支出（类）住房改革支出（款）购房补贴（项）：反映按房改政策规定，行政事业单位向符合条件职工（含退休人员）、军队（含武警）向转役复员离退休人员发放的于购买住房的补贴。</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18.基本支出：指为保障机构正常运转、完成日常工作任务而发生的人员支出和公用支出。</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19.项目支出：指在基本支出之外为完成特定行政任务和事业发展目标所发生的支出。 </w:t>
      </w:r>
    </w:p>
    <w:p>
      <w:pPr>
        <w:pStyle w:val="27"/>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ageBreakBefore w:val="0"/>
        <w:kinsoku/>
        <w:wordWrap/>
        <w:overflowPunct/>
        <w:topLinePunct w:val="0"/>
        <w:bidi w:val="0"/>
        <w:spacing w:line="576" w:lineRule="exact"/>
        <w:ind w:firstLine="64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bookmarkStart w:id="4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4" w:name="_Toc15396618"/>
    </w:p>
    <w:p>
      <w:pPr>
        <w:keepNext w:val="0"/>
        <w:keepLines w:val="0"/>
        <w:pageBreakBefore w:val="0"/>
        <w:kinsoku/>
        <w:wordWrap/>
        <w:overflowPunct/>
        <w:topLinePunct w:val="0"/>
        <w:autoSpaceDE/>
        <w:autoSpaceDN/>
        <w:bidi w:val="0"/>
        <w:spacing w:line="576" w:lineRule="exact"/>
        <w:jc w:val="both"/>
        <w:textAlignment w:val="auto"/>
        <w:outlineLvl w:val="0"/>
        <w:rPr>
          <w:rFonts w:hint="default" w:ascii="Times New Roman" w:hAnsi="Times New Roman" w:eastAsia="黑体" w:cs="Times New Roman"/>
          <w:color w:val="auto"/>
          <w:sz w:val="44"/>
          <w:szCs w:val="44"/>
          <w:highlight w:val="none"/>
          <w:lang w:val="en-US" w:eastAsia="zh-CN"/>
        </w:rPr>
      </w:pPr>
      <w:bookmarkStart w:id="45" w:name="_Toc24492"/>
      <w:bookmarkStart w:id="46" w:name="_Toc15396614"/>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bookmarkEnd w:id="45"/>
    </w:p>
    <w:p>
      <w:pPr>
        <w:pageBreakBefore w:val="0"/>
        <w:kinsoku/>
        <w:wordWrap/>
        <w:overflowPunct/>
        <w:topLinePunct w:val="0"/>
        <w:bidi w:val="0"/>
        <w:spacing w:line="576" w:lineRule="exact"/>
        <w:jc w:val="center"/>
        <w:textAlignment w:val="auto"/>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46"/>
    </w:p>
    <w:tbl>
      <w:tblPr>
        <w:tblStyle w:val="16"/>
        <w:tblW w:w="93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63"/>
        <w:gridCol w:w="959"/>
        <w:gridCol w:w="1348"/>
        <w:gridCol w:w="1948"/>
        <w:gridCol w:w="914"/>
        <w:gridCol w:w="915"/>
        <w:gridCol w:w="914"/>
        <w:gridCol w:w="9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385"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部门整体支出绩效目标表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85"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85" w:type="dxa"/>
            <w:gridSpan w:val="8"/>
            <w:tcBorders>
              <w:top w:val="nil"/>
              <w:left w:val="nil"/>
              <w:bottom w:val="single" w:color="000000" w:sz="4" w:space="0"/>
              <w:right w:val="nil"/>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3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部门名称</w:t>
            </w:r>
          </w:p>
        </w:tc>
        <w:tc>
          <w:tcPr>
            <w:tcW w:w="56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茂县社会保险事业管理局本级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年度部门整体支出预算</w:t>
            </w: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资金总额</w:t>
            </w:r>
          </w:p>
        </w:tc>
        <w:tc>
          <w:tcPr>
            <w:tcW w:w="28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财政拨款</w:t>
            </w:r>
          </w:p>
        </w:tc>
        <w:tc>
          <w:tcPr>
            <w:tcW w:w="27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622.05</w:t>
            </w:r>
          </w:p>
        </w:tc>
        <w:tc>
          <w:tcPr>
            <w:tcW w:w="28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622.05</w:t>
            </w:r>
          </w:p>
        </w:tc>
        <w:tc>
          <w:tcPr>
            <w:tcW w:w="27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792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贯彻执行国家、省、州有关社会保险政策和法律、法规，负责全县企业基本养老保险、机关事业养老保险、职业年金、工伤保险等社会保险工作。1.负责辖区内参保单位和个人社会保险基金的征收、管理、审核等工作;2\保障机构日常运转和职工劳动报酬，为圆满完成工作目标任务提供资金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年度主要任务</w:t>
            </w: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任务名称</w:t>
            </w:r>
          </w:p>
        </w:tc>
        <w:tc>
          <w:tcPr>
            <w:tcW w:w="56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强化内部控制，筑牢安全防线</w:t>
            </w:r>
          </w:p>
        </w:tc>
        <w:tc>
          <w:tcPr>
            <w:tcW w:w="56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结合党风廉政工作，以打造清正廉洁、群众满意的社保队伍为基础，加强内部控制力度，筑牢基金安全防线。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高公共服务能力和水平</w:t>
            </w:r>
          </w:p>
        </w:tc>
        <w:tc>
          <w:tcPr>
            <w:tcW w:w="56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深化社会保险公共服务体系建设，全面提升服务水平和质量。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保障单位日常运转、职工队伍稳定</w:t>
            </w:r>
          </w:p>
        </w:tc>
        <w:tc>
          <w:tcPr>
            <w:tcW w:w="56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保障职工工资按时足额发放到位，按时足额为职工缴纳五险一金，职工权益得到保障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继续推进养老保险扩面</w:t>
            </w:r>
          </w:p>
        </w:tc>
        <w:tc>
          <w:tcPr>
            <w:tcW w:w="56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进一步扩大社会保险覆盖面，加强政策宣传力度，提高全面参保意识。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加强工伤保险管理</w:t>
            </w:r>
          </w:p>
        </w:tc>
        <w:tc>
          <w:tcPr>
            <w:tcW w:w="56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统筹范围用人单位工伤保险参保登记、审核和工伤保险基金的管理、兑付工伤保险待遇完成全年工作任务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年度绩效指标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绩效指标性质</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绩效指标值</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绩效度量单位</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工伤保险参保人数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12600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企业保险参保人数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12600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养老保险发放率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提升参保职工和退休人员满意度</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pStyle w:val="20"/>
        <w:pageBreakBefore w:val="0"/>
        <w:kinsoku/>
        <w:wordWrap/>
        <w:overflowPunct/>
        <w:topLinePunct w:val="0"/>
        <w:bidi w:val="0"/>
        <w:spacing w:line="576" w:lineRule="exact"/>
        <w:jc w:val="both"/>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bCs/>
          <w:kern w:val="0"/>
          <w:position w:val="0"/>
          <w:sz w:val="32"/>
          <w:szCs w:val="32"/>
          <w:highlight w:val="none"/>
          <w:lang w:val="en-US" w:eastAsia="zh-CN" w:bidi="ar-SA"/>
        </w:rPr>
        <w:t>附件</w:t>
      </w:r>
      <w:r>
        <w:rPr>
          <w:rFonts w:hint="eastAsia" w:ascii="Times New Roman" w:hAnsi="Times New Roman" w:eastAsia="仿宋_GB2312" w:cs="Times New Roman"/>
          <w:b w:val="0"/>
          <w:bCs w:val="0"/>
          <w:kern w:val="0"/>
          <w:position w:val="0"/>
          <w:sz w:val="32"/>
          <w:szCs w:val="32"/>
          <w:highlight w:val="none"/>
          <w:lang w:val="en-US" w:eastAsia="zh-CN" w:bidi="ar-SA"/>
        </w:rPr>
        <w:t>2:</w:t>
      </w:r>
    </w:p>
    <w:p>
      <w:pPr>
        <w:pageBreakBefore w:val="0"/>
        <w:kinsoku/>
        <w:wordWrap/>
        <w:overflowPunct/>
        <w:topLinePunct w:val="0"/>
        <w:bidi w:val="0"/>
        <w:spacing w:line="576" w:lineRule="exact"/>
        <w:jc w:val="center"/>
        <w:textAlignment w:val="auto"/>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bCs/>
          <w:kern w:val="0"/>
          <w:position w:val="0"/>
          <w:sz w:val="36"/>
          <w:szCs w:val="36"/>
          <w:highlight w:val="none"/>
          <w:lang w:val="en-US" w:eastAsia="zh-CN" w:bidi="ar-SA"/>
        </w:rPr>
        <w:t>专项预算项目绩效评价报告</w:t>
      </w:r>
    </w:p>
    <w:p>
      <w:pPr>
        <w:pStyle w:val="20"/>
        <w:pageBreakBefore w:val="0"/>
        <w:kinsoku/>
        <w:wordWrap/>
        <w:overflowPunct/>
        <w:topLinePunct w:val="0"/>
        <w:bidi w:val="0"/>
        <w:spacing w:line="576" w:lineRule="exact"/>
        <w:jc w:val="center"/>
        <w:textAlignment w:val="auto"/>
        <w:rPr>
          <w:rFonts w:hint="default"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（本部门不涉及此类项目）</w:t>
      </w:r>
    </w:p>
    <w:p>
      <w:pPr>
        <w:pStyle w:val="3"/>
        <w:pageBreakBefore w:val="0"/>
        <w:kinsoku/>
        <w:wordWrap/>
        <w:overflowPunct/>
        <w:topLinePunct w:val="0"/>
        <w:bidi w:val="0"/>
        <w:spacing w:line="576" w:lineRule="exact"/>
        <w:jc w:val="both"/>
        <w:textAlignment w:val="auto"/>
        <w:rPr>
          <w:rFonts w:hint="eastAsia"/>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both"/>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center"/>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center"/>
        <w:textAlignment w:val="auto"/>
        <w:rPr>
          <w:rFonts w:hint="eastAsia" w:ascii="Times New Roman" w:hAnsi="Times New Roman" w:eastAsia="黑体"/>
          <w:color w:val="auto"/>
          <w:sz w:val="44"/>
          <w:szCs w:val="44"/>
          <w:highlight w:val="none"/>
        </w:rPr>
      </w:pPr>
    </w:p>
    <w:p>
      <w:pPr>
        <w:pageBreakBefore w:val="0"/>
        <w:widowControl/>
        <w:kinsoku/>
        <w:wordWrap/>
        <w:overflowPunct/>
        <w:topLinePunct w:val="0"/>
        <w:bidi w:val="0"/>
        <w:spacing w:line="576" w:lineRule="exact"/>
        <w:jc w:val="center"/>
        <w:textAlignment w:val="auto"/>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3"/>
      <w:bookmarkEnd w:id="44"/>
      <w:bookmarkStart w:id="47" w:name="_Toc15396619"/>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一、收入支出决算总表</w:t>
      </w:r>
      <w:bookmarkEnd w:id="47"/>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bookmarkStart w:id="48" w:name="_Toc15396620"/>
      <w:r>
        <w:rPr>
          <w:rFonts w:hint="eastAsia" w:ascii="仿宋_GB2312" w:hAnsi="仿宋_GB2312" w:eastAsia="仿宋_GB2312" w:cs="仿宋_GB2312"/>
          <w:color w:val="auto"/>
          <w:kern w:val="2"/>
          <w:sz w:val="32"/>
          <w:szCs w:val="32"/>
          <w:highlight w:val="none"/>
          <w:lang w:val="en-US" w:eastAsia="zh-CN" w:bidi="ar-SA"/>
        </w:rPr>
        <w:t>二、收入决算表</w:t>
      </w:r>
      <w:bookmarkEnd w:id="48"/>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bookmarkStart w:id="49" w:name="_Toc15396621"/>
      <w:r>
        <w:rPr>
          <w:rFonts w:hint="eastAsia" w:ascii="仿宋_GB2312" w:hAnsi="仿宋_GB2312" w:eastAsia="仿宋_GB2312" w:cs="仿宋_GB2312"/>
          <w:color w:val="auto"/>
          <w:kern w:val="2"/>
          <w:sz w:val="32"/>
          <w:szCs w:val="32"/>
          <w:highlight w:val="none"/>
          <w:lang w:val="en-US" w:eastAsia="zh-CN" w:bidi="ar-SA"/>
        </w:rPr>
        <w:t>三、支出决算表</w:t>
      </w:r>
      <w:bookmarkEnd w:id="49"/>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bookmarkStart w:id="50" w:name="_Toc15396622"/>
      <w:r>
        <w:rPr>
          <w:rFonts w:hint="eastAsia" w:ascii="仿宋_GB2312" w:hAnsi="仿宋_GB2312" w:eastAsia="仿宋_GB2312" w:cs="仿宋_GB2312"/>
          <w:color w:val="auto"/>
          <w:kern w:val="2"/>
          <w:sz w:val="32"/>
          <w:szCs w:val="32"/>
          <w:highlight w:val="none"/>
          <w:lang w:val="en-US" w:eastAsia="zh-CN" w:bidi="ar-SA"/>
        </w:rPr>
        <w:t>四、财政拨款收入支出决算总表</w:t>
      </w:r>
      <w:bookmarkEnd w:id="50"/>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bookmarkStart w:id="51" w:name="_Toc15396623"/>
      <w:r>
        <w:rPr>
          <w:rFonts w:hint="eastAsia" w:ascii="仿宋_GB2312" w:hAnsi="仿宋_GB2312" w:eastAsia="仿宋_GB2312" w:cs="仿宋_GB2312"/>
          <w:color w:val="auto"/>
          <w:kern w:val="2"/>
          <w:sz w:val="32"/>
          <w:szCs w:val="32"/>
          <w:highlight w:val="none"/>
          <w:lang w:val="en-US" w:eastAsia="zh-CN" w:bidi="ar-SA"/>
        </w:rPr>
        <w:t>五、财政拨款支出决算明细表</w:t>
      </w:r>
      <w:bookmarkEnd w:id="51"/>
      <w:bookmarkStart w:id="52" w:name="_Toc15396624"/>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六、一般公共预算财政拨款支出决算表</w:t>
      </w:r>
      <w:bookmarkEnd w:id="52"/>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bookmarkStart w:id="53" w:name="_Toc15396625"/>
      <w:r>
        <w:rPr>
          <w:rFonts w:hint="eastAsia" w:ascii="仿宋_GB2312" w:hAnsi="仿宋_GB2312" w:eastAsia="仿宋_GB2312" w:cs="仿宋_GB2312"/>
          <w:color w:val="auto"/>
          <w:kern w:val="2"/>
          <w:sz w:val="32"/>
          <w:szCs w:val="32"/>
          <w:highlight w:val="none"/>
          <w:lang w:val="en-US" w:eastAsia="zh-CN" w:bidi="ar-SA"/>
        </w:rPr>
        <w:t>七、一般公共预算财政拨款支出决算明细表</w:t>
      </w:r>
      <w:bookmarkEnd w:id="53"/>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bookmarkStart w:id="54" w:name="_Toc15396626"/>
      <w:r>
        <w:rPr>
          <w:rFonts w:hint="eastAsia" w:ascii="仿宋_GB2312" w:hAnsi="仿宋_GB2312" w:eastAsia="仿宋_GB2312" w:cs="仿宋_GB2312"/>
          <w:color w:val="auto"/>
          <w:kern w:val="2"/>
          <w:sz w:val="32"/>
          <w:szCs w:val="32"/>
          <w:highlight w:val="none"/>
          <w:lang w:val="en-US" w:eastAsia="zh-CN" w:bidi="ar-SA"/>
        </w:rPr>
        <w:t>八、一般公共预算财政拨款基本支出决算表</w:t>
      </w:r>
      <w:bookmarkEnd w:id="54"/>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bookmarkStart w:id="55" w:name="_Toc15396627"/>
      <w:r>
        <w:rPr>
          <w:rFonts w:hint="eastAsia" w:ascii="仿宋_GB2312" w:hAnsi="仿宋_GB2312" w:eastAsia="仿宋_GB2312" w:cs="仿宋_GB2312"/>
          <w:color w:val="auto"/>
          <w:kern w:val="2"/>
          <w:sz w:val="32"/>
          <w:szCs w:val="32"/>
          <w:highlight w:val="none"/>
          <w:lang w:val="en-US" w:eastAsia="zh-CN" w:bidi="ar-SA"/>
        </w:rPr>
        <w:t>九、一般公共预算财政拨款项目支出决算表</w:t>
      </w:r>
      <w:bookmarkEnd w:id="55"/>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bookmarkStart w:id="56" w:name="_Toc15396628"/>
      <w:r>
        <w:rPr>
          <w:rFonts w:hint="eastAsia" w:ascii="仿宋_GB2312" w:hAnsi="仿宋_GB2312" w:eastAsia="仿宋_GB2312" w:cs="仿宋_GB2312"/>
          <w:color w:val="auto"/>
          <w:kern w:val="2"/>
          <w:sz w:val="32"/>
          <w:szCs w:val="32"/>
          <w:highlight w:val="none"/>
          <w:lang w:val="en-US" w:eastAsia="zh-CN" w:bidi="ar-SA"/>
        </w:rPr>
        <w:t>十、</w:t>
      </w:r>
      <w:bookmarkEnd w:id="56"/>
      <w:r>
        <w:rPr>
          <w:rFonts w:hint="eastAsia" w:ascii="仿宋_GB2312" w:hAnsi="仿宋_GB2312" w:eastAsia="仿宋_GB2312" w:cs="仿宋_GB2312"/>
          <w:color w:val="auto"/>
          <w:kern w:val="2"/>
          <w:sz w:val="32"/>
          <w:szCs w:val="32"/>
          <w:highlight w:val="none"/>
          <w:lang w:val="en-US" w:eastAsia="zh-CN" w:bidi="ar-SA"/>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bookmarkStart w:id="57" w:name="_Toc15396629"/>
      <w:r>
        <w:rPr>
          <w:rFonts w:hint="eastAsia" w:ascii="仿宋_GB2312" w:hAnsi="仿宋_GB2312" w:eastAsia="仿宋_GB2312" w:cs="仿宋_GB2312"/>
          <w:color w:val="auto"/>
          <w:kern w:val="2"/>
          <w:sz w:val="32"/>
          <w:szCs w:val="32"/>
          <w:highlight w:val="none"/>
          <w:lang w:val="en-US" w:eastAsia="zh-CN" w:bidi="ar-SA"/>
        </w:rPr>
        <w:t>十一、</w:t>
      </w:r>
      <w:bookmarkEnd w:id="57"/>
      <w:r>
        <w:rPr>
          <w:rFonts w:hint="eastAsia" w:ascii="仿宋_GB2312" w:hAnsi="仿宋_GB2312" w:eastAsia="仿宋_GB2312" w:cs="仿宋_GB2312"/>
          <w:color w:val="auto"/>
          <w:kern w:val="2"/>
          <w:sz w:val="32"/>
          <w:szCs w:val="32"/>
          <w:highlight w:val="none"/>
          <w:lang w:val="en-US" w:eastAsia="zh-CN" w:bidi="ar-SA"/>
        </w:rPr>
        <w:t>国有资本经营预算财政拨款收入支出决算表</w:t>
      </w:r>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bookmarkStart w:id="58" w:name="_Toc15396630"/>
      <w:r>
        <w:rPr>
          <w:rFonts w:hint="eastAsia" w:ascii="仿宋_GB2312" w:hAnsi="仿宋_GB2312" w:eastAsia="仿宋_GB2312" w:cs="仿宋_GB2312"/>
          <w:color w:val="auto"/>
          <w:kern w:val="2"/>
          <w:sz w:val="32"/>
          <w:szCs w:val="32"/>
          <w:highlight w:val="none"/>
          <w:lang w:val="en-US" w:eastAsia="zh-CN" w:bidi="ar-SA"/>
        </w:rPr>
        <w:t>十二、</w:t>
      </w:r>
      <w:bookmarkEnd w:id="58"/>
      <w:r>
        <w:rPr>
          <w:rFonts w:hint="eastAsia" w:ascii="仿宋_GB2312" w:hAnsi="仿宋_GB2312" w:eastAsia="仿宋_GB2312" w:cs="仿宋_GB2312"/>
          <w:color w:val="auto"/>
          <w:kern w:val="2"/>
          <w:sz w:val="32"/>
          <w:szCs w:val="32"/>
          <w:highlight w:val="none"/>
          <w:lang w:val="en-US" w:eastAsia="zh-CN" w:bidi="ar-SA"/>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color w:val="auto"/>
          <w:kern w:val="2"/>
          <w:sz w:val="32"/>
          <w:szCs w:val="32"/>
          <w:highlight w:val="none"/>
          <w:lang w:val="en-US" w:eastAsia="zh-CN" w:bidi="ar-SA"/>
        </w:rPr>
      </w:pPr>
      <w:bookmarkStart w:id="59" w:name="_Toc15396631"/>
      <w:r>
        <w:rPr>
          <w:rFonts w:hint="eastAsia" w:ascii="仿宋_GB2312" w:hAnsi="仿宋_GB2312" w:eastAsia="仿宋_GB2312" w:cs="仿宋_GB2312"/>
          <w:color w:val="auto"/>
          <w:kern w:val="2"/>
          <w:sz w:val="32"/>
          <w:szCs w:val="32"/>
          <w:highlight w:val="none"/>
          <w:lang w:val="en-US" w:eastAsia="zh-CN" w:bidi="ar-SA"/>
        </w:rPr>
        <w:t>十三、</w:t>
      </w:r>
      <w:bookmarkEnd w:id="59"/>
      <w:r>
        <w:rPr>
          <w:rFonts w:hint="eastAsia" w:ascii="仿宋_GB2312" w:hAnsi="仿宋_GB2312" w:eastAsia="仿宋_GB2312" w:cs="仿宋_GB2312"/>
          <w:color w:val="auto"/>
          <w:kern w:val="2"/>
          <w:sz w:val="32"/>
          <w:szCs w:val="32"/>
          <w:highlight w:val="none"/>
          <w:lang w:val="en-US" w:eastAsia="zh-CN" w:bidi="ar-SA"/>
        </w:rPr>
        <w:t>财政拨款“三公”经费支出决算表</w:t>
      </w:r>
    </w:p>
    <w:p>
      <w:pPr>
        <w:pageBreakBefore w:val="0"/>
        <w:kinsoku/>
        <w:wordWrap/>
        <w:overflowPunct/>
        <w:topLinePunct w:val="0"/>
        <w:bidi w:val="0"/>
        <w:spacing w:line="576" w:lineRule="exact"/>
        <w:jc w:val="both"/>
        <w:textAlignment w:val="auto"/>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FreeSerif">
    <w:panose1 w:val="02020603050405020304"/>
    <w:charset w:val="00"/>
    <w:family w:val="auto"/>
    <w:pitch w:val="default"/>
    <w:sig w:usb0="E59FAFFF" w:usb1="C200FDFF" w:usb2="43501B29" w:usb3="04000043" w:csb0="600101FF" w:csb1="FFFF0000"/>
  </w:font>
  <w:font w:name="C059">
    <w:panose1 w:val="00000500000000000000"/>
    <w:charset w:val="00"/>
    <w:family w:val="auto"/>
    <w:pitch w:val="default"/>
    <w:sig w:usb0="00000287" w:usb1="00000800" w:usb2="00000000" w:usb3="00000000" w:csb0="6000009F"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6wA4ejECAABjBAAADgAAAAAAAAABACAAAAA1&#10;AQAAZHJzL2Uyb0RvYy54bWxQSwUGAAAAAAYABgBZAQAA2A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3</w:t>
                    </w:r>
                    <w:r>
                      <w:fldChar w:fldCharType="end"/>
                    </w:r>
                  </w:p>
                </w:txbxContent>
              </v:textbox>
            </v:shape>
          </w:pict>
        </mc:Fallback>
      </mc:AlternateContent>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vGR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&#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bP7xkTECAABjBAAADgAAAAAAAAABACAAAAA1&#10;AQAAZHJzL2Uyb0RvYy54bWxQSwUGAAAAAAYABgBZAQAA2A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C5WZn4yAgAAYwQAAA4AAAAAAAAAAQAgAAAA&#10;NQEAAGRycy9lMm9Eb2MueG1sUEsFBgAAAAAGAAYAWQEAANk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hiZDVjMjVlNDUxNThjYmI5ZmU1MGY2YmQ3ODMxNjg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4DA1AF7"/>
    <w:rsid w:val="152F2A07"/>
    <w:rsid w:val="165E0673"/>
    <w:rsid w:val="16BB723D"/>
    <w:rsid w:val="16F13FCB"/>
    <w:rsid w:val="186504BB"/>
    <w:rsid w:val="1938089F"/>
    <w:rsid w:val="19A445FC"/>
    <w:rsid w:val="1B7D550C"/>
    <w:rsid w:val="1BE8440E"/>
    <w:rsid w:val="1D155CEE"/>
    <w:rsid w:val="1DE178F3"/>
    <w:rsid w:val="1E740ACF"/>
    <w:rsid w:val="1FBDC1CB"/>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3C5BC9"/>
    <w:rsid w:val="39627CCD"/>
    <w:rsid w:val="397BAF1F"/>
    <w:rsid w:val="3AB79AF3"/>
    <w:rsid w:val="3B7EF35A"/>
    <w:rsid w:val="3B9FDB6C"/>
    <w:rsid w:val="3BF5BC2F"/>
    <w:rsid w:val="3CEBA265"/>
    <w:rsid w:val="3D98207C"/>
    <w:rsid w:val="3D9B0D99"/>
    <w:rsid w:val="3DEE7CF3"/>
    <w:rsid w:val="3DF02244"/>
    <w:rsid w:val="3E78745D"/>
    <w:rsid w:val="3FF4CAE0"/>
    <w:rsid w:val="3FF7B227"/>
    <w:rsid w:val="3FFDFFBD"/>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5777D0"/>
    <w:rsid w:val="5ECEC941"/>
    <w:rsid w:val="5F493CB7"/>
    <w:rsid w:val="5FBF9FF3"/>
    <w:rsid w:val="5FCD4E2C"/>
    <w:rsid w:val="5FD15F49"/>
    <w:rsid w:val="5FEF394A"/>
    <w:rsid w:val="5FF67715"/>
    <w:rsid w:val="5FFDB382"/>
    <w:rsid w:val="625F5AFD"/>
    <w:rsid w:val="62BF3928"/>
    <w:rsid w:val="64457EE3"/>
    <w:rsid w:val="647F5392"/>
    <w:rsid w:val="664B1D71"/>
    <w:rsid w:val="67AA3209"/>
    <w:rsid w:val="681C4F0D"/>
    <w:rsid w:val="69046D0F"/>
    <w:rsid w:val="698D0931"/>
    <w:rsid w:val="6A993CED"/>
    <w:rsid w:val="6B053271"/>
    <w:rsid w:val="6BCE6674"/>
    <w:rsid w:val="6C4A05C8"/>
    <w:rsid w:val="6C695D2E"/>
    <w:rsid w:val="6C8742B8"/>
    <w:rsid w:val="6C8A170F"/>
    <w:rsid w:val="6CB54609"/>
    <w:rsid w:val="6DBF0FFC"/>
    <w:rsid w:val="6DBF5E93"/>
    <w:rsid w:val="6DDD935C"/>
    <w:rsid w:val="6DFF077E"/>
    <w:rsid w:val="6E7E3605"/>
    <w:rsid w:val="6E7FDCC7"/>
    <w:rsid w:val="6ED6A62E"/>
    <w:rsid w:val="6EE00B15"/>
    <w:rsid w:val="6F544B20"/>
    <w:rsid w:val="6F6FB3EB"/>
    <w:rsid w:val="6F784160"/>
    <w:rsid w:val="6F8731EA"/>
    <w:rsid w:val="6FBB99A8"/>
    <w:rsid w:val="6FCE6052"/>
    <w:rsid w:val="6FD57C00"/>
    <w:rsid w:val="6FDF28A6"/>
    <w:rsid w:val="6FEFFFD8"/>
    <w:rsid w:val="6FF5CC65"/>
    <w:rsid w:val="6FFB47EC"/>
    <w:rsid w:val="6FFF034A"/>
    <w:rsid w:val="70496804"/>
    <w:rsid w:val="712A28F1"/>
    <w:rsid w:val="715C0E4B"/>
    <w:rsid w:val="72233669"/>
    <w:rsid w:val="72734D90"/>
    <w:rsid w:val="7332FE48"/>
    <w:rsid w:val="737F0D27"/>
    <w:rsid w:val="73AB61DA"/>
    <w:rsid w:val="73AD73D5"/>
    <w:rsid w:val="73B6EB34"/>
    <w:rsid w:val="73FA497D"/>
    <w:rsid w:val="73FB32B3"/>
    <w:rsid w:val="744731E5"/>
    <w:rsid w:val="74527205"/>
    <w:rsid w:val="74BBD01D"/>
    <w:rsid w:val="74ED5379"/>
    <w:rsid w:val="74FC2395"/>
    <w:rsid w:val="75DEEEC2"/>
    <w:rsid w:val="76E3355F"/>
    <w:rsid w:val="76FF5125"/>
    <w:rsid w:val="776F6FFA"/>
    <w:rsid w:val="778759FF"/>
    <w:rsid w:val="778769C8"/>
    <w:rsid w:val="77DC22F5"/>
    <w:rsid w:val="79086DAD"/>
    <w:rsid w:val="79974F09"/>
    <w:rsid w:val="79D7FD79"/>
    <w:rsid w:val="79EE5BA4"/>
    <w:rsid w:val="7A894339"/>
    <w:rsid w:val="7AFF7572"/>
    <w:rsid w:val="7B6C7DFB"/>
    <w:rsid w:val="7B8D8C62"/>
    <w:rsid w:val="7BBFBED0"/>
    <w:rsid w:val="7BC3E394"/>
    <w:rsid w:val="7C1F3737"/>
    <w:rsid w:val="7CBFC87B"/>
    <w:rsid w:val="7CFE0F48"/>
    <w:rsid w:val="7D7EC23E"/>
    <w:rsid w:val="7D916348"/>
    <w:rsid w:val="7DB7524E"/>
    <w:rsid w:val="7DFFC60B"/>
    <w:rsid w:val="7E8ADEBF"/>
    <w:rsid w:val="7E9D63CE"/>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3F59F95"/>
    <w:rsid w:val="99FF2014"/>
    <w:rsid w:val="A6DD0D7F"/>
    <w:rsid w:val="ACFF5E6E"/>
    <w:rsid w:val="ADC6F725"/>
    <w:rsid w:val="B7BE167F"/>
    <w:rsid w:val="B7CF06AB"/>
    <w:rsid w:val="B7CFA926"/>
    <w:rsid w:val="B7F8786B"/>
    <w:rsid w:val="BABB6AA1"/>
    <w:rsid w:val="BB2F4199"/>
    <w:rsid w:val="BD079C78"/>
    <w:rsid w:val="BD733540"/>
    <w:rsid w:val="BF3735D5"/>
    <w:rsid w:val="BF7F09AC"/>
    <w:rsid w:val="BFD475C3"/>
    <w:rsid w:val="BFDE5EA6"/>
    <w:rsid w:val="BFEB2DA7"/>
    <w:rsid w:val="C79E8100"/>
    <w:rsid w:val="CF6FC6F3"/>
    <w:rsid w:val="CFD3D3D7"/>
    <w:rsid w:val="CFDF1009"/>
    <w:rsid w:val="D7D7B16A"/>
    <w:rsid w:val="D8D6DB89"/>
    <w:rsid w:val="D9FFA652"/>
    <w:rsid w:val="DB6F4CAB"/>
    <w:rsid w:val="DB777682"/>
    <w:rsid w:val="DCFFE245"/>
    <w:rsid w:val="DD1FB521"/>
    <w:rsid w:val="DEFBFEAE"/>
    <w:rsid w:val="DEFD2CDA"/>
    <w:rsid w:val="DF1F3B80"/>
    <w:rsid w:val="DF6F9789"/>
    <w:rsid w:val="DFFFA9E8"/>
    <w:rsid w:val="E5DD5DB8"/>
    <w:rsid w:val="E5F4E9DC"/>
    <w:rsid w:val="E70FE695"/>
    <w:rsid w:val="E8EF8CCA"/>
    <w:rsid w:val="ECFED1BC"/>
    <w:rsid w:val="ED1D69BB"/>
    <w:rsid w:val="ED7FD312"/>
    <w:rsid w:val="EF53993F"/>
    <w:rsid w:val="EF6FD633"/>
    <w:rsid w:val="EFBFB2F4"/>
    <w:rsid w:val="EFBFFA21"/>
    <w:rsid w:val="EFEF6BE6"/>
    <w:rsid w:val="EFFE52B1"/>
    <w:rsid w:val="F2BEBCB8"/>
    <w:rsid w:val="F36FB518"/>
    <w:rsid w:val="F3DE1A04"/>
    <w:rsid w:val="F3F722E5"/>
    <w:rsid w:val="F49B79FF"/>
    <w:rsid w:val="F66D837D"/>
    <w:rsid w:val="F7FFB9BF"/>
    <w:rsid w:val="F9F3625B"/>
    <w:rsid w:val="FA5F1E70"/>
    <w:rsid w:val="FA5FDB97"/>
    <w:rsid w:val="FB7F486A"/>
    <w:rsid w:val="FBFA568E"/>
    <w:rsid w:val="FBFF5B2E"/>
    <w:rsid w:val="FD7FFE2B"/>
    <w:rsid w:val="FDEE196B"/>
    <w:rsid w:val="FDEFE498"/>
    <w:rsid w:val="FDFE6575"/>
    <w:rsid w:val="FEDFDDC2"/>
    <w:rsid w:val="FEED32F6"/>
    <w:rsid w:val="FEF781DD"/>
    <w:rsid w:val="FF2FA28F"/>
    <w:rsid w:val="FF3F7E3F"/>
    <w:rsid w:val="FF6F5DA0"/>
    <w:rsid w:val="FFBA12D7"/>
    <w:rsid w:val="FFDFFAEE"/>
    <w:rsid w:val="FFF9B57B"/>
    <w:rsid w:val="FFFD61D9"/>
    <w:rsid w:val="FFFD8F59"/>
    <w:rsid w:val="FFFF2BB1"/>
    <w:rsid w:val="FFFFB04D"/>
    <w:rsid w:val="FFFFB0B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next w:val="9"/>
    <w:link w:val="26"/>
    <w:qFormat/>
    <w:uiPriority w:val="99"/>
    <w:pPr>
      <w:spacing w:beforeLines="30"/>
    </w:pPr>
    <w:rPr>
      <w:rFonts w:ascii="仿宋_GB2312" w:eastAsia="仿宋_GB2312"/>
      <w:kern w:val="0"/>
      <w:sz w:val="30"/>
    </w:rPr>
  </w:style>
  <w:style w:type="paragraph" w:styleId="9">
    <w:name w:val="Body Text First Indent"/>
    <w:basedOn w:val="8"/>
    <w:qFormat/>
    <w:uiPriority w:val="0"/>
    <w:pPr>
      <w:ind w:firstLine="420" w:firstLineChars="100"/>
    </w:pPr>
    <w:rPr>
      <w:kern w:val="0"/>
      <w:sz w:val="20"/>
      <w:szCs w:val="2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1299</Words>
  <Characters>7410</Characters>
  <Lines>61</Lines>
  <Paragraphs>17</Paragraphs>
  <TotalTime>1</TotalTime>
  <ScaleCrop>false</ScaleCrop>
  <LinksUpToDate>false</LinksUpToDate>
  <CharactersWithSpaces>8692</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2020-08-12T09:49:00Z</dcterms:created>
  <dc:creator>曹颖</dc:creator>
  <cp:lastModifiedBy>cws</cp:lastModifiedBy>
  <cp:lastPrinted>2026-09-03T10:23:00Z</cp:lastPrinted>
  <dcterms:modified xsi:type="dcterms:W3CDTF">2026-09-03T17:19:21Z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400D301575C74348A5277D00A7902E06</vt:lpwstr>
  </property>
</Properties>
</file>